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415BA"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DDF07E1" wp14:editId="203E222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BA26E6B" w14:textId="77777777" w:rsidR="00BC1364" w:rsidRPr="00F715D1" w:rsidRDefault="00F715D1" w:rsidP="003D4EB5">
      <w:pPr>
        <w:pStyle w:val="Title"/>
        <w:tabs>
          <w:tab w:val="left" w:pos="1926"/>
          <w:tab w:val="center" w:pos="4513"/>
        </w:tabs>
        <w:spacing w:before="360"/>
        <w:jc w:val="left"/>
      </w:pPr>
      <w:r>
        <w:tab/>
      </w:r>
      <w:r>
        <w:tab/>
      </w:r>
      <w:r w:rsidR="00BF479B" w:rsidRPr="00F715D1">
        <w:t>Public Summary Document</w:t>
      </w:r>
    </w:p>
    <w:p w14:paraId="4172BD70" w14:textId="77777777" w:rsidR="00BC1364" w:rsidRPr="00F715D1" w:rsidRDefault="00BC1364" w:rsidP="00F715D1">
      <w:pPr>
        <w:pStyle w:val="Subtitle"/>
      </w:pPr>
      <w:r w:rsidRPr="00F715D1">
        <w:t xml:space="preserve">Application No. </w:t>
      </w:r>
      <w:r w:rsidR="00F878CB">
        <w:t>15</w:t>
      </w:r>
      <w:r w:rsidR="00640A46">
        <w:t>90</w:t>
      </w:r>
      <w:r w:rsidRPr="00F715D1">
        <w:t xml:space="preserve"> – </w:t>
      </w:r>
      <w:r w:rsidR="00640A46">
        <w:t>Review of immunoglobulin use for Multifocal Motor Neuropathy (MMN)</w:t>
      </w:r>
    </w:p>
    <w:p w14:paraId="69DA3EDD"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640A46">
        <w:rPr>
          <w:rFonts w:ascii="Arial" w:hAnsi="Arial" w:cs="Arial"/>
          <w:b/>
          <w:szCs w:val="24"/>
        </w:rPr>
        <w:t>National Blood Authority</w:t>
      </w:r>
      <w:r w:rsidR="00B87E79">
        <w:rPr>
          <w:rFonts w:ascii="Arial" w:hAnsi="Arial" w:cs="Arial"/>
          <w:b/>
          <w:szCs w:val="24"/>
        </w:rPr>
        <w:t xml:space="preserve"> (NBA)</w:t>
      </w:r>
    </w:p>
    <w:p w14:paraId="74AA8191"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4C399D59"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9563AF8" w14:textId="77777777" w:rsidR="003D7F29" w:rsidRPr="00F715D1" w:rsidRDefault="003D7F29" w:rsidP="00F715D1">
      <w:pPr>
        <w:pStyle w:val="Heading1"/>
      </w:pPr>
      <w:r w:rsidRPr="00F715D1">
        <w:t>Purpose of application</w:t>
      </w:r>
      <w:r w:rsidR="00822C7E" w:rsidRPr="00F715D1">
        <w:t xml:space="preserve"> </w:t>
      </w:r>
    </w:p>
    <w:p w14:paraId="2ED67A18" w14:textId="5E3A9E70" w:rsidR="00A7325A" w:rsidRDefault="00FD1239" w:rsidP="00FD1239">
      <w:pPr>
        <w:tabs>
          <w:tab w:val="left" w:pos="720"/>
          <w:tab w:val="left" w:pos="1140"/>
        </w:tabs>
        <w:rPr>
          <w:szCs w:val="24"/>
        </w:rPr>
      </w:pPr>
      <w:r>
        <w:rPr>
          <w:szCs w:val="24"/>
        </w:rPr>
        <w:t>This Post-market Review</w:t>
      </w:r>
      <w:r w:rsidR="00D42DE8">
        <w:rPr>
          <w:szCs w:val="24"/>
        </w:rPr>
        <w:t xml:space="preserve"> </w:t>
      </w:r>
      <w:r w:rsidR="00A96363">
        <w:rPr>
          <w:szCs w:val="24"/>
        </w:rPr>
        <w:t>requested</w:t>
      </w:r>
      <w:r>
        <w:rPr>
          <w:szCs w:val="24"/>
        </w:rPr>
        <w:t xml:space="preserve"> MSAC advice on the Government funded supply of human gamma immunoglobulin (IgG) therapy under the National Blood Arrangements for the treatment of multifocal motor neuropathy (MMN). The application (referral) was received from the National Blood Authority (NBA)</w:t>
      </w:r>
      <w:r w:rsidR="00A96363">
        <w:rPr>
          <w:szCs w:val="24"/>
        </w:rPr>
        <w:t xml:space="preserve"> by the Department of Health</w:t>
      </w:r>
      <w:r>
        <w:rPr>
          <w:szCs w:val="24"/>
        </w:rPr>
        <w:t>.</w:t>
      </w:r>
    </w:p>
    <w:p w14:paraId="09916B38" w14:textId="52CF0341" w:rsidR="00A7325A" w:rsidRDefault="0047650E" w:rsidP="003D4EB5">
      <w:pPr>
        <w:tabs>
          <w:tab w:val="left" w:pos="720"/>
          <w:tab w:val="left" w:pos="1140"/>
        </w:tabs>
        <w:spacing w:before="240"/>
        <w:rPr>
          <w:szCs w:val="24"/>
        </w:rPr>
      </w:pPr>
      <w:r>
        <w:rPr>
          <w:szCs w:val="24"/>
        </w:rPr>
        <w:t>The</w:t>
      </w:r>
      <w:r w:rsidR="00A7325A" w:rsidRPr="00A7325A">
        <w:rPr>
          <w:szCs w:val="24"/>
        </w:rPr>
        <w:t xml:space="preserve"> Post-market Review </w:t>
      </w:r>
      <w:r>
        <w:rPr>
          <w:szCs w:val="24"/>
        </w:rPr>
        <w:t>was</w:t>
      </w:r>
      <w:r w:rsidR="00A7325A" w:rsidRPr="00A7325A">
        <w:rPr>
          <w:szCs w:val="24"/>
        </w:rPr>
        <w:t xml:space="preserve"> conducted to assess the clinical </w:t>
      </w:r>
      <w:r>
        <w:rPr>
          <w:szCs w:val="24"/>
        </w:rPr>
        <w:t xml:space="preserve">safety and clinical </w:t>
      </w:r>
      <w:r w:rsidR="00A7325A" w:rsidRPr="00A7325A">
        <w:rPr>
          <w:szCs w:val="24"/>
        </w:rPr>
        <w:t>effectiveness and cost-effectiveness of Ig therapy for the treatment of multifocal motor neuropathy.</w:t>
      </w:r>
    </w:p>
    <w:p w14:paraId="7D2AD9CB" w14:textId="77777777" w:rsidR="00E977EE" w:rsidRPr="00F715D1" w:rsidRDefault="00E977EE" w:rsidP="00F715D1">
      <w:pPr>
        <w:pStyle w:val="Heading1"/>
      </w:pPr>
      <w:r w:rsidRPr="00F715D1">
        <w:t>MSAC’s advice to the Minister</w:t>
      </w:r>
    </w:p>
    <w:p w14:paraId="6366120F" w14:textId="4224405F" w:rsidR="00CF7307" w:rsidRDefault="00A863C5" w:rsidP="00F715D1">
      <w:pPr>
        <w:pStyle w:val="Default"/>
        <w:spacing w:after="240"/>
        <w:rPr>
          <w:color w:val="auto"/>
        </w:rPr>
      </w:pPr>
      <w:r>
        <w:rPr>
          <w:color w:val="auto"/>
        </w:rPr>
        <w:t>After considering the strength of the available evidence in relation to comparative safety, clinical effectiveness and cost-effectiveness, MSAC advised that funding of</w:t>
      </w:r>
      <w:r w:rsidR="008A71E6">
        <w:rPr>
          <w:color w:val="auto"/>
        </w:rPr>
        <w:t xml:space="preserve"> immunoglobulin</w:t>
      </w:r>
      <w:r>
        <w:rPr>
          <w:color w:val="auto"/>
        </w:rPr>
        <w:t xml:space="preserve"> </w:t>
      </w:r>
      <w:r w:rsidR="008A71E6">
        <w:rPr>
          <w:color w:val="auto"/>
        </w:rPr>
        <w:t>(</w:t>
      </w:r>
      <w:r>
        <w:rPr>
          <w:color w:val="auto"/>
        </w:rPr>
        <w:t>Ig</w:t>
      </w:r>
      <w:r w:rsidR="008A71E6">
        <w:rPr>
          <w:color w:val="auto"/>
        </w:rPr>
        <w:t>)</w:t>
      </w:r>
      <w:r>
        <w:rPr>
          <w:color w:val="auto"/>
        </w:rPr>
        <w:t xml:space="preserve"> therapy should continue for multifocal motor neuropathy</w:t>
      </w:r>
      <w:r w:rsidR="00FA26EA">
        <w:rPr>
          <w:color w:val="auto"/>
        </w:rPr>
        <w:t xml:space="preserve">, </w:t>
      </w:r>
      <w:r w:rsidR="008A71E6">
        <w:rPr>
          <w:color w:val="auto"/>
        </w:rPr>
        <w:t>and noted</w:t>
      </w:r>
      <w:r w:rsidR="00FA26EA">
        <w:rPr>
          <w:color w:val="auto"/>
        </w:rPr>
        <w:t xml:space="preserve"> the high clinical need in this population </w:t>
      </w:r>
      <w:r w:rsidR="008A71E6">
        <w:rPr>
          <w:color w:val="auto"/>
        </w:rPr>
        <w:t>for which</w:t>
      </w:r>
      <w:r w:rsidR="00FA26EA">
        <w:rPr>
          <w:color w:val="auto"/>
        </w:rPr>
        <w:t xml:space="preserve"> there are no alternative treatments</w:t>
      </w:r>
      <w:r>
        <w:rPr>
          <w:color w:val="auto"/>
        </w:rPr>
        <w:t xml:space="preserve">. MSAC </w:t>
      </w:r>
      <w:r w:rsidR="008A71E6">
        <w:rPr>
          <w:color w:val="auto"/>
        </w:rPr>
        <w:t>considered</w:t>
      </w:r>
      <w:r>
        <w:rPr>
          <w:color w:val="auto"/>
        </w:rPr>
        <w:t xml:space="preserve"> </w:t>
      </w:r>
      <w:r w:rsidR="008A71E6">
        <w:rPr>
          <w:color w:val="auto"/>
        </w:rPr>
        <w:t>there to be</w:t>
      </w:r>
      <w:r>
        <w:rPr>
          <w:color w:val="auto"/>
        </w:rPr>
        <w:t xml:space="preserve"> sufficient ev</w:t>
      </w:r>
      <w:r w:rsidR="008A71E6">
        <w:rPr>
          <w:color w:val="auto"/>
        </w:rPr>
        <w:t>idence to suggest that Ig</w:t>
      </w:r>
      <w:r>
        <w:rPr>
          <w:color w:val="auto"/>
        </w:rPr>
        <w:t xml:space="preserve"> is an effec</w:t>
      </w:r>
      <w:r w:rsidR="008A71E6">
        <w:rPr>
          <w:color w:val="auto"/>
        </w:rPr>
        <w:t>tive therapy in this population;</w:t>
      </w:r>
      <w:r>
        <w:rPr>
          <w:color w:val="auto"/>
        </w:rPr>
        <w:t xml:space="preserve"> however the cost-effectiveness remains uncertain. </w:t>
      </w:r>
      <w:r w:rsidR="008A71E6">
        <w:rPr>
          <w:color w:val="auto"/>
        </w:rPr>
        <w:t>It is unclear whether current thresholds to access Ig therapy</w:t>
      </w:r>
      <w:r w:rsidR="008A71E6" w:rsidRPr="008A71E6">
        <w:t xml:space="preserve"> </w:t>
      </w:r>
      <w:r w:rsidR="008A71E6" w:rsidRPr="008A71E6">
        <w:rPr>
          <w:color w:val="auto"/>
        </w:rPr>
        <w:t>under</w:t>
      </w:r>
      <w:r w:rsidR="00FC2F3D">
        <w:rPr>
          <w:color w:val="auto"/>
        </w:rPr>
        <w:t xml:space="preserve"> the</w:t>
      </w:r>
      <w:r w:rsidR="008A71E6" w:rsidRPr="008A71E6">
        <w:rPr>
          <w:color w:val="auto"/>
        </w:rPr>
        <w:t xml:space="preserve"> </w:t>
      </w:r>
      <w:r w:rsidR="00FC2F3D" w:rsidRPr="00863A4B">
        <w:rPr>
          <w:i/>
          <w:iCs/>
        </w:rPr>
        <w:t>Criteria for the clinical use of immunoglobulin in Australia</w:t>
      </w:r>
      <w:r w:rsidR="00FC2F3D">
        <w:t xml:space="preserve"> (version 3) (the Criteria) </w:t>
      </w:r>
      <w:r w:rsidR="008A71E6">
        <w:rPr>
          <w:color w:val="auto"/>
        </w:rPr>
        <w:t xml:space="preserve">for this indication are sufficient to ensure that treatment is </w:t>
      </w:r>
      <w:r w:rsidR="00223FC1">
        <w:rPr>
          <w:color w:val="auto"/>
        </w:rPr>
        <w:t>constrained</w:t>
      </w:r>
      <w:r w:rsidR="008A71E6">
        <w:rPr>
          <w:color w:val="auto"/>
        </w:rPr>
        <w:t xml:space="preserve"> to </w:t>
      </w:r>
      <w:r w:rsidR="003526B4">
        <w:rPr>
          <w:color w:val="auto"/>
        </w:rPr>
        <w:t xml:space="preserve">the </w:t>
      </w:r>
      <w:r w:rsidR="008A71E6">
        <w:rPr>
          <w:color w:val="auto"/>
        </w:rPr>
        <w:t>population</w:t>
      </w:r>
      <w:r w:rsidR="003526B4">
        <w:rPr>
          <w:color w:val="auto"/>
        </w:rPr>
        <w:t xml:space="preserve"> with </w:t>
      </w:r>
      <w:r w:rsidR="00223FC1">
        <w:rPr>
          <w:color w:val="auto"/>
        </w:rPr>
        <w:t xml:space="preserve">a diagnosis of </w:t>
      </w:r>
      <w:r w:rsidR="003526B4">
        <w:rPr>
          <w:color w:val="auto"/>
        </w:rPr>
        <w:t>MMN only.</w:t>
      </w:r>
      <w:r w:rsidR="008A71E6">
        <w:rPr>
          <w:color w:val="auto"/>
        </w:rPr>
        <w:t xml:space="preserve"> </w:t>
      </w:r>
      <w:r w:rsidR="003526B4">
        <w:rPr>
          <w:color w:val="auto"/>
        </w:rPr>
        <w:t>T</w:t>
      </w:r>
      <w:r>
        <w:rPr>
          <w:color w:val="auto"/>
        </w:rPr>
        <w:t xml:space="preserve">he number of patients </w:t>
      </w:r>
      <w:r w:rsidR="003526B4">
        <w:rPr>
          <w:color w:val="auto"/>
        </w:rPr>
        <w:t xml:space="preserve">currently </w:t>
      </w:r>
      <w:r>
        <w:rPr>
          <w:color w:val="auto"/>
        </w:rPr>
        <w:t xml:space="preserve">being treated with Ig therapy for MMN in Australia </w:t>
      </w:r>
      <w:r w:rsidR="00FA26EA" w:rsidRPr="00FA26EA">
        <w:rPr>
          <w:color w:val="auto"/>
        </w:rPr>
        <w:t xml:space="preserve">exceeds </w:t>
      </w:r>
      <w:r w:rsidR="003526B4">
        <w:rPr>
          <w:color w:val="auto"/>
        </w:rPr>
        <w:t>that</w:t>
      </w:r>
      <w:r w:rsidR="004A104A">
        <w:rPr>
          <w:color w:val="auto"/>
        </w:rPr>
        <w:t xml:space="preserve"> </w:t>
      </w:r>
      <w:r w:rsidR="00FA26EA" w:rsidRPr="00FA26EA">
        <w:rPr>
          <w:color w:val="auto"/>
        </w:rPr>
        <w:t>predicted from the range of prevalence e</w:t>
      </w:r>
      <w:r w:rsidR="00FA26EA">
        <w:rPr>
          <w:color w:val="auto"/>
        </w:rPr>
        <w:t>stimates referenced in</w:t>
      </w:r>
      <w:r w:rsidR="008A71E6">
        <w:rPr>
          <w:color w:val="auto"/>
        </w:rPr>
        <w:t xml:space="preserve"> the review.</w:t>
      </w:r>
    </w:p>
    <w:p w14:paraId="45548419" w14:textId="74A6E6C4" w:rsidR="00A863C5" w:rsidRDefault="00A863C5" w:rsidP="00F715D1">
      <w:pPr>
        <w:pStyle w:val="Default"/>
        <w:spacing w:after="240"/>
      </w:pPr>
      <w:r>
        <w:t>MSAC noted the estimated net costs to government over five years to 2024 of almost $171</w:t>
      </w:r>
      <w:r w:rsidR="002E64E7">
        <w:t> </w:t>
      </w:r>
      <w:r>
        <w:t>million</w:t>
      </w:r>
      <w:r w:rsidR="00223FC1">
        <w:t xml:space="preserve"> for this indication</w:t>
      </w:r>
      <w:r>
        <w:t>, of which $131.5 million is attributable to the cost of Ig alone. MSAC considered this cost to be significant despite the small population</w:t>
      </w:r>
      <w:r w:rsidR="00FA26EA">
        <w:t xml:space="preserve"> of patients</w:t>
      </w:r>
      <w:r>
        <w:t xml:space="preserve">, and advised that managing patient numbers to ensure that Ig therapy is directed </w:t>
      </w:r>
      <w:r w:rsidR="00223FC1">
        <w:t xml:space="preserve">appropriately </w:t>
      </w:r>
      <w:r>
        <w:t xml:space="preserve">to patients with MMN </w:t>
      </w:r>
      <w:r w:rsidR="004A104A">
        <w:t xml:space="preserve">who are </w:t>
      </w:r>
      <w:r>
        <w:t>most likely to derive benefit could minimise the potential financial risk.</w:t>
      </w:r>
      <w:r w:rsidR="00FA26EA" w:rsidRPr="00FA26EA">
        <w:t xml:space="preserve"> </w:t>
      </w:r>
      <w:r w:rsidR="008A71E6" w:rsidRPr="008A71E6">
        <w:t xml:space="preserve">MSAC advised that no immediate changes were required to the </w:t>
      </w:r>
      <w:r w:rsidR="004A104A">
        <w:t>Criteria (version 3)</w:t>
      </w:r>
      <w:r w:rsidR="008A71E6">
        <w:t xml:space="preserve">, but </w:t>
      </w:r>
      <w:r w:rsidR="00FA26EA" w:rsidRPr="00F46E6D">
        <w:t xml:space="preserve">recommended that reviewing the </w:t>
      </w:r>
      <w:r w:rsidR="004A104A">
        <w:t xml:space="preserve">utilisation </w:t>
      </w:r>
      <w:r w:rsidR="00FA26EA" w:rsidRPr="00F46E6D">
        <w:t>data</w:t>
      </w:r>
      <w:r w:rsidR="004A104A">
        <w:t xml:space="preserve"> collected </w:t>
      </w:r>
      <w:r w:rsidR="00E7434F">
        <w:t xml:space="preserve">by the NBA </w:t>
      </w:r>
      <w:r w:rsidR="00E7434F">
        <w:lastRenderedPageBreak/>
        <w:t>(</w:t>
      </w:r>
      <w:proofErr w:type="spellStart"/>
      <w:r w:rsidR="00E7434F">
        <w:t>BloodSTAR</w:t>
      </w:r>
      <w:proofErr w:type="spellEnd"/>
      <w:r w:rsidR="00E7434F">
        <w:t>)</w:t>
      </w:r>
      <w:r w:rsidR="00FA26EA" w:rsidRPr="00F46E6D">
        <w:t xml:space="preserve"> in 12 months would provide a more definitive answer as to whethe</w:t>
      </w:r>
      <w:r w:rsidR="008A71E6">
        <w:t xml:space="preserve">r </w:t>
      </w:r>
      <w:r w:rsidR="004A104A">
        <w:t xml:space="preserve">further </w:t>
      </w:r>
      <w:r w:rsidR="008A71E6">
        <w:t>changes are required.</w:t>
      </w:r>
    </w:p>
    <w:tbl>
      <w:tblPr>
        <w:tblStyle w:val="TableGrid"/>
        <w:tblW w:w="0" w:type="auto"/>
        <w:tblLook w:val="04A0" w:firstRow="1" w:lastRow="0" w:firstColumn="1" w:lastColumn="0" w:noHBand="0" w:noVBand="1"/>
        <w:tblDescription w:val="Consumer summary of MSAC consideration"/>
      </w:tblPr>
      <w:tblGrid>
        <w:gridCol w:w="9016"/>
      </w:tblGrid>
      <w:tr w:rsidR="003D4EB5" w14:paraId="1F31D285" w14:textId="77777777" w:rsidTr="009027FE">
        <w:trPr>
          <w:tblHeader/>
        </w:trPr>
        <w:tc>
          <w:tcPr>
            <w:tcW w:w="9016" w:type="dxa"/>
          </w:tcPr>
          <w:p w14:paraId="35DA9FD1" w14:textId="12602264" w:rsidR="003D4EB5" w:rsidRPr="003D4EB5" w:rsidRDefault="003D4EB5" w:rsidP="003D4EB5">
            <w:pPr>
              <w:pStyle w:val="Default"/>
              <w:spacing w:before="120" w:after="120"/>
              <w:rPr>
                <w:b/>
                <w:color w:val="auto"/>
              </w:rPr>
            </w:pPr>
            <w:r w:rsidRPr="00C06B0B">
              <w:rPr>
                <w:b/>
                <w:color w:val="auto"/>
              </w:rPr>
              <w:t>Consumer summary</w:t>
            </w:r>
          </w:p>
        </w:tc>
      </w:tr>
      <w:tr w:rsidR="003D4EB5" w14:paraId="43D9C7FC" w14:textId="77777777" w:rsidTr="003D4EB5">
        <w:tc>
          <w:tcPr>
            <w:tcW w:w="9016" w:type="dxa"/>
          </w:tcPr>
          <w:p w14:paraId="5445A528" w14:textId="77777777" w:rsidR="003D4EB5" w:rsidRDefault="003D4EB5" w:rsidP="003D4EB5">
            <w:pPr>
              <w:pStyle w:val="Default"/>
              <w:spacing w:before="120" w:after="120"/>
              <w:rPr>
                <w:color w:val="auto"/>
              </w:rPr>
            </w:pPr>
            <w:r w:rsidRPr="003E2BD2">
              <w:rPr>
                <w:color w:val="auto"/>
              </w:rPr>
              <w:t xml:space="preserve">The National Blood Authority (NBA) sought advice from MSAC on the government-funded supply of human antibodies (immunoglobulin, or Ig) used to treat </w:t>
            </w:r>
            <w:r>
              <w:rPr>
                <w:color w:val="auto"/>
              </w:rPr>
              <w:t>multifocal motor neuropathy (MMN)</w:t>
            </w:r>
            <w:r w:rsidRPr="003E2BD2">
              <w:rPr>
                <w:color w:val="auto"/>
              </w:rPr>
              <w:t>.</w:t>
            </w:r>
            <w:r>
              <w:rPr>
                <w:color w:val="auto"/>
              </w:rPr>
              <w:t xml:space="preserve"> </w:t>
            </w:r>
            <w:r w:rsidRPr="00A92603">
              <w:rPr>
                <w:color w:val="000000" w:themeColor="text1"/>
                <w:shd w:val="clear" w:color="auto" w:fill="FFFFFF"/>
              </w:rPr>
              <w:t>The NBA is the statutory agency within the Australian Government Health portfolio that manages and coordinates arrangements for the supply of blood and blood products and services on behalf of the Australian Government and state and territory governments.</w:t>
            </w:r>
            <w:r>
              <w:t xml:space="preserve"> </w:t>
            </w:r>
            <w:r>
              <w:rPr>
                <w:color w:val="000000" w:themeColor="text1"/>
                <w:shd w:val="clear" w:color="auto" w:fill="FFFFFF"/>
              </w:rPr>
              <w:t>This referral to review the use of Ig in MMN is included as part of the Ig Reviews, which aim to</w:t>
            </w:r>
            <w:r w:rsidRPr="001D5D98">
              <w:rPr>
                <w:color w:val="000000" w:themeColor="text1"/>
                <w:shd w:val="clear" w:color="auto" w:fill="FFFFFF"/>
              </w:rPr>
              <w:t xml:space="preserve"> ensure </w:t>
            </w:r>
            <w:r>
              <w:rPr>
                <w:color w:val="000000" w:themeColor="text1"/>
                <w:shd w:val="clear" w:color="auto" w:fill="FFFFFF"/>
              </w:rPr>
              <w:t xml:space="preserve">that </w:t>
            </w:r>
            <w:r w:rsidRPr="001D5D98">
              <w:rPr>
                <w:color w:val="000000" w:themeColor="text1"/>
                <w:shd w:val="clear" w:color="auto" w:fill="FFFFFF"/>
              </w:rPr>
              <w:t xml:space="preserve">government-funded </w:t>
            </w:r>
            <w:r>
              <w:rPr>
                <w:color w:val="000000" w:themeColor="text1"/>
                <w:shd w:val="clear" w:color="auto" w:fill="FFFFFF"/>
              </w:rPr>
              <w:t xml:space="preserve">Ig </w:t>
            </w:r>
            <w:r w:rsidRPr="001D5D98">
              <w:rPr>
                <w:color w:val="000000" w:themeColor="text1"/>
                <w:shd w:val="clear" w:color="auto" w:fill="FFFFFF"/>
              </w:rPr>
              <w:t xml:space="preserve">use within Australia </w:t>
            </w:r>
            <w:r>
              <w:rPr>
                <w:color w:val="000000" w:themeColor="text1"/>
                <w:shd w:val="clear" w:color="auto" w:fill="FFFFFF"/>
              </w:rPr>
              <w:t xml:space="preserve">is </w:t>
            </w:r>
            <w:r w:rsidRPr="001D5D98">
              <w:rPr>
                <w:color w:val="000000" w:themeColor="text1"/>
                <w:shd w:val="clear" w:color="auto" w:fill="FFFFFF"/>
              </w:rPr>
              <w:t>based on evidence of clinical safety, effectiveness and cost-effectiveness.</w:t>
            </w:r>
          </w:p>
          <w:p w14:paraId="0EDDC0D5" w14:textId="77777777" w:rsidR="003D4EB5" w:rsidRDefault="003D4EB5" w:rsidP="003D4EB5">
            <w:pPr>
              <w:pStyle w:val="Default"/>
              <w:spacing w:before="120" w:after="120"/>
              <w:rPr>
                <w:rFonts w:eastAsia="Times New Roman"/>
                <w:color w:val="auto"/>
                <w:szCs w:val="20"/>
                <w:lang w:eastAsia="en-AU"/>
              </w:rPr>
            </w:pPr>
            <w:r>
              <w:rPr>
                <w:color w:val="auto"/>
              </w:rPr>
              <w:t>MMN is a rare condition affecting the nerves, causing weakness of the limbs, often starting in the arms. The condition can appear similar to other conditions such as motor neurone disease. MMN is more common in males than in females and the age at which MMN can start to appear varies from 15-74 years.</w:t>
            </w:r>
            <w:r w:rsidRPr="004A104A">
              <w:rPr>
                <w:rFonts w:eastAsia="Times New Roman"/>
                <w:color w:val="auto"/>
                <w:szCs w:val="20"/>
                <w:lang w:eastAsia="en-AU"/>
              </w:rPr>
              <w:t xml:space="preserve"> </w:t>
            </w:r>
          </w:p>
          <w:p w14:paraId="6C3B61ED" w14:textId="28657D1D" w:rsidR="003D4EB5" w:rsidRDefault="003D4EB5" w:rsidP="003D4EB5">
            <w:pPr>
              <w:pStyle w:val="Default"/>
              <w:spacing w:before="120" w:after="120"/>
              <w:rPr>
                <w:color w:val="auto"/>
              </w:rPr>
            </w:pPr>
            <w:r>
              <w:rPr>
                <w:color w:val="auto"/>
              </w:rPr>
              <w:t>Ig therapy has been shown to improve muscle weakness and reduc</w:t>
            </w:r>
            <w:r w:rsidR="00C927F5">
              <w:rPr>
                <w:color w:val="auto"/>
              </w:rPr>
              <w:t>e</w:t>
            </w:r>
            <w:r>
              <w:rPr>
                <w:color w:val="auto"/>
              </w:rPr>
              <w:t xml:space="preserve"> disability,</w:t>
            </w:r>
            <w:r w:rsidRPr="004A104A">
              <w:rPr>
                <w:color w:val="auto"/>
              </w:rPr>
              <w:t xml:space="preserve"> </w:t>
            </w:r>
            <w:r>
              <w:rPr>
                <w:color w:val="auto"/>
              </w:rPr>
              <w:t xml:space="preserve">and has been the standard of care (generally recommended therapy) to treat people with MMN since the 1990s. </w:t>
            </w:r>
          </w:p>
          <w:p w14:paraId="3D28A3EE" w14:textId="561016D1" w:rsidR="003D4EB5" w:rsidRDefault="003D4EB5" w:rsidP="003D4EB5">
            <w:pPr>
              <w:pStyle w:val="Default"/>
              <w:spacing w:before="120" w:after="120"/>
            </w:pPr>
            <w:r w:rsidRPr="00F77986">
              <w:t xml:space="preserve">MSAC considered that </w:t>
            </w:r>
            <w:r>
              <w:t>I</w:t>
            </w:r>
            <w:r w:rsidRPr="00F77986">
              <w:t xml:space="preserve">g </w:t>
            </w:r>
            <w:r>
              <w:t>therapy</w:t>
            </w:r>
            <w:r w:rsidRPr="00F77986">
              <w:t xml:space="preserve"> </w:t>
            </w:r>
            <w:r>
              <w:t>appears</w:t>
            </w:r>
            <w:r w:rsidRPr="00F77986">
              <w:t xml:space="preserve"> to be</w:t>
            </w:r>
            <w:r>
              <w:t xml:space="preserve"> </w:t>
            </w:r>
            <w:r w:rsidRPr="00F77986">
              <w:t xml:space="preserve">safe and effective, </w:t>
            </w:r>
            <w:r>
              <w:t xml:space="preserve">and should continue to be available to treat people with MMN. MMN can be difficult to diagnose, and currently, the number of people being treated with Ig is higher than the number of people we would expect to be living with MMN in Australia. </w:t>
            </w:r>
          </w:p>
          <w:p w14:paraId="5B25AB6A" w14:textId="0D060753" w:rsidR="003D4EB5" w:rsidRPr="00314AA6" w:rsidRDefault="003D4EB5" w:rsidP="003D4EB5">
            <w:pPr>
              <w:pStyle w:val="Default"/>
              <w:spacing w:before="120" w:after="240"/>
            </w:pPr>
            <w:r>
              <w:t xml:space="preserve">MSAC noted Ig is a very expensive therapy – the review predicted that over the next five years to 2024, it would cost the government approximately $171 million to treat this group of patients and most of the cost comes from the Ig product itself ($131.5 million). This is a high cost for a small population; therefore the government needs to ensure Ig therapy is only prescribed to people who obtain ongoing benefit. One way to do this is to analyse data collected from </w:t>
            </w:r>
            <w:proofErr w:type="spellStart"/>
            <w:r>
              <w:t>BloodSTAR</w:t>
            </w:r>
            <w:proofErr w:type="spellEnd"/>
            <w:r>
              <w:t xml:space="preserve"> </w:t>
            </w:r>
            <w:r>
              <w:rPr>
                <w:color w:val="5B5C5F"/>
                <w:shd w:val="clear" w:color="auto" w:fill="FFFFFF"/>
              </w:rPr>
              <w:t>(</w:t>
            </w:r>
            <w:hyperlink r:id="rId10" w:tooltip="Link to the National Blood Authority website for Bloodstar" w:history="1">
              <w:r>
                <w:rPr>
                  <w:rStyle w:val="Hyperlink"/>
                </w:rPr>
                <w:t>https://www.blood.gov.au/bloodstar</w:t>
              </w:r>
            </w:hyperlink>
            <w:r>
              <w:t>)</w:t>
            </w:r>
            <w:r w:rsidRPr="00A92603">
              <w:rPr>
                <w:color w:val="000000" w:themeColor="text1"/>
              </w:rPr>
              <w:t xml:space="preserve">, </w:t>
            </w:r>
            <w:r w:rsidRPr="00A92603">
              <w:rPr>
                <w:color w:val="000000" w:themeColor="text1"/>
                <w:shd w:val="clear" w:color="auto" w:fill="FFFFFF"/>
              </w:rPr>
              <w:t>the online system used across Australia to manage access to the supply of government funded immunoglobulin products. The system manages the authorisation request and review process for the treatment of conditions identified in the </w:t>
            </w:r>
            <w:hyperlink r:id="rId11" w:history="1">
              <w:r w:rsidRPr="0023714B">
                <w:rPr>
                  <w:rStyle w:val="Hyperlink"/>
                  <w:i/>
                  <w:iCs/>
                  <w:color w:val="C05504"/>
                  <w:shd w:val="clear" w:color="auto" w:fill="FFFFFF"/>
                </w:rPr>
                <w:t>Criteria for the clinical use of intravenous immunoglobulin in Australia</w:t>
              </w:r>
            </w:hyperlink>
            <w:r>
              <w:rPr>
                <w:rStyle w:val="Emphasis"/>
                <w:i w:val="0"/>
                <w:iCs w:val="0"/>
                <w:color w:val="5B5C5F"/>
                <w:shd w:val="clear" w:color="auto" w:fill="FFFFFF"/>
              </w:rPr>
              <w:t xml:space="preserve"> </w:t>
            </w:r>
            <w:r>
              <w:rPr>
                <w:rStyle w:val="Emphasis"/>
              </w:rPr>
              <w:t>(</w:t>
            </w:r>
            <w:hyperlink r:id="rId12" w:tooltip="Link to the Criteria for clinical use of immunoglobulin in Australia" w:history="1">
              <w:r>
                <w:rPr>
                  <w:rStyle w:val="Hyperlink"/>
                </w:rPr>
                <w:t>https://www.criteria.blood.gov.au/</w:t>
              </w:r>
            </w:hyperlink>
            <w:r>
              <w:t>)</w:t>
            </w:r>
            <w:r>
              <w:rPr>
                <w:rStyle w:val="Emphasis"/>
                <w:color w:val="5B5C5F"/>
                <w:shd w:val="clear" w:color="auto" w:fill="FFFFFF"/>
              </w:rPr>
              <w:t>.</w:t>
            </w:r>
            <w:r>
              <w:t xml:space="preserve"> The requirements or </w:t>
            </w:r>
            <w:r w:rsidRPr="008A71E6">
              <w:rPr>
                <w:color w:val="auto"/>
              </w:rPr>
              <w:t xml:space="preserve">Criteria </w:t>
            </w:r>
            <w:r>
              <w:rPr>
                <w:color w:val="auto"/>
              </w:rPr>
              <w:t xml:space="preserve">(version 3) </w:t>
            </w:r>
            <w:r>
              <w:t>to access Ig therapy were revised in October 2018, and aim to limit the use of Ig to people with MMN whose symptoms improve on Ig therapy. MSAC has advised that this should be reviewed again in 12 months when there is more information available, as part of the process to make sure the people who receive Ig therapy experience clinical benefit.</w:t>
            </w:r>
          </w:p>
          <w:p w14:paraId="4F2DE610" w14:textId="77777777" w:rsidR="003D4EB5" w:rsidRDefault="003D4EB5" w:rsidP="003D4EB5">
            <w:pPr>
              <w:pStyle w:val="Default"/>
              <w:spacing w:after="120"/>
              <w:rPr>
                <w:b/>
                <w:color w:val="auto"/>
              </w:rPr>
            </w:pPr>
            <w:r w:rsidRPr="00C06B0B">
              <w:rPr>
                <w:b/>
                <w:color w:val="auto"/>
              </w:rPr>
              <w:t xml:space="preserve">MSAC’s </w:t>
            </w:r>
            <w:r>
              <w:rPr>
                <w:b/>
                <w:color w:val="auto"/>
              </w:rPr>
              <w:t>advice</w:t>
            </w:r>
            <w:r w:rsidRPr="00C06B0B">
              <w:rPr>
                <w:b/>
                <w:color w:val="auto"/>
              </w:rPr>
              <w:t xml:space="preserve"> to the </w:t>
            </w:r>
            <w:r>
              <w:rPr>
                <w:b/>
                <w:color w:val="auto"/>
              </w:rPr>
              <w:t>National Blood Authority</w:t>
            </w:r>
          </w:p>
          <w:p w14:paraId="5565F7A1" w14:textId="2EDFC483" w:rsidR="003D4EB5" w:rsidRDefault="003D4EB5" w:rsidP="003D4EB5">
            <w:pPr>
              <w:pStyle w:val="Default"/>
              <w:spacing w:after="120"/>
            </w:pPr>
            <w:r w:rsidRPr="00B07714">
              <w:rPr>
                <w:color w:val="auto"/>
              </w:rPr>
              <w:t xml:space="preserve">MSAC advised that </w:t>
            </w:r>
            <w:r>
              <w:rPr>
                <w:color w:val="auto"/>
              </w:rPr>
              <w:t>Ig therapy i</w:t>
            </w:r>
            <w:r w:rsidRPr="00B07714">
              <w:rPr>
                <w:color w:val="auto"/>
              </w:rPr>
              <w:t xml:space="preserve">s standard of care </w:t>
            </w:r>
            <w:r>
              <w:rPr>
                <w:color w:val="auto"/>
              </w:rPr>
              <w:t>for people living with MMN;</w:t>
            </w:r>
            <w:r w:rsidRPr="00B07714">
              <w:rPr>
                <w:color w:val="auto"/>
              </w:rPr>
              <w:t xml:space="preserve"> </w:t>
            </w:r>
            <w:r>
              <w:rPr>
                <w:color w:val="auto"/>
              </w:rPr>
              <w:t xml:space="preserve">and </w:t>
            </w:r>
            <w:r w:rsidRPr="00B07714">
              <w:rPr>
                <w:color w:val="auto"/>
              </w:rPr>
              <w:t xml:space="preserve">the evidence suggests Ig </w:t>
            </w:r>
            <w:r>
              <w:rPr>
                <w:color w:val="auto"/>
              </w:rPr>
              <w:t xml:space="preserve">is likely to </w:t>
            </w:r>
            <w:r w:rsidRPr="00B07714">
              <w:rPr>
                <w:color w:val="auto"/>
              </w:rPr>
              <w:t>provide</w:t>
            </w:r>
            <w:r>
              <w:rPr>
                <w:color w:val="auto"/>
              </w:rPr>
              <w:t xml:space="preserve"> some clinical benefit. T</w:t>
            </w:r>
            <w:r w:rsidRPr="00B07714">
              <w:rPr>
                <w:color w:val="auto"/>
              </w:rPr>
              <w:t>herefore</w:t>
            </w:r>
            <w:r>
              <w:rPr>
                <w:color w:val="auto"/>
              </w:rPr>
              <w:t>, MSAC</w:t>
            </w:r>
            <w:r w:rsidRPr="00B07714">
              <w:rPr>
                <w:color w:val="auto"/>
              </w:rPr>
              <w:t xml:space="preserve"> support</w:t>
            </w:r>
            <w:r>
              <w:rPr>
                <w:color w:val="auto"/>
              </w:rPr>
              <w:t>s</w:t>
            </w:r>
            <w:r w:rsidRPr="00B07714">
              <w:rPr>
                <w:color w:val="auto"/>
              </w:rPr>
              <w:t xml:space="preserve"> continued funding of Ig for the treatment of</w:t>
            </w:r>
            <w:r>
              <w:rPr>
                <w:color w:val="auto"/>
              </w:rPr>
              <w:t xml:space="preserve"> people living with</w:t>
            </w:r>
            <w:r w:rsidRPr="00B07714">
              <w:rPr>
                <w:color w:val="auto"/>
              </w:rPr>
              <w:t xml:space="preserve"> MMN. However, MSAC considered that the cost-effectiveness of Ig for MMN was high and uncertain. </w:t>
            </w:r>
            <w:proofErr w:type="spellStart"/>
            <w:r w:rsidRPr="00B07714">
              <w:rPr>
                <w:color w:val="auto"/>
              </w:rPr>
              <w:t>Blood</w:t>
            </w:r>
            <w:r>
              <w:rPr>
                <w:color w:val="auto"/>
              </w:rPr>
              <w:t>STAR</w:t>
            </w:r>
            <w:proofErr w:type="spellEnd"/>
            <w:r w:rsidRPr="00B07714">
              <w:rPr>
                <w:color w:val="auto"/>
              </w:rPr>
              <w:t xml:space="preserve"> </w:t>
            </w:r>
            <w:r>
              <w:rPr>
                <w:color w:val="auto"/>
              </w:rPr>
              <w:t xml:space="preserve">data </w:t>
            </w:r>
            <w:r w:rsidRPr="00B07714">
              <w:rPr>
                <w:color w:val="auto"/>
              </w:rPr>
              <w:t xml:space="preserve">should be analysed in </w:t>
            </w:r>
            <w:r>
              <w:rPr>
                <w:color w:val="auto"/>
              </w:rPr>
              <w:t>twelve months’ time</w:t>
            </w:r>
            <w:r w:rsidRPr="00B07714">
              <w:rPr>
                <w:color w:val="auto"/>
              </w:rPr>
              <w:t xml:space="preserve"> to </w:t>
            </w:r>
            <w:r>
              <w:rPr>
                <w:color w:val="auto"/>
              </w:rPr>
              <w:t>check</w:t>
            </w:r>
            <w:r w:rsidRPr="00B07714">
              <w:rPr>
                <w:color w:val="auto"/>
              </w:rPr>
              <w:t xml:space="preserve"> </w:t>
            </w:r>
            <w:r>
              <w:rPr>
                <w:color w:val="auto"/>
              </w:rPr>
              <w:t xml:space="preserve">if </w:t>
            </w:r>
            <w:r w:rsidRPr="00B07714">
              <w:rPr>
                <w:color w:val="auto"/>
              </w:rPr>
              <w:t>the initiation and continuation criteria</w:t>
            </w:r>
            <w:r>
              <w:rPr>
                <w:color w:val="auto"/>
              </w:rPr>
              <w:t xml:space="preserve"> thresholds in the Criteria (version 3), implemented in October 2018, adequately </w:t>
            </w:r>
            <w:r w:rsidRPr="00B07714">
              <w:rPr>
                <w:color w:val="auto"/>
              </w:rPr>
              <w:t>ensure that only those p</w:t>
            </w:r>
            <w:r>
              <w:rPr>
                <w:color w:val="auto"/>
              </w:rPr>
              <w:t>eople</w:t>
            </w:r>
            <w:r w:rsidRPr="00B07714">
              <w:rPr>
                <w:color w:val="auto"/>
              </w:rPr>
              <w:t xml:space="preserve"> who have MMN and </w:t>
            </w:r>
            <w:r>
              <w:rPr>
                <w:color w:val="auto"/>
              </w:rPr>
              <w:t>demonstrate a clinical benefit from</w:t>
            </w:r>
            <w:r w:rsidRPr="00B07714">
              <w:rPr>
                <w:color w:val="auto"/>
              </w:rPr>
              <w:t xml:space="preserve"> Ig, receive ongoing therapy.</w:t>
            </w:r>
          </w:p>
        </w:tc>
      </w:tr>
    </w:tbl>
    <w:p w14:paraId="239C8CE1" w14:textId="35F2369A" w:rsidR="00B5119B" w:rsidRDefault="004D58BC" w:rsidP="00B9583F">
      <w:pPr>
        <w:pStyle w:val="Heading1"/>
      </w:pPr>
      <w:r w:rsidRPr="00F715D1">
        <w:lastRenderedPageBreak/>
        <w:t>Summary of consideration and rationale for MSAC’s advice</w:t>
      </w:r>
    </w:p>
    <w:p w14:paraId="15E98049" w14:textId="4A0D9F5A" w:rsidR="00B5119B" w:rsidRDefault="00B5119B" w:rsidP="00854A41">
      <w:r w:rsidRPr="00B5119B">
        <w:t xml:space="preserve">In Australia, Ig for the treatment of MMN is </w:t>
      </w:r>
      <w:r>
        <w:t xml:space="preserve">funded for </w:t>
      </w:r>
      <w:r w:rsidRPr="00B5119B">
        <w:t>intravenous</w:t>
      </w:r>
      <w:r>
        <w:t xml:space="preserve"> administration</w:t>
      </w:r>
      <w:r w:rsidRPr="00B5119B">
        <w:t xml:space="preserve"> only and is considered the standard of care</w:t>
      </w:r>
      <w:r>
        <w:t xml:space="preserve"> for patients with MMN</w:t>
      </w:r>
      <w:r w:rsidRPr="00B5119B">
        <w:t xml:space="preserve">. </w:t>
      </w:r>
      <w:r>
        <w:t>MSAC noted t</w:t>
      </w:r>
      <w:r w:rsidRPr="00B5119B">
        <w:t xml:space="preserve">he subcutaneous form of Ig </w:t>
      </w:r>
      <w:r>
        <w:t>(</w:t>
      </w:r>
      <w:proofErr w:type="spellStart"/>
      <w:r>
        <w:t>SCIg</w:t>
      </w:r>
      <w:proofErr w:type="spellEnd"/>
      <w:r>
        <w:t xml:space="preserve">) is not currently funded by the NBA and the </w:t>
      </w:r>
      <w:r w:rsidR="00D53FFD">
        <w:t>department contracted assessment report (DCAR)</w:t>
      </w:r>
      <w:r w:rsidR="007F2D66">
        <w:t xml:space="preserve"> stated</w:t>
      </w:r>
      <w:r>
        <w:t xml:space="preserve"> </w:t>
      </w:r>
      <w:r w:rsidRPr="00B5119B">
        <w:t xml:space="preserve">evidence from a randomised controlled trial (RCT) suggests that </w:t>
      </w:r>
      <w:proofErr w:type="spellStart"/>
      <w:r w:rsidRPr="00B5119B">
        <w:t>SCIg</w:t>
      </w:r>
      <w:proofErr w:type="spellEnd"/>
      <w:r w:rsidRPr="00B5119B">
        <w:t xml:space="preserve"> was as safe and effective as intravenous Ig</w:t>
      </w:r>
      <w:r>
        <w:t xml:space="preserve"> (</w:t>
      </w:r>
      <w:proofErr w:type="spellStart"/>
      <w:r>
        <w:t>IVIg</w:t>
      </w:r>
      <w:proofErr w:type="spellEnd"/>
      <w:r>
        <w:t>)</w:t>
      </w:r>
      <w:r w:rsidRPr="00B5119B">
        <w:t>.</w:t>
      </w:r>
    </w:p>
    <w:p w14:paraId="70C7FDD7" w14:textId="1AFE95B1" w:rsidR="00854A41" w:rsidRDefault="00F16A3A" w:rsidP="003D4EB5">
      <w:pPr>
        <w:spacing w:before="240"/>
      </w:pPr>
      <w:r>
        <w:t>MSAC noted that p</w:t>
      </w:r>
      <w:r w:rsidR="00854A41">
        <w:t xml:space="preserve">atients with MMN may be eligible for Ig treatment under the </w:t>
      </w:r>
      <w:r w:rsidR="00854A41" w:rsidRPr="00863A4B">
        <w:rPr>
          <w:i/>
          <w:iCs/>
        </w:rPr>
        <w:t>Criteria for the clinical use of immunoglobulin in Australia</w:t>
      </w:r>
      <w:r w:rsidR="00854A41">
        <w:t xml:space="preserve"> (version 3) (the Criteria) under either</w:t>
      </w:r>
      <w:r w:rsidR="00DF7F2A">
        <w:t>:</w:t>
      </w:r>
    </w:p>
    <w:p w14:paraId="436217DE" w14:textId="2D1F3C3E" w:rsidR="00854A41" w:rsidRDefault="00854A41" w:rsidP="00854A41">
      <w:pPr>
        <w:pStyle w:val="ListParagraph"/>
        <w:numPr>
          <w:ilvl w:val="0"/>
          <w:numId w:val="33"/>
        </w:numPr>
        <w:tabs>
          <w:tab w:val="left" w:pos="2265"/>
          <w:tab w:val="left" w:pos="3420"/>
          <w:tab w:val="left" w:pos="4320"/>
        </w:tabs>
      </w:pPr>
      <w:r>
        <w:t>First-line</w:t>
      </w:r>
      <w:r w:rsidR="00223FC1">
        <w:t xml:space="preserve"> </w:t>
      </w:r>
      <w:r>
        <w:t>and maintenance therapy for MMN</w:t>
      </w:r>
    </w:p>
    <w:p w14:paraId="4EC3C88C" w14:textId="3960324F" w:rsidR="002A6ADC" w:rsidRDefault="00854A41" w:rsidP="0047278C">
      <w:pPr>
        <w:pStyle w:val="ListParagraph"/>
        <w:numPr>
          <w:ilvl w:val="0"/>
          <w:numId w:val="32"/>
        </w:numPr>
        <w:tabs>
          <w:tab w:val="left" w:pos="2265"/>
          <w:tab w:val="left" w:pos="3420"/>
          <w:tab w:val="left" w:pos="4320"/>
        </w:tabs>
      </w:pPr>
      <w:r>
        <w:t>Relapse of MMN patients within six months of commencement of trial off immunoglobulin therapy</w:t>
      </w:r>
      <w:r w:rsidR="003D4EB5">
        <w:t>.</w:t>
      </w:r>
    </w:p>
    <w:p w14:paraId="6E44D924" w14:textId="075C743C" w:rsidR="008C3DFE" w:rsidRDefault="00EA2D93" w:rsidP="003D4EB5">
      <w:pPr>
        <w:spacing w:before="240"/>
      </w:pPr>
      <w:r>
        <w:t xml:space="preserve">The </w:t>
      </w:r>
      <w:r w:rsidR="002A6ADC">
        <w:t xml:space="preserve">diagnosis </w:t>
      </w:r>
      <w:r>
        <w:t xml:space="preserve">of MMN </w:t>
      </w:r>
      <w:r w:rsidR="002A6ADC">
        <w:t xml:space="preserve">must be made by a neurologist and eligible patients may receive </w:t>
      </w:r>
      <w:proofErr w:type="spellStart"/>
      <w:r w:rsidR="002A6ADC" w:rsidRPr="00361D53">
        <w:t>IVI</w:t>
      </w:r>
      <w:r w:rsidR="00D94ABB">
        <w:t>g</w:t>
      </w:r>
      <w:proofErr w:type="spellEnd"/>
      <w:r w:rsidR="00D94ABB">
        <w:t xml:space="preserve"> </w:t>
      </w:r>
      <w:r>
        <w:t xml:space="preserve">initially </w:t>
      </w:r>
      <w:r w:rsidR="00D94ABB">
        <w:t>for a maximum of four months</w:t>
      </w:r>
      <w:r w:rsidR="002A6ADC">
        <w:t xml:space="preserve">. </w:t>
      </w:r>
      <w:r w:rsidR="00D94ABB">
        <w:t xml:space="preserve">MSAC noted that the clinical diagnosis of MMN </w:t>
      </w:r>
      <w:r>
        <w:t>is based</w:t>
      </w:r>
      <w:r w:rsidR="001738F9">
        <w:t xml:space="preserve"> on</w:t>
      </w:r>
      <w:r>
        <w:t xml:space="preserve"> </w:t>
      </w:r>
      <w:r w:rsidR="00CC4E2D">
        <w:t>core, supportive</w:t>
      </w:r>
      <w:r>
        <w:t xml:space="preserve"> and exclusion criteria, and </w:t>
      </w:r>
      <w:r w:rsidR="00D94ABB">
        <w:t xml:space="preserve">can </w:t>
      </w:r>
      <w:r>
        <w:t xml:space="preserve">then </w:t>
      </w:r>
      <w:r w:rsidR="00D94ABB">
        <w:t xml:space="preserve">be </w:t>
      </w:r>
      <w:r>
        <w:t xml:space="preserve">categorised as </w:t>
      </w:r>
      <w:r w:rsidR="00D94ABB">
        <w:t xml:space="preserve">either ‘definite’ or ‘probable’ depending </w:t>
      </w:r>
      <w:r w:rsidR="00B9583F">
        <w:t>on the</w:t>
      </w:r>
      <w:r w:rsidR="00D94ABB">
        <w:t xml:space="preserve"> magnitude of </w:t>
      </w:r>
      <w:r w:rsidR="00CF0370">
        <w:t xml:space="preserve">the </w:t>
      </w:r>
      <w:r w:rsidR="00D94ABB">
        <w:t xml:space="preserve">conduction deficit. </w:t>
      </w:r>
      <w:r w:rsidR="00CC4E2D">
        <w:t>MSAC noted that one of the supportive criteria for a diagnosis of MMN is the ‘response in terms of disability or muscle strength to immunomodulatory therapy</w:t>
      </w:r>
      <w:r w:rsidR="008C3DFE">
        <w:t>’</w:t>
      </w:r>
      <w:r w:rsidR="00CF0370">
        <w:t>. T</w:t>
      </w:r>
      <w:r w:rsidR="00CC4E2D">
        <w:t>hus the diagnosis</w:t>
      </w:r>
      <w:r w:rsidR="00CF0370">
        <w:t>,</w:t>
      </w:r>
      <w:r w:rsidR="00CC4E2D">
        <w:t xml:space="preserve"> based on the assessment using supportive criteria in addition to the core criteria can only be categorically determined after a period of Ig therapy.</w:t>
      </w:r>
    </w:p>
    <w:p w14:paraId="185A98E8" w14:textId="341E49C7" w:rsidR="002A6ADC" w:rsidRDefault="002A6ADC" w:rsidP="003D4EB5">
      <w:pPr>
        <w:spacing w:before="240"/>
      </w:pPr>
      <w:r>
        <w:t>After</w:t>
      </w:r>
      <w:r w:rsidR="00FF26F7">
        <w:t xml:space="preserve"> the initial</w:t>
      </w:r>
      <w:r>
        <w:t xml:space="preserve"> four months</w:t>
      </w:r>
      <w:r w:rsidR="00FF26F7">
        <w:t xml:space="preserve"> of </w:t>
      </w:r>
      <w:proofErr w:type="spellStart"/>
      <w:r w:rsidR="00FF26F7">
        <w:t>IVIg</w:t>
      </w:r>
      <w:proofErr w:type="spellEnd"/>
      <w:r w:rsidR="00FF26F7">
        <w:t xml:space="preserve"> therapy</w:t>
      </w:r>
      <w:r>
        <w:t>,</w:t>
      </w:r>
      <w:r w:rsidRPr="002A6ADC">
        <w:t xml:space="preserve"> </w:t>
      </w:r>
      <w:r>
        <w:t>patients must be reviewed by a neurologist and evidence</w:t>
      </w:r>
      <w:r w:rsidRPr="00885B9E">
        <w:t xml:space="preserve"> of clinical efficacy</w:t>
      </w:r>
      <w:r>
        <w:t xml:space="preserve"> </w:t>
      </w:r>
      <w:r w:rsidR="00DF7F2A">
        <w:t>(</w:t>
      </w:r>
      <w:r w:rsidR="00BC2350">
        <w:t>improvement in focal weakness and</w:t>
      </w:r>
      <w:r>
        <w:t xml:space="preserve"> improvement in disability as measured by the</w:t>
      </w:r>
      <w:r w:rsidR="00BC2350">
        <w:t xml:space="preserve"> </w:t>
      </w:r>
      <w:r w:rsidR="00284AA0" w:rsidRPr="00284AA0">
        <w:t xml:space="preserve">Adjusted Overall Neuropathy Limitations Scale </w:t>
      </w:r>
      <w:r w:rsidR="00284AA0">
        <w:t>(</w:t>
      </w:r>
      <w:r>
        <w:t>ONLS</w:t>
      </w:r>
      <w:r w:rsidR="00284AA0">
        <w:t>)</w:t>
      </w:r>
      <w:r w:rsidR="00DF7F2A">
        <w:t>)</w:t>
      </w:r>
      <w:r>
        <w:t xml:space="preserve"> </w:t>
      </w:r>
      <w:r w:rsidRPr="00885B9E">
        <w:t xml:space="preserve">is </w:t>
      </w:r>
      <w:r>
        <w:t>required</w:t>
      </w:r>
      <w:r w:rsidRPr="00885B9E">
        <w:t xml:space="preserve"> for </w:t>
      </w:r>
      <w:r>
        <w:t xml:space="preserve">authorisation of </w:t>
      </w:r>
      <w:r w:rsidRPr="00885B9E">
        <w:t>continu</w:t>
      </w:r>
      <w:r>
        <w:t>ed</w:t>
      </w:r>
      <w:r w:rsidRPr="00885B9E">
        <w:t xml:space="preserve"> </w:t>
      </w:r>
      <w:proofErr w:type="spellStart"/>
      <w:r w:rsidRPr="00885B9E">
        <w:t>IVIg</w:t>
      </w:r>
      <w:proofErr w:type="spellEnd"/>
      <w:r w:rsidRPr="00885B9E">
        <w:t xml:space="preserve"> therapy</w:t>
      </w:r>
      <w:r>
        <w:t xml:space="preserve"> for a further 12 months.</w:t>
      </w:r>
    </w:p>
    <w:p w14:paraId="71B32867" w14:textId="73FDCB7F" w:rsidR="002A6ADC" w:rsidRDefault="002A6ADC" w:rsidP="003D4EB5">
      <w:pPr>
        <w:tabs>
          <w:tab w:val="left" w:pos="2265"/>
          <w:tab w:val="left" w:pos="3420"/>
          <w:tab w:val="left" w:pos="4320"/>
        </w:tabs>
        <w:spacing w:before="240"/>
      </w:pPr>
      <w:r>
        <w:t>Clinical reviews are required annually thereafter, and</w:t>
      </w:r>
      <w:r w:rsidR="00C66D5F">
        <w:t xml:space="preserve"> a</w:t>
      </w:r>
      <w:r w:rsidRPr="00885B9E">
        <w:t xml:space="preserve"> trial of weaning/cessation of Ig therapy </w:t>
      </w:r>
      <w:r w:rsidR="00C66D5F">
        <w:t>is</w:t>
      </w:r>
      <w:r w:rsidRPr="00885B9E">
        <w:t xml:space="preserve"> considered </w:t>
      </w:r>
      <w:r>
        <w:t>at each annual review</w:t>
      </w:r>
      <w:r w:rsidRPr="00885B9E">
        <w:t xml:space="preserve"> for patients who are clinically stable to identify those in remission</w:t>
      </w:r>
      <w:r w:rsidR="001738F9">
        <w:t>.</w:t>
      </w:r>
      <w:r w:rsidRPr="00885B9E">
        <w:t xml:space="preserve"> </w:t>
      </w:r>
      <w:r w:rsidR="00C66D5F">
        <w:t xml:space="preserve">MSAC noted </w:t>
      </w:r>
      <w:r w:rsidR="00B9583F">
        <w:t xml:space="preserve">the Criteria states </w:t>
      </w:r>
      <w:r w:rsidR="00C66D5F">
        <w:t xml:space="preserve">that </w:t>
      </w:r>
      <w:r w:rsidR="00E7434F">
        <w:t>a</w:t>
      </w:r>
      <w:r w:rsidR="00C66D5F">
        <w:t xml:space="preserve"> </w:t>
      </w:r>
      <w:r w:rsidRPr="00885B9E">
        <w:t xml:space="preserve">valid reason </w:t>
      </w:r>
      <w:r w:rsidR="001738F9">
        <w:t xml:space="preserve">should be </w:t>
      </w:r>
      <w:r w:rsidRPr="00885B9E">
        <w:t xml:space="preserve">provided as to why a trial </w:t>
      </w:r>
      <w:r w:rsidR="00E7434F">
        <w:t xml:space="preserve">off </w:t>
      </w:r>
      <w:r w:rsidR="000F56F9">
        <w:t xml:space="preserve">Ig </w:t>
      </w:r>
      <w:r w:rsidRPr="00885B9E">
        <w:t xml:space="preserve">is not being planned or is contraindicated at </w:t>
      </w:r>
      <w:r w:rsidR="001738F9">
        <w:t xml:space="preserve">each </w:t>
      </w:r>
      <w:r w:rsidR="000F56F9">
        <w:t xml:space="preserve">annual </w:t>
      </w:r>
      <w:r w:rsidR="001738F9">
        <w:t>review</w:t>
      </w:r>
      <w:r w:rsidR="000F56F9">
        <w:t xml:space="preserve"> and suggested</w:t>
      </w:r>
      <w:r w:rsidR="00E7434F">
        <w:t xml:space="preserve"> th</w:t>
      </w:r>
      <w:r w:rsidR="00C66D5F">
        <w:t xml:space="preserve">e clinical information provided in these reports could be of value in future evaluations of the </w:t>
      </w:r>
      <w:r w:rsidR="00E7434F">
        <w:t>continuation criteria.</w:t>
      </w:r>
      <w:r>
        <w:t xml:space="preserve"> </w:t>
      </w:r>
      <w:r w:rsidR="007457CE">
        <w:t>Clinicians may need more encouragement to trial patients off Ig, noting that i</w:t>
      </w:r>
      <w:r>
        <w:t xml:space="preserve">f a patient relapses, they may receive </w:t>
      </w:r>
      <w:proofErr w:type="spellStart"/>
      <w:r>
        <w:t>IVIg</w:t>
      </w:r>
      <w:proofErr w:type="spellEnd"/>
      <w:r>
        <w:t xml:space="preserve"> again under the “Relapse” (within 6 months) or “First-line and maintenance therapy” (relapsed after 6 months off Ig) indications.</w:t>
      </w:r>
    </w:p>
    <w:p w14:paraId="0DA9F195" w14:textId="76694039" w:rsidR="00D94ABB" w:rsidRDefault="0045452A" w:rsidP="003D4EB5">
      <w:pPr>
        <w:tabs>
          <w:tab w:val="left" w:pos="2265"/>
          <w:tab w:val="left" w:pos="3420"/>
          <w:tab w:val="left" w:pos="4320"/>
        </w:tabs>
        <w:spacing w:before="240"/>
      </w:pPr>
      <w:r>
        <w:t xml:space="preserve">MSAC </w:t>
      </w:r>
      <w:r w:rsidR="00D94ABB">
        <w:t>considered</w:t>
      </w:r>
      <w:r w:rsidR="00854A36">
        <w:t xml:space="preserve"> the</w:t>
      </w:r>
      <w:r w:rsidR="00D94ABB">
        <w:t>re is a</w:t>
      </w:r>
      <w:r w:rsidR="00854A36">
        <w:t xml:space="preserve"> high clinical need in this population</w:t>
      </w:r>
      <w:r w:rsidR="00DC1071">
        <w:t xml:space="preserve">. </w:t>
      </w:r>
      <w:proofErr w:type="spellStart"/>
      <w:r w:rsidR="00854A36">
        <w:t>IVIg</w:t>
      </w:r>
      <w:proofErr w:type="spellEnd"/>
      <w:r w:rsidR="00D94ABB">
        <w:t xml:space="preserve"> therapy</w:t>
      </w:r>
      <w:r w:rsidR="00854A36">
        <w:t xml:space="preserve"> has been the standard of car</w:t>
      </w:r>
      <w:r w:rsidR="00D94ABB">
        <w:t>e</w:t>
      </w:r>
      <w:r w:rsidR="00854A36">
        <w:t xml:space="preserve"> in patients with MMN since the 1990s and there are no alternative treatments.</w:t>
      </w:r>
      <w:r w:rsidR="00854A36" w:rsidRPr="00854A36">
        <w:t xml:space="preserve"> </w:t>
      </w:r>
      <w:r w:rsidR="00854A36">
        <w:t xml:space="preserve">MSAC agreed the comparator </w:t>
      </w:r>
      <w:r w:rsidR="000F56F9">
        <w:t>to Ig was n</w:t>
      </w:r>
      <w:r w:rsidR="00854A36">
        <w:t>o Ig with best supportive care (BSC) and considered each component of the PICO</w:t>
      </w:r>
      <w:r w:rsidR="00164B9F">
        <w:t xml:space="preserve"> Confirmation</w:t>
      </w:r>
      <w:r w:rsidR="00854A36">
        <w:t xml:space="preserve"> to be reasonable.</w:t>
      </w:r>
    </w:p>
    <w:p w14:paraId="4BA5A205" w14:textId="16942C17" w:rsidR="00D858C9" w:rsidRDefault="003E1B8C" w:rsidP="003D4EB5">
      <w:pPr>
        <w:spacing w:before="240" w:after="240"/>
      </w:pPr>
      <w:r>
        <w:t xml:space="preserve">MSAC noted that the reported frequency of </w:t>
      </w:r>
      <w:r w:rsidR="005E5AC7">
        <w:t>adverse events (</w:t>
      </w:r>
      <w:r>
        <w:t>AEs</w:t>
      </w:r>
      <w:r w:rsidR="005E5AC7">
        <w:t>)</w:t>
      </w:r>
      <w:r>
        <w:t xml:space="preserve"> in the </w:t>
      </w:r>
      <w:r w:rsidR="00C9176E">
        <w:t>RCTs</w:t>
      </w:r>
      <w:r>
        <w:t xml:space="preserve"> ranged from </w:t>
      </w:r>
      <w:r w:rsidR="005256F7">
        <w:br/>
      </w:r>
      <w:r>
        <w:t xml:space="preserve">1-40% but </w:t>
      </w:r>
      <w:r w:rsidR="00DC1071">
        <w:t xml:space="preserve">events </w:t>
      </w:r>
      <w:r>
        <w:t xml:space="preserve">usually </w:t>
      </w:r>
      <w:r w:rsidR="00DC1071">
        <w:t xml:space="preserve">occurred in </w:t>
      </w:r>
      <w:r>
        <w:t>less than 20%</w:t>
      </w:r>
      <w:r w:rsidR="00DC1071">
        <w:t xml:space="preserve"> of participants</w:t>
      </w:r>
      <w:r>
        <w:t xml:space="preserve">. </w:t>
      </w:r>
      <w:r w:rsidR="00696314">
        <w:t xml:space="preserve">With regards to comparative safety of Ig versus </w:t>
      </w:r>
      <w:r w:rsidR="00D94ABB">
        <w:t>placebo</w:t>
      </w:r>
      <w:r w:rsidR="00696314">
        <w:t xml:space="preserve">, </w:t>
      </w:r>
      <w:r>
        <w:t>MSAC agreed that t</w:t>
      </w:r>
      <w:r w:rsidRPr="00BA153F">
        <w:rPr>
          <w:szCs w:val="24"/>
        </w:rPr>
        <w:t>he safety profile of intravenous Ig was inferior to placebo</w:t>
      </w:r>
      <w:r w:rsidR="004151A6">
        <w:rPr>
          <w:szCs w:val="24"/>
        </w:rPr>
        <w:t xml:space="preserve">. </w:t>
      </w:r>
      <w:r w:rsidR="00DC1071">
        <w:rPr>
          <w:szCs w:val="24"/>
        </w:rPr>
        <w:t xml:space="preserve">However, </w:t>
      </w:r>
      <w:r w:rsidR="004151A6">
        <w:rPr>
          <w:szCs w:val="24"/>
        </w:rPr>
        <w:t>MSAC noted that m</w:t>
      </w:r>
      <w:r w:rsidR="00696314">
        <w:t>ost AEs</w:t>
      </w:r>
      <w:r w:rsidR="004151A6">
        <w:t xml:space="preserve"> associated with </w:t>
      </w:r>
      <w:proofErr w:type="spellStart"/>
      <w:r w:rsidR="004151A6">
        <w:t>IVIg</w:t>
      </w:r>
      <w:proofErr w:type="spellEnd"/>
      <w:r w:rsidR="00696314">
        <w:t xml:space="preserve"> were mild</w:t>
      </w:r>
      <w:r w:rsidR="00EA0D96">
        <w:t>, self-limiting</w:t>
      </w:r>
      <w:r w:rsidR="00696314">
        <w:t xml:space="preserve"> and typical of infusion reactions such as headache, fever and chills. </w:t>
      </w:r>
      <w:r w:rsidR="00D94ABB">
        <w:t>One RCT (</w:t>
      </w:r>
      <w:r w:rsidR="00696314">
        <w:t>Hahn et al 2013</w:t>
      </w:r>
      <w:r w:rsidR="00D94ABB">
        <w:t>)</w:t>
      </w:r>
      <w:r w:rsidR="00696314">
        <w:t xml:space="preserve"> reported one patient </w:t>
      </w:r>
      <w:r w:rsidR="00D94ABB">
        <w:t>(n=44)</w:t>
      </w:r>
      <w:r w:rsidR="00696314">
        <w:t xml:space="preserve"> who suffered a pulmonary embolism</w:t>
      </w:r>
      <w:r w:rsidR="005E5AC7">
        <w:t xml:space="preserve"> (PE)</w:t>
      </w:r>
      <w:r w:rsidR="00696314">
        <w:t xml:space="preserve"> </w:t>
      </w:r>
      <w:r w:rsidR="00696314" w:rsidRPr="00696314">
        <w:t xml:space="preserve">which was categorized as a serious </w:t>
      </w:r>
      <w:r w:rsidR="005E5AC7">
        <w:t xml:space="preserve">AE attributed to the use of </w:t>
      </w:r>
      <w:proofErr w:type="spellStart"/>
      <w:r w:rsidR="005E5AC7">
        <w:t>IV</w:t>
      </w:r>
      <w:r w:rsidR="00696314" w:rsidRPr="00696314">
        <w:t>Ig</w:t>
      </w:r>
      <w:proofErr w:type="spellEnd"/>
      <w:r w:rsidR="00696314" w:rsidRPr="00696314">
        <w:t xml:space="preserve"> by the investigators</w:t>
      </w:r>
      <w:r w:rsidR="00D94ABB">
        <w:t>; this was later used to estimate the rate of PE in the economic model</w:t>
      </w:r>
      <w:r w:rsidR="00696314" w:rsidRPr="00696314">
        <w:t>.</w:t>
      </w:r>
      <w:r w:rsidR="00696314">
        <w:t xml:space="preserve"> MSAC </w:t>
      </w:r>
      <w:r w:rsidR="00D858C9">
        <w:t xml:space="preserve">considered feedback from one stakeholder that prescriber information (PI) for </w:t>
      </w:r>
      <w:proofErr w:type="spellStart"/>
      <w:r w:rsidR="00D858C9">
        <w:t>IVIg</w:t>
      </w:r>
      <w:proofErr w:type="spellEnd"/>
      <w:r w:rsidR="00D858C9">
        <w:t xml:space="preserve"> products (</w:t>
      </w:r>
      <w:proofErr w:type="spellStart"/>
      <w:r w:rsidR="00D858C9" w:rsidRPr="00D858C9">
        <w:t>Privigen</w:t>
      </w:r>
      <w:proofErr w:type="spellEnd"/>
      <w:r w:rsidR="00D858C9" w:rsidRPr="00D858C9">
        <w:t xml:space="preserve"> and </w:t>
      </w:r>
      <w:proofErr w:type="spellStart"/>
      <w:r w:rsidR="00D858C9" w:rsidRPr="00D858C9">
        <w:t>Intragam</w:t>
      </w:r>
      <w:proofErr w:type="spellEnd"/>
      <w:r w:rsidR="00D858C9">
        <w:t>)</w:t>
      </w:r>
      <w:r w:rsidR="00D858C9" w:rsidRPr="00D858C9">
        <w:t xml:space="preserve"> </w:t>
      </w:r>
      <w:r w:rsidR="00D858C9">
        <w:t>state that</w:t>
      </w:r>
      <w:r w:rsidR="00D858C9" w:rsidRPr="00D858C9">
        <w:t xml:space="preserve"> </w:t>
      </w:r>
      <w:r w:rsidR="00D858C9">
        <w:t>PE is a very rare complication</w:t>
      </w:r>
      <w:r w:rsidR="00284AA0">
        <w:t xml:space="preserve">; the stakeholder noted that </w:t>
      </w:r>
      <w:r w:rsidR="00284AA0" w:rsidRPr="00284AA0">
        <w:t xml:space="preserve">a “very rare </w:t>
      </w:r>
      <w:r w:rsidR="00284AA0" w:rsidRPr="00284AA0">
        <w:lastRenderedPageBreak/>
        <w:t xml:space="preserve">event” is </w:t>
      </w:r>
      <w:r w:rsidR="00284AA0">
        <w:t>one that</w:t>
      </w:r>
      <w:r w:rsidR="00284AA0" w:rsidRPr="00284AA0">
        <w:t xml:space="preserve"> occurs at a rate of &lt; 1/10,000</w:t>
      </w:r>
      <w:r w:rsidR="00284AA0">
        <w:t xml:space="preserve"> (C</w:t>
      </w:r>
      <w:r w:rsidR="00B358D7">
        <w:t>I</w:t>
      </w:r>
      <w:r w:rsidR="00284AA0">
        <w:t>OMS 2001)</w:t>
      </w:r>
      <w:r w:rsidR="00D858C9">
        <w:t xml:space="preserve">. MSAC </w:t>
      </w:r>
      <w:r w:rsidR="00284AA0">
        <w:t xml:space="preserve">agreed </w:t>
      </w:r>
      <w:r w:rsidR="00D858C9">
        <w:t xml:space="preserve">that the </w:t>
      </w:r>
      <w:r w:rsidR="00FF12D5">
        <w:br/>
      </w:r>
      <w:r w:rsidR="00D858C9">
        <w:t xml:space="preserve">4.5% rate of PE applied in the economic model </w:t>
      </w:r>
      <w:r w:rsidR="00D94ABB">
        <w:t>based on this</w:t>
      </w:r>
      <w:r w:rsidR="00D858C9">
        <w:t xml:space="preserve"> one study </w:t>
      </w:r>
      <w:r w:rsidR="00284AA0">
        <w:t>is not justified and a rate of 0.01% may be more plausible.</w:t>
      </w:r>
    </w:p>
    <w:p w14:paraId="2C456456" w14:textId="08A7E894" w:rsidR="00696314" w:rsidRDefault="00696314" w:rsidP="00D26657">
      <w:pPr>
        <w:spacing w:after="240"/>
      </w:pPr>
      <w:r>
        <w:t xml:space="preserve">With regards to the clinical effectiveness of Ig, MSAC noted that all five RCTs reported some benefit associated with </w:t>
      </w:r>
      <w:proofErr w:type="spellStart"/>
      <w:r>
        <w:t>IVIg</w:t>
      </w:r>
      <w:proofErr w:type="spellEnd"/>
      <w:r w:rsidR="00EA0D96">
        <w:t xml:space="preserve"> and agreed with the clinical claim that Ig is superior to placebo</w:t>
      </w:r>
      <w:r w:rsidR="00C964ED">
        <w:t>. MSAC noted that</w:t>
      </w:r>
      <w:r>
        <w:t xml:space="preserve"> meta-analys</w:t>
      </w:r>
      <w:r w:rsidR="00C964ED">
        <w:t>is using Hahn 2013 and Leger 2001</w:t>
      </w:r>
      <w:r>
        <w:t xml:space="preserve"> produced a weighted risk ratio of </w:t>
      </w:r>
      <w:r w:rsidR="005E5AC7">
        <w:t>1.81</w:t>
      </w:r>
      <w:r w:rsidR="00CB7DE1" w:rsidRPr="00CB7DE1">
        <w:t xml:space="preserve"> </w:t>
      </w:r>
      <w:r w:rsidR="00FB1FCF" w:rsidRPr="00FB1FCF">
        <w:t>(95% CI 0.74, 4.45)</w:t>
      </w:r>
      <w:r w:rsidR="00FB1FCF">
        <w:t xml:space="preserve"> </w:t>
      </w:r>
      <w:r w:rsidR="00CB7DE1">
        <w:t>for improvement in disability with Ig</w:t>
      </w:r>
      <w:r w:rsidR="00DC1071">
        <w:t xml:space="preserve">. While the point estimate </w:t>
      </w:r>
      <w:r w:rsidR="00B9583F">
        <w:t>indicates patients</w:t>
      </w:r>
      <w:r w:rsidR="00CB7DE1">
        <w:t xml:space="preserve"> </w:t>
      </w:r>
      <w:r w:rsidR="00FB1FCF">
        <w:t>could be</w:t>
      </w:r>
      <w:r w:rsidR="005E5AC7">
        <w:t xml:space="preserve"> </w:t>
      </w:r>
      <w:r>
        <w:t>80%</w:t>
      </w:r>
      <w:r w:rsidR="00CB7DE1">
        <w:t xml:space="preserve"> more likely to improve when treated with Ig</w:t>
      </w:r>
      <w:r w:rsidR="00DC1071">
        <w:t>, the result was not statistically significant</w:t>
      </w:r>
      <w:r w:rsidR="00E335BA">
        <w:t>.</w:t>
      </w:r>
      <w:r w:rsidR="00C964ED">
        <w:t xml:space="preserve"> The </w:t>
      </w:r>
      <w:r w:rsidR="008C2D37">
        <w:t>meta-analysis of the RCTs</w:t>
      </w:r>
      <w:r w:rsidR="00C964ED">
        <w:t xml:space="preserve"> </w:t>
      </w:r>
      <w:r w:rsidR="00E335BA">
        <w:t xml:space="preserve">reporting the results </w:t>
      </w:r>
      <w:r w:rsidR="00D858C9">
        <w:t xml:space="preserve">for improvement in muscle strength/grip </w:t>
      </w:r>
      <w:r w:rsidR="00E335BA">
        <w:t>found</w:t>
      </w:r>
      <w:r>
        <w:t xml:space="preserve"> that patients are 3.5 ti</w:t>
      </w:r>
      <w:r w:rsidR="00C964ED">
        <w:t xml:space="preserve">mes more likely to improve on </w:t>
      </w:r>
      <w:r>
        <w:t>Ig</w:t>
      </w:r>
      <w:r w:rsidR="00C964ED">
        <w:t xml:space="preserve"> therapy than placebo</w:t>
      </w:r>
      <w:r w:rsidR="00E335BA">
        <w:t xml:space="preserve"> an</w:t>
      </w:r>
      <w:r w:rsidR="00886FD7">
        <w:t>d</w:t>
      </w:r>
      <w:r w:rsidR="00E335BA">
        <w:t xml:space="preserve"> this result was statistically significant </w:t>
      </w:r>
      <w:r w:rsidR="00E46C75">
        <w:t>(</w:t>
      </w:r>
      <w:r w:rsidR="00886FD7" w:rsidRPr="00886FD7">
        <w:t>RR = 3.51 (95% CI 1.12, 11.05: p value = 0.03)</w:t>
      </w:r>
      <w:r w:rsidR="00E46C75">
        <w:t>)</w:t>
      </w:r>
      <w:r w:rsidR="00886FD7">
        <w:t xml:space="preserve">. </w:t>
      </w:r>
      <w:r w:rsidR="00D26657">
        <w:t xml:space="preserve">MSAC noted the paucity of evidence with respect to </w:t>
      </w:r>
      <w:r w:rsidR="001738F9">
        <w:t>quality of life (</w:t>
      </w:r>
      <w:proofErr w:type="spellStart"/>
      <w:r w:rsidR="00D26657">
        <w:t>QoL</w:t>
      </w:r>
      <w:proofErr w:type="spellEnd"/>
      <w:r w:rsidR="001738F9">
        <w:t>)</w:t>
      </w:r>
      <w:r w:rsidR="00D26657">
        <w:t xml:space="preserve"> in patients with MMN</w:t>
      </w:r>
      <w:r>
        <w:t xml:space="preserve">. </w:t>
      </w:r>
    </w:p>
    <w:p w14:paraId="7D26F02F" w14:textId="0F135A73" w:rsidR="00696314" w:rsidRDefault="00D26657" w:rsidP="00696314">
      <w:pPr>
        <w:spacing w:after="240"/>
      </w:pPr>
      <w:r>
        <w:t>Overall, MSAC considered that the e</w:t>
      </w:r>
      <w:r w:rsidR="00696314">
        <w:t xml:space="preserve">vidence included in </w:t>
      </w:r>
      <w:r w:rsidR="00F0233D">
        <w:t xml:space="preserve">the </w:t>
      </w:r>
      <w:r w:rsidR="00696314">
        <w:t>DCAR was sufficient</w:t>
      </w:r>
      <w:r w:rsidR="005C4F7A">
        <w:t xml:space="preserve"> to support the claims </w:t>
      </w:r>
      <w:r w:rsidR="00E335BA">
        <w:t>that Ig has</w:t>
      </w:r>
      <w:r w:rsidR="00DC1071">
        <w:t xml:space="preserve"> inferior</w:t>
      </w:r>
      <w:r w:rsidR="005C4F7A">
        <w:t xml:space="preserve"> safety and</w:t>
      </w:r>
      <w:r w:rsidR="00DC1071">
        <w:t xml:space="preserve"> </w:t>
      </w:r>
      <w:r w:rsidR="009D4A4A">
        <w:t>superior</w:t>
      </w:r>
      <w:r w:rsidR="005C4F7A">
        <w:t xml:space="preserve"> clinical effectiveness</w:t>
      </w:r>
      <w:r w:rsidR="00E335BA">
        <w:t xml:space="preserve"> in the treatment of MMN</w:t>
      </w:r>
      <w:r w:rsidR="005C4F7A">
        <w:t xml:space="preserve">. Cognisant of </w:t>
      </w:r>
      <w:r w:rsidR="001738F9">
        <w:t xml:space="preserve">Ig being the accepted standard of care and </w:t>
      </w:r>
      <w:r w:rsidR="005C4F7A">
        <w:t xml:space="preserve">the </w:t>
      </w:r>
      <w:r w:rsidR="001A1B2F">
        <w:t>limitations</w:t>
      </w:r>
      <w:r w:rsidR="005C4F7A">
        <w:t xml:space="preserve"> of </w:t>
      </w:r>
      <w:r w:rsidR="001A1B2F">
        <w:t xml:space="preserve">the </w:t>
      </w:r>
      <w:r w:rsidR="005C4F7A">
        <w:t xml:space="preserve">data </w:t>
      </w:r>
      <w:r w:rsidR="00C964ED">
        <w:t>(low p</w:t>
      </w:r>
      <w:r w:rsidR="001A1B2F">
        <w:t>atient numbers and short follow-</w:t>
      </w:r>
      <w:r w:rsidR="00C964ED">
        <w:t xml:space="preserve">up) </w:t>
      </w:r>
      <w:r w:rsidR="005C4F7A">
        <w:t xml:space="preserve">in the available studies, MSAC </w:t>
      </w:r>
      <w:r w:rsidR="004706F8">
        <w:t xml:space="preserve">also </w:t>
      </w:r>
      <w:r>
        <w:t>no</w:t>
      </w:r>
      <w:r w:rsidR="005C4F7A">
        <w:t xml:space="preserve">ted that future RCTs of </w:t>
      </w:r>
      <w:proofErr w:type="spellStart"/>
      <w:r w:rsidR="005C4F7A">
        <w:t>IVIg</w:t>
      </w:r>
      <w:proofErr w:type="spellEnd"/>
      <w:r w:rsidR="005C4F7A">
        <w:t xml:space="preserve"> versus</w:t>
      </w:r>
      <w:r>
        <w:t xml:space="preserve"> placebo are unlikely in this population</w:t>
      </w:r>
      <w:r w:rsidR="00696314">
        <w:t>.</w:t>
      </w:r>
    </w:p>
    <w:p w14:paraId="59D93D13" w14:textId="77DCD1B3" w:rsidR="00E638D8" w:rsidRDefault="00EA0D96" w:rsidP="00696314">
      <w:pPr>
        <w:spacing w:after="240"/>
      </w:pPr>
      <w:r>
        <w:t xml:space="preserve">MSAC noted the cost-utility analysis (CUA) base case produces an incremental cost-effectiveness ratio (ICER) of $317,552 per quality-adjusted life-year (QALY) with a time horizon of 15 years. </w:t>
      </w:r>
      <w:r w:rsidR="00F46E6D">
        <w:t>T</w:t>
      </w:r>
      <w:r w:rsidR="00FA75E2">
        <w:t>he base case applied</w:t>
      </w:r>
      <w:r w:rsidR="00E638D8">
        <w:t xml:space="preserve"> a constant utility in both the ‘BSC’ and ‘responder’ health states over time due to uncertainties associated with</w:t>
      </w:r>
      <w:r w:rsidR="00E638D8" w:rsidRPr="00E638D8">
        <w:t xml:space="preserve"> </w:t>
      </w:r>
      <w:r w:rsidR="00E638D8">
        <w:t>a reliable</w:t>
      </w:r>
      <w:r w:rsidR="00E638D8" w:rsidRPr="00E638D8">
        <w:t xml:space="preserve"> source to capture this decline in </w:t>
      </w:r>
      <w:proofErr w:type="spellStart"/>
      <w:r w:rsidR="00E638D8" w:rsidRPr="00E638D8">
        <w:t>QoL</w:t>
      </w:r>
      <w:proofErr w:type="spellEnd"/>
      <w:r w:rsidR="00E638D8" w:rsidRPr="00E638D8">
        <w:t xml:space="preserve"> over time</w:t>
      </w:r>
      <w:r w:rsidR="00886FD7">
        <w:t xml:space="preserve"> in patients with MMN</w:t>
      </w:r>
      <w:r w:rsidR="00E638D8" w:rsidRPr="00E638D8">
        <w:t>.</w:t>
      </w:r>
      <w:r w:rsidR="007E70FD">
        <w:t xml:space="preserve"> MSAC agreed with ESC advice and comments from</w:t>
      </w:r>
      <w:r w:rsidR="00B95EC7">
        <w:t xml:space="preserve"> one stakeholder that deterioration in </w:t>
      </w:r>
      <w:proofErr w:type="spellStart"/>
      <w:r w:rsidR="007E70FD">
        <w:t>QoL</w:t>
      </w:r>
      <w:proofErr w:type="spellEnd"/>
      <w:r w:rsidR="00B95EC7">
        <w:t xml:space="preserve"> over time</w:t>
      </w:r>
      <w:r w:rsidR="007E70FD">
        <w:t xml:space="preserve"> of MMN </w:t>
      </w:r>
      <w:r w:rsidR="007E70FD">
        <w:rPr>
          <w:szCs w:val="24"/>
        </w:rPr>
        <w:t>patients</w:t>
      </w:r>
      <w:r w:rsidR="00B95EC7">
        <w:rPr>
          <w:szCs w:val="24"/>
        </w:rPr>
        <w:t xml:space="preserve"> is plausible,</w:t>
      </w:r>
      <w:r w:rsidR="007E70FD">
        <w:rPr>
          <w:szCs w:val="24"/>
        </w:rPr>
        <w:t xml:space="preserve"> and that there would be divergence in </w:t>
      </w:r>
      <w:proofErr w:type="spellStart"/>
      <w:r w:rsidR="007E70FD">
        <w:rPr>
          <w:szCs w:val="24"/>
        </w:rPr>
        <w:t>QoL</w:t>
      </w:r>
      <w:proofErr w:type="spellEnd"/>
      <w:r w:rsidR="007E70FD">
        <w:rPr>
          <w:szCs w:val="24"/>
        </w:rPr>
        <w:t xml:space="preserve"> between those in the ‘BSC’ and ‘</w:t>
      </w:r>
      <w:r w:rsidR="00886FD7">
        <w:rPr>
          <w:szCs w:val="24"/>
        </w:rPr>
        <w:t xml:space="preserve">Ig </w:t>
      </w:r>
      <w:r w:rsidR="007E70FD">
        <w:rPr>
          <w:szCs w:val="24"/>
        </w:rPr>
        <w:t>responder’ groups</w:t>
      </w:r>
      <w:r w:rsidR="00861380">
        <w:rPr>
          <w:szCs w:val="24"/>
        </w:rPr>
        <w:t>.</w:t>
      </w:r>
      <w:r w:rsidR="007E70FD">
        <w:rPr>
          <w:szCs w:val="24"/>
        </w:rPr>
        <w:t xml:space="preserve"> </w:t>
      </w:r>
      <w:r w:rsidR="00861380">
        <w:t>Application of a linear decline</w:t>
      </w:r>
      <w:r w:rsidR="00861380" w:rsidRPr="00DA3C6E">
        <w:t xml:space="preserve"> in </w:t>
      </w:r>
      <w:proofErr w:type="spellStart"/>
      <w:r w:rsidR="00861380" w:rsidRPr="00DA3C6E">
        <w:t>QoL</w:t>
      </w:r>
      <w:proofErr w:type="spellEnd"/>
      <w:r w:rsidR="00861380" w:rsidRPr="00DA3C6E">
        <w:t xml:space="preserve"> over time </w:t>
      </w:r>
      <w:r w:rsidR="00861380">
        <w:t>due to disease progression</w:t>
      </w:r>
      <w:r w:rsidR="00861380">
        <w:rPr>
          <w:szCs w:val="24"/>
        </w:rPr>
        <w:t xml:space="preserve"> </w:t>
      </w:r>
      <w:r w:rsidR="007E70FD">
        <w:rPr>
          <w:szCs w:val="24"/>
        </w:rPr>
        <w:t>was tested in a scenario analysis base</w:t>
      </w:r>
      <w:r w:rsidR="00861380">
        <w:rPr>
          <w:szCs w:val="24"/>
        </w:rPr>
        <w:t>d on the study by Taylor (2000) and</w:t>
      </w:r>
      <w:r w:rsidR="007E70FD">
        <w:rPr>
          <w:szCs w:val="24"/>
        </w:rPr>
        <w:t xml:space="preserve"> </w:t>
      </w:r>
      <w:r w:rsidR="007E70FD" w:rsidRPr="00DA3C6E">
        <w:t xml:space="preserve">had </w:t>
      </w:r>
      <w:r w:rsidR="007E70FD">
        <w:t>a significant</w:t>
      </w:r>
      <w:r w:rsidR="007E70FD" w:rsidRPr="00DA3C6E">
        <w:t xml:space="preserve"> impact on the</w:t>
      </w:r>
      <w:r w:rsidR="007E70FD">
        <w:t xml:space="preserve"> ICER, reducing it to $</w:t>
      </w:r>
      <w:r w:rsidR="007E70FD" w:rsidRPr="00EA7805">
        <w:t>98,559</w:t>
      </w:r>
      <w:r w:rsidR="007E70FD">
        <w:t>/QALY.</w:t>
      </w:r>
      <w:r w:rsidR="004151A6">
        <w:t xml:space="preserve"> This linear decrement was considered a potential overestimate and </w:t>
      </w:r>
      <w:r w:rsidR="00F46E6D">
        <w:t>highly uncertain</w:t>
      </w:r>
      <w:r w:rsidR="00141F3D">
        <w:t xml:space="preserve"> by the HTA assessors</w:t>
      </w:r>
      <w:r w:rsidR="00F46E6D">
        <w:t>;</w:t>
      </w:r>
      <w:r w:rsidR="004151A6">
        <w:t xml:space="preserve"> </w:t>
      </w:r>
      <w:r w:rsidR="00F46E6D">
        <w:t xml:space="preserve">however, MSAC noted that even </w:t>
      </w:r>
      <w:r w:rsidR="004151A6">
        <w:t>a 50% reduction in this</w:t>
      </w:r>
      <w:r w:rsidR="00F46E6D">
        <w:t xml:space="preserve"> annual</w:t>
      </w:r>
      <w:r w:rsidR="004151A6">
        <w:t xml:space="preserve"> decline </w:t>
      </w:r>
      <w:r w:rsidR="00141F3D">
        <w:t>reduced the</w:t>
      </w:r>
      <w:r w:rsidR="004151A6">
        <w:t xml:space="preserve"> ICER </w:t>
      </w:r>
      <w:r w:rsidR="00141F3D">
        <w:t>considerably, to</w:t>
      </w:r>
      <w:r w:rsidR="004151A6">
        <w:t xml:space="preserve"> $</w:t>
      </w:r>
      <w:r w:rsidR="004151A6" w:rsidRPr="004151A6">
        <w:t>150,429</w:t>
      </w:r>
      <w:r w:rsidR="004151A6">
        <w:t xml:space="preserve">/QALY. </w:t>
      </w:r>
      <w:r w:rsidR="00861380">
        <w:t xml:space="preserve">In addition to the utility values used, </w:t>
      </w:r>
      <w:r w:rsidR="00861380">
        <w:rPr>
          <w:szCs w:val="24"/>
        </w:rPr>
        <w:t>MSAC noted that the ICER was also highly sensitive to the cost per gram of Ig ($60.41 in the base case) and moderately sensitive to transition probabilities used in the model.</w:t>
      </w:r>
      <w:r w:rsidR="00EA5614" w:rsidRPr="00EA5614">
        <w:t xml:space="preserve"> </w:t>
      </w:r>
      <w:r w:rsidR="00EA5614">
        <w:t xml:space="preserve">MSAC </w:t>
      </w:r>
      <w:r w:rsidR="00B95EC7">
        <w:t xml:space="preserve">also </w:t>
      </w:r>
      <w:r w:rsidR="00EA5614">
        <w:t xml:space="preserve">noted sensitivity analyses performed post-ESC </w:t>
      </w:r>
      <w:r>
        <w:t>s</w:t>
      </w:r>
      <w:r w:rsidR="00EA5614">
        <w:t xml:space="preserve">howed the </w:t>
      </w:r>
      <w:r>
        <w:t>impact</w:t>
      </w:r>
      <w:r w:rsidR="00EA5614">
        <w:t xml:space="preserve"> on the ICER of varying administration costs to those used in the three preceding Ig Reviews (MSAC 1564, 1565 and 1566). Using the lowest administration cost of $253 from </w:t>
      </w:r>
      <w:r w:rsidR="00B95EC7">
        <w:t xml:space="preserve">the 1565 </w:t>
      </w:r>
      <w:r w:rsidR="001A1B2F">
        <w:t>DCAR</w:t>
      </w:r>
      <w:r w:rsidR="00886FD7">
        <w:t>,</w:t>
      </w:r>
      <w:r w:rsidR="00B95EC7">
        <w:t xml:space="preserve"> reduced</w:t>
      </w:r>
      <w:r w:rsidR="00EA5614">
        <w:t xml:space="preserve"> the</w:t>
      </w:r>
      <w:r w:rsidR="00F61670">
        <w:t xml:space="preserve"> base case</w:t>
      </w:r>
      <w:r w:rsidR="00EA5614">
        <w:t xml:space="preserve"> ICER by approximately 17%. However, MSAC considered that </w:t>
      </w:r>
      <w:r>
        <w:t xml:space="preserve">the use of </w:t>
      </w:r>
      <w:r w:rsidR="00EA5614">
        <w:t xml:space="preserve">different administration costs in each of the conditions under review is </w:t>
      </w:r>
      <w:r w:rsidR="00A42B7F">
        <w:t>justified</w:t>
      </w:r>
      <w:r w:rsidR="00EA5614">
        <w:t xml:space="preserve"> in principle</w:t>
      </w:r>
      <w:r w:rsidR="005B1B05">
        <w:t>,</w:t>
      </w:r>
      <w:r w:rsidR="00EA5614">
        <w:t xml:space="preserve"> as the treatment patterns and administration may </w:t>
      </w:r>
      <w:r w:rsidR="005B1B05">
        <w:t>differ</w:t>
      </w:r>
      <w:r w:rsidR="00EA5614">
        <w:t xml:space="preserve"> across indications.</w:t>
      </w:r>
      <w:r w:rsidR="004151A6">
        <w:t xml:space="preserve"> Overall, MSAC considered the cost-effectiveness of Ig to be</w:t>
      </w:r>
      <w:r w:rsidR="00886FD7">
        <w:t xml:space="preserve"> high and</w:t>
      </w:r>
      <w:r w:rsidR="004151A6">
        <w:t xml:space="preserve"> uncertain in patient with MMN. </w:t>
      </w:r>
    </w:p>
    <w:p w14:paraId="7E08E16F" w14:textId="0F424671" w:rsidR="00550354" w:rsidRDefault="00141F3D" w:rsidP="00AC5B20">
      <w:pPr>
        <w:spacing w:after="240"/>
      </w:pPr>
      <w:r w:rsidRPr="00141F3D">
        <w:t xml:space="preserve">Regarding financial and budgetary impacts, </w:t>
      </w:r>
      <w:r>
        <w:t>MSAC noted the estimated net costs to government over five years to 2024 of almost $171 million</w:t>
      </w:r>
      <w:r w:rsidR="00C9176E" w:rsidRPr="00C9176E">
        <w:t xml:space="preserve"> for this indication</w:t>
      </w:r>
      <w:r>
        <w:t>, of which $131.5 million is attributable to the cost of Ig alone.</w:t>
      </w:r>
      <w:r w:rsidR="00861380">
        <w:t xml:space="preserve"> </w:t>
      </w:r>
      <w:r w:rsidR="00EA5614">
        <w:t xml:space="preserve">MSAC considered </w:t>
      </w:r>
      <w:r w:rsidR="005B1B05">
        <w:t xml:space="preserve">the cost to government </w:t>
      </w:r>
      <w:r w:rsidR="00F46E6D">
        <w:t xml:space="preserve">to be </w:t>
      </w:r>
      <w:r w:rsidR="005B1B05">
        <w:t xml:space="preserve">significant despite the </w:t>
      </w:r>
      <w:r w:rsidR="00AC5B20">
        <w:t>small population of patients</w:t>
      </w:r>
      <w:r w:rsidR="005B1B05">
        <w:t>,</w:t>
      </w:r>
      <w:r w:rsidR="00EA5614">
        <w:t xml:space="preserve"> </w:t>
      </w:r>
      <w:r w:rsidR="003C67A5">
        <w:t xml:space="preserve">and </w:t>
      </w:r>
      <w:r w:rsidR="005B1B05">
        <w:t xml:space="preserve">advised that managing patient numbers </w:t>
      </w:r>
      <w:r w:rsidR="008D5448">
        <w:t xml:space="preserve">to ensure </w:t>
      </w:r>
      <w:r w:rsidR="003C67A5">
        <w:t>that Ig therapy is directed</w:t>
      </w:r>
      <w:r w:rsidR="00B95EC7">
        <w:t xml:space="preserve"> to </w:t>
      </w:r>
      <w:r w:rsidR="008D5448">
        <w:t>patients</w:t>
      </w:r>
      <w:r w:rsidR="00B95EC7">
        <w:t xml:space="preserve"> with MMN</w:t>
      </w:r>
      <w:r w:rsidR="003C67A5">
        <w:t xml:space="preserve"> </w:t>
      </w:r>
      <w:r w:rsidR="008D5448">
        <w:t>most likely to derive benefit</w:t>
      </w:r>
      <w:r w:rsidR="005B1B05">
        <w:t xml:space="preserve"> </w:t>
      </w:r>
      <w:r w:rsidR="0045109B">
        <w:t xml:space="preserve">would be prudent to minimising </w:t>
      </w:r>
      <w:r w:rsidR="00EA5614">
        <w:t xml:space="preserve">potential </w:t>
      </w:r>
      <w:r w:rsidR="005B1B05">
        <w:t xml:space="preserve">financial </w:t>
      </w:r>
      <w:r w:rsidR="00EA5614">
        <w:t>risk</w:t>
      </w:r>
      <w:r w:rsidR="008D5448">
        <w:t xml:space="preserve">. </w:t>
      </w:r>
    </w:p>
    <w:p w14:paraId="5DC1AA11" w14:textId="7EC07F9D" w:rsidR="00F46E6D" w:rsidRDefault="004151A6" w:rsidP="00F46E6D">
      <w:r>
        <w:lastRenderedPageBreak/>
        <w:t xml:space="preserve">There are currently no epidemiological data available for </w:t>
      </w:r>
      <w:r w:rsidR="0053170F">
        <w:t xml:space="preserve">the incidence and prevalence of </w:t>
      </w:r>
      <w:r>
        <w:t xml:space="preserve">MMN in Australia; however, the DCAR states that prevalence rates reported in international studies range from 0.3-2 cases per 100, 000 population. </w:t>
      </w:r>
      <w:r w:rsidR="00B95EC7">
        <w:t>On the advice of the Ig Review Reference Group, t</w:t>
      </w:r>
      <w:r w:rsidR="00A33CD2">
        <w:t xml:space="preserve">he DCAR used the prevalence reported in Cats et al </w:t>
      </w:r>
      <w:r w:rsidR="00A42B7F">
        <w:t>(</w:t>
      </w:r>
      <w:r w:rsidR="00A33CD2">
        <w:t>0.6/100,000</w:t>
      </w:r>
      <w:r w:rsidR="00A42B7F">
        <w:t xml:space="preserve"> population)</w:t>
      </w:r>
      <w:r w:rsidR="00A33CD2">
        <w:t xml:space="preserve"> </w:t>
      </w:r>
      <w:r w:rsidR="00493F60">
        <w:t xml:space="preserve">as a proxy </w:t>
      </w:r>
      <w:r w:rsidR="00A33CD2">
        <w:t xml:space="preserve">to </w:t>
      </w:r>
      <w:r w:rsidR="00A42B7F">
        <w:t>predict</w:t>
      </w:r>
      <w:r w:rsidR="00493F60">
        <w:t xml:space="preserve"> that</w:t>
      </w:r>
      <w:r w:rsidR="00A33CD2">
        <w:t xml:space="preserve"> 15</w:t>
      </w:r>
      <w:r w:rsidR="00075F47">
        <w:t>2</w:t>
      </w:r>
      <w:r w:rsidR="00A33CD2">
        <w:t xml:space="preserve"> patients in Australia</w:t>
      </w:r>
      <w:r w:rsidR="00F46E6D">
        <w:t xml:space="preserve"> wer</w:t>
      </w:r>
      <w:r w:rsidR="00493F60">
        <w:t>e likely to be living</w:t>
      </w:r>
      <w:r w:rsidR="00A33CD2">
        <w:t xml:space="preserve"> with MMN</w:t>
      </w:r>
      <w:r w:rsidR="00F46E6D">
        <w:t xml:space="preserve"> in 2018-19</w:t>
      </w:r>
      <w:r w:rsidR="00AC5B20">
        <w:t xml:space="preserve"> – </w:t>
      </w:r>
      <w:r w:rsidR="00A33CD2">
        <w:t xml:space="preserve">much lower than the 596 patients who received </w:t>
      </w:r>
      <w:proofErr w:type="spellStart"/>
      <w:r w:rsidR="00A33CD2">
        <w:t>IVIg</w:t>
      </w:r>
      <w:proofErr w:type="spellEnd"/>
      <w:r w:rsidR="00A33CD2">
        <w:t xml:space="preserve"> for MMN in </w:t>
      </w:r>
      <w:r w:rsidR="00F46E6D">
        <w:t>the same period,</w:t>
      </w:r>
      <w:r w:rsidR="00A33CD2">
        <w:t xml:space="preserve"> according to </w:t>
      </w:r>
      <w:r w:rsidR="00EA0D96">
        <w:t>NBA</w:t>
      </w:r>
      <w:r w:rsidR="00A33CD2">
        <w:t xml:space="preserve"> data. MSAC noted that using the higher prevalence rate of 2/100,000 </w:t>
      </w:r>
      <w:r w:rsidR="00A42B7F">
        <w:t xml:space="preserve">population </w:t>
      </w:r>
      <w:r w:rsidR="00A33CD2">
        <w:t>as reported by Nobile-</w:t>
      </w:r>
      <w:proofErr w:type="spellStart"/>
      <w:r w:rsidR="00A33CD2">
        <w:t>Orazio</w:t>
      </w:r>
      <w:proofErr w:type="spellEnd"/>
      <w:r w:rsidR="00A33CD2">
        <w:t xml:space="preserve"> 2001</w:t>
      </w:r>
      <w:r w:rsidR="00A33CD2" w:rsidRPr="009A509A">
        <w:t xml:space="preserve"> produce</w:t>
      </w:r>
      <w:r w:rsidR="00F46E6D">
        <w:t>d</w:t>
      </w:r>
      <w:r w:rsidR="00A33CD2" w:rsidRPr="009A509A">
        <w:t xml:space="preserve"> an estimate of 503 </w:t>
      </w:r>
      <w:r w:rsidR="00A33CD2">
        <w:t>patients with MMN in Australia, which</w:t>
      </w:r>
      <w:r w:rsidR="00A42B7F">
        <w:t xml:space="preserve"> more closely matches </w:t>
      </w:r>
      <w:r w:rsidR="00CC4E2D">
        <w:t xml:space="preserve">proxy </w:t>
      </w:r>
      <w:r w:rsidR="00A42B7F">
        <w:t xml:space="preserve">data from </w:t>
      </w:r>
      <w:proofErr w:type="spellStart"/>
      <w:r w:rsidR="00A42B7F">
        <w:t>BloodSTAR</w:t>
      </w:r>
      <w:proofErr w:type="spellEnd"/>
      <w:r w:rsidR="00A33CD2">
        <w:t>. M</w:t>
      </w:r>
      <w:r w:rsidR="00A42B7F">
        <w:t>SAC considered that while there is</w:t>
      </w:r>
      <w:r w:rsidR="00A33CD2">
        <w:t xml:space="preserve"> uncertainty </w:t>
      </w:r>
      <w:r w:rsidR="0045109B">
        <w:t xml:space="preserve">regarding </w:t>
      </w:r>
      <w:r w:rsidR="00A33CD2">
        <w:t xml:space="preserve">the </w:t>
      </w:r>
      <w:r w:rsidR="0045109B">
        <w:t xml:space="preserve">true </w:t>
      </w:r>
      <w:r w:rsidR="00A33CD2">
        <w:t>prevalence</w:t>
      </w:r>
      <w:r w:rsidR="008C306D">
        <w:t xml:space="preserve"> of MMN</w:t>
      </w:r>
      <w:r w:rsidR="0045109B">
        <w:t xml:space="preserve"> in Australia</w:t>
      </w:r>
      <w:r w:rsidR="00A33CD2">
        <w:t xml:space="preserve">, the </w:t>
      </w:r>
      <w:r w:rsidR="00A42B7F">
        <w:t xml:space="preserve">number of </w:t>
      </w:r>
      <w:r w:rsidR="00A33CD2" w:rsidRPr="00F46E6D">
        <w:t xml:space="preserve">patients being treated with Ig for MMN </w:t>
      </w:r>
      <w:r w:rsidR="00F46E6D" w:rsidRPr="00F46E6D">
        <w:t>in Australia</w:t>
      </w:r>
      <w:r w:rsidR="008C306D" w:rsidRPr="00F46E6D">
        <w:t xml:space="preserve"> exceeds what can be </w:t>
      </w:r>
      <w:r w:rsidR="00A42B7F" w:rsidRPr="00F46E6D">
        <w:t xml:space="preserve">predicted from the range of </w:t>
      </w:r>
      <w:r w:rsidR="0053170F">
        <w:t xml:space="preserve">published </w:t>
      </w:r>
      <w:r w:rsidR="00A42B7F" w:rsidRPr="00F46E6D">
        <w:t>prevalence estimates referenced in the DCAR.</w:t>
      </w:r>
    </w:p>
    <w:p w14:paraId="4B55BE7D" w14:textId="4E85E3FA" w:rsidR="004D58BC" w:rsidRDefault="008C306D" w:rsidP="003D4EB5">
      <w:pPr>
        <w:spacing w:before="240"/>
      </w:pPr>
      <w:r w:rsidRPr="00F46E6D">
        <w:t>MSAC noted that misclassification could be an underlying factor for th</w:t>
      </w:r>
      <w:r w:rsidR="003E2BD2" w:rsidRPr="00F46E6D">
        <w:t>is</w:t>
      </w:r>
      <w:r w:rsidR="00493F60" w:rsidRPr="00F46E6D">
        <w:t xml:space="preserve"> higher prevalence</w:t>
      </w:r>
      <w:r w:rsidRPr="00F46E6D">
        <w:t xml:space="preserve"> and </w:t>
      </w:r>
      <w:r w:rsidR="001F17B2" w:rsidRPr="00F46E6D">
        <w:t>advised</w:t>
      </w:r>
      <w:r w:rsidR="000A2AF7" w:rsidRPr="00F46E6D">
        <w:t xml:space="preserve"> that</w:t>
      </w:r>
      <w:r w:rsidR="001F17B2" w:rsidRPr="00F46E6D">
        <w:t xml:space="preserve"> the </w:t>
      </w:r>
      <w:r w:rsidRPr="00F46E6D">
        <w:t>applicant consider whether</w:t>
      </w:r>
      <w:r w:rsidR="00A33CD2" w:rsidRPr="00F46E6D">
        <w:t xml:space="preserve"> the threshold for patients to </w:t>
      </w:r>
      <w:r w:rsidRPr="00F46E6D">
        <w:t xml:space="preserve">qualify for </w:t>
      </w:r>
      <w:r w:rsidR="00AC5B20">
        <w:t xml:space="preserve">initial or continued </w:t>
      </w:r>
      <w:r w:rsidRPr="00F46E6D">
        <w:t xml:space="preserve">Ig </w:t>
      </w:r>
      <w:r w:rsidR="00AC5B20">
        <w:t>therapy</w:t>
      </w:r>
      <w:r w:rsidRPr="00F46E6D">
        <w:t xml:space="preserve"> </w:t>
      </w:r>
      <w:r w:rsidR="00AC5B20" w:rsidRPr="008A71E6">
        <w:t xml:space="preserve">under the Criteria </w:t>
      </w:r>
      <w:r w:rsidR="00AC5B20">
        <w:t xml:space="preserve">V3 </w:t>
      </w:r>
      <w:r w:rsidRPr="00F46E6D">
        <w:t>are sufficiently stringent.</w:t>
      </w:r>
      <w:r w:rsidR="00493F60" w:rsidRPr="00F46E6D">
        <w:t xml:space="preserve"> MSAC considered </w:t>
      </w:r>
      <w:r w:rsidR="001F17B2" w:rsidRPr="00F46E6D">
        <w:t>that the</w:t>
      </w:r>
      <w:r w:rsidR="00493F60" w:rsidRPr="00F46E6D">
        <w:t xml:space="preserve"> </w:t>
      </w:r>
      <w:r w:rsidR="001F17B2" w:rsidRPr="00F46E6D">
        <w:t xml:space="preserve">current </w:t>
      </w:r>
      <w:r w:rsidR="00493F60" w:rsidRPr="00F46E6D">
        <w:t>requirement</w:t>
      </w:r>
      <w:r w:rsidR="001F17B2" w:rsidRPr="00F46E6D">
        <w:t>s</w:t>
      </w:r>
      <w:r w:rsidR="00493F60" w:rsidRPr="00F46E6D">
        <w:t xml:space="preserve"> for patients to show improvement or stabilisation at review periods </w:t>
      </w:r>
      <w:r w:rsidR="001F17B2" w:rsidRPr="00F46E6D">
        <w:t>may provide little</w:t>
      </w:r>
      <w:r w:rsidR="00493F60" w:rsidRPr="00F46E6D">
        <w:t xml:space="preserve"> incentive for patients to </w:t>
      </w:r>
      <w:r w:rsidR="00CC4E2D">
        <w:t>dis</w:t>
      </w:r>
      <w:r w:rsidR="00493F60" w:rsidRPr="00F46E6D">
        <w:t>continue t</w:t>
      </w:r>
      <w:r w:rsidR="00F96260" w:rsidRPr="00F46E6D">
        <w:t xml:space="preserve">herapy with Ig. </w:t>
      </w:r>
      <w:r w:rsidR="00493F60" w:rsidRPr="00F46E6D">
        <w:t xml:space="preserve">MSAC noted that </w:t>
      </w:r>
      <w:r w:rsidR="000A2AF7" w:rsidRPr="00F46E6D">
        <w:t xml:space="preserve">while </w:t>
      </w:r>
      <w:r w:rsidR="00493F60" w:rsidRPr="00F46E6D">
        <w:t>the Criteria V3</w:t>
      </w:r>
      <w:r w:rsidR="000A2AF7" w:rsidRPr="00F46E6D">
        <w:t xml:space="preserve">, </w:t>
      </w:r>
      <w:r w:rsidR="00493F60" w:rsidRPr="00F46E6D">
        <w:t>introduced in October 2018</w:t>
      </w:r>
      <w:r w:rsidR="000A2AF7" w:rsidRPr="00F46E6D">
        <w:t>,</w:t>
      </w:r>
      <w:r w:rsidR="00493F60" w:rsidRPr="00F46E6D">
        <w:t xml:space="preserve"> </w:t>
      </w:r>
      <w:r w:rsidR="000A2AF7" w:rsidRPr="00F46E6D">
        <w:t xml:space="preserve">aimed to address potential leakage to a non-MMN population, </w:t>
      </w:r>
      <w:r w:rsidR="00493F60" w:rsidRPr="00F46E6D">
        <w:t>its effect on patient numbers</w:t>
      </w:r>
      <w:r w:rsidR="001F17B2" w:rsidRPr="00F46E6D">
        <w:t xml:space="preserve"> </w:t>
      </w:r>
      <w:r w:rsidR="00493F60" w:rsidRPr="00F46E6D">
        <w:t xml:space="preserve">should </w:t>
      </w:r>
      <w:r w:rsidR="001F17B2" w:rsidRPr="00F46E6D">
        <w:t>now</w:t>
      </w:r>
      <w:r w:rsidR="00A42B7F" w:rsidRPr="00F46E6D">
        <w:t xml:space="preserve"> have</w:t>
      </w:r>
      <w:r w:rsidR="001F17B2" w:rsidRPr="00F46E6D">
        <w:t xml:space="preserve"> start</w:t>
      </w:r>
      <w:r w:rsidR="00A42B7F" w:rsidRPr="00F46E6D">
        <w:t>ed</w:t>
      </w:r>
      <w:r w:rsidR="001F17B2" w:rsidRPr="00F46E6D">
        <w:t xml:space="preserve"> to become</w:t>
      </w:r>
      <w:r w:rsidR="00A42B7F" w:rsidRPr="00F46E6D">
        <w:t xml:space="preserve"> </w:t>
      </w:r>
      <w:r w:rsidR="00493F60" w:rsidRPr="00F46E6D">
        <w:t>apparent. MSAC recommended that reviewing th</w:t>
      </w:r>
      <w:r w:rsidR="001F17B2" w:rsidRPr="00F46E6D">
        <w:t>e data in a further 12 months w</w:t>
      </w:r>
      <w:r w:rsidR="00493F60" w:rsidRPr="00F46E6D">
        <w:t>ould provide</w:t>
      </w:r>
      <w:r w:rsidR="001F17B2" w:rsidRPr="00F46E6D">
        <w:t xml:space="preserve"> a</w:t>
      </w:r>
      <w:r w:rsidR="00493F60" w:rsidRPr="00F46E6D">
        <w:t xml:space="preserve"> more definitive answer</w:t>
      </w:r>
      <w:r w:rsidR="000A2AF7" w:rsidRPr="00F46E6D">
        <w:t xml:space="preserve"> as to whether these thresholds require revision</w:t>
      </w:r>
      <w:r w:rsidR="00493F60" w:rsidRPr="00F46E6D">
        <w:t xml:space="preserve">. </w:t>
      </w:r>
      <w:r w:rsidR="00CB7DE1">
        <w:t>MSAC advised that capturing</w:t>
      </w:r>
      <w:r w:rsidR="00493F60" w:rsidRPr="00F46E6D">
        <w:t xml:space="preserve"> data around </w:t>
      </w:r>
      <w:r w:rsidR="001F17B2" w:rsidRPr="00F46E6D">
        <w:t xml:space="preserve">the </w:t>
      </w:r>
      <w:r w:rsidR="00CB7DE1">
        <w:t xml:space="preserve">justification for continued therapy, </w:t>
      </w:r>
      <w:r w:rsidR="00493F60" w:rsidRPr="00F46E6D">
        <w:t>cessation of treatment</w:t>
      </w:r>
      <w:r w:rsidR="00CB7DE1">
        <w:t>,</w:t>
      </w:r>
      <w:r w:rsidR="00493F60" w:rsidRPr="00F46E6D">
        <w:t xml:space="preserve"> or reasons why a trial for</w:t>
      </w:r>
      <w:r w:rsidR="00F96260" w:rsidRPr="00F46E6D">
        <w:t xml:space="preserve"> cessation is not being planned</w:t>
      </w:r>
      <w:r w:rsidR="00CB7DE1">
        <w:t xml:space="preserve"> would be informative </w:t>
      </w:r>
      <w:r w:rsidR="00F96260" w:rsidRPr="00F46E6D">
        <w:t>for potential compliance monitoring of clinician practices in the future.</w:t>
      </w:r>
      <w:r w:rsidR="00762E11">
        <w:t xml:space="preserve"> </w:t>
      </w:r>
      <w:r w:rsidR="00A33CD2" w:rsidRPr="00F46E6D">
        <w:t xml:space="preserve">MSAC considered that </w:t>
      </w:r>
      <w:r w:rsidR="00335631">
        <w:t xml:space="preserve">whilst </w:t>
      </w:r>
      <w:r w:rsidR="00A33CD2" w:rsidRPr="00F46E6D">
        <w:t>establishing a patient registry could be us</w:t>
      </w:r>
      <w:r w:rsidR="00F96260" w:rsidRPr="00F46E6D">
        <w:t>ed to inform prevalence data,</w:t>
      </w:r>
      <w:r w:rsidR="00A33CD2" w:rsidRPr="00F46E6D">
        <w:t xml:space="preserve"> treatment patterns (duration on treatment, breaks in treatment)</w:t>
      </w:r>
      <w:r w:rsidR="00F96260" w:rsidRPr="00F46E6D">
        <w:t xml:space="preserve"> and capture some</w:t>
      </w:r>
      <w:r w:rsidR="00F96260">
        <w:t xml:space="preserve"> </w:t>
      </w:r>
      <w:proofErr w:type="spellStart"/>
      <w:r w:rsidR="00F96260">
        <w:t>QoL</w:t>
      </w:r>
      <w:proofErr w:type="spellEnd"/>
      <w:r w:rsidR="00F96260">
        <w:t xml:space="preserve"> data</w:t>
      </w:r>
      <w:r w:rsidR="00335631">
        <w:t xml:space="preserve">, </w:t>
      </w:r>
      <w:r w:rsidR="00E679C6">
        <w:t xml:space="preserve">it is preferable to enhance </w:t>
      </w:r>
      <w:r w:rsidR="0076595D">
        <w:t xml:space="preserve">the </w:t>
      </w:r>
      <w:r w:rsidR="00335631">
        <w:t xml:space="preserve">reporting of data via </w:t>
      </w:r>
      <w:proofErr w:type="spellStart"/>
      <w:r w:rsidR="00335631">
        <w:t>BloodSTAR</w:t>
      </w:r>
      <w:proofErr w:type="spellEnd"/>
      <w:r w:rsidR="00335631">
        <w:t xml:space="preserve">, and </w:t>
      </w:r>
      <w:r w:rsidR="00560D3C">
        <w:t>consider</w:t>
      </w:r>
      <w:r w:rsidR="00335631">
        <w:t xml:space="preserve"> the </w:t>
      </w:r>
      <w:r w:rsidR="004D58BC">
        <w:t>C</w:t>
      </w:r>
      <w:r w:rsidR="00335631">
        <w:t xml:space="preserve">riteria </w:t>
      </w:r>
      <w:r w:rsidR="004D58BC">
        <w:t xml:space="preserve">for patients to qualify </w:t>
      </w:r>
      <w:r w:rsidR="00335631">
        <w:t>for treatment</w:t>
      </w:r>
      <w:r w:rsidR="004D58BC">
        <w:t xml:space="preserve"> with Ig</w:t>
      </w:r>
      <w:r w:rsidR="001314CC">
        <w:t>.</w:t>
      </w:r>
    </w:p>
    <w:p w14:paraId="3AADCAE5" w14:textId="72AE664D" w:rsidR="001314CC" w:rsidRDefault="00650542" w:rsidP="003D4EB5">
      <w:pPr>
        <w:spacing w:before="240"/>
      </w:pPr>
      <w:r>
        <w:t>MSAC noted that subcutaneous Ig</w:t>
      </w:r>
      <w:r w:rsidR="00F30AC4">
        <w:t xml:space="preserve"> (</w:t>
      </w:r>
      <w:proofErr w:type="spellStart"/>
      <w:r w:rsidR="00F30AC4">
        <w:t>S</w:t>
      </w:r>
      <w:r w:rsidR="004D58BC">
        <w:t>C</w:t>
      </w:r>
      <w:r w:rsidR="00F30AC4">
        <w:t>Ig</w:t>
      </w:r>
      <w:proofErr w:type="spellEnd"/>
      <w:r w:rsidR="00F30AC4">
        <w:t>)</w:t>
      </w:r>
      <w:r>
        <w:t xml:space="preserve"> is not currently approved for the treatmen</w:t>
      </w:r>
      <w:r w:rsidR="00805C7A">
        <w:t>t of patients with MMN</w:t>
      </w:r>
      <w:r w:rsidR="00F30AC4">
        <w:t>. T</w:t>
      </w:r>
      <w:r w:rsidR="00805C7A">
        <w:t>h</w:t>
      </w:r>
      <w:r w:rsidR="00F30AC4">
        <w:t>e</w:t>
      </w:r>
      <w:r w:rsidR="00805C7A">
        <w:t xml:space="preserve"> use</w:t>
      </w:r>
      <w:r w:rsidR="00F30AC4">
        <w:t xml:space="preserve"> of </w:t>
      </w:r>
      <w:proofErr w:type="spellStart"/>
      <w:r w:rsidR="00F30AC4">
        <w:t>S</w:t>
      </w:r>
      <w:r w:rsidR="004D58BC">
        <w:t>C</w:t>
      </w:r>
      <w:r w:rsidR="00F30AC4">
        <w:t>Ig</w:t>
      </w:r>
      <w:proofErr w:type="spellEnd"/>
      <w:r w:rsidR="00F30AC4">
        <w:t xml:space="preserve"> and its suitability for self-administration by patients with MMN</w:t>
      </w:r>
      <w:r w:rsidR="00805C7A">
        <w:t xml:space="preserve"> </w:t>
      </w:r>
      <w:r w:rsidR="00B9583F">
        <w:t>should be</w:t>
      </w:r>
      <w:r w:rsidR="00414F9D">
        <w:t xml:space="preserve"> further</w:t>
      </w:r>
      <w:r w:rsidR="00805C7A">
        <w:t xml:space="preserve"> investigated</w:t>
      </w:r>
      <w:r w:rsidR="00414F9D">
        <w:t xml:space="preserve"> to improve both convenience and costs associated with Ig therapy.</w:t>
      </w:r>
      <w:r w:rsidR="00805C7A">
        <w:t xml:space="preserve"> </w:t>
      </w:r>
    </w:p>
    <w:p w14:paraId="384D8577" w14:textId="77777777" w:rsidR="00BC1364" w:rsidRPr="00F715D1" w:rsidRDefault="00BC1364" w:rsidP="00F715D1">
      <w:pPr>
        <w:pStyle w:val="Heading1"/>
      </w:pPr>
      <w:r w:rsidRPr="00F715D1">
        <w:t>Background</w:t>
      </w:r>
    </w:p>
    <w:p w14:paraId="2B076933" w14:textId="7B7A63D8" w:rsidR="00FD1239" w:rsidRPr="00E901D4" w:rsidRDefault="00FD1239" w:rsidP="00FD1239">
      <w:pPr>
        <w:tabs>
          <w:tab w:val="left" w:pos="720"/>
          <w:tab w:val="left" w:pos="1140"/>
        </w:tabs>
        <w:rPr>
          <w:szCs w:val="24"/>
        </w:rPr>
      </w:pPr>
      <w:r w:rsidRPr="00E901D4">
        <w:rPr>
          <w:rFonts w:eastAsiaTheme="minorHAnsi"/>
          <w:lang w:val="en-US" w:eastAsia="en-US"/>
        </w:rPr>
        <w:t xml:space="preserve">All Australian Governments, through the Jurisdictional Blood Committee (JBC), have agreed </w:t>
      </w:r>
      <w:r w:rsidRPr="00E901D4">
        <w:rPr>
          <w:szCs w:val="24"/>
        </w:rPr>
        <w:t>to conduct robust Health Technology Assessments (HTAs) of immunoglobulin use (Ig Reviews) funded under the National Blood Agreement to ensure government-funded immunoglobulin use is based on strong evidence of clinical</w:t>
      </w:r>
      <w:r>
        <w:rPr>
          <w:szCs w:val="24"/>
        </w:rPr>
        <w:t xml:space="preserve"> effectiveness</w:t>
      </w:r>
      <w:r w:rsidRPr="00E901D4">
        <w:rPr>
          <w:szCs w:val="24"/>
        </w:rPr>
        <w:t xml:space="preserve"> and cost-effectiveness. The National Blood Agreement provides for MSAC to undertake evidence-based evaluation of blood products funded under the national blood supply arrangements at the request of the JBC.</w:t>
      </w:r>
    </w:p>
    <w:p w14:paraId="556FAD7B" w14:textId="56986903" w:rsidR="003D4EB5" w:rsidRDefault="00FD1239" w:rsidP="003D4EB5">
      <w:pPr>
        <w:tabs>
          <w:tab w:val="left" w:pos="720"/>
          <w:tab w:val="left" w:pos="1140"/>
        </w:tabs>
        <w:spacing w:before="240"/>
        <w:rPr>
          <w:szCs w:val="24"/>
        </w:rPr>
      </w:pPr>
      <w:r w:rsidRPr="00E901D4">
        <w:rPr>
          <w:szCs w:val="24"/>
        </w:rPr>
        <w:t>The Ig Reviews are supported by a bespoke Reference Group, which oversees and provides advice on evaluation of all Ig HTA review applications. The PICO Confirmations for the Ig Reviews have been considered by the Reference Group instead of the PICO Advisory Sub-committee (PASC). Otherwise, the MSAC evaluation process remains the same as for applications for funding of items on the Medical Benefits Schedul</w:t>
      </w:r>
      <w:r w:rsidR="003D4EB5">
        <w:rPr>
          <w:szCs w:val="24"/>
        </w:rPr>
        <w:t>e (MBS).</w:t>
      </w:r>
      <w:r w:rsidR="003D4EB5">
        <w:rPr>
          <w:szCs w:val="24"/>
        </w:rPr>
        <w:br w:type="page"/>
      </w:r>
    </w:p>
    <w:p w14:paraId="43D0FFDC" w14:textId="1C71D11B" w:rsidR="00FD1239" w:rsidRDefault="00FD1239" w:rsidP="003D4EB5">
      <w:pPr>
        <w:tabs>
          <w:tab w:val="left" w:pos="720"/>
          <w:tab w:val="left" w:pos="1140"/>
        </w:tabs>
        <w:spacing w:before="240"/>
        <w:rPr>
          <w:szCs w:val="24"/>
        </w:rPr>
      </w:pPr>
      <w:r>
        <w:rPr>
          <w:szCs w:val="24"/>
        </w:rPr>
        <w:lastRenderedPageBreak/>
        <w:t>The first tranche of Ig Reviews included three applications which have already been considered by MSAC:</w:t>
      </w:r>
    </w:p>
    <w:p w14:paraId="43F47E6D" w14:textId="460BE26B" w:rsidR="00FD1239" w:rsidRDefault="00FD1239" w:rsidP="00FD1239">
      <w:pPr>
        <w:pStyle w:val="ListParagraph"/>
        <w:numPr>
          <w:ilvl w:val="0"/>
          <w:numId w:val="26"/>
        </w:numPr>
        <w:tabs>
          <w:tab w:val="left" w:pos="720"/>
          <w:tab w:val="left" w:pos="1140"/>
        </w:tabs>
        <w:rPr>
          <w:szCs w:val="24"/>
        </w:rPr>
      </w:pPr>
      <w:r>
        <w:rPr>
          <w:szCs w:val="24"/>
        </w:rPr>
        <w:t xml:space="preserve">Application 1564 – </w:t>
      </w:r>
      <w:r w:rsidR="00927A5A">
        <w:rPr>
          <w:szCs w:val="24"/>
        </w:rPr>
        <w:t>Review of i</w:t>
      </w:r>
      <w:r>
        <w:rPr>
          <w:szCs w:val="24"/>
        </w:rPr>
        <w:t xml:space="preserve">mmunoglobulin </w:t>
      </w:r>
      <w:r w:rsidR="00927A5A">
        <w:rPr>
          <w:szCs w:val="24"/>
        </w:rPr>
        <w:t xml:space="preserve">use </w:t>
      </w:r>
      <w:r>
        <w:rPr>
          <w:szCs w:val="24"/>
        </w:rPr>
        <w:t>for chronic inflammatory demyelinating polyneuropathy</w:t>
      </w:r>
    </w:p>
    <w:p w14:paraId="15A2FDD5" w14:textId="515C235D" w:rsidR="00FD1239" w:rsidRDefault="00927A5A" w:rsidP="00FD1239">
      <w:pPr>
        <w:pStyle w:val="ListParagraph"/>
        <w:numPr>
          <w:ilvl w:val="0"/>
          <w:numId w:val="26"/>
        </w:numPr>
        <w:tabs>
          <w:tab w:val="left" w:pos="720"/>
          <w:tab w:val="left" w:pos="1140"/>
        </w:tabs>
        <w:rPr>
          <w:szCs w:val="24"/>
        </w:rPr>
      </w:pPr>
      <w:r>
        <w:rPr>
          <w:szCs w:val="24"/>
        </w:rPr>
        <w:t>Application 1565 – Review of i</w:t>
      </w:r>
      <w:r w:rsidR="00FD1239" w:rsidRPr="006D41A3">
        <w:rPr>
          <w:szCs w:val="24"/>
        </w:rPr>
        <w:t xml:space="preserve">mmunoglobulin </w:t>
      </w:r>
      <w:r>
        <w:rPr>
          <w:szCs w:val="24"/>
        </w:rPr>
        <w:t xml:space="preserve">use </w:t>
      </w:r>
      <w:r w:rsidR="00FD1239" w:rsidRPr="006D41A3">
        <w:rPr>
          <w:szCs w:val="24"/>
        </w:rPr>
        <w:t xml:space="preserve">for acquired </w:t>
      </w:r>
      <w:proofErr w:type="spellStart"/>
      <w:r w:rsidR="00FD1239" w:rsidRPr="006D41A3">
        <w:rPr>
          <w:szCs w:val="24"/>
        </w:rPr>
        <w:t>hypogammaglobulinaemia</w:t>
      </w:r>
      <w:proofErr w:type="spellEnd"/>
      <w:r w:rsidR="00FD1239" w:rsidRPr="006D41A3">
        <w:rPr>
          <w:szCs w:val="24"/>
        </w:rPr>
        <w:t xml:space="preserve"> secondary to haematological malignancies, or post-</w:t>
      </w:r>
      <w:proofErr w:type="spellStart"/>
      <w:r w:rsidR="00FD1239" w:rsidRPr="006D41A3">
        <w:rPr>
          <w:szCs w:val="24"/>
        </w:rPr>
        <w:t>haemopoietic</w:t>
      </w:r>
      <w:proofErr w:type="spellEnd"/>
      <w:r w:rsidR="00FD1239" w:rsidRPr="006D41A3">
        <w:rPr>
          <w:szCs w:val="24"/>
        </w:rPr>
        <w:t xml:space="preserve"> stem cell transplantation (HSCT) </w:t>
      </w:r>
    </w:p>
    <w:p w14:paraId="2F594591" w14:textId="420D5A8B" w:rsidR="00FD1239" w:rsidRPr="003D4EB5" w:rsidRDefault="00FD1239" w:rsidP="00FD1239">
      <w:pPr>
        <w:pStyle w:val="ListParagraph"/>
        <w:numPr>
          <w:ilvl w:val="0"/>
          <w:numId w:val="26"/>
        </w:numPr>
        <w:tabs>
          <w:tab w:val="left" w:pos="720"/>
          <w:tab w:val="left" w:pos="1140"/>
        </w:tabs>
        <w:rPr>
          <w:szCs w:val="24"/>
        </w:rPr>
      </w:pPr>
      <w:r w:rsidRPr="006D41A3">
        <w:rPr>
          <w:szCs w:val="24"/>
        </w:rPr>
        <w:t xml:space="preserve">Application 1566 – </w:t>
      </w:r>
      <w:r w:rsidR="00927A5A">
        <w:rPr>
          <w:szCs w:val="24"/>
        </w:rPr>
        <w:t>Review of i</w:t>
      </w:r>
      <w:r w:rsidRPr="006D41A3">
        <w:rPr>
          <w:szCs w:val="24"/>
        </w:rPr>
        <w:t>mmun</w:t>
      </w:r>
      <w:r>
        <w:rPr>
          <w:szCs w:val="24"/>
        </w:rPr>
        <w:t xml:space="preserve">oglobulin </w:t>
      </w:r>
      <w:r w:rsidR="00927A5A">
        <w:rPr>
          <w:szCs w:val="24"/>
        </w:rPr>
        <w:t xml:space="preserve">use </w:t>
      </w:r>
      <w:r>
        <w:rPr>
          <w:szCs w:val="24"/>
        </w:rPr>
        <w:t>for Myasthenia Gravis</w:t>
      </w:r>
    </w:p>
    <w:p w14:paraId="0ECE9D80" w14:textId="2F022E48" w:rsidR="00FD1239" w:rsidRPr="006D41A3" w:rsidRDefault="00FD1239" w:rsidP="003D4EB5">
      <w:pPr>
        <w:tabs>
          <w:tab w:val="left" w:pos="720"/>
          <w:tab w:val="left" w:pos="1140"/>
        </w:tabs>
        <w:spacing w:before="240"/>
        <w:rPr>
          <w:szCs w:val="24"/>
        </w:rPr>
      </w:pPr>
      <w:r>
        <w:rPr>
          <w:szCs w:val="24"/>
        </w:rPr>
        <w:t xml:space="preserve">Application 1590 – </w:t>
      </w:r>
      <w:r w:rsidR="008C507E">
        <w:rPr>
          <w:szCs w:val="24"/>
        </w:rPr>
        <w:t>Review of i</w:t>
      </w:r>
      <w:r>
        <w:rPr>
          <w:szCs w:val="24"/>
        </w:rPr>
        <w:t xml:space="preserve">mmunoglobulin </w:t>
      </w:r>
      <w:r w:rsidR="008C507E">
        <w:rPr>
          <w:szCs w:val="24"/>
        </w:rPr>
        <w:t xml:space="preserve">use </w:t>
      </w:r>
      <w:r>
        <w:rPr>
          <w:szCs w:val="24"/>
        </w:rPr>
        <w:t>for multifocal motor neuropathy is the fourth report from the Ig Reviews to proceed to MSAC.</w:t>
      </w:r>
    </w:p>
    <w:p w14:paraId="277CF877" w14:textId="77777777" w:rsidR="00BC1364" w:rsidRPr="00F715D1" w:rsidRDefault="00BC1364" w:rsidP="00F715D1">
      <w:pPr>
        <w:pStyle w:val="Heading1"/>
      </w:pPr>
      <w:r w:rsidRPr="00F715D1">
        <w:t>Prerequisites to implementation of any funding advice</w:t>
      </w:r>
    </w:p>
    <w:p w14:paraId="4C6C117B" w14:textId="18901A62" w:rsidR="00FD1239" w:rsidRPr="00DA3C6E" w:rsidRDefault="00FD1239" w:rsidP="00FD1239">
      <w:pPr>
        <w:tabs>
          <w:tab w:val="left" w:pos="720"/>
          <w:tab w:val="left" w:pos="1140"/>
        </w:tabs>
        <w:rPr>
          <w:rFonts w:eastAsia="Calibri"/>
          <w:lang w:eastAsia="en-US"/>
        </w:rPr>
      </w:pPr>
      <w:r w:rsidRPr="008610D0">
        <w:rPr>
          <w:szCs w:val="24"/>
        </w:rPr>
        <w:t>All therapeutic products marketed in Australia require listing on the Australian Register of Therapeutic Goods (ARTG).</w:t>
      </w:r>
      <w:r>
        <w:rPr>
          <w:szCs w:val="24"/>
        </w:rPr>
        <w:t xml:space="preserve"> </w:t>
      </w:r>
      <w:proofErr w:type="spellStart"/>
      <w:r>
        <w:rPr>
          <w:szCs w:val="24"/>
        </w:rPr>
        <w:t>IVIg</w:t>
      </w:r>
      <w:proofErr w:type="spellEnd"/>
      <w:r>
        <w:rPr>
          <w:szCs w:val="24"/>
        </w:rPr>
        <w:t xml:space="preserve"> products</w:t>
      </w:r>
      <w:r w:rsidRPr="00DA3C6E">
        <w:rPr>
          <w:rFonts w:eastAsia="Calibri"/>
          <w:lang w:eastAsia="en-US"/>
        </w:rPr>
        <w:t xml:space="preserve"> registered by the TGA for the potential treatment of MMN in Australia are summarised in</w:t>
      </w:r>
      <w:r>
        <w:rPr>
          <w:rFonts w:eastAsia="Calibri"/>
          <w:lang w:eastAsia="en-US"/>
        </w:rPr>
        <w:t xml:space="preserve"> </w:t>
      </w:r>
      <w:r w:rsidR="000957C2" w:rsidRPr="00123232">
        <w:rPr>
          <w:rFonts w:eastAsia="Calibri"/>
          <w:szCs w:val="24"/>
          <w:lang w:eastAsia="en-US"/>
        </w:rPr>
        <w:fldChar w:fldCharType="begin"/>
      </w:r>
      <w:r w:rsidR="000957C2" w:rsidRPr="00123232">
        <w:rPr>
          <w:rFonts w:eastAsia="Calibri"/>
          <w:szCs w:val="24"/>
          <w:lang w:eastAsia="en-US"/>
        </w:rPr>
        <w:instrText xml:space="preserve"> REF _Ref31115263 \h </w:instrText>
      </w:r>
      <w:r w:rsidR="000957C2" w:rsidRPr="00123232">
        <w:rPr>
          <w:rFonts w:eastAsia="Calibri"/>
          <w:szCs w:val="24"/>
          <w:lang w:eastAsia="en-US"/>
        </w:rPr>
      </w:r>
      <w:r w:rsidR="00123232" w:rsidRPr="00123232">
        <w:rPr>
          <w:rFonts w:eastAsia="Calibri"/>
          <w:szCs w:val="24"/>
          <w:lang w:eastAsia="en-US"/>
        </w:rPr>
        <w:instrText xml:space="preserve"> \* MERGEFORMAT </w:instrText>
      </w:r>
      <w:r w:rsidR="000957C2" w:rsidRPr="00123232">
        <w:rPr>
          <w:rFonts w:eastAsia="Calibri"/>
          <w:szCs w:val="24"/>
          <w:lang w:eastAsia="en-US"/>
        </w:rPr>
        <w:fldChar w:fldCharType="separate"/>
      </w:r>
      <w:r w:rsidR="00123232" w:rsidRPr="00123232">
        <w:rPr>
          <w:szCs w:val="24"/>
        </w:rPr>
        <w:t xml:space="preserve">Table </w:t>
      </w:r>
      <w:r w:rsidR="00123232" w:rsidRPr="00123232">
        <w:rPr>
          <w:noProof/>
          <w:szCs w:val="24"/>
        </w:rPr>
        <w:t>1</w:t>
      </w:r>
      <w:r w:rsidR="000957C2" w:rsidRPr="00123232">
        <w:rPr>
          <w:rFonts w:eastAsia="Calibri"/>
          <w:szCs w:val="24"/>
          <w:lang w:eastAsia="en-US"/>
        </w:rPr>
        <w:fldChar w:fldCharType="end"/>
      </w:r>
      <w:r w:rsidR="003D4EB5">
        <w:rPr>
          <w:rFonts w:eastAsia="Calibri"/>
          <w:lang w:eastAsia="en-US"/>
        </w:rPr>
        <w:t>.</w:t>
      </w:r>
    </w:p>
    <w:p w14:paraId="68E786FB" w14:textId="3C760EE0" w:rsidR="00FD1239" w:rsidRPr="009027FE" w:rsidRDefault="000957C2" w:rsidP="009027FE">
      <w:pPr>
        <w:spacing w:before="240"/>
        <w:rPr>
          <w:rFonts w:ascii="Arial Narrow" w:eastAsia="Calibri" w:hAnsi="Arial Narrow"/>
          <w:b/>
          <w:sz w:val="20"/>
        </w:rPr>
      </w:pPr>
      <w:bookmarkStart w:id="0" w:name="_Ref31115263"/>
      <w:bookmarkStart w:id="1" w:name="_Toc37845805"/>
      <w:r w:rsidRPr="009027FE">
        <w:rPr>
          <w:rFonts w:ascii="Arial Narrow" w:hAnsi="Arial Narrow"/>
          <w:b/>
          <w:sz w:val="20"/>
        </w:rPr>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1</w:t>
      </w:r>
      <w:r w:rsidR="003F56BF" w:rsidRPr="009027FE">
        <w:rPr>
          <w:rFonts w:ascii="Arial Narrow" w:hAnsi="Arial Narrow"/>
          <w:b/>
          <w:sz w:val="20"/>
        </w:rPr>
        <w:fldChar w:fldCharType="end"/>
      </w:r>
      <w:bookmarkEnd w:id="0"/>
      <w:r w:rsidR="00FD1239" w:rsidRPr="009027FE">
        <w:rPr>
          <w:rFonts w:ascii="Arial Narrow" w:eastAsia="Calibri" w:hAnsi="Arial Narrow"/>
          <w:b/>
          <w:sz w:val="20"/>
        </w:rPr>
        <w:t>: Intravenous Ig products registered in the TGA potentially relevant for the treatment of MMN</w:t>
      </w:r>
      <w:bookmarkEnd w:id="1"/>
      <w:r w:rsidR="00FD1239" w:rsidRPr="009027FE">
        <w:rPr>
          <w:rFonts w:ascii="Arial Narrow" w:eastAsia="Calibri" w:hAnsi="Arial Narrow"/>
          <w:b/>
          <w:sz w:val="20"/>
        </w:rPr>
        <w:t xml:space="preserve"> </w:t>
      </w:r>
    </w:p>
    <w:tbl>
      <w:tblPr>
        <w:tblStyle w:val="TableGrid6"/>
        <w:tblW w:w="5000" w:type="pct"/>
        <w:tblLook w:val="04A0" w:firstRow="1" w:lastRow="0" w:firstColumn="1" w:lastColumn="0" w:noHBand="0" w:noVBand="1"/>
        <w:tblCaption w:val="Intravenous Ig products registered in the TGA potentially relevant for the treatment of MMN "/>
        <w:tblDescription w:val="Intravenous Ig products registered in the TGA potentially relevant for the treatment of MMN "/>
      </w:tblPr>
      <w:tblGrid>
        <w:gridCol w:w="2689"/>
        <w:gridCol w:w="2409"/>
        <w:gridCol w:w="1843"/>
        <w:gridCol w:w="2075"/>
      </w:tblGrid>
      <w:tr w:rsidR="00FD1239" w:rsidRPr="003D4EB5" w14:paraId="231D746F" w14:textId="77777777" w:rsidTr="0047278C">
        <w:trPr>
          <w:trHeight w:val="306"/>
          <w:tblHeader/>
        </w:trPr>
        <w:tc>
          <w:tcPr>
            <w:tcW w:w="1491" w:type="pct"/>
            <w:vAlign w:val="center"/>
          </w:tcPr>
          <w:p w14:paraId="1532379C" w14:textId="77777777" w:rsidR="00FD1239" w:rsidRPr="003D4EB5" w:rsidRDefault="00FD1239" w:rsidP="003D4EB5">
            <w:pPr>
              <w:widowControl w:val="0"/>
              <w:rPr>
                <w:rFonts w:ascii="Arial Narrow" w:eastAsia="Calibri" w:hAnsi="Arial Narrow" w:cstheme="minorHAnsi"/>
                <w:b/>
                <w:sz w:val="19"/>
                <w:szCs w:val="19"/>
              </w:rPr>
            </w:pPr>
            <w:r w:rsidRPr="003D4EB5">
              <w:rPr>
                <w:rFonts w:ascii="Arial Narrow" w:eastAsia="Calibri" w:hAnsi="Arial Narrow" w:cstheme="minorHAnsi"/>
                <w:b/>
                <w:sz w:val="19"/>
                <w:szCs w:val="19"/>
              </w:rPr>
              <w:t xml:space="preserve">Product/strength </w:t>
            </w:r>
          </w:p>
        </w:tc>
        <w:tc>
          <w:tcPr>
            <w:tcW w:w="1336" w:type="pct"/>
            <w:vAlign w:val="center"/>
          </w:tcPr>
          <w:p w14:paraId="428C08C7" w14:textId="77777777" w:rsidR="00FD1239" w:rsidRPr="003D4EB5" w:rsidRDefault="00FD1239" w:rsidP="003D4EB5">
            <w:pPr>
              <w:widowControl w:val="0"/>
              <w:rPr>
                <w:rFonts w:ascii="Arial Narrow" w:eastAsia="Calibri" w:hAnsi="Arial Narrow" w:cstheme="minorHAnsi"/>
                <w:b/>
                <w:sz w:val="19"/>
                <w:szCs w:val="19"/>
              </w:rPr>
            </w:pPr>
            <w:r w:rsidRPr="003D4EB5">
              <w:rPr>
                <w:rFonts w:ascii="Arial Narrow" w:eastAsia="Calibri" w:hAnsi="Arial Narrow" w:cstheme="minorHAnsi"/>
                <w:b/>
                <w:sz w:val="19"/>
                <w:szCs w:val="19"/>
              </w:rPr>
              <w:t xml:space="preserve">Presentations </w:t>
            </w:r>
          </w:p>
        </w:tc>
        <w:tc>
          <w:tcPr>
            <w:tcW w:w="1022" w:type="pct"/>
            <w:vAlign w:val="center"/>
          </w:tcPr>
          <w:p w14:paraId="1139A179" w14:textId="77777777" w:rsidR="00FD1239" w:rsidRPr="003D4EB5" w:rsidRDefault="00FD1239" w:rsidP="003D4EB5">
            <w:pPr>
              <w:widowControl w:val="0"/>
              <w:rPr>
                <w:rFonts w:ascii="Arial Narrow" w:eastAsia="Calibri" w:hAnsi="Arial Narrow" w:cstheme="minorHAnsi"/>
                <w:b/>
                <w:sz w:val="19"/>
                <w:szCs w:val="19"/>
              </w:rPr>
            </w:pPr>
            <w:r w:rsidRPr="003D4EB5">
              <w:rPr>
                <w:rFonts w:ascii="Arial Narrow" w:eastAsia="Calibri" w:hAnsi="Arial Narrow" w:cstheme="minorHAnsi"/>
                <w:b/>
                <w:sz w:val="19"/>
                <w:szCs w:val="19"/>
              </w:rPr>
              <w:t>TGA indication for MMN (Yes/No)</w:t>
            </w:r>
          </w:p>
        </w:tc>
        <w:tc>
          <w:tcPr>
            <w:tcW w:w="1151" w:type="pct"/>
            <w:vAlign w:val="center"/>
          </w:tcPr>
          <w:p w14:paraId="6AF45700" w14:textId="77777777" w:rsidR="00FD1239" w:rsidRPr="003D4EB5" w:rsidRDefault="00FD1239" w:rsidP="003D4EB5">
            <w:pPr>
              <w:widowControl w:val="0"/>
              <w:rPr>
                <w:rFonts w:ascii="Arial Narrow" w:eastAsia="Calibri" w:hAnsi="Arial Narrow" w:cstheme="minorHAnsi"/>
                <w:b/>
                <w:sz w:val="19"/>
                <w:szCs w:val="19"/>
              </w:rPr>
            </w:pPr>
            <w:r w:rsidRPr="003D4EB5">
              <w:rPr>
                <w:rFonts w:ascii="Arial Narrow" w:eastAsia="Calibri" w:hAnsi="Arial Narrow" w:cstheme="minorHAnsi"/>
                <w:b/>
                <w:sz w:val="19"/>
                <w:szCs w:val="19"/>
              </w:rPr>
              <w:t>NBA price per gram</w:t>
            </w:r>
          </w:p>
          <w:p w14:paraId="3ABA961C" w14:textId="77777777" w:rsidR="00FD1239" w:rsidRPr="003D4EB5" w:rsidRDefault="00FD1239" w:rsidP="003D4EB5">
            <w:pPr>
              <w:widowControl w:val="0"/>
              <w:rPr>
                <w:rFonts w:ascii="Arial Narrow" w:eastAsia="Calibri" w:hAnsi="Arial Narrow" w:cstheme="minorHAnsi"/>
                <w:b/>
                <w:sz w:val="19"/>
                <w:szCs w:val="19"/>
              </w:rPr>
            </w:pPr>
            <w:r w:rsidRPr="003D4EB5">
              <w:rPr>
                <w:rFonts w:ascii="Arial Narrow" w:eastAsia="Calibri" w:hAnsi="Arial Narrow" w:cstheme="minorHAnsi"/>
                <w:b/>
                <w:sz w:val="19"/>
                <w:szCs w:val="19"/>
              </w:rPr>
              <w:t>@ 10/10/19</w:t>
            </w:r>
          </w:p>
        </w:tc>
      </w:tr>
      <w:tr w:rsidR="00FD1239" w:rsidRPr="003D4EB5" w14:paraId="4AC59D4C" w14:textId="77777777" w:rsidTr="0047278C">
        <w:trPr>
          <w:trHeight w:val="1196"/>
        </w:trPr>
        <w:tc>
          <w:tcPr>
            <w:tcW w:w="1491" w:type="pct"/>
            <w:vAlign w:val="center"/>
          </w:tcPr>
          <w:p w14:paraId="3C088C02"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Flebogamma</w:t>
            </w:r>
            <w:proofErr w:type="spellEnd"/>
            <w:r w:rsidRPr="003D4EB5">
              <w:rPr>
                <w:rFonts w:ascii="Arial Narrow" w:eastAsia="Calibri" w:hAnsi="Arial Narrow" w:cstheme="minorHAnsi"/>
                <w:sz w:val="19"/>
                <w:szCs w:val="19"/>
              </w:rPr>
              <w:t xml:space="preserve"> 5% DIF</w:t>
            </w:r>
          </w:p>
        </w:tc>
        <w:tc>
          <w:tcPr>
            <w:tcW w:w="1336" w:type="pct"/>
            <w:vAlign w:val="center"/>
          </w:tcPr>
          <w:p w14:paraId="2EEFFFB8"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0.5 g/10 mL</w:t>
            </w:r>
          </w:p>
          <w:p w14:paraId="48320B43"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2.5 g/50 mL</w:t>
            </w:r>
          </w:p>
          <w:p w14:paraId="42E6E5E0"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g/100 mL</w:t>
            </w:r>
          </w:p>
          <w:p w14:paraId="2F0DA8BA"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g/200 mL</w:t>
            </w:r>
          </w:p>
          <w:p w14:paraId="3A0EC60E"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20 g/400 mL</w:t>
            </w:r>
          </w:p>
        </w:tc>
        <w:tc>
          <w:tcPr>
            <w:tcW w:w="1022" w:type="pct"/>
            <w:vAlign w:val="center"/>
          </w:tcPr>
          <w:p w14:paraId="63D0E2CC"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No </w:t>
            </w:r>
          </w:p>
        </w:tc>
        <w:tc>
          <w:tcPr>
            <w:tcW w:w="1151" w:type="pct"/>
            <w:vAlign w:val="center"/>
          </w:tcPr>
          <w:p w14:paraId="5F999289"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NBA funded </w:t>
            </w:r>
          </w:p>
          <w:p w14:paraId="2197773A"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$45</w:t>
            </w:r>
          </w:p>
        </w:tc>
      </w:tr>
      <w:tr w:rsidR="00FD1239" w:rsidRPr="003D4EB5" w14:paraId="43BB4D89" w14:textId="77777777" w:rsidTr="0047278C">
        <w:trPr>
          <w:trHeight w:val="715"/>
        </w:trPr>
        <w:tc>
          <w:tcPr>
            <w:tcW w:w="1491" w:type="pct"/>
            <w:vAlign w:val="center"/>
          </w:tcPr>
          <w:p w14:paraId="1A30536A"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Flebogamma</w:t>
            </w:r>
            <w:proofErr w:type="spellEnd"/>
            <w:r w:rsidRPr="003D4EB5">
              <w:rPr>
                <w:rFonts w:ascii="Arial Narrow" w:eastAsia="Calibri" w:hAnsi="Arial Narrow" w:cstheme="minorHAnsi"/>
                <w:sz w:val="19"/>
                <w:szCs w:val="19"/>
              </w:rPr>
              <w:t xml:space="preserve"> 10% DIF</w:t>
            </w:r>
          </w:p>
        </w:tc>
        <w:tc>
          <w:tcPr>
            <w:tcW w:w="1336" w:type="pct"/>
            <w:vAlign w:val="center"/>
          </w:tcPr>
          <w:p w14:paraId="4AFCC513"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5 g/50 mL</w:t>
            </w:r>
          </w:p>
          <w:p w14:paraId="5E215340"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10 g/100 mL</w:t>
            </w:r>
          </w:p>
          <w:p w14:paraId="3F83A6ED"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20 g/200 mL</w:t>
            </w:r>
          </w:p>
        </w:tc>
        <w:tc>
          <w:tcPr>
            <w:tcW w:w="1022" w:type="pct"/>
            <w:vAlign w:val="center"/>
          </w:tcPr>
          <w:p w14:paraId="38A7A26C"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No </w:t>
            </w:r>
          </w:p>
        </w:tc>
        <w:tc>
          <w:tcPr>
            <w:tcW w:w="1151" w:type="pct"/>
            <w:vAlign w:val="center"/>
          </w:tcPr>
          <w:p w14:paraId="120ED849"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NBA funded </w:t>
            </w:r>
          </w:p>
          <w:p w14:paraId="5E8C3432"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$45</w:t>
            </w:r>
          </w:p>
        </w:tc>
      </w:tr>
      <w:tr w:rsidR="00FD1239" w:rsidRPr="003D4EB5" w14:paraId="635C385B" w14:textId="77777777" w:rsidTr="0047278C">
        <w:trPr>
          <w:trHeight w:val="480"/>
        </w:trPr>
        <w:tc>
          <w:tcPr>
            <w:tcW w:w="1491" w:type="pct"/>
            <w:vAlign w:val="center"/>
          </w:tcPr>
          <w:p w14:paraId="039A65C7"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Intragam</w:t>
            </w:r>
            <w:proofErr w:type="spellEnd"/>
            <w:r w:rsidRPr="003D4EB5">
              <w:rPr>
                <w:rFonts w:ascii="Arial Narrow" w:eastAsia="Calibri" w:hAnsi="Arial Narrow" w:cstheme="minorHAnsi"/>
                <w:sz w:val="19"/>
                <w:szCs w:val="19"/>
              </w:rPr>
              <w:t xml:space="preserve"> P (6%)</w:t>
            </w:r>
          </w:p>
        </w:tc>
        <w:tc>
          <w:tcPr>
            <w:tcW w:w="1336" w:type="pct"/>
            <w:vAlign w:val="center"/>
          </w:tcPr>
          <w:p w14:paraId="553F3113"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0.6 g/10 mL</w:t>
            </w:r>
          </w:p>
          <w:p w14:paraId="744A7F10"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60 g/L</w:t>
            </w:r>
          </w:p>
        </w:tc>
        <w:tc>
          <w:tcPr>
            <w:tcW w:w="1022" w:type="pct"/>
            <w:vAlign w:val="center"/>
          </w:tcPr>
          <w:p w14:paraId="68F98EDB"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No </w:t>
            </w:r>
          </w:p>
        </w:tc>
        <w:tc>
          <w:tcPr>
            <w:tcW w:w="1151" w:type="pct"/>
            <w:vAlign w:val="center"/>
          </w:tcPr>
          <w:p w14:paraId="48EA661D"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44312077" w14:textId="77777777" w:rsidTr="0047278C">
        <w:trPr>
          <w:trHeight w:val="196"/>
        </w:trPr>
        <w:tc>
          <w:tcPr>
            <w:tcW w:w="1491" w:type="pct"/>
            <w:vAlign w:val="center"/>
          </w:tcPr>
          <w:p w14:paraId="63EAE262"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Intragam</w:t>
            </w:r>
            <w:proofErr w:type="spellEnd"/>
            <w:r w:rsidRPr="003D4EB5">
              <w:rPr>
                <w:rFonts w:ascii="Arial Narrow" w:eastAsia="Calibri" w:hAnsi="Arial Narrow" w:cstheme="minorHAnsi"/>
                <w:sz w:val="19"/>
                <w:szCs w:val="19"/>
              </w:rPr>
              <w:t xml:space="preserve"> 10 (10%) (plasma derived – domestic)</w:t>
            </w:r>
          </w:p>
        </w:tc>
        <w:tc>
          <w:tcPr>
            <w:tcW w:w="1336" w:type="pct"/>
            <w:vAlign w:val="center"/>
          </w:tcPr>
          <w:p w14:paraId="077FF7C8" w14:textId="005BE4C8"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2.5 /25 mL</w:t>
            </w:r>
          </w:p>
          <w:p w14:paraId="53517897"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g/100 mL</w:t>
            </w:r>
          </w:p>
          <w:p w14:paraId="778C16E3"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20 g/200 mL</w:t>
            </w:r>
          </w:p>
        </w:tc>
        <w:tc>
          <w:tcPr>
            <w:tcW w:w="1022" w:type="pct"/>
            <w:vAlign w:val="center"/>
          </w:tcPr>
          <w:p w14:paraId="54570118"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Yes </w:t>
            </w:r>
          </w:p>
        </w:tc>
        <w:tc>
          <w:tcPr>
            <w:tcW w:w="1151" w:type="pct"/>
            <w:vAlign w:val="center"/>
          </w:tcPr>
          <w:p w14:paraId="28D1CEA9"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NBA funded </w:t>
            </w:r>
          </w:p>
          <w:p w14:paraId="13F1F42D" w14:textId="77777777" w:rsidR="00FD1239" w:rsidRPr="003D4EB5" w:rsidRDefault="00FD1239" w:rsidP="003D4EB5">
            <w:pPr>
              <w:widowControl w:val="0"/>
              <w:rPr>
                <w:rFonts w:ascii="Arial Narrow" w:eastAsia="Calibri" w:hAnsi="Arial Narrow" w:cstheme="minorHAnsi"/>
                <w:sz w:val="19"/>
                <w:szCs w:val="19"/>
                <w:vertAlign w:val="superscript"/>
              </w:rPr>
            </w:pPr>
            <w:r w:rsidRPr="003D4EB5">
              <w:rPr>
                <w:rFonts w:ascii="Arial Narrow" w:eastAsia="Calibri" w:hAnsi="Arial Narrow" w:cstheme="minorHAnsi"/>
                <w:sz w:val="19"/>
                <w:szCs w:val="19"/>
              </w:rPr>
              <w:t>$58.23</w:t>
            </w:r>
            <w:r w:rsidRPr="003D4EB5">
              <w:rPr>
                <w:rFonts w:ascii="Arial Narrow" w:eastAsia="Calibri" w:hAnsi="Arial Narrow" w:cstheme="minorHAnsi"/>
                <w:sz w:val="19"/>
                <w:szCs w:val="19"/>
                <w:vertAlign w:val="superscript"/>
              </w:rPr>
              <w:t>1</w:t>
            </w:r>
          </w:p>
        </w:tc>
      </w:tr>
      <w:tr w:rsidR="00FD1239" w:rsidRPr="003D4EB5" w14:paraId="4C4D7007" w14:textId="77777777" w:rsidTr="0047278C">
        <w:trPr>
          <w:trHeight w:val="962"/>
        </w:trPr>
        <w:tc>
          <w:tcPr>
            <w:tcW w:w="1491" w:type="pct"/>
            <w:vAlign w:val="center"/>
          </w:tcPr>
          <w:p w14:paraId="2BB73EF6"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Privigen</w:t>
            </w:r>
            <w:proofErr w:type="spellEnd"/>
            <w:r w:rsidRPr="003D4EB5">
              <w:rPr>
                <w:rFonts w:ascii="Arial Narrow" w:eastAsia="Calibri" w:hAnsi="Arial Narrow" w:cstheme="minorHAnsi"/>
                <w:sz w:val="19"/>
                <w:szCs w:val="19"/>
              </w:rPr>
              <w:t xml:space="preserve"> 10%</w:t>
            </w:r>
          </w:p>
        </w:tc>
        <w:tc>
          <w:tcPr>
            <w:tcW w:w="1336" w:type="pct"/>
            <w:vAlign w:val="center"/>
          </w:tcPr>
          <w:p w14:paraId="2FF73304"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g/50 mL</w:t>
            </w:r>
          </w:p>
          <w:p w14:paraId="396CFD84"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g/100 mL</w:t>
            </w:r>
          </w:p>
          <w:p w14:paraId="25467B5C"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20 g/200 mL</w:t>
            </w:r>
          </w:p>
          <w:p w14:paraId="1BF73A10"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40 g/400 mL</w:t>
            </w:r>
          </w:p>
        </w:tc>
        <w:tc>
          <w:tcPr>
            <w:tcW w:w="1022" w:type="pct"/>
            <w:vAlign w:val="center"/>
          </w:tcPr>
          <w:p w14:paraId="767B2FC8"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Yes </w:t>
            </w:r>
          </w:p>
        </w:tc>
        <w:tc>
          <w:tcPr>
            <w:tcW w:w="1151" w:type="pct"/>
            <w:vAlign w:val="center"/>
          </w:tcPr>
          <w:p w14:paraId="6EE4FFCB"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NBA funded </w:t>
            </w:r>
          </w:p>
          <w:p w14:paraId="6235FD90"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$45</w:t>
            </w:r>
          </w:p>
        </w:tc>
      </w:tr>
      <w:tr w:rsidR="00FD1239" w:rsidRPr="003D4EB5" w14:paraId="4A4080D5" w14:textId="77777777" w:rsidTr="0047278C">
        <w:trPr>
          <w:trHeight w:val="962"/>
        </w:trPr>
        <w:tc>
          <w:tcPr>
            <w:tcW w:w="1491" w:type="pct"/>
            <w:vAlign w:val="center"/>
          </w:tcPr>
          <w:p w14:paraId="51CF99E7"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Octagam</w:t>
            </w:r>
            <w:proofErr w:type="spellEnd"/>
            <w:r w:rsidRPr="003D4EB5">
              <w:rPr>
                <w:rFonts w:ascii="Arial Narrow" w:eastAsia="Calibri" w:hAnsi="Arial Narrow" w:cstheme="minorHAnsi"/>
                <w:sz w:val="19"/>
                <w:szCs w:val="19"/>
              </w:rPr>
              <w:t xml:space="preserve"> 5%</w:t>
            </w:r>
          </w:p>
        </w:tc>
        <w:tc>
          <w:tcPr>
            <w:tcW w:w="1336" w:type="pct"/>
            <w:vAlign w:val="center"/>
          </w:tcPr>
          <w:p w14:paraId="24501932"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 g/20 mL</w:t>
            </w:r>
          </w:p>
          <w:p w14:paraId="2FE36AAE"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2.5 g/50 mL</w:t>
            </w:r>
          </w:p>
          <w:p w14:paraId="4280750B"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g/100 mL</w:t>
            </w:r>
          </w:p>
          <w:p w14:paraId="55170D0C"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g/200 mL</w:t>
            </w:r>
          </w:p>
        </w:tc>
        <w:tc>
          <w:tcPr>
            <w:tcW w:w="1022" w:type="pct"/>
            <w:vAlign w:val="center"/>
          </w:tcPr>
          <w:p w14:paraId="705C6E55"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w:t>
            </w:r>
          </w:p>
        </w:tc>
        <w:tc>
          <w:tcPr>
            <w:tcW w:w="1151" w:type="pct"/>
            <w:vAlign w:val="center"/>
          </w:tcPr>
          <w:p w14:paraId="25019F14"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72C54444" w14:textId="77777777" w:rsidTr="0047278C">
        <w:trPr>
          <w:trHeight w:val="715"/>
        </w:trPr>
        <w:tc>
          <w:tcPr>
            <w:tcW w:w="1491" w:type="pct"/>
            <w:vAlign w:val="center"/>
          </w:tcPr>
          <w:p w14:paraId="279B388F"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Octagam</w:t>
            </w:r>
            <w:proofErr w:type="spellEnd"/>
            <w:r w:rsidRPr="003D4EB5">
              <w:rPr>
                <w:rFonts w:ascii="Arial Narrow" w:eastAsia="Calibri" w:hAnsi="Arial Narrow" w:cstheme="minorHAnsi"/>
                <w:sz w:val="19"/>
                <w:szCs w:val="19"/>
              </w:rPr>
              <w:t xml:space="preserve"> 10%</w:t>
            </w:r>
          </w:p>
        </w:tc>
        <w:tc>
          <w:tcPr>
            <w:tcW w:w="1336" w:type="pct"/>
            <w:vAlign w:val="center"/>
          </w:tcPr>
          <w:p w14:paraId="08D57CE0"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20 g/200 mL</w:t>
            </w:r>
          </w:p>
          <w:p w14:paraId="01245653"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g/100 mL</w:t>
            </w:r>
          </w:p>
          <w:p w14:paraId="6A10636D"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 g/20 mL</w:t>
            </w:r>
          </w:p>
          <w:p w14:paraId="11C32C10"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g/50 mL</w:t>
            </w:r>
          </w:p>
        </w:tc>
        <w:tc>
          <w:tcPr>
            <w:tcW w:w="1022" w:type="pct"/>
            <w:vAlign w:val="center"/>
          </w:tcPr>
          <w:p w14:paraId="077E0A21"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 xml:space="preserve">No </w:t>
            </w:r>
          </w:p>
        </w:tc>
        <w:tc>
          <w:tcPr>
            <w:tcW w:w="1151" w:type="pct"/>
            <w:vAlign w:val="center"/>
          </w:tcPr>
          <w:p w14:paraId="09573CD4"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3B95AF75" w14:textId="77777777" w:rsidTr="0047278C">
        <w:trPr>
          <w:trHeight w:val="480"/>
        </w:trPr>
        <w:tc>
          <w:tcPr>
            <w:tcW w:w="1491" w:type="pct"/>
            <w:vAlign w:val="center"/>
          </w:tcPr>
          <w:p w14:paraId="14D8C7D6"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Gammanorm</w:t>
            </w:r>
            <w:proofErr w:type="spellEnd"/>
            <w:r w:rsidRPr="003D4EB5">
              <w:rPr>
                <w:rFonts w:ascii="Arial Narrow" w:eastAsia="Calibri" w:hAnsi="Arial Narrow" w:cstheme="minorHAnsi"/>
                <w:sz w:val="19"/>
                <w:szCs w:val="19"/>
              </w:rPr>
              <w:t xml:space="preserve"> 16.5%</w:t>
            </w:r>
          </w:p>
        </w:tc>
        <w:tc>
          <w:tcPr>
            <w:tcW w:w="1336" w:type="pct"/>
            <w:vAlign w:val="center"/>
          </w:tcPr>
          <w:p w14:paraId="5B771C35"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3300 mg/20 mL</w:t>
            </w:r>
          </w:p>
          <w:p w14:paraId="0381F154"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1650 mg/10 mL</w:t>
            </w:r>
          </w:p>
        </w:tc>
        <w:tc>
          <w:tcPr>
            <w:tcW w:w="1022" w:type="pct"/>
            <w:vAlign w:val="center"/>
          </w:tcPr>
          <w:p w14:paraId="2B13CF5A"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w:t>
            </w:r>
          </w:p>
        </w:tc>
        <w:tc>
          <w:tcPr>
            <w:tcW w:w="1151" w:type="pct"/>
            <w:vAlign w:val="center"/>
          </w:tcPr>
          <w:p w14:paraId="32066D23"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5454D8D4" w14:textId="77777777" w:rsidTr="0047278C">
        <w:trPr>
          <w:trHeight w:val="715"/>
        </w:trPr>
        <w:tc>
          <w:tcPr>
            <w:tcW w:w="1491" w:type="pct"/>
            <w:vAlign w:val="center"/>
          </w:tcPr>
          <w:p w14:paraId="7878E9E0"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Kiovig</w:t>
            </w:r>
            <w:proofErr w:type="spellEnd"/>
            <w:r w:rsidRPr="003D4EB5">
              <w:rPr>
                <w:rFonts w:ascii="Arial Narrow" w:eastAsia="Calibri" w:hAnsi="Arial Narrow" w:cstheme="minorHAnsi"/>
                <w:sz w:val="19"/>
                <w:szCs w:val="19"/>
              </w:rPr>
              <w:t xml:space="preserve"> (10%)</w:t>
            </w:r>
          </w:p>
        </w:tc>
        <w:tc>
          <w:tcPr>
            <w:tcW w:w="1336" w:type="pct"/>
            <w:vAlign w:val="center"/>
          </w:tcPr>
          <w:p w14:paraId="51B1366D"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30 g/300 mL</w:t>
            </w:r>
          </w:p>
          <w:p w14:paraId="1681DDC6"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20 g/200 mL</w:t>
            </w:r>
          </w:p>
          <w:p w14:paraId="0F25B72B"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g/100 mL</w:t>
            </w:r>
          </w:p>
          <w:p w14:paraId="34F0B5FA"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g/50 mL</w:t>
            </w:r>
          </w:p>
          <w:p w14:paraId="11820AFE"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2.5 g/25 mL</w:t>
            </w:r>
          </w:p>
          <w:p w14:paraId="44EC7D94"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1 g/10 mL</w:t>
            </w:r>
          </w:p>
        </w:tc>
        <w:tc>
          <w:tcPr>
            <w:tcW w:w="1022" w:type="pct"/>
            <w:vAlign w:val="center"/>
          </w:tcPr>
          <w:p w14:paraId="3F9A5F4C"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Yes</w:t>
            </w:r>
          </w:p>
        </w:tc>
        <w:tc>
          <w:tcPr>
            <w:tcW w:w="1151" w:type="pct"/>
            <w:vAlign w:val="center"/>
          </w:tcPr>
          <w:p w14:paraId="2046B9DB"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41F6CA77" w14:textId="77777777" w:rsidTr="003D4EB5">
        <w:trPr>
          <w:trHeight w:val="236"/>
        </w:trPr>
        <w:tc>
          <w:tcPr>
            <w:tcW w:w="1491" w:type="pct"/>
            <w:vAlign w:val="center"/>
          </w:tcPr>
          <w:p w14:paraId="560F27CA"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Panzyga</w:t>
            </w:r>
            <w:proofErr w:type="spellEnd"/>
            <w:r w:rsidRPr="003D4EB5">
              <w:rPr>
                <w:rFonts w:ascii="Arial Narrow" w:eastAsia="Calibri" w:hAnsi="Arial Narrow" w:cstheme="minorHAnsi"/>
                <w:sz w:val="19"/>
                <w:szCs w:val="19"/>
              </w:rPr>
              <w:t xml:space="preserve"> 10%</w:t>
            </w:r>
          </w:p>
        </w:tc>
        <w:tc>
          <w:tcPr>
            <w:tcW w:w="1336" w:type="pct"/>
            <w:vAlign w:val="center"/>
          </w:tcPr>
          <w:p w14:paraId="1E764401"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 g/10 mL</w:t>
            </w:r>
          </w:p>
          <w:p w14:paraId="3A1BA91D"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g/50 mL</w:t>
            </w:r>
          </w:p>
          <w:p w14:paraId="523393B4"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20 g/200 mL</w:t>
            </w:r>
          </w:p>
          <w:p w14:paraId="1FB635E3"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2.5 g/25 mL</w:t>
            </w:r>
          </w:p>
          <w:p w14:paraId="2C3E029C"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30 g/300 mL</w:t>
            </w:r>
          </w:p>
        </w:tc>
        <w:tc>
          <w:tcPr>
            <w:tcW w:w="1022" w:type="pct"/>
            <w:vAlign w:val="center"/>
          </w:tcPr>
          <w:p w14:paraId="61F6D68A"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w:t>
            </w:r>
          </w:p>
        </w:tc>
        <w:tc>
          <w:tcPr>
            <w:tcW w:w="1151" w:type="pct"/>
            <w:vAlign w:val="center"/>
          </w:tcPr>
          <w:p w14:paraId="55914AFE"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0792DB1D" w14:textId="77777777" w:rsidTr="0047278C">
        <w:trPr>
          <w:trHeight w:val="715"/>
        </w:trPr>
        <w:tc>
          <w:tcPr>
            <w:tcW w:w="1491" w:type="pct"/>
            <w:vAlign w:val="center"/>
          </w:tcPr>
          <w:p w14:paraId="33C2090E"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lastRenderedPageBreak/>
              <w:t>Intratect</w:t>
            </w:r>
            <w:proofErr w:type="spellEnd"/>
            <w:r w:rsidRPr="003D4EB5">
              <w:rPr>
                <w:rFonts w:ascii="Arial Narrow" w:eastAsia="Calibri" w:hAnsi="Arial Narrow" w:cstheme="minorHAnsi"/>
                <w:sz w:val="19"/>
                <w:szCs w:val="19"/>
              </w:rPr>
              <w:t xml:space="preserve"> 10%</w:t>
            </w:r>
          </w:p>
        </w:tc>
        <w:tc>
          <w:tcPr>
            <w:tcW w:w="1336" w:type="pct"/>
            <w:vAlign w:val="center"/>
          </w:tcPr>
          <w:p w14:paraId="35E21F0D"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20 g/200 mL</w:t>
            </w:r>
          </w:p>
          <w:p w14:paraId="3ECDFBB5"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g/100 mL</w:t>
            </w:r>
          </w:p>
          <w:p w14:paraId="7F3E1B41"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g/50 mL</w:t>
            </w:r>
          </w:p>
          <w:p w14:paraId="0CA877EA"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 g/10 mL</w:t>
            </w:r>
          </w:p>
        </w:tc>
        <w:tc>
          <w:tcPr>
            <w:tcW w:w="1022" w:type="pct"/>
            <w:vAlign w:val="center"/>
          </w:tcPr>
          <w:p w14:paraId="360D03AE"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w:t>
            </w:r>
          </w:p>
        </w:tc>
        <w:tc>
          <w:tcPr>
            <w:tcW w:w="1151" w:type="pct"/>
            <w:vAlign w:val="center"/>
          </w:tcPr>
          <w:p w14:paraId="2C53027A"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38E8FB22" w14:textId="77777777" w:rsidTr="0047278C">
        <w:trPr>
          <w:trHeight w:val="715"/>
        </w:trPr>
        <w:tc>
          <w:tcPr>
            <w:tcW w:w="1491" w:type="pct"/>
            <w:vAlign w:val="center"/>
          </w:tcPr>
          <w:p w14:paraId="27ECA461"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Intratect</w:t>
            </w:r>
            <w:proofErr w:type="spellEnd"/>
            <w:r w:rsidRPr="003D4EB5">
              <w:rPr>
                <w:rFonts w:ascii="Arial Narrow" w:eastAsia="Calibri" w:hAnsi="Arial Narrow" w:cstheme="minorHAnsi"/>
                <w:sz w:val="19"/>
                <w:szCs w:val="19"/>
              </w:rPr>
              <w:t xml:space="preserve"> 5%</w:t>
            </w:r>
          </w:p>
        </w:tc>
        <w:tc>
          <w:tcPr>
            <w:tcW w:w="1336" w:type="pct"/>
            <w:vAlign w:val="center"/>
          </w:tcPr>
          <w:p w14:paraId="3C6AE399"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g/100 mL</w:t>
            </w:r>
          </w:p>
          <w:p w14:paraId="6BAA2D8F"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 g/20 mL</w:t>
            </w:r>
          </w:p>
          <w:p w14:paraId="7AA2C400"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g/200 mL</w:t>
            </w:r>
          </w:p>
          <w:p w14:paraId="51463A58"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2.5 g/50 mL</w:t>
            </w:r>
          </w:p>
        </w:tc>
        <w:tc>
          <w:tcPr>
            <w:tcW w:w="1022" w:type="pct"/>
            <w:vAlign w:val="center"/>
          </w:tcPr>
          <w:p w14:paraId="0E393609"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w:t>
            </w:r>
          </w:p>
        </w:tc>
        <w:tc>
          <w:tcPr>
            <w:tcW w:w="1151" w:type="pct"/>
            <w:vAlign w:val="center"/>
          </w:tcPr>
          <w:p w14:paraId="43DAB89B"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5222C179" w14:textId="77777777" w:rsidTr="0047278C">
        <w:trPr>
          <w:trHeight w:val="315"/>
        </w:trPr>
        <w:tc>
          <w:tcPr>
            <w:tcW w:w="1491" w:type="pct"/>
            <w:vAlign w:val="center"/>
          </w:tcPr>
          <w:p w14:paraId="5CF7259C"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TBSF human immunoglobulin</w:t>
            </w:r>
          </w:p>
        </w:tc>
        <w:tc>
          <w:tcPr>
            <w:tcW w:w="1336" w:type="pct"/>
            <w:vAlign w:val="center"/>
          </w:tcPr>
          <w:p w14:paraId="106ABED8"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NA</w:t>
            </w:r>
          </w:p>
        </w:tc>
        <w:tc>
          <w:tcPr>
            <w:tcW w:w="1022" w:type="pct"/>
            <w:vAlign w:val="center"/>
          </w:tcPr>
          <w:p w14:paraId="6A2830E5"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w:t>
            </w:r>
          </w:p>
        </w:tc>
        <w:tc>
          <w:tcPr>
            <w:tcW w:w="1151" w:type="pct"/>
            <w:vAlign w:val="center"/>
          </w:tcPr>
          <w:p w14:paraId="22E8A586"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Not NBA funded</w:t>
            </w:r>
          </w:p>
        </w:tc>
      </w:tr>
      <w:tr w:rsidR="00FD1239" w:rsidRPr="003D4EB5" w14:paraId="1E29A470" w14:textId="77777777" w:rsidTr="0047278C">
        <w:trPr>
          <w:trHeight w:val="715"/>
        </w:trPr>
        <w:tc>
          <w:tcPr>
            <w:tcW w:w="1491" w:type="pct"/>
            <w:vAlign w:val="center"/>
          </w:tcPr>
          <w:p w14:paraId="1A6516DA" w14:textId="77777777" w:rsidR="00FD1239" w:rsidRPr="003D4EB5" w:rsidRDefault="00FD1239" w:rsidP="003D4EB5">
            <w:pPr>
              <w:widowControl w:val="0"/>
              <w:rPr>
                <w:rFonts w:ascii="Arial Narrow" w:eastAsia="Calibri" w:hAnsi="Arial Narrow" w:cstheme="minorHAnsi"/>
                <w:sz w:val="19"/>
                <w:szCs w:val="19"/>
              </w:rPr>
            </w:pPr>
            <w:proofErr w:type="spellStart"/>
            <w:r w:rsidRPr="003D4EB5">
              <w:rPr>
                <w:rFonts w:ascii="Arial Narrow" w:eastAsia="Calibri" w:hAnsi="Arial Narrow" w:cstheme="minorHAnsi"/>
                <w:sz w:val="19"/>
                <w:szCs w:val="19"/>
              </w:rPr>
              <w:t>Gamunex</w:t>
            </w:r>
            <w:proofErr w:type="spellEnd"/>
            <w:r w:rsidRPr="003D4EB5">
              <w:rPr>
                <w:rFonts w:ascii="Arial Narrow" w:eastAsia="Calibri" w:hAnsi="Arial Narrow" w:cstheme="minorHAnsi"/>
                <w:sz w:val="19"/>
                <w:szCs w:val="19"/>
              </w:rPr>
              <w:t xml:space="preserve"> 10%</w:t>
            </w:r>
          </w:p>
        </w:tc>
        <w:tc>
          <w:tcPr>
            <w:tcW w:w="1336" w:type="pct"/>
            <w:vAlign w:val="center"/>
          </w:tcPr>
          <w:p w14:paraId="332A5F25"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20 g/200 mL</w:t>
            </w:r>
          </w:p>
          <w:p w14:paraId="7B90DFE3" w14:textId="77777777"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10 g/100 mL</w:t>
            </w:r>
          </w:p>
          <w:p w14:paraId="4D01C1CD" w14:textId="1A7B8D4D" w:rsidR="00FD1239" w:rsidRPr="003D4EB5" w:rsidRDefault="00FD1239" w:rsidP="003D4EB5">
            <w:pPr>
              <w:widowControl w:val="0"/>
              <w:rPr>
                <w:rFonts w:ascii="Arial Narrow" w:eastAsia="Calibri" w:hAnsi="Arial Narrow" w:cstheme="minorHAnsi"/>
                <w:sz w:val="19"/>
                <w:szCs w:val="19"/>
                <w:lang w:val="nn-NO"/>
              </w:rPr>
            </w:pPr>
            <w:r w:rsidRPr="003D4EB5">
              <w:rPr>
                <w:rFonts w:ascii="Arial Narrow" w:eastAsia="Calibri" w:hAnsi="Arial Narrow" w:cstheme="minorHAnsi"/>
                <w:sz w:val="19"/>
                <w:szCs w:val="19"/>
                <w:lang w:val="nn-NO"/>
              </w:rPr>
              <w:t>5 g/50 mL</w:t>
            </w:r>
          </w:p>
        </w:tc>
        <w:tc>
          <w:tcPr>
            <w:tcW w:w="1022" w:type="pct"/>
            <w:vAlign w:val="center"/>
          </w:tcPr>
          <w:p w14:paraId="5774AE1D"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No</w:t>
            </w:r>
          </w:p>
        </w:tc>
        <w:tc>
          <w:tcPr>
            <w:tcW w:w="1151" w:type="pct"/>
            <w:vAlign w:val="center"/>
          </w:tcPr>
          <w:p w14:paraId="324863CE" w14:textId="77777777" w:rsidR="00FD1239" w:rsidRPr="003D4EB5" w:rsidRDefault="00FD1239" w:rsidP="003D4EB5">
            <w:pPr>
              <w:widowControl w:val="0"/>
              <w:rPr>
                <w:rFonts w:ascii="Arial Narrow" w:eastAsia="Calibri" w:hAnsi="Arial Narrow" w:cstheme="minorHAnsi"/>
                <w:sz w:val="19"/>
                <w:szCs w:val="19"/>
              </w:rPr>
            </w:pPr>
            <w:r w:rsidRPr="003D4EB5">
              <w:rPr>
                <w:rFonts w:ascii="Arial Narrow" w:eastAsia="Calibri" w:hAnsi="Arial Narrow" w:cstheme="minorHAnsi"/>
                <w:sz w:val="19"/>
                <w:szCs w:val="19"/>
              </w:rPr>
              <w:t>NBA funded; price is confidential.</w:t>
            </w:r>
          </w:p>
        </w:tc>
      </w:tr>
    </w:tbl>
    <w:p w14:paraId="3E9624EB" w14:textId="10264EB5" w:rsidR="00FD1239" w:rsidRDefault="00FD1239" w:rsidP="00FD1239">
      <w:pPr>
        <w:rPr>
          <w:rFonts w:ascii="Arial Narrow" w:eastAsia="Calibri" w:hAnsi="Arial Narrow"/>
          <w:sz w:val="18"/>
          <w:lang w:eastAsia="en-US"/>
        </w:rPr>
      </w:pPr>
      <w:r w:rsidRPr="00417CAE">
        <w:rPr>
          <w:rFonts w:ascii="Arial Narrow" w:eastAsia="Calibri" w:hAnsi="Arial Narrow"/>
          <w:b/>
          <w:sz w:val="18"/>
          <w:lang w:eastAsia="en-US"/>
        </w:rPr>
        <w:t>Source</w:t>
      </w:r>
      <w:r w:rsidRPr="00DA3C6E">
        <w:rPr>
          <w:rFonts w:ascii="Arial Narrow" w:eastAsia="Calibri" w:hAnsi="Arial Narrow"/>
          <w:sz w:val="18"/>
          <w:lang w:eastAsia="en-US"/>
        </w:rPr>
        <w:t xml:space="preserve">: </w:t>
      </w:r>
      <w:r w:rsidR="000A12A3">
        <w:rPr>
          <w:rFonts w:ascii="Arial Narrow" w:eastAsia="Calibri" w:hAnsi="Arial Narrow"/>
          <w:sz w:val="18"/>
          <w:lang w:eastAsia="en-US"/>
        </w:rPr>
        <w:t>1590 DCAR</w:t>
      </w:r>
      <w:r>
        <w:rPr>
          <w:rFonts w:ascii="Arial Narrow" w:eastAsia="Calibri" w:hAnsi="Arial Narrow"/>
          <w:sz w:val="18"/>
          <w:lang w:eastAsia="en-US"/>
        </w:rPr>
        <w:t>, Table 2 (</w:t>
      </w:r>
      <w:r w:rsidRPr="00DA3C6E">
        <w:rPr>
          <w:rFonts w:ascii="Arial Narrow" w:eastAsia="Calibri" w:hAnsi="Arial Narrow"/>
          <w:sz w:val="18"/>
          <w:lang w:eastAsia="en-US"/>
        </w:rPr>
        <w:t xml:space="preserve">NBA website; </w:t>
      </w:r>
      <w:hyperlink r:id="rId13" w:tooltip="Link to the National Blood Authority website - National product list" w:history="1">
        <w:r w:rsidRPr="00DA3C6E">
          <w:rPr>
            <w:rStyle w:val="Hyperlink"/>
            <w:rFonts w:ascii="Arial Narrow" w:eastAsia="Calibri" w:hAnsi="Arial Narrow"/>
            <w:sz w:val="18"/>
            <w:lang w:eastAsia="en-US"/>
          </w:rPr>
          <w:t>https://www.blood.gov.au/national-product-list</w:t>
        </w:r>
      </w:hyperlink>
      <w:r w:rsidRPr="00DA3C6E">
        <w:rPr>
          <w:rFonts w:ascii="Arial Narrow" w:eastAsia="Calibri" w:hAnsi="Arial Narrow"/>
          <w:sz w:val="18"/>
          <w:lang w:eastAsia="en-US"/>
        </w:rPr>
        <w:t>, accessed 26 February 2020.</w:t>
      </w:r>
      <w:r>
        <w:rPr>
          <w:rFonts w:ascii="Arial Narrow" w:eastAsia="Calibri" w:hAnsi="Arial Narrow"/>
          <w:sz w:val="18"/>
          <w:lang w:eastAsia="en-US"/>
        </w:rPr>
        <w:t>)</w:t>
      </w:r>
    </w:p>
    <w:p w14:paraId="2113291C" w14:textId="77777777" w:rsidR="00FD1239" w:rsidRPr="00DA3C6E" w:rsidRDefault="00FD1239" w:rsidP="00FD1239">
      <w:pPr>
        <w:rPr>
          <w:rFonts w:ascii="Arial Narrow" w:eastAsia="Calibri" w:hAnsi="Arial Narrow"/>
          <w:sz w:val="18"/>
          <w:lang w:eastAsia="en-US"/>
        </w:rPr>
      </w:pPr>
      <w:r w:rsidRPr="00DA3C6E">
        <w:rPr>
          <w:rFonts w:ascii="Arial Narrow" w:eastAsia="Calibri" w:hAnsi="Arial Narrow"/>
          <w:sz w:val="18"/>
          <w:lang w:eastAsia="en-US"/>
        </w:rPr>
        <w:t xml:space="preserve">Abbreviations: Intravenous Ig = intravenous immunoglobulin; MMN = multifocal motor neuropathy; NA= not available; NBA = National Blood Authority; TBA = to be announced; TGA = Therapeutic Goods Association. </w:t>
      </w:r>
    </w:p>
    <w:p w14:paraId="771CD390" w14:textId="77777777" w:rsidR="00FD1239" w:rsidRDefault="00FD1239" w:rsidP="00FD1239">
      <w:pPr>
        <w:rPr>
          <w:rFonts w:ascii="Arial Narrow" w:eastAsia="Calibri" w:hAnsi="Arial Narrow"/>
          <w:sz w:val="18"/>
          <w:lang w:eastAsia="en-US"/>
        </w:rPr>
      </w:pPr>
      <w:r w:rsidRPr="00DA3C6E">
        <w:rPr>
          <w:rFonts w:ascii="Arial Narrow" w:eastAsia="Calibri" w:hAnsi="Arial Narrow"/>
          <w:sz w:val="18"/>
          <w:lang w:eastAsia="en-US"/>
        </w:rPr>
        <w:t xml:space="preserve">Note: </w:t>
      </w:r>
      <w:r w:rsidRPr="00DA3C6E">
        <w:rPr>
          <w:rFonts w:ascii="Arial Narrow" w:eastAsia="Calibri" w:hAnsi="Arial Narrow"/>
          <w:sz w:val="18"/>
          <w:vertAlign w:val="superscript"/>
          <w:lang w:eastAsia="en-US"/>
        </w:rPr>
        <w:t>1</w:t>
      </w:r>
      <w:r w:rsidRPr="00DA3C6E">
        <w:rPr>
          <w:rFonts w:ascii="Arial Narrow" w:eastAsia="Calibri" w:hAnsi="Arial Narrow"/>
          <w:sz w:val="18"/>
          <w:lang w:eastAsia="en-US"/>
        </w:rPr>
        <w:t>The price does not include the starting plasma provided to CSL by the Australian Red Cross Blood Service.</w:t>
      </w:r>
    </w:p>
    <w:p w14:paraId="27ED2497" w14:textId="77777777" w:rsidR="00BC1364" w:rsidRPr="00F715D1" w:rsidRDefault="00BC1364" w:rsidP="00F715D1">
      <w:pPr>
        <w:pStyle w:val="Heading1"/>
      </w:pPr>
      <w:r w:rsidRPr="00F715D1">
        <w:t>Proposal for public funding</w:t>
      </w:r>
    </w:p>
    <w:p w14:paraId="7F5D08D7" w14:textId="19E2EEA6" w:rsidR="00FD1239" w:rsidRDefault="00FD1239" w:rsidP="00FD1239">
      <w:r>
        <w:t xml:space="preserve">Ig therapy for MMN is currently funded </w:t>
      </w:r>
      <w:r w:rsidRPr="00DA3C6E">
        <w:t>by the NBA</w:t>
      </w:r>
      <w:r>
        <w:t xml:space="preserve"> under the national blood supply arrangements. Ig therapy is classified as an established therapeutic role in this population, but the cost-effectiveness of this use has not been evaluated in Australia. </w:t>
      </w:r>
      <w:r w:rsidRPr="00E3331A">
        <w:t>NBA procurement of Ig is via competitive tendering an</w:t>
      </w:r>
      <w:r w:rsidR="003D4EB5">
        <w:t>d negotiation with suppliers.</w:t>
      </w:r>
    </w:p>
    <w:p w14:paraId="42DBB93A" w14:textId="1B7DD69D" w:rsidR="00FD1239" w:rsidRDefault="00FD1239" w:rsidP="003D4EB5">
      <w:pPr>
        <w:spacing w:before="240"/>
      </w:pPr>
      <w:r>
        <w:t xml:space="preserve">Clinical criteria for eligible patients to access subsidised Ig for are specified in Version 3 of the Criteria. </w:t>
      </w:r>
      <w:r>
        <w:rPr>
          <w:rFonts w:eastAsiaTheme="minorHAnsi"/>
          <w:szCs w:val="24"/>
          <w:lang w:val="en-US" w:eastAsia="en-US"/>
        </w:rPr>
        <w:t xml:space="preserve">Applications for Ig are made through the </w:t>
      </w:r>
      <w:proofErr w:type="spellStart"/>
      <w:r>
        <w:rPr>
          <w:rFonts w:eastAsiaTheme="minorHAnsi"/>
          <w:szCs w:val="24"/>
          <w:lang w:val="en-US" w:eastAsia="en-US"/>
        </w:rPr>
        <w:t>BloodSTAR</w:t>
      </w:r>
      <w:proofErr w:type="spellEnd"/>
      <w:r>
        <w:rPr>
          <w:rFonts w:eastAsiaTheme="minorHAnsi"/>
          <w:szCs w:val="24"/>
          <w:lang w:val="en-US" w:eastAsia="en-US"/>
        </w:rPr>
        <w:t xml:space="preserve"> online portal and assessed against the Criteria. </w:t>
      </w:r>
      <w:r>
        <w:t>MMN patients must be approved by meeting the qualifying criteria for either first line/maintenance treatment of MMN, or relapsed MMN i</w:t>
      </w:r>
      <w:r w:rsidR="003D4EB5">
        <w:t>n order to access the products.</w:t>
      </w:r>
    </w:p>
    <w:p w14:paraId="5F030AEC" w14:textId="5E989F2E" w:rsidR="00FD1239" w:rsidRDefault="00FD1239" w:rsidP="003D4EB5">
      <w:pPr>
        <w:spacing w:before="240"/>
      </w:pPr>
      <w:r>
        <w:t>The Criteria, including eligibility criteria are periodically updated and may be refined according to recommendations of the relevant NBA working group and subsequent approval by the JBC</w:t>
      </w:r>
      <w:r w:rsidR="00E679C6">
        <w:t>.</w:t>
      </w:r>
      <w:r>
        <w:t xml:space="preserve"> Access to Ig in this population requires an Australian Health Practitioner Regulation Agency (AHPRA) registered neurologist to </w:t>
      </w:r>
      <w:r w:rsidR="00E679C6">
        <w:t xml:space="preserve">both make the initial </w:t>
      </w:r>
      <w:r>
        <w:t>diagnos</w:t>
      </w:r>
      <w:r w:rsidR="00E679C6">
        <w:t>is</w:t>
      </w:r>
      <w:r>
        <w:t xml:space="preserve"> </w:t>
      </w:r>
      <w:r w:rsidR="00E679C6">
        <w:t xml:space="preserve">of </w:t>
      </w:r>
      <w:r>
        <w:t>MMN, and</w:t>
      </w:r>
      <w:r w:rsidR="00762E11">
        <w:t xml:space="preserve"> to carry out </w:t>
      </w:r>
      <w:r w:rsidR="00E679C6">
        <w:t xml:space="preserve">the </w:t>
      </w:r>
      <w:r w:rsidR="00762E11">
        <w:t>patient reviews</w:t>
      </w:r>
      <w:r w:rsidR="00E679C6">
        <w:t xml:space="preserve"> at </w:t>
      </w:r>
      <w:r w:rsidR="00A04A44">
        <w:t>four</w:t>
      </w:r>
      <w:r w:rsidR="00E679C6">
        <w:t xml:space="preserve"> months following initial treatment and annually </w:t>
      </w:r>
      <w:r w:rsidR="00650542">
        <w:t xml:space="preserve">following continuation </w:t>
      </w:r>
      <w:r w:rsidR="00E679C6">
        <w:t>thereafter</w:t>
      </w:r>
      <w:r w:rsidR="00762E11">
        <w:t xml:space="preserve">. </w:t>
      </w:r>
    </w:p>
    <w:p w14:paraId="7D403F00"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226C1A08" w14:textId="4008072B" w:rsidR="00FD1239" w:rsidRDefault="00FD1239" w:rsidP="00FD1239">
      <w:pPr>
        <w:tabs>
          <w:tab w:val="left" w:pos="720"/>
          <w:tab w:val="left" w:pos="1140"/>
        </w:tabs>
        <w:rPr>
          <w:szCs w:val="24"/>
        </w:rPr>
      </w:pPr>
      <w:r w:rsidRPr="004975F1">
        <w:rPr>
          <w:szCs w:val="24"/>
        </w:rPr>
        <w:t xml:space="preserve">Public consultation was undertaken on the Referral and </w:t>
      </w:r>
      <w:r w:rsidR="000A12A3">
        <w:rPr>
          <w:szCs w:val="24"/>
        </w:rPr>
        <w:t>DCAR</w:t>
      </w:r>
      <w:r w:rsidRPr="004975F1">
        <w:rPr>
          <w:szCs w:val="24"/>
        </w:rPr>
        <w:t xml:space="preserve">, and sponsor companies had an additional opportunity to comment on the PICO and provide input to the </w:t>
      </w:r>
      <w:r w:rsidR="000A12A3">
        <w:rPr>
          <w:szCs w:val="24"/>
        </w:rPr>
        <w:t>DCAR</w:t>
      </w:r>
      <w:r w:rsidRPr="004975F1">
        <w:rPr>
          <w:szCs w:val="24"/>
        </w:rPr>
        <w:t>.</w:t>
      </w:r>
    </w:p>
    <w:p w14:paraId="3F7D69D0" w14:textId="5A815508" w:rsidR="00FD1239" w:rsidRDefault="00FD1239" w:rsidP="003D4EB5">
      <w:pPr>
        <w:tabs>
          <w:tab w:val="left" w:pos="720"/>
          <w:tab w:val="left" w:pos="1140"/>
        </w:tabs>
        <w:spacing w:before="240"/>
        <w:rPr>
          <w:szCs w:val="24"/>
        </w:rPr>
      </w:pPr>
      <w:r>
        <w:rPr>
          <w:szCs w:val="24"/>
        </w:rPr>
        <w:t xml:space="preserve">No consumer responses were received for this application. Responses received from clinicians, clinical groups and sponsors were supportive of the use of Ig for patients with MMN. Clinicians noted that Ig is the standard of care for patients with MMN, and is considered to stabilise and improve the overall quality of life in these patients over the long term. Delaying treatment with Ig would result in irreversible nerve damage and reduced </w:t>
      </w:r>
      <w:proofErr w:type="spellStart"/>
      <w:r>
        <w:rPr>
          <w:szCs w:val="24"/>
        </w:rPr>
        <w:t>QoL</w:t>
      </w:r>
      <w:proofErr w:type="spellEnd"/>
      <w:r>
        <w:rPr>
          <w:szCs w:val="24"/>
        </w:rPr>
        <w:t xml:space="preserve"> for patients presenting with MMN. Noted disadvantages associated with Ig use were potential adverse events, however stakeholders generally considered any disadvantages were minimal compared with the alternative of no active treatment. </w:t>
      </w:r>
    </w:p>
    <w:p w14:paraId="47537FEE" w14:textId="2B3C3119" w:rsidR="00FD1239" w:rsidRDefault="00FD1239" w:rsidP="003D4EB5">
      <w:pPr>
        <w:tabs>
          <w:tab w:val="left" w:pos="720"/>
          <w:tab w:val="left" w:pos="1140"/>
        </w:tabs>
        <w:spacing w:before="240"/>
        <w:rPr>
          <w:szCs w:val="24"/>
        </w:rPr>
      </w:pPr>
      <w:r>
        <w:rPr>
          <w:szCs w:val="24"/>
        </w:rPr>
        <w:t xml:space="preserve">Clinicians also noted the actual number of patients treated with Ig for MMN </w:t>
      </w:r>
      <w:r w:rsidRPr="00F4420A">
        <w:rPr>
          <w:szCs w:val="24"/>
        </w:rPr>
        <w:t>(according to NBA data)</w:t>
      </w:r>
      <w:r>
        <w:rPr>
          <w:szCs w:val="24"/>
        </w:rPr>
        <w:t xml:space="preserve"> appeared high give</w:t>
      </w:r>
      <w:r w:rsidR="003D4EB5">
        <w:rPr>
          <w:szCs w:val="24"/>
        </w:rPr>
        <w:t>n the rarity of this condition.</w:t>
      </w:r>
    </w:p>
    <w:p w14:paraId="695FA520" w14:textId="77777777" w:rsidR="00BC1364" w:rsidRPr="00FD1239" w:rsidRDefault="00FD1239" w:rsidP="00FD1239">
      <w:pPr>
        <w:tabs>
          <w:tab w:val="left" w:pos="720"/>
          <w:tab w:val="left" w:pos="1140"/>
        </w:tabs>
        <w:rPr>
          <w:szCs w:val="24"/>
        </w:rPr>
      </w:pPr>
      <w:r>
        <w:rPr>
          <w:szCs w:val="24"/>
        </w:rPr>
        <w:lastRenderedPageBreak/>
        <w:t xml:space="preserve">One sponsor company raised concerns regarding the modelled economic assumptions, including the use of a constant utility over time in the BSC arm and a high adverse event rate for pulmonary embolism associated with </w:t>
      </w:r>
      <w:proofErr w:type="spellStart"/>
      <w:r>
        <w:rPr>
          <w:szCs w:val="24"/>
        </w:rPr>
        <w:t>IVIg</w:t>
      </w:r>
      <w:proofErr w:type="spellEnd"/>
      <w:r>
        <w:rPr>
          <w:szCs w:val="24"/>
        </w:rPr>
        <w:t>.</w:t>
      </w:r>
    </w:p>
    <w:p w14:paraId="154EAA66" w14:textId="77777777" w:rsidR="00BC1364" w:rsidRPr="00F715D1" w:rsidRDefault="00BC1364" w:rsidP="00F715D1">
      <w:pPr>
        <w:pStyle w:val="Heading1"/>
      </w:pPr>
      <w:r w:rsidRPr="00F715D1">
        <w:t>Proposed intervention’s place in clinical management</w:t>
      </w:r>
    </w:p>
    <w:p w14:paraId="05EBC281" w14:textId="77777777" w:rsidR="00CF4E81" w:rsidRDefault="00CF4E81" w:rsidP="00F715D1">
      <w:pPr>
        <w:spacing w:after="240"/>
        <w:rPr>
          <w:b/>
          <w:szCs w:val="24"/>
        </w:rPr>
      </w:pPr>
      <w:r w:rsidRPr="00CF4E81">
        <w:rPr>
          <w:b/>
          <w:szCs w:val="24"/>
        </w:rPr>
        <w:t>Description of Proposed Intervention</w:t>
      </w:r>
    </w:p>
    <w:p w14:paraId="2BA379DD" w14:textId="117456C6" w:rsidR="00FD1239" w:rsidRPr="003D4EB5" w:rsidRDefault="00FD1239" w:rsidP="00FD1239">
      <w:pPr>
        <w:tabs>
          <w:tab w:val="left" w:pos="720"/>
          <w:tab w:val="left" w:pos="1140"/>
        </w:tabs>
        <w:rPr>
          <w:szCs w:val="24"/>
        </w:rPr>
      </w:pPr>
      <w:r>
        <w:rPr>
          <w:szCs w:val="24"/>
        </w:rPr>
        <w:t xml:space="preserve">This referral is for immunoglobulin (Ig) used </w:t>
      </w:r>
      <w:r w:rsidRPr="003E6820">
        <w:rPr>
          <w:szCs w:val="24"/>
        </w:rPr>
        <w:t>as immunomodulation therapy.</w:t>
      </w:r>
    </w:p>
    <w:p w14:paraId="3986CF01" w14:textId="77777777" w:rsidR="00FD1239" w:rsidRPr="00CF4E81" w:rsidRDefault="00FD1239" w:rsidP="003D4EB5">
      <w:pPr>
        <w:spacing w:before="240" w:after="240"/>
        <w:rPr>
          <w:b/>
          <w:szCs w:val="24"/>
        </w:rPr>
      </w:pPr>
      <w:r>
        <w:t xml:space="preserve">Ig is a </w:t>
      </w:r>
      <w:r w:rsidRPr="006E3FA3">
        <w:t>plasma-derived product manufactured to treat a range of medical conditions. Access to government-funded Ig is through the national blood arrangements and is determined by the NBA’s C</w:t>
      </w:r>
      <w:r w:rsidRPr="006E3FA3">
        <w:rPr>
          <w:i/>
          <w:iCs/>
        </w:rPr>
        <w:t xml:space="preserve">riteria for Clinical Use of Immunoglobulin in Australia </w:t>
      </w:r>
      <w:r w:rsidRPr="006E3FA3">
        <w:rPr>
          <w:iCs/>
        </w:rPr>
        <w:t>(the Criteria)</w:t>
      </w:r>
      <w:r>
        <w:rPr>
          <w:rStyle w:val="FootnoteReference"/>
          <w:iCs/>
        </w:rPr>
        <w:footnoteReference w:id="1"/>
      </w:r>
      <w:r w:rsidRPr="006E3FA3">
        <w:t xml:space="preserve">. </w:t>
      </w:r>
      <w:r>
        <w:t>Ig</w:t>
      </w:r>
      <w:r w:rsidRPr="002810ED">
        <w:t xml:space="preserve"> act</w:t>
      </w:r>
      <w:r>
        <w:t>s</w:t>
      </w:r>
      <w:r w:rsidRPr="002810ED">
        <w:t xml:space="preserve"> as an </w:t>
      </w:r>
      <w:r>
        <w:t>immune modulator in the treatment of patients with MMN</w:t>
      </w:r>
      <w:r w:rsidRPr="002810ED">
        <w:t xml:space="preserve">, although the exact mechanism of action </w:t>
      </w:r>
      <w:r>
        <w:t xml:space="preserve">is not yet fully understood. </w:t>
      </w:r>
      <w:r>
        <w:rPr>
          <w:szCs w:val="24"/>
        </w:rPr>
        <w:t>In Australia</w:t>
      </w:r>
      <w:r w:rsidRPr="006E3FA3">
        <w:rPr>
          <w:szCs w:val="24"/>
        </w:rPr>
        <w:t>, Ig for the treatment of MMN is administered intravenously only and is considered the standard of care. The subcutaneous form of Ig (</w:t>
      </w:r>
      <w:proofErr w:type="spellStart"/>
      <w:r w:rsidRPr="006E3FA3">
        <w:rPr>
          <w:szCs w:val="24"/>
        </w:rPr>
        <w:t>SCIg</w:t>
      </w:r>
      <w:proofErr w:type="spellEnd"/>
      <w:r w:rsidRPr="006E3FA3">
        <w:rPr>
          <w:szCs w:val="24"/>
        </w:rPr>
        <w:t xml:space="preserve">) is not </w:t>
      </w:r>
      <w:r>
        <w:rPr>
          <w:szCs w:val="24"/>
        </w:rPr>
        <w:t xml:space="preserve">currently </w:t>
      </w:r>
      <w:r w:rsidRPr="006E3FA3">
        <w:rPr>
          <w:szCs w:val="24"/>
        </w:rPr>
        <w:t>funded by the NBA for the treatment of MMN</w:t>
      </w:r>
      <w:r>
        <w:rPr>
          <w:szCs w:val="24"/>
        </w:rPr>
        <w:t>.</w:t>
      </w:r>
    </w:p>
    <w:p w14:paraId="03C02A4A" w14:textId="77777777" w:rsidR="00CF4E81" w:rsidRPr="00CF4E81" w:rsidRDefault="00CF4E81" w:rsidP="00CF4E81">
      <w:pPr>
        <w:autoSpaceDE w:val="0"/>
        <w:autoSpaceDN w:val="0"/>
        <w:adjustRightInd w:val="0"/>
        <w:rPr>
          <w:b/>
        </w:rPr>
      </w:pPr>
      <w:r w:rsidRPr="00CF4E81">
        <w:rPr>
          <w:b/>
        </w:rPr>
        <w:t>Description of Medical Condition(s)</w:t>
      </w:r>
    </w:p>
    <w:p w14:paraId="7E2312F3" w14:textId="77777777" w:rsidR="00FD1239" w:rsidRDefault="00FD1239" w:rsidP="00FD1239">
      <w:pPr>
        <w:tabs>
          <w:tab w:val="left" w:pos="720"/>
          <w:tab w:val="left" w:pos="1140"/>
        </w:tabs>
        <w:rPr>
          <w:szCs w:val="24"/>
        </w:rPr>
      </w:pPr>
      <w:r>
        <w:rPr>
          <w:szCs w:val="24"/>
        </w:rPr>
        <w:t>This referral includes patients with MMN who are currently eligible for Ig treatment in Australia according to Version 3 of the Criteria. Patients must be eligible under either of the two following indications:</w:t>
      </w:r>
    </w:p>
    <w:p w14:paraId="229AEBB7" w14:textId="77777777" w:rsidR="00FD1239" w:rsidRDefault="00FD1239" w:rsidP="00FD1239">
      <w:pPr>
        <w:pStyle w:val="ListParagraph"/>
        <w:numPr>
          <w:ilvl w:val="0"/>
          <w:numId w:val="29"/>
        </w:numPr>
        <w:tabs>
          <w:tab w:val="left" w:pos="720"/>
          <w:tab w:val="left" w:pos="1140"/>
        </w:tabs>
        <w:rPr>
          <w:szCs w:val="24"/>
        </w:rPr>
      </w:pPr>
      <w:r w:rsidRPr="0088568B">
        <w:rPr>
          <w:szCs w:val="24"/>
        </w:rPr>
        <w:t>First-line and maintenance therapy for multifocal motor neuropathy (MMN)</w:t>
      </w:r>
    </w:p>
    <w:p w14:paraId="5099AAFB" w14:textId="6BE0EA21" w:rsidR="00FD1239" w:rsidRPr="00BC0AF2" w:rsidRDefault="00FD1239" w:rsidP="00FD1239">
      <w:pPr>
        <w:pStyle w:val="ListParagraph"/>
        <w:numPr>
          <w:ilvl w:val="0"/>
          <w:numId w:val="29"/>
        </w:numPr>
        <w:tabs>
          <w:tab w:val="left" w:pos="720"/>
          <w:tab w:val="left" w:pos="1140"/>
        </w:tabs>
        <w:rPr>
          <w:szCs w:val="24"/>
        </w:rPr>
      </w:pPr>
      <w:r w:rsidRPr="0088568B">
        <w:rPr>
          <w:szCs w:val="24"/>
        </w:rPr>
        <w:t>Relapse of multifocal motor neuropathy (MMN) patients within six months of commencement of trial off immunoglobulin therapy</w:t>
      </w:r>
      <w:r w:rsidR="00BC0AF2">
        <w:rPr>
          <w:szCs w:val="24"/>
        </w:rPr>
        <w:t>.</w:t>
      </w:r>
    </w:p>
    <w:p w14:paraId="0D29965A" w14:textId="144990DA" w:rsidR="00FD1239" w:rsidRDefault="00FD1239" w:rsidP="00BC0AF2">
      <w:pPr>
        <w:tabs>
          <w:tab w:val="left" w:pos="720"/>
          <w:tab w:val="left" w:pos="1140"/>
        </w:tabs>
        <w:spacing w:before="240"/>
        <w:rPr>
          <w:szCs w:val="24"/>
        </w:rPr>
      </w:pPr>
      <w:r w:rsidRPr="007553A0">
        <w:rPr>
          <w:szCs w:val="24"/>
        </w:rPr>
        <w:t>MMN is a rare motor neuropathy characterised by motor deficits that present as slowly progressive, predominantly distal, asymmetrical limb weakness without associated sensory loss</w:t>
      </w:r>
      <w:r>
        <w:rPr>
          <w:szCs w:val="24"/>
        </w:rPr>
        <w:t xml:space="preserve">. </w:t>
      </w:r>
      <w:r w:rsidRPr="007553A0">
        <w:rPr>
          <w:szCs w:val="24"/>
        </w:rPr>
        <w:t xml:space="preserve">Weakness often begins in the arms and the combination of weakness, wasting, cramps and fasciculation may mimic motor neuron disease. </w:t>
      </w:r>
      <w:r>
        <w:rPr>
          <w:szCs w:val="24"/>
        </w:rPr>
        <w:t xml:space="preserve">If left untreated, the </w:t>
      </w:r>
      <w:r w:rsidRPr="007553A0">
        <w:rPr>
          <w:szCs w:val="24"/>
        </w:rPr>
        <w:t xml:space="preserve">quality of life of patients </w:t>
      </w:r>
      <w:r>
        <w:rPr>
          <w:szCs w:val="24"/>
        </w:rPr>
        <w:t xml:space="preserve">with MMN </w:t>
      </w:r>
      <w:r w:rsidRPr="007553A0">
        <w:rPr>
          <w:szCs w:val="24"/>
        </w:rPr>
        <w:t xml:space="preserve">continues to deteriorate </w:t>
      </w:r>
      <w:r>
        <w:rPr>
          <w:szCs w:val="24"/>
        </w:rPr>
        <w:t>as</w:t>
      </w:r>
      <w:r w:rsidRPr="007553A0">
        <w:rPr>
          <w:szCs w:val="24"/>
        </w:rPr>
        <w:t xml:space="preserve"> more nerves lose functionality over time. </w:t>
      </w:r>
      <w:r>
        <w:rPr>
          <w:szCs w:val="24"/>
        </w:rPr>
        <w:t>The DCAR states that the age of</w:t>
      </w:r>
      <w:r w:rsidRPr="00A168A9">
        <w:rPr>
          <w:szCs w:val="24"/>
        </w:rPr>
        <w:t xml:space="preserve"> disease onset is variable</w:t>
      </w:r>
      <w:r>
        <w:rPr>
          <w:szCs w:val="24"/>
        </w:rPr>
        <w:t>,</w:t>
      </w:r>
      <w:r w:rsidRPr="00A168A9">
        <w:rPr>
          <w:szCs w:val="24"/>
        </w:rPr>
        <w:t xml:space="preserve"> ranging from 15-74 years, with a mean age of onset of 41 years.</w:t>
      </w:r>
      <w:r>
        <w:rPr>
          <w:szCs w:val="24"/>
        </w:rPr>
        <w:t xml:space="preserve"> </w:t>
      </w:r>
      <w:r w:rsidR="00CF11E6">
        <w:rPr>
          <w:szCs w:val="24"/>
        </w:rPr>
        <w:t xml:space="preserve">The diagnosis of MMN has been standardised per the guideline of the </w:t>
      </w:r>
      <w:r w:rsidR="00CF11E6">
        <w:t>European Federation of Neurological Societies/Peripheral Nerve Society.</w:t>
      </w:r>
      <w:r w:rsidR="00FB1FCF">
        <w:rPr>
          <w:rStyle w:val="FootnoteReference"/>
        </w:rPr>
        <w:footnoteReference w:id="2"/>
      </w:r>
    </w:p>
    <w:p w14:paraId="4BD08C00" w14:textId="195493D0" w:rsidR="00FD1239" w:rsidRPr="00BC0AF2" w:rsidRDefault="00FD1239" w:rsidP="00BC0AF2">
      <w:pPr>
        <w:tabs>
          <w:tab w:val="left" w:pos="720"/>
          <w:tab w:val="left" w:pos="1140"/>
        </w:tabs>
        <w:spacing w:before="240"/>
        <w:rPr>
          <w:rFonts w:eastAsia="Calibri"/>
          <w:lang w:eastAsia="en-US"/>
        </w:rPr>
      </w:pPr>
      <w:r w:rsidRPr="00DA3C6E">
        <w:rPr>
          <w:rFonts w:eastAsia="Calibri"/>
          <w:lang w:eastAsia="en-US"/>
        </w:rPr>
        <w:t xml:space="preserve">There are currently no epidemiological data available for MMN in Australia. </w:t>
      </w:r>
      <w:r>
        <w:rPr>
          <w:rFonts w:eastAsia="Calibri"/>
          <w:lang w:eastAsia="en-US"/>
        </w:rPr>
        <w:t>The DCAR</w:t>
      </w:r>
      <w:r w:rsidRPr="00DA3C6E">
        <w:rPr>
          <w:rFonts w:eastAsia="Calibri"/>
          <w:lang w:eastAsia="en-US"/>
        </w:rPr>
        <w:t xml:space="preserve"> used the population-based prevalence rate estimates for M</w:t>
      </w:r>
      <w:r>
        <w:rPr>
          <w:rFonts w:eastAsia="Calibri"/>
          <w:lang w:eastAsia="en-US"/>
        </w:rPr>
        <w:t>MN reported by Cats et al. 2010</w:t>
      </w:r>
      <w:r w:rsidRPr="00DA3C6E">
        <w:rPr>
          <w:rFonts w:eastAsia="Calibri"/>
          <w:lang w:eastAsia="en-US"/>
        </w:rPr>
        <w:t xml:space="preserve"> as a proxy to project the number of Australians likely to be living with MMN. This prevalence estimate was recommended by the Ig Review Reference Group because the study was conducted in a systematic way and their findings are widely used, </w:t>
      </w:r>
      <w:r>
        <w:rPr>
          <w:rFonts w:eastAsia="Calibri"/>
          <w:lang w:eastAsia="en-US"/>
        </w:rPr>
        <w:t xml:space="preserve">and </w:t>
      </w:r>
      <w:r w:rsidRPr="00DA3C6E">
        <w:rPr>
          <w:rFonts w:eastAsia="Calibri"/>
          <w:lang w:eastAsia="en-US"/>
        </w:rPr>
        <w:t>t</w:t>
      </w:r>
      <w:r>
        <w:rPr>
          <w:rFonts w:eastAsia="Calibri"/>
          <w:lang w:eastAsia="en-US"/>
        </w:rPr>
        <w:t>he clinical criteria used</w:t>
      </w:r>
      <w:r w:rsidRPr="00DA3C6E">
        <w:rPr>
          <w:rFonts w:eastAsia="Calibri"/>
          <w:lang w:eastAsia="en-US"/>
        </w:rPr>
        <w:t xml:space="preserve"> </w:t>
      </w:r>
      <w:r>
        <w:rPr>
          <w:rFonts w:eastAsia="Calibri"/>
          <w:lang w:eastAsia="en-US"/>
        </w:rPr>
        <w:t>in the</w:t>
      </w:r>
      <w:r w:rsidRPr="00DA3C6E">
        <w:rPr>
          <w:rFonts w:eastAsia="Calibri"/>
          <w:lang w:eastAsia="en-US"/>
        </w:rPr>
        <w:t xml:space="preserve"> study were consistent with the qualifying criteria (The Criteria V3) for intravenous Ig therapy for MMN used in Australia. The estimated prevalence rate</w:t>
      </w:r>
      <w:r>
        <w:rPr>
          <w:rFonts w:eastAsia="Calibri"/>
          <w:lang w:eastAsia="en-US"/>
        </w:rPr>
        <w:t xml:space="preserve"> (0.6 cases per 100,000 population)</w:t>
      </w:r>
      <w:r w:rsidRPr="00DA3C6E">
        <w:rPr>
          <w:rFonts w:eastAsia="Calibri"/>
          <w:lang w:eastAsia="en-US"/>
        </w:rPr>
        <w:t xml:space="preserve"> from Cats et al. 2010 was applied to an estimate of the Australian population as at Jun</w:t>
      </w:r>
      <w:r>
        <w:rPr>
          <w:rFonts w:eastAsia="Calibri"/>
          <w:lang w:eastAsia="en-US"/>
        </w:rPr>
        <w:t>e 2019 of 25,364,307</w:t>
      </w:r>
      <w:r w:rsidRPr="00DA3C6E">
        <w:rPr>
          <w:rFonts w:eastAsia="Calibri"/>
          <w:lang w:eastAsia="en-US"/>
        </w:rPr>
        <w:t xml:space="preserve">. </w:t>
      </w:r>
      <w:r>
        <w:rPr>
          <w:rFonts w:eastAsia="Calibri"/>
          <w:lang w:eastAsia="en-US"/>
        </w:rPr>
        <w:t>This would equate</w:t>
      </w:r>
      <w:r w:rsidRPr="00DA3C6E">
        <w:rPr>
          <w:rFonts w:eastAsia="Calibri"/>
          <w:lang w:eastAsia="en-US"/>
        </w:rPr>
        <w:t xml:space="preserve"> to 152 patients </w:t>
      </w:r>
      <w:r>
        <w:rPr>
          <w:rFonts w:eastAsia="Calibri"/>
          <w:lang w:eastAsia="en-US"/>
        </w:rPr>
        <w:t xml:space="preserve">in Australia </w:t>
      </w:r>
      <w:r w:rsidRPr="00DA3C6E">
        <w:rPr>
          <w:rFonts w:eastAsia="Calibri"/>
          <w:lang w:eastAsia="en-US"/>
        </w:rPr>
        <w:t xml:space="preserve">with a definite MMN diagnosis </w:t>
      </w:r>
      <w:r>
        <w:rPr>
          <w:rFonts w:eastAsia="Calibri"/>
          <w:lang w:eastAsia="en-US"/>
        </w:rPr>
        <w:t>and</w:t>
      </w:r>
      <w:r w:rsidRPr="00DA3C6E">
        <w:rPr>
          <w:rFonts w:eastAsia="Calibri"/>
          <w:lang w:eastAsia="en-US"/>
        </w:rPr>
        <w:t xml:space="preserve"> </w:t>
      </w:r>
      <w:r>
        <w:rPr>
          <w:rFonts w:eastAsia="Calibri"/>
          <w:lang w:eastAsia="en-US"/>
        </w:rPr>
        <w:t>is much fewer than</w:t>
      </w:r>
      <w:r w:rsidRPr="00DA3C6E">
        <w:rPr>
          <w:rFonts w:eastAsia="Calibri"/>
          <w:lang w:eastAsia="en-US"/>
        </w:rPr>
        <w:t xml:space="preserve"> </w:t>
      </w:r>
      <w:r>
        <w:rPr>
          <w:rFonts w:eastAsia="Calibri"/>
          <w:lang w:eastAsia="en-US"/>
        </w:rPr>
        <w:t>the number of patients receiving Ig for MMN according to</w:t>
      </w:r>
      <w:r w:rsidRPr="00DA3C6E">
        <w:rPr>
          <w:rFonts w:eastAsia="Calibri"/>
          <w:lang w:eastAsia="en-US"/>
        </w:rPr>
        <w:t xml:space="preserve"> data provided by the NBA</w:t>
      </w:r>
      <w:r>
        <w:rPr>
          <w:rFonts w:eastAsia="Calibri"/>
          <w:lang w:eastAsia="en-US"/>
        </w:rPr>
        <w:t xml:space="preserve"> (596 patients in the period 2018-19)</w:t>
      </w:r>
      <w:r w:rsidRPr="00DA3C6E">
        <w:rPr>
          <w:rFonts w:eastAsia="Calibri"/>
          <w:lang w:eastAsia="en-US"/>
        </w:rPr>
        <w:t>. The</w:t>
      </w:r>
      <w:r>
        <w:rPr>
          <w:rFonts w:eastAsia="Calibri"/>
          <w:lang w:eastAsia="en-US"/>
        </w:rPr>
        <w:t xml:space="preserve"> DCAR notes that</w:t>
      </w:r>
      <w:r w:rsidRPr="00DA3C6E">
        <w:rPr>
          <w:rFonts w:eastAsia="Calibri"/>
          <w:lang w:eastAsia="en-US"/>
        </w:rPr>
        <w:t xml:space="preserve"> </w:t>
      </w:r>
      <w:r>
        <w:rPr>
          <w:rFonts w:eastAsia="Calibri"/>
          <w:lang w:eastAsia="en-US"/>
        </w:rPr>
        <w:t>this difference</w:t>
      </w:r>
      <w:r w:rsidRPr="00DA3C6E">
        <w:rPr>
          <w:rFonts w:eastAsia="Calibri"/>
          <w:lang w:eastAsia="en-US"/>
        </w:rPr>
        <w:t xml:space="preserve"> could be partly explained due to patients</w:t>
      </w:r>
      <w:r w:rsidR="0076595D">
        <w:rPr>
          <w:rFonts w:eastAsia="Calibri"/>
          <w:lang w:eastAsia="en-US"/>
        </w:rPr>
        <w:t xml:space="preserve"> being</w:t>
      </w:r>
      <w:r w:rsidRPr="00DA3C6E">
        <w:rPr>
          <w:rFonts w:eastAsia="Calibri"/>
          <w:lang w:eastAsia="en-US"/>
        </w:rPr>
        <w:t xml:space="preserve"> treated according to The Criteria V2 having been categorised in all the diagnostic categories of </w:t>
      </w:r>
      <w:r w:rsidRPr="00DA3C6E">
        <w:rPr>
          <w:rFonts w:eastAsia="Calibri"/>
          <w:lang w:eastAsia="en-US"/>
        </w:rPr>
        <w:lastRenderedPageBreak/>
        <w:t xml:space="preserve">MMN: definite, probable and possible. </w:t>
      </w:r>
      <w:r>
        <w:rPr>
          <w:rFonts w:eastAsia="Calibri"/>
          <w:lang w:eastAsia="en-US"/>
        </w:rPr>
        <w:t>It</w:t>
      </w:r>
      <w:r w:rsidRPr="00DA3C6E">
        <w:rPr>
          <w:rFonts w:eastAsia="Calibri"/>
          <w:lang w:eastAsia="en-US"/>
        </w:rPr>
        <w:t xml:space="preserve"> could also be a result of misdiagnosi</w:t>
      </w:r>
      <w:r w:rsidR="00A7101E">
        <w:rPr>
          <w:rFonts w:eastAsia="Calibri"/>
          <w:lang w:eastAsia="en-US"/>
        </w:rPr>
        <w:t>s</w:t>
      </w:r>
      <w:r w:rsidRPr="00DA3C6E">
        <w:rPr>
          <w:rFonts w:eastAsia="Calibri"/>
          <w:lang w:eastAsia="en-US"/>
        </w:rPr>
        <w:t xml:space="preserve"> </w:t>
      </w:r>
      <w:r>
        <w:rPr>
          <w:rFonts w:eastAsia="Calibri"/>
          <w:lang w:eastAsia="en-US"/>
        </w:rPr>
        <w:t>(e.g. motor neurone disease</w:t>
      </w:r>
      <w:r w:rsidRPr="00DA3C6E">
        <w:rPr>
          <w:rFonts w:eastAsia="Calibri"/>
          <w:lang w:eastAsia="en-US"/>
        </w:rPr>
        <w:t xml:space="preserve"> as MMN</w:t>
      </w:r>
      <w:r>
        <w:rPr>
          <w:rFonts w:eastAsia="Calibri"/>
          <w:lang w:eastAsia="en-US"/>
        </w:rPr>
        <w:t>)</w:t>
      </w:r>
      <w:r w:rsidRPr="001522F1">
        <w:rPr>
          <w:rFonts w:eastAsia="Calibri"/>
          <w:lang w:eastAsia="en-US"/>
        </w:rPr>
        <w:t xml:space="preserve"> </w:t>
      </w:r>
      <w:r w:rsidR="00A7101E">
        <w:rPr>
          <w:rFonts w:eastAsia="Calibri"/>
          <w:lang w:eastAsia="en-US"/>
        </w:rPr>
        <w:t xml:space="preserve">or misclassification </w:t>
      </w:r>
      <w:r w:rsidRPr="00DA3C6E">
        <w:rPr>
          <w:rFonts w:eastAsia="Calibri"/>
          <w:lang w:eastAsia="en-US"/>
        </w:rPr>
        <w:t xml:space="preserve">potentially representing </w:t>
      </w:r>
      <w:r>
        <w:rPr>
          <w:rFonts w:eastAsia="Calibri"/>
          <w:lang w:eastAsia="en-US"/>
        </w:rPr>
        <w:t xml:space="preserve">Ig </w:t>
      </w:r>
      <w:r w:rsidRPr="00DA3C6E">
        <w:rPr>
          <w:rFonts w:eastAsia="Calibri"/>
          <w:lang w:eastAsia="en-US"/>
        </w:rPr>
        <w:t>use in a non-MMN population</w:t>
      </w:r>
      <w:r w:rsidR="00A7101E">
        <w:rPr>
          <w:rFonts w:eastAsia="Calibri"/>
          <w:lang w:eastAsia="en-US"/>
        </w:rPr>
        <w:t xml:space="preserve"> being encompassed under the use for MMN</w:t>
      </w:r>
      <w:r>
        <w:rPr>
          <w:rFonts w:eastAsia="Calibri"/>
          <w:lang w:eastAsia="en-US"/>
        </w:rPr>
        <w:t>.</w:t>
      </w:r>
    </w:p>
    <w:p w14:paraId="2D66E205" w14:textId="4E6EE38D" w:rsidR="00067458" w:rsidRPr="00BC0AF2" w:rsidRDefault="00FD1239" w:rsidP="00BC0AF2">
      <w:pPr>
        <w:autoSpaceDE w:val="0"/>
        <w:autoSpaceDN w:val="0"/>
        <w:adjustRightInd w:val="0"/>
        <w:spacing w:before="240"/>
        <w:rPr>
          <w:szCs w:val="24"/>
        </w:rPr>
      </w:pPr>
      <w:r>
        <w:rPr>
          <w:szCs w:val="24"/>
        </w:rPr>
        <w:t>The DCAR notes that due to the</w:t>
      </w:r>
      <w:r w:rsidRPr="00A168A9">
        <w:rPr>
          <w:szCs w:val="24"/>
        </w:rPr>
        <w:t xml:space="preserve"> risk of misd</w:t>
      </w:r>
      <w:r>
        <w:rPr>
          <w:szCs w:val="24"/>
        </w:rPr>
        <w:t>iagnosis and/or under diagnosis, prevalence estimates</w:t>
      </w:r>
      <w:r w:rsidRPr="00A168A9">
        <w:rPr>
          <w:szCs w:val="24"/>
        </w:rPr>
        <w:t xml:space="preserve"> should be interpreted with caution.</w:t>
      </w:r>
    </w:p>
    <w:p w14:paraId="0894D861" w14:textId="00EB7243" w:rsidR="00BC0AF2" w:rsidRPr="00BC0AF2" w:rsidRDefault="00067458" w:rsidP="00BC0AF2">
      <w:pPr>
        <w:spacing w:before="240"/>
        <w:rPr>
          <w:rFonts w:eastAsia="Calibri"/>
          <w:lang w:eastAsia="en-US"/>
        </w:rPr>
      </w:pPr>
      <w:r w:rsidRPr="00DA3C6E">
        <w:rPr>
          <w:rFonts w:eastAsia="Calibri"/>
          <w:lang w:eastAsia="en-US"/>
        </w:rPr>
        <w:t xml:space="preserve">The clinical management algorithm for the initial and maintenance use of intravenous Ig </w:t>
      </w:r>
      <w:r>
        <w:rPr>
          <w:rFonts w:eastAsia="Calibri"/>
          <w:lang w:eastAsia="en-US"/>
        </w:rPr>
        <w:t>developed during the PICO Confirmation for each indication are presented at</w:t>
      </w:r>
      <w:r w:rsidRPr="00DA3C6E">
        <w:rPr>
          <w:rFonts w:eastAsia="Calibri"/>
          <w:lang w:eastAsia="en-US"/>
        </w:rPr>
        <w:t xml:space="preserve"> </w:t>
      </w:r>
      <w:r w:rsidR="00FF12D5" w:rsidRPr="00FF12D5">
        <w:rPr>
          <w:rFonts w:eastAsia="Calibri"/>
          <w:szCs w:val="24"/>
          <w:lang w:eastAsia="en-US"/>
        </w:rPr>
        <w:fldChar w:fldCharType="begin"/>
      </w:r>
      <w:r w:rsidR="00FF12D5" w:rsidRPr="00FF12D5">
        <w:rPr>
          <w:rFonts w:eastAsia="Calibri"/>
          <w:szCs w:val="24"/>
          <w:lang w:eastAsia="en-US"/>
        </w:rPr>
        <w:instrText xml:space="preserve"> REF _Ref50556278 \h  \* MERGEFORMAT </w:instrText>
      </w:r>
      <w:r w:rsidR="00FF12D5" w:rsidRPr="00FF12D5">
        <w:rPr>
          <w:rFonts w:eastAsia="Calibri"/>
          <w:szCs w:val="24"/>
          <w:lang w:eastAsia="en-US"/>
        </w:rPr>
      </w:r>
      <w:r w:rsidR="00FF12D5" w:rsidRPr="00FF12D5">
        <w:rPr>
          <w:rFonts w:eastAsia="Calibri"/>
          <w:szCs w:val="24"/>
          <w:lang w:eastAsia="en-US"/>
        </w:rPr>
        <w:fldChar w:fldCharType="separate"/>
      </w:r>
      <w:r w:rsidR="00123232" w:rsidRPr="00123232">
        <w:rPr>
          <w:szCs w:val="24"/>
        </w:rPr>
        <w:t>Figure 1</w:t>
      </w:r>
      <w:r w:rsidR="00FF12D5" w:rsidRPr="00FF12D5">
        <w:rPr>
          <w:rFonts w:eastAsia="Calibri"/>
          <w:szCs w:val="24"/>
          <w:lang w:eastAsia="en-US"/>
        </w:rPr>
        <w:fldChar w:fldCharType="end"/>
      </w:r>
      <w:r w:rsidRPr="00FF12D5">
        <w:rPr>
          <w:rFonts w:eastAsia="Calibri"/>
          <w:szCs w:val="24"/>
          <w:lang w:eastAsia="en-US"/>
        </w:rPr>
        <w:t xml:space="preserve"> </w:t>
      </w:r>
      <w:r w:rsidRPr="00DA3C6E">
        <w:rPr>
          <w:rFonts w:eastAsia="Calibri"/>
          <w:lang w:eastAsia="en-US"/>
        </w:rPr>
        <w:t>and</w:t>
      </w:r>
      <w:r>
        <w:rPr>
          <w:rFonts w:eastAsia="Calibri"/>
          <w:lang w:eastAsia="en-US"/>
        </w:rPr>
        <w:t xml:space="preserve"> </w:t>
      </w:r>
      <w:r w:rsidR="000957C2" w:rsidRPr="00123232">
        <w:rPr>
          <w:rFonts w:eastAsia="Calibri"/>
          <w:szCs w:val="24"/>
          <w:lang w:eastAsia="en-US"/>
        </w:rPr>
        <w:fldChar w:fldCharType="begin"/>
      </w:r>
      <w:r w:rsidR="000957C2" w:rsidRPr="00123232">
        <w:rPr>
          <w:rFonts w:eastAsia="Calibri"/>
          <w:szCs w:val="24"/>
          <w:lang w:eastAsia="en-US"/>
        </w:rPr>
        <w:instrText xml:space="preserve"> REF _Ref25846112 \h </w:instrText>
      </w:r>
      <w:r w:rsidR="000957C2" w:rsidRPr="00123232">
        <w:rPr>
          <w:rFonts w:eastAsia="Calibri"/>
          <w:szCs w:val="24"/>
          <w:lang w:eastAsia="en-US"/>
        </w:rPr>
      </w:r>
      <w:r w:rsidR="00123232" w:rsidRPr="00123232">
        <w:rPr>
          <w:rFonts w:eastAsia="Calibri"/>
          <w:szCs w:val="24"/>
          <w:lang w:eastAsia="en-US"/>
        </w:rPr>
        <w:instrText xml:space="preserve"> \* MERGEFORMAT </w:instrText>
      </w:r>
      <w:r w:rsidR="000957C2" w:rsidRPr="00123232">
        <w:rPr>
          <w:rFonts w:eastAsia="Calibri"/>
          <w:szCs w:val="24"/>
          <w:lang w:eastAsia="en-US"/>
        </w:rPr>
        <w:fldChar w:fldCharType="separate"/>
      </w:r>
      <w:r w:rsidR="00123232" w:rsidRPr="00123232">
        <w:rPr>
          <w:szCs w:val="24"/>
        </w:rPr>
        <w:t xml:space="preserve">Figure </w:t>
      </w:r>
      <w:r w:rsidR="00123232" w:rsidRPr="00123232">
        <w:rPr>
          <w:noProof/>
          <w:szCs w:val="24"/>
        </w:rPr>
        <w:t>2</w:t>
      </w:r>
      <w:r w:rsidR="000957C2" w:rsidRPr="00123232">
        <w:rPr>
          <w:rFonts w:eastAsia="Calibri"/>
          <w:szCs w:val="24"/>
          <w:lang w:eastAsia="en-US"/>
        </w:rPr>
        <w:fldChar w:fldCharType="end"/>
      </w:r>
      <w:r>
        <w:rPr>
          <w:rFonts w:eastAsia="Calibri"/>
          <w:lang w:eastAsia="en-US"/>
        </w:rPr>
        <w:t>.</w:t>
      </w:r>
      <w:bookmarkStart w:id="2" w:name="_Ref25846098"/>
      <w:bookmarkStart w:id="3" w:name="_Toc30497509"/>
      <w:bookmarkStart w:id="4" w:name="_Toc37845863"/>
      <w:r w:rsidR="00BC0AF2">
        <w:br w:type="page"/>
      </w:r>
    </w:p>
    <w:p w14:paraId="2CFADF5E" w14:textId="5BCF5C00" w:rsidR="00067458" w:rsidRPr="009027FE" w:rsidRDefault="000957C2" w:rsidP="009027FE">
      <w:pPr>
        <w:spacing w:after="240"/>
        <w:rPr>
          <w:rFonts w:ascii="Arial Narrow" w:eastAsia="Calibri" w:hAnsi="Arial Narrow"/>
          <w:b/>
          <w:sz w:val="20"/>
        </w:rPr>
      </w:pPr>
      <w:bookmarkStart w:id="5" w:name="_Ref50556278"/>
      <w:r w:rsidRPr="009027FE">
        <w:rPr>
          <w:rFonts w:ascii="Arial Narrow" w:hAnsi="Arial Narrow"/>
          <w:b/>
          <w:sz w:val="20"/>
        </w:rPr>
        <w:lastRenderedPageBreak/>
        <w:t xml:space="preserve">Figure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Figure \* ARABIC </w:instrText>
      </w:r>
      <w:r w:rsidR="003F56BF" w:rsidRPr="009027FE">
        <w:rPr>
          <w:rFonts w:ascii="Arial Narrow" w:hAnsi="Arial Narrow"/>
          <w:b/>
          <w:sz w:val="20"/>
        </w:rPr>
        <w:fldChar w:fldCharType="separate"/>
      </w:r>
      <w:r w:rsidR="00123232">
        <w:rPr>
          <w:rFonts w:ascii="Arial Narrow" w:hAnsi="Arial Narrow"/>
          <w:b/>
          <w:noProof/>
          <w:sz w:val="20"/>
        </w:rPr>
        <w:t>1</w:t>
      </w:r>
      <w:r w:rsidR="003F56BF" w:rsidRPr="009027FE">
        <w:rPr>
          <w:rFonts w:ascii="Arial Narrow" w:hAnsi="Arial Narrow"/>
          <w:b/>
          <w:sz w:val="20"/>
        </w:rPr>
        <w:fldChar w:fldCharType="end"/>
      </w:r>
      <w:bookmarkEnd w:id="2"/>
      <w:bookmarkEnd w:id="5"/>
      <w:r w:rsidR="00067458" w:rsidRPr="009027FE">
        <w:rPr>
          <w:rFonts w:ascii="Arial Narrow" w:eastAsia="Calibri" w:hAnsi="Arial Narrow"/>
          <w:b/>
          <w:sz w:val="20"/>
        </w:rPr>
        <w:t xml:space="preserve">: </w:t>
      </w:r>
      <w:r w:rsidR="00067458" w:rsidRPr="009027FE">
        <w:rPr>
          <w:rFonts w:ascii="Arial Narrow" w:hAnsi="Arial Narrow"/>
          <w:b/>
          <w:sz w:val="20"/>
        </w:rPr>
        <w:t>Proposed clinical management algorithm: initial and maintenance treatment (continuing authorisation) to Ig under NBA for first indication.</w:t>
      </w:r>
      <w:bookmarkEnd w:id="3"/>
      <w:bookmarkEnd w:id="4"/>
    </w:p>
    <w:p w14:paraId="2F57E86D" w14:textId="77777777" w:rsidR="00067458" w:rsidRPr="00DA3C6E" w:rsidRDefault="00067458" w:rsidP="00067458">
      <w:pPr>
        <w:rPr>
          <w:rFonts w:ascii="Arial Narrow" w:eastAsia="Calibri" w:hAnsi="Arial Narrow"/>
          <w:sz w:val="18"/>
          <w:szCs w:val="18"/>
          <w:lang w:eastAsia="en-US"/>
        </w:rPr>
      </w:pPr>
      <w:r w:rsidRPr="00DA3C6E">
        <w:rPr>
          <w:rFonts w:eastAsia="Calibri"/>
          <w:noProof/>
        </w:rPr>
        <w:drawing>
          <wp:inline distT="0" distB="0" distL="0" distR="0" wp14:anchorId="0AAFE1F2" wp14:editId="187BBCDC">
            <wp:extent cx="4784918" cy="6239691"/>
            <wp:effectExtent l="0" t="0" r="0" b="8890"/>
            <wp:docPr id="5" name="Picture 5" title="Figure 3: Proposed clinical management algorithm: initial and maintenance treatment (continuing authorisation) to Ig under NBA for first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7727" cy="6282475"/>
                    </a:xfrm>
                    <a:prstGeom prst="rect">
                      <a:avLst/>
                    </a:prstGeom>
                    <a:noFill/>
                  </pic:spPr>
                </pic:pic>
              </a:graphicData>
            </a:graphic>
          </wp:inline>
        </w:drawing>
      </w:r>
    </w:p>
    <w:p w14:paraId="5A7C57D1" w14:textId="77777777" w:rsidR="00067458" w:rsidRPr="00DA3C6E" w:rsidRDefault="00067458" w:rsidP="00067458">
      <w:pPr>
        <w:rPr>
          <w:rFonts w:eastAsia="Calibri"/>
          <w:lang w:eastAsia="en-US"/>
        </w:rPr>
      </w:pPr>
      <w:r w:rsidRPr="00DA3C6E">
        <w:rPr>
          <w:rFonts w:ascii="Arial Narrow" w:eastAsia="Calibri" w:hAnsi="Arial Narrow"/>
          <w:sz w:val="18"/>
          <w:szCs w:val="18"/>
          <w:lang w:eastAsia="en-US"/>
        </w:rPr>
        <w:t xml:space="preserve">Abbreviations: Intravenous Ig= intravenous immunoglobulin; MMN= multifocal motor neuropathy; NBA= National Blood Authority; ONLS = Overall Neuropathy Limitations Scale. </w:t>
      </w:r>
    </w:p>
    <w:p w14:paraId="6F41CBEF" w14:textId="77777777" w:rsidR="00067458" w:rsidRPr="00DA3C6E" w:rsidRDefault="00067458" w:rsidP="00067458">
      <w:pPr>
        <w:rPr>
          <w:rFonts w:ascii="Arial Narrow" w:eastAsia="Calibri" w:hAnsi="Arial Narrow"/>
          <w:sz w:val="18"/>
          <w:szCs w:val="18"/>
          <w:lang w:eastAsia="en-US"/>
        </w:rPr>
      </w:pPr>
      <w:r w:rsidRPr="00DA3C6E">
        <w:rPr>
          <w:rFonts w:ascii="Arial Narrow" w:eastAsia="Calibri" w:hAnsi="Arial Narrow"/>
          <w:sz w:val="18"/>
          <w:szCs w:val="18"/>
          <w:lang w:eastAsia="en-US"/>
        </w:rPr>
        <w:t xml:space="preserve">Note: </w:t>
      </w:r>
      <w:r w:rsidRPr="00DA3C6E">
        <w:rPr>
          <w:rFonts w:ascii="Arial Narrow" w:eastAsia="Calibri" w:hAnsi="Arial Narrow"/>
          <w:sz w:val="18"/>
          <w:szCs w:val="18"/>
          <w:vertAlign w:val="superscript"/>
          <w:lang w:eastAsia="en-US"/>
        </w:rPr>
        <w:t>1</w:t>
      </w:r>
      <w:r w:rsidRPr="00DA3C6E">
        <w:rPr>
          <w:rFonts w:ascii="Arial Narrow" w:eastAsia="Calibri" w:hAnsi="Arial Narrow"/>
          <w:sz w:val="18"/>
          <w:szCs w:val="18"/>
          <w:lang w:eastAsia="en-US"/>
        </w:rPr>
        <w:t xml:space="preserve"> Clinical effectiveness (response) of Ig therapy can be assessed by:  Improvement in focal motor weakness in previously weak (but not end stage) muscles </w:t>
      </w:r>
      <w:r w:rsidRPr="00DA3C6E">
        <w:rPr>
          <w:rFonts w:ascii="Arial Narrow" w:eastAsia="Calibri" w:hAnsi="Arial Narrow"/>
          <w:b/>
          <w:sz w:val="18"/>
          <w:szCs w:val="18"/>
          <w:lang w:eastAsia="en-US"/>
        </w:rPr>
        <w:t>AND</w:t>
      </w:r>
      <w:r w:rsidRPr="00DA3C6E">
        <w:rPr>
          <w:rFonts w:ascii="Arial Narrow" w:eastAsia="Calibri" w:hAnsi="Arial Narrow"/>
          <w:sz w:val="18"/>
          <w:szCs w:val="18"/>
          <w:lang w:eastAsia="en-US"/>
        </w:rPr>
        <w:t xml:space="preserve"> Improvement in the level of disability as measured by the Adjusted ONLS of at least one point less than the qualifying score; </w:t>
      </w:r>
      <w:r w:rsidRPr="00DA3C6E">
        <w:rPr>
          <w:rFonts w:ascii="Arial Narrow" w:eastAsia="Calibri" w:hAnsi="Arial Narrow"/>
          <w:sz w:val="18"/>
          <w:szCs w:val="18"/>
          <w:vertAlign w:val="superscript"/>
          <w:lang w:eastAsia="en-US"/>
        </w:rPr>
        <w:t>2</w:t>
      </w:r>
      <w:r w:rsidRPr="00DA3C6E">
        <w:rPr>
          <w:rFonts w:ascii="Arial Narrow" w:eastAsia="Calibri" w:hAnsi="Arial Narrow"/>
          <w:sz w:val="18"/>
          <w:szCs w:val="18"/>
          <w:lang w:eastAsia="en-US"/>
        </w:rPr>
        <w:t xml:space="preserve">Refers to no changes in the patient’s disease status; blocks highlighted in green were added during the PICO Confirmation. </w:t>
      </w:r>
    </w:p>
    <w:p w14:paraId="4A3975F4" w14:textId="77777777" w:rsidR="00067458" w:rsidRPr="00DA3C6E" w:rsidRDefault="00067458" w:rsidP="00067458">
      <w:pPr>
        <w:rPr>
          <w:rFonts w:ascii="Arial Narrow" w:eastAsia="Calibri" w:hAnsi="Arial Narrow"/>
          <w:sz w:val="18"/>
          <w:szCs w:val="18"/>
          <w:lang w:eastAsia="en-US"/>
        </w:rPr>
      </w:pPr>
      <w:r w:rsidRPr="00DA3C6E">
        <w:rPr>
          <w:rFonts w:ascii="Arial Narrow" w:eastAsia="Calibri" w:hAnsi="Arial Narrow"/>
          <w:sz w:val="18"/>
          <w:szCs w:val="18"/>
          <w:vertAlign w:val="superscript"/>
          <w:lang w:eastAsia="en-US"/>
        </w:rPr>
        <w:t>3</w:t>
      </w:r>
      <w:r w:rsidRPr="00DA3C6E">
        <w:rPr>
          <w:rFonts w:ascii="Arial Narrow" w:eastAsia="Calibri" w:hAnsi="Arial Narrow"/>
          <w:sz w:val="18"/>
          <w:szCs w:val="18"/>
          <w:lang w:eastAsia="en-US"/>
        </w:rPr>
        <w:t xml:space="preserve"> Clinical effectiveness (response) of Ig therapy can be assessed by: Improvement in, or stabilisation of, weakness after previous evidence of deterioration in motor strength. It is acknowledged that very slow deterioration may occur over several years in stable patients </w:t>
      </w:r>
      <w:r w:rsidRPr="00DA3C6E">
        <w:rPr>
          <w:rFonts w:ascii="Arial Narrow" w:eastAsia="Calibri" w:hAnsi="Arial Narrow"/>
          <w:b/>
          <w:sz w:val="18"/>
          <w:szCs w:val="18"/>
          <w:lang w:eastAsia="en-US"/>
        </w:rPr>
        <w:t>AND</w:t>
      </w:r>
      <w:r w:rsidRPr="00DA3C6E">
        <w:rPr>
          <w:rFonts w:ascii="Arial Narrow" w:eastAsia="Calibri" w:hAnsi="Arial Narrow"/>
          <w:sz w:val="18"/>
          <w:szCs w:val="18"/>
          <w:lang w:eastAsia="en-US"/>
        </w:rPr>
        <w:t xml:space="preserve"> Improvement in or stabilisation of disability as measured by the Adjusted ONLS score compared to the previous review score. (Note: Gradual deterioration of one point over several years may occur) </w:t>
      </w:r>
      <w:r w:rsidRPr="00DA3C6E">
        <w:rPr>
          <w:rFonts w:ascii="Arial Narrow" w:eastAsia="Calibri" w:hAnsi="Arial Narrow"/>
          <w:b/>
          <w:sz w:val="18"/>
          <w:szCs w:val="18"/>
          <w:lang w:eastAsia="en-US"/>
        </w:rPr>
        <w:t>AND</w:t>
      </w:r>
      <w:r w:rsidRPr="00DA3C6E">
        <w:rPr>
          <w:rFonts w:ascii="Arial Narrow" w:eastAsia="Calibri" w:hAnsi="Arial Narrow"/>
          <w:sz w:val="18"/>
          <w:szCs w:val="18"/>
          <w:lang w:eastAsia="en-US"/>
        </w:rPr>
        <w:t xml:space="preserve"> A trial of Ig weaning/cessation of Ig therapy is planned for patients who are clinically stable to identify those in remission or a reason provided as to why a trial is not planned</w:t>
      </w:r>
    </w:p>
    <w:p w14:paraId="196EDB4C" w14:textId="780C1E5F" w:rsidR="00067458" w:rsidRPr="00DA3C6E" w:rsidRDefault="00067458" w:rsidP="00067458">
      <w:pPr>
        <w:rPr>
          <w:rFonts w:ascii="Arial Narrow" w:eastAsia="Calibri" w:hAnsi="Arial Narrow"/>
          <w:sz w:val="18"/>
          <w:szCs w:val="18"/>
          <w:lang w:eastAsia="en-US"/>
        </w:rPr>
      </w:pPr>
      <w:r w:rsidRPr="00DA3C6E">
        <w:rPr>
          <w:rFonts w:ascii="Arial Narrow" w:eastAsia="Calibri" w:hAnsi="Arial Narrow"/>
          <w:sz w:val="18"/>
          <w:szCs w:val="18"/>
          <w:lang w:eastAsia="en-US"/>
        </w:rPr>
        <w:t>Blocks coloured in green were added</w:t>
      </w:r>
      <w:r w:rsidR="00B7509C">
        <w:rPr>
          <w:rFonts w:ascii="Arial Narrow" w:eastAsia="Calibri" w:hAnsi="Arial Narrow"/>
          <w:sz w:val="18"/>
          <w:szCs w:val="18"/>
          <w:lang w:eastAsia="en-US"/>
        </w:rPr>
        <w:t xml:space="preserve"> during the PICO confirmation.</w:t>
      </w:r>
    </w:p>
    <w:p w14:paraId="10C6479F" w14:textId="487DC6EF" w:rsidR="009027FE" w:rsidRDefault="00067458">
      <w:pPr>
        <w:rPr>
          <w:rFonts w:ascii="Arial Narrow" w:eastAsia="Calibri" w:hAnsi="Arial Narrow"/>
          <w:sz w:val="18"/>
          <w:szCs w:val="18"/>
          <w:lang w:eastAsia="en-US"/>
        </w:rPr>
      </w:pPr>
      <w:r w:rsidRPr="00FF1559">
        <w:rPr>
          <w:rFonts w:ascii="Arial Narrow" w:eastAsia="Calibri" w:hAnsi="Arial Narrow"/>
          <w:b/>
          <w:sz w:val="18"/>
          <w:szCs w:val="18"/>
          <w:lang w:eastAsia="en-US"/>
        </w:rPr>
        <w:t>Sources</w:t>
      </w:r>
      <w:r w:rsidRPr="00DA3C6E">
        <w:rPr>
          <w:rFonts w:ascii="Arial Narrow" w:eastAsia="Calibri" w:hAnsi="Arial Narrow"/>
          <w:sz w:val="18"/>
          <w:szCs w:val="18"/>
          <w:lang w:eastAsia="en-US"/>
        </w:rPr>
        <w:t xml:space="preserve">: </w:t>
      </w:r>
      <w:r w:rsidR="000A12A3">
        <w:rPr>
          <w:rFonts w:ascii="Arial Narrow" w:eastAsia="Calibri" w:hAnsi="Arial Narrow"/>
          <w:sz w:val="18"/>
          <w:szCs w:val="18"/>
          <w:lang w:eastAsia="en-US"/>
        </w:rPr>
        <w:t>1590 DCAR</w:t>
      </w:r>
      <w:r>
        <w:rPr>
          <w:rFonts w:ascii="Arial Narrow" w:eastAsia="Calibri" w:hAnsi="Arial Narrow"/>
          <w:sz w:val="18"/>
          <w:szCs w:val="18"/>
          <w:lang w:eastAsia="en-US"/>
        </w:rPr>
        <w:t>, Figure 3 (</w:t>
      </w:r>
      <w:r w:rsidRPr="00DA3C6E">
        <w:rPr>
          <w:rFonts w:ascii="Arial Narrow" w:eastAsia="Calibri" w:hAnsi="Arial Narrow"/>
          <w:sz w:val="18"/>
          <w:szCs w:val="18"/>
          <w:lang w:eastAsia="en-US"/>
        </w:rPr>
        <w:t>Prepared during PICO Confirmation based on Figure 1 and Figure 2 of the MMN Refe</w:t>
      </w:r>
      <w:r>
        <w:rPr>
          <w:rFonts w:ascii="Arial Narrow" w:eastAsia="Calibri" w:hAnsi="Arial Narrow"/>
          <w:sz w:val="18"/>
          <w:szCs w:val="18"/>
          <w:lang w:eastAsia="en-US"/>
        </w:rPr>
        <w:t>rral and the reviewed content.)</w:t>
      </w:r>
      <w:r w:rsidR="009027FE">
        <w:rPr>
          <w:rFonts w:ascii="Arial Narrow" w:eastAsia="Calibri" w:hAnsi="Arial Narrow"/>
          <w:sz w:val="18"/>
          <w:szCs w:val="18"/>
          <w:lang w:eastAsia="en-US"/>
        </w:rPr>
        <w:br w:type="page"/>
      </w:r>
    </w:p>
    <w:p w14:paraId="0F4D4135" w14:textId="38886A02" w:rsidR="00067458" w:rsidRPr="009027FE" w:rsidRDefault="000957C2" w:rsidP="009027FE">
      <w:pPr>
        <w:spacing w:before="240" w:after="240"/>
        <w:rPr>
          <w:rFonts w:ascii="Arial Narrow" w:eastAsia="Calibri" w:hAnsi="Arial Narrow"/>
          <w:b/>
          <w:sz w:val="20"/>
        </w:rPr>
      </w:pPr>
      <w:bookmarkStart w:id="6" w:name="_Ref25846112"/>
      <w:bookmarkStart w:id="7" w:name="_Toc37845864"/>
      <w:bookmarkStart w:id="8" w:name="_Toc30497510"/>
      <w:r w:rsidRPr="009027FE">
        <w:rPr>
          <w:rFonts w:ascii="Arial Narrow" w:hAnsi="Arial Narrow"/>
          <w:b/>
          <w:sz w:val="20"/>
        </w:rPr>
        <w:lastRenderedPageBreak/>
        <w:t xml:space="preserve">Figure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Figure \* ARABIC </w:instrText>
      </w:r>
      <w:r w:rsidR="003F56BF" w:rsidRPr="009027FE">
        <w:rPr>
          <w:rFonts w:ascii="Arial Narrow" w:hAnsi="Arial Narrow"/>
          <w:b/>
          <w:sz w:val="20"/>
        </w:rPr>
        <w:fldChar w:fldCharType="separate"/>
      </w:r>
      <w:r w:rsidR="00123232">
        <w:rPr>
          <w:rFonts w:ascii="Arial Narrow" w:hAnsi="Arial Narrow"/>
          <w:b/>
          <w:noProof/>
          <w:sz w:val="20"/>
        </w:rPr>
        <w:t>2</w:t>
      </w:r>
      <w:r w:rsidR="003F56BF" w:rsidRPr="009027FE">
        <w:rPr>
          <w:rFonts w:ascii="Arial Narrow" w:hAnsi="Arial Narrow"/>
          <w:b/>
          <w:sz w:val="20"/>
        </w:rPr>
        <w:fldChar w:fldCharType="end"/>
      </w:r>
      <w:bookmarkEnd w:id="6"/>
      <w:r w:rsidR="00067458" w:rsidRPr="009027FE">
        <w:rPr>
          <w:rFonts w:ascii="Arial Narrow" w:eastAsia="Calibri" w:hAnsi="Arial Narrow"/>
          <w:b/>
          <w:sz w:val="20"/>
        </w:rPr>
        <w:t xml:space="preserve">: </w:t>
      </w:r>
      <w:r w:rsidR="00067458" w:rsidRPr="009027FE">
        <w:rPr>
          <w:rFonts w:ascii="Arial Narrow" w:hAnsi="Arial Narrow"/>
          <w:b/>
          <w:sz w:val="20"/>
        </w:rPr>
        <w:t>Proposed clinical management algorithm: initial and maintenance treatment (continuing authorisation) to intravenous Ig under NBA for second indication (patients who relapse within six months of weaning.</w:t>
      </w:r>
      <w:bookmarkEnd w:id="7"/>
      <w:r w:rsidR="00067458" w:rsidRPr="009027FE">
        <w:rPr>
          <w:rFonts w:ascii="Arial Narrow" w:hAnsi="Arial Narrow"/>
          <w:b/>
          <w:sz w:val="20"/>
        </w:rPr>
        <w:t xml:space="preserve"> </w:t>
      </w:r>
      <w:bookmarkEnd w:id="8"/>
    </w:p>
    <w:p w14:paraId="21CB536A" w14:textId="77777777" w:rsidR="00067458" w:rsidRPr="00DA3C6E" w:rsidRDefault="00067458" w:rsidP="00067458">
      <w:pPr>
        <w:rPr>
          <w:rFonts w:eastAsia="Calibri"/>
          <w:lang w:eastAsia="en-US"/>
        </w:rPr>
      </w:pPr>
      <w:r w:rsidRPr="00DA3C6E">
        <w:rPr>
          <w:rFonts w:eastAsia="Calibri"/>
          <w:noProof/>
        </w:rPr>
        <w:drawing>
          <wp:inline distT="0" distB="0" distL="0" distR="0" wp14:anchorId="5E090362" wp14:editId="1AD3C109">
            <wp:extent cx="4770699" cy="6474823"/>
            <wp:effectExtent l="0" t="0" r="0" b="2540"/>
            <wp:docPr id="1" name="Picture 1" title="Figure 4: Proposed clinical management algorithm: initial and maintenance treatment (continuing authorisation) to intravenous Ig under NBA for second indication (patients who relapse within six months of wea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7620" cy="6511361"/>
                    </a:xfrm>
                    <a:prstGeom prst="rect">
                      <a:avLst/>
                    </a:prstGeom>
                    <a:noFill/>
                  </pic:spPr>
                </pic:pic>
              </a:graphicData>
            </a:graphic>
          </wp:inline>
        </w:drawing>
      </w:r>
    </w:p>
    <w:p w14:paraId="104BD616" w14:textId="77777777" w:rsidR="00067458" w:rsidRPr="00DA3C6E" w:rsidRDefault="00067458" w:rsidP="00067458">
      <w:pPr>
        <w:rPr>
          <w:rFonts w:eastAsia="Calibri"/>
          <w:lang w:eastAsia="en-US"/>
        </w:rPr>
      </w:pPr>
      <w:r w:rsidRPr="00DA3C6E">
        <w:rPr>
          <w:rFonts w:ascii="Arial Narrow" w:eastAsia="Calibri" w:hAnsi="Arial Narrow"/>
          <w:sz w:val="18"/>
          <w:lang w:eastAsia="en-US"/>
        </w:rPr>
        <w:t xml:space="preserve">Abbreviations: Ig= immunoglobulin; MMN= multifocal motor neuropathy; NBA= National Blood Authority; ONLS = Overall Neuropathy Limitations Scale. </w:t>
      </w:r>
    </w:p>
    <w:p w14:paraId="4860D5E5" w14:textId="77777777" w:rsidR="00067458" w:rsidRPr="00DA3C6E" w:rsidRDefault="00067458" w:rsidP="00067458">
      <w:pPr>
        <w:rPr>
          <w:rFonts w:ascii="Arial Narrow" w:eastAsia="Calibri" w:hAnsi="Arial Narrow"/>
          <w:sz w:val="18"/>
          <w:lang w:eastAsia="en-US"/>
        </w:rPr>
      </w:pPr>
      <w:r w:rsidRPr="00DA3C6E">
        <w:rPr>
          <w:rFonts w:ascii="Arial Narrow" w:eastAsia="Calibri" w:hAnsi="Arial Narrow"/>
          <w:sz w:val="18"/>
          <w:lang w:eastAsia="en-US"/>
        </w:rPr>
        <w:t xml:space="preserve">Note: </w:t>
      </w:r>
      <w:r w:rsidRPr="00DA3C6E">
        <w:rPr>
          <w:rFonts w:ascii="Arial Narrow" w:eastAsia="Calibri" w:hAnsi="Arial Narrow"/>
          <w:sz w:val="18"/>
          <w:vertAlign w:val="superscript"/>
          <w:lang w:eastAsia="en-US"/>
        </w:rPr>
        <w:t>1</w:t>
      </w:r>
      <w:r w:rsidRPr="00DA3C6E">
        <w:rPr>
          <w:rFonts w:ascii="Arial Narrow" w:eastAsia="Calibri" w:hAnsi="Arial Narrow"/>
          <w:sz w:val="18"/>
          <w:lang w:eastAsia="en-US"/>
        </w:rPr>
        <w:t xml:space="preserve"> Clinical effectiveness (response) of Ig therapy can be assessed by:  Improvement in focal motor weakness in response to four months of Ig therapy compared to muscle strength at the qualifying assessment following relapse </w:t>
      </w:r>
      <w:r w:rsidRPr="00DA3C6E">
        <w:rPr>
          <w:rFonts w:ascii="Arial Narrow" w:eastAsia="Calibri" w:hAnsi="Arial Narrow"/>
          <w:b/>
          <w:sz w:val="18"/>
          <w:lang w:eastAsia="en-US"/>
        </w:rPr>
        <w:t xml:space="preserve">AND </w:t>
      </w:r>
      <w:r w:rsidRPr="00DA3C6E">
        <w:rPr>
          <w:rFonts w:ascii="Arial Narrow" w:eastAsia="Calibri" w:hAnsi="Arial Narrow"/>
          <w:sz w:val="18"/>
          <w:lang w:eastAsia="en-US"/>
        </w:rPr>
        <w:t>Improvement in disability as measured by the Adjusted ONLS compared to the qualifying assessment at relapse;</w:t>
      </w:r>
      <w:r w:rsidRPr="00DA3C6E">
        <w:rPr>
          <w:rFonts w:ascii="Arial Narrow" w:eastAsia="Calibri" w:hAnsi="Arial Narrow"/>
          <w:sz w:val="18"/>
          <w:vertAlign w:val="superscript"/>
          <w:lang w:eastAsia="en-US"/>
        </w:rPr>
        <w:t>2</w:t>
      </w:r>
      <w:r w:rsidRPr="00DA3C6E">
        <w:rPr>
          <w:rFonts w:ascii="Arial Narrow" w:eastAsia="Calibri" w:hAnsi="Arial Narrow"/>
          <w:sz w:val="18"/>
          <w:lang w:eastAsia="en-US"/>
        </w:rPr>
        <w:t xml:space="preserve"> Clinical effectiveness (response) of Ig therapy can be assessed by: Improvement in, or stabilisation of, focal motor weakness as compared to the focal muscle strength at the previous review assessment </w:t>
      </w:r>
      <w:r w:rsidRPr="00DA3C6E">
        <w:rPr>
          <w:rFonts w:ascii="Arial Narrow" w:eastAsia="Calibri" w:hAnsi="Arial Narrow"/>
          <w:b/>
          <w:sz w:val="18"/>
          <w:lang w:eastAsia="en-US"/>
        </w:rPr>
        <w:t>AND</w:t>
      </w:r>
      <w:r w:rsidRPr="00DA3C6E">
        <w:rPr>
          <w:rFonts w:ascii="Arial Narrow" w:eastAsia="Calibri" w:hAnsi="Arial Narrow"/>
          <w:sz w:val="18"/>
          <w:lang w:eastAsia="en-US"/>
        </w:rPr>
        <w:t xml:space="preserve"> Improvement in or stabilisation of disability as measured by the Adjusted ONLS compared to the previous review score (gradual deterioration of one point over several years is acceptable) </w:t>
      </w:r>
      <w:r w:rsidRPr="00DA3C6E">
        <w:rPr>
          <w:rFonts w:ascii="Arial Narrow" w:eastAsia="Calibri" w:hAnsi="Arial Narrow"/>
          <w:b/>
          <w:sz w:val="18"/>
          <w:lang w:eastAsia="en-US"/>
        </w:rPr>
        <w:t>AND</w:t>
      </w:r>
      <w:r w:rsidRPr="00DA3C6E">
        <w:rPr>
          <w:rFonts w:ascii="Arial Narrow" w:eastAsia="Calibri" w:hAnsi="Arial Narrow"/>
          <w:sz w:val="18"/>
          <w:lang w:eastAsia="en-US"/>
        </w:rPr>
        <w:t xml:space="preserve"> A trial of weaning/cessation of Ig therapy are considered annually for patients who are clinically stable to identify those in remission or a valid reason provided as to why a trial is not being planned or is contraindicated at this time.</w:t>
      </w:r>
    </w:p>
    <w:p w14:paraId="45FA8C1B" w14:textId="29E3561D" w:rsidR="00067458" w:rsidRPr="00DA3C6E" w:rsidRDefault="00067458" w:rsidP="00067458">
      <w:pPr>
        <w:rPr>
          <w:rFonts w:ascii="Arial Narrow" w:eastAsia="Calibri" w:hAnsi="Arial Narrow"/>
          <w:sz w:val="18"/>
          <w:szCs w:val="18"/>
          <w:lang w:eastAsia="en-US"/>
        </w:rPr>
      </w:pPr>
      <w:r w:rsidRPr="00DA3C6E">
        <w:rPr>
          <w:rFonts w:ascii="Arial Narrow" w:eastAsia="Calibri" w:hAnsi="Arial Narrow"/>
          <w:sz w:val="18"/>
          <w:szCs w:val="18"/>
          <w:lang w:eastAsia="en-US"/>
        </w:rPr>
        <w:t>Blocks coloured in green were adde</w:t>
      </w:r>
      <w:r w:rsidR="00B7509C">
        <w:rPr>
          <w:rFonts w:ascii="Arial Narrow" w:eastAsia="Calibri" w:hAnsi="Arial Narrow"/>
          <w:sz w:val="18"/>
          <w:szCs w:val="18"/>
          <w:lang w:eastAsia="en-US"/>
        </w:rPr>
        <w:t>d during the PICO confirmation</w:t>
      </w:r>
    </w:p>
    <w:p w14:paraId="5BD8B099" w14:textId="3CB7FB2D" w:rsidR="00067458" w:rsidRPr="00B7509C" w:rsidRDefault="00067458" w:rsidP="00B7509C">
      <w:pPr>
        <w:rPr>
          <w:rFonts w:ascii="Arial Narrow" w:eastAsia="Calibri" w:hAnsi="Arial Narrow"/>
          <w:sz w:val="18"/>
          <w:lang w:eastAsia="en-US"/>
        </w:rPr>
      </w:pPr>
      <w:r w:rsidRPr="00FF1559">
        <w:rPr>
          <w:rFonts w:ascii="Arial Narrow" w:eastAsia="Calibri" w:hAnsi="Arial Narrow"/>
          <w:b/>
          <w:sz w:val="18"/>
          <w:lang w:eastAsia="en-US"/>
        </w:rPr>
        <w:t>Sources</w:t>
      </w:r>
      <w:r w:rsidRPr="00DA3C6E">
        <w:rPr>
          <w:rFonts w:ascii="Arial Narrow" w:eastAsia="Calibri" w:hAnsi="Arial Narrow"/>
          <w:sz w:val="18"/>
          <w:lang w:eastAsia="en-US"/>
        </w:rPr>
        <w:t xml:space="preserve">: </w:t>
      </w:r>
      <w:r w:rsidR="000A12A3">
        <w:rPr>
          <w:rFonts w:ascii="Arial Narrow" w:eastAsia="Calibri" w:hAnsi="Arial Narrow"/>
          <w:sz w:val="18"/>
          <w:lang w:eastAsia="en-US"/>
        </w:rPr>
        <w:t>1590 DCAR</w:t>
      </w:r>
      <w:r>
        <w:rPr>
          <w:rFonts w:ascii="Arial Narrow" w:eastAsia="Calibri" w:hAnsi="Arial Narrow"/>
          <w:sz w:val="18"/>
          <w:lang w:eastAsia="en-US"/>
        </w:rPr>
        <w:t>, Figure 4 (</w:t>
      </w:r>
      <w:r w:rsidRPr="00DA3C6E">
        <w:rPr>
          <w:rFonts w:ascii="Arial Narrow" w:eastAsia="Calibri" w:hAnsi="Arial Narrow"/>
          <w:sz w:val="18"/>
          <w:lang w:eastAsia="en-US"/>
        </w:rPr>
        <w:t>Prepared during PICO Confirmation based on Figure 1 and Figure 2 of the MMN Referral and the reviewed content.</w:t>
      </w:r>
      <w:r>
        <w:rPr>
          <w:rFonts w:ascii="Arial Narrow" w:eastAsia="Calibri" w:hAnsi="Arial Narrow"/>
          <w:sz w:val="18"/>
          <w:lang w:eastAsia="en-US"/>
        </w:rPr>
        <w:t>)</w:t>
      </w:r>
    </w:p>
    <w:p w14:paraId="22FBBB52" w14:textId="77777777" w:rsidR="00BC1364" w:rsidRPr="00F715D1" w:rsidRDefault="00BC1364" w:rsidP="00F715D1">
      <w:pPr>
        <w:pStyle w:val="Heading1"/>
      </w:pPr>
      <w:r w:rsidRPr="00F715D1">
        <w:lastRenderedPageBreak/>
        <w:t xml:space="preserve">Comparator </w:t>
      </w:r>
    </w:p>
    <w:p w14:paraId="4D6F047B" w14:textId="48BCF060" w:rsidR="001A7F22" w:rsidRDefault="00067458" w:rsidP="00067458">
      <w:pPr>
        <w:tabs>
          <w:tab w:val="left" w:pos="720"/>
          <w:tab w:val="left" w:pos="1140"/>
        </w:tabs>
        <w:rPr>
          <w:szCs w:val="24"/>
        </w:rPr>
      </w:pPr>
      <w:r w:rsidRPr="000F617D">
        <w:rPr>
          <w:szCs w:val="24"/>
        </w:rPr>
        <w:t xml:space="preserve">The comparator </w:t>
      </w:r>
      <w:r>
        <w:rPr>
          <w:szCs w:val="24"/>
        </w:rPr>
        <w:t>is defined in the</w:t>
      </w:r>
      <w:r w:rsidRPr="000F617D">
        <w:rPr>
          <w:szCs w:val="24"/>
        </w:rPr>
        <w:t xml:space="preserve"> PICO Confirmation as ‘No Ig wi</w:t>
      </w:r>
      <w:r>
        <w:rPr>
          <w:szCs w:val="24"/>
        </w:rPr>
        <w:t xml:space="preserve">th active disease surveillance’. The DCAR refers to this as </w:t>
      </w:r>
      <w:r w:rsidRPr="000F617D">
        <w:rPr>
          <w:szCs w:val="24"/>
        </w:rPr>
        <w:t xml:space="preserve">‘No Ig with best supportive care (BSC)’. </w:t>
      </w:r>
    </w:p>
    <w:p w14:paraId="12CD4110" w14:textId="77777777" w:rsidR="00BC1364" w:rsidRPr="00F715D1" w:rsidRDefault="00BC1364" w:rsidP="00F715D1">
      <w:pPr>
        <w:pStyle w:val="Heading1"/>
      </w:pPr>
      <w:r w:rsidRPr="00F715D1">
        <w:t>Comparative safety</w:t>
      </w:r>
    </w:p>
    <w:p w14:paraId="76C2B9D2" w14:textId="5A0641E2" w:rsidR="00067458" w:rsidRDefault="00067458" w:rsidP="00067458">
      <w:pPr>
        <w:rPr>
          <w:szCs w:val="24"/>
        </w:rPr>
      </w:pPr>
      <w:r>
        <w:rPr>
          <w:szCs w:val="24"/>
        </w:rPr>
        <w:t xml:space="preserve">Evidence from four RCTs and 14 single arm studies were used to assess the safety of Ig. A summary of adverse events (AEs) reported in the RCTs is </w:t>
      </w:r>
      <w:r w:rsidRPr="00BA153F">
        <w:rPr>
          <w:szCs w:val="24"/>
        </w:rPr>
        <w:t xml:space="preserve">provided at </w:t>
      </w:r>
      <w:r w:rsidR="00FF12D5" w:rsidRPr="00FF12D5">
        <w:rPr>
          <w:szCs w:val="24"/>
        </w:rPr>
        <w:fldChar w:fldCharType="begin"/>
      </w:r>
      <w:r w:rsidR="00FF12D5" w:rsidRPr="00FF12D5">
        <w:rPr>
          <w:szCs w:val="24"/>
        </w:rPr>
        <w:instrText xml:space="preserve"> REF _Ref50556334 \h  \* MERGEFORMAT </w:instrText>
      </w:r>
      <w:r w:rsidR="00FF12D5" w:rsidRPr="00FF12D5">
        <w:rPr>
          <w:szCs w:val="24"/>
        </w:rPr>
      </w:r>
      <w:r w:rsidR="00FF12D5" w:rsidRPr="00FF12D5">
        <w:rPr>
          <w:szCs w:val="24"/>
        </w:rPr>
        <w:fldChar w:fldCharType="separate"/>
      </w:r>
      <w:r w:rsidR="00123232" w:rsidRPr="00123232">
        <w:rPr>
          <w:szCs w:val="24"/>
        </w:rPr>
        <w:t>Table 2</w:t>
      </w:r>
      <w:r w:rsidR="00FF12D5" w:rsidRPr="00FF12D5">
        <w:rPr>
          <w:szCs w:val="24"/>
        </w:rPr>
        <w:fldChar w:fldCharType="end"/>
      </w:r>
      <w:r w:rsidRPr="00BA153F">
        <w:rPr>
          <w:szCs w:val="24"/>
        </w:rPr>
        <w:t>. Overall, the safety profile of intravenous Ig was inferior to placebo.</w:t>
      </w:r>
    </w:p>
    <w:p w14:paraId="1C86ECD6" w14:textId="5CFF564F" w:rsidR="00067458" w:rsidRDefault="00067458" w:rsidP="00B7509C">
      <w:pPr>
        <w:spacing w:before="240"/>
        <w:rPr>
          <w:szCs w:val="24"/>
        </w:rPr>
      </w:pPr>
      <w:r>
        <w:rPr>
          <w:szCs w:val="24"/>
        </w:rPr>
        <w:t>In the RCTs, AEs</w:t>
      </w:r>
      <w:r w:rsidRPr="00417658">
        <w:rPr>
          <w:szCs w:val="24"/>
        </w:rPr>
        <w:t xml:space="preserve"> were mild and ty</w:t>
      </w:r>
      <w:r>
        <w:rPr>
          <w:szCs w:val="24"/>
        </w:rPr>
        <w:t>pical of infusion reactions such as</w:t>
      </w:r>
      <w:r w:rsidRPr="00417658">
        <w:rPr>
          <w:szCs w:val="24"/>
        </w:rPr>
        <w:t xml:space="preserve"> headache, fever and chills. </w:t>
      </w:r>
      <w:r>
        <w:rPr>
          <w:szCs w:val="24"/>
        </w:rPr>
        <w:t xml:space="preserve">These events were generally characterised as </w:t>
      </w:r>
      <w:r w:rsidRPr="00417658">
        <w:rPr>
          <w:szCs w:val="24"/>
        </w:rPr>
        <w:t xml:space="preserve">self-limiting and often resolved by reducing the rate or volume of infusion, or by </w:t>
      </w:r>
      <w:r>
        <w:rPr>
          <w:szCs w:val="24"/>
        </w:rPr>
        <w:t>preventive measures such as</w:t>
      </w:r>
      <w:r w:rsidRPr="00417658">
        <w:rPr>
          <w:szCs w:val="24"/>
        </w:rPr>
        <w:t xml:space="preserve"> prophylactic</w:t>
      </w:r>
      <w:r>
        <w:rPr>
          <w:szCs w:val="24"/>
        </w:rPr>
        <w:t xml:space="preserve"> use of</w:t>
      </w:r>
      <w:r w:rsidRPr="00417658">
        <w:rPr>
          <w:szCs w:val="24"/>
        </w:rPr>
        <w:t xml:space="preserve"> antihistamines. </w:t>
      </w:r>
      <w:r w:rsidR="00075F47">
        <w:rPr>
          <w:szCs w:val="24"/>
        </w:rPr>
        <w:t>O</w:t>
      </w:r>
      <w:r>
        <w:rPr>
          <w:szCs w:val="24"/>
        </w:rPr>
        <w:t>ne RCT, Hahn et al 2013</w:t>
      </w:r>
      <w:r w:rsidRPr="00417658">
        <w:rPr>
          <w:szCs w:val="24"/>
        </w:rPr>
        <w:t>, reported one patient who suffered a pulmonary embolism which was categorised as a serious adverse event</w:t>
      </w:r>
      <w:r>
        <w:rPr>
          <w:szCs w:val="24"/>
        </w:rPr>
        <w:t xml:space="preserve"> </w:t>
      </w:r>
      <w:r w:rsidRPr="00417658">
        <w:rPr>
          <w:szCs w:val="24"/>
        </w:rPr>
        <w:t>that could be attributed to the use of intrav</w:t>
      </w:r>
      <w:r w:rsidR="00B7509C">
        <w:rPr>
          <w:szCs w:val="24"/>
        </w:rPr>
        <w:t>enous Ig by the investigators.</w:t>
      </w:r>
    </w:p>
    <w:p w14:paraId="21CFC3EF" w14:textId="72DE7538" w:rsidR="000957C2" w:rsidRPr="00B7509C" w:rsidRDefault="00067458" w:rsidP="00B7509C">
      <w:pPr>
        <w:spacing w:before="240"/>
        <w:rPr>
          <w:szCs w:val="24"/>
        </w:rPr>
      </w:pPr>
      <w:r>
        <w:rPr>
          <w:szCs w:val="24"/>
        </w:rPr>
        <w:t>The single arm studies were used to assess</w:t>
      </w:r>
      <w:r w:rsidRPr="004528BE">
        <w:rPr>
          <w:szCs w:val="24"/>
        </w:rPr>
        <w:t xml:space="preserve"> potential long-term AEs</w:t>
      </w:r>
      <w:r>
        <w:rPr>
          <w:szCs w:val="24"/>
        </w:rPr>
        <w:t xml:space="preserve"> from Ig treatment and showed similar results to the RCTs. Safety data reported in these </w:t>
      </w:r>
      <w:r w:rsidRPr="009F43B5">
        <w:rPr>
          <w:szCs w:val="24"/>
        </w:rPr>
        <w:t xml:space="preserve">studies included reports of systemic AEs directly related to the infusion over a longer follow-up period than what was available in the RCTs. Infusion related AEs were frequent but generally </w:t>
      </w:r>
      <w:r>
        <w:rPr>
          <w:szCs w:val="24"/>
        </w:rPr>
        <w:t>mild and</w:t>
      </w:r>
      <w:r w:rsidRPr="009F43B5">
        <w:rPr>
          <w:szCs w:val="24"/>
        </w:rPr>
        <w:t xml:space="preserve"> manageable </w:t>
      </w:r>
      <w:r w:rsidRPr="00BA153F">
        <w:rPr>
          <w:szCs w:val="24"/>
        </w:rPr>
        <w:t>with adjustments to infusion rate. Overall, few patients dis</w:t>
      </w:r>
      <w:bookmarkStart w:id="9" w:name="_Ref25929943"/>
      <w:bookmarkStart w:id="10" w:name="_Toc30497461"/>
      <w:bookmarkStart w:id="11" w:name="_Toc30687742"/>
      <w:bookmarkStart w:id="12" w:name="_Toc37845817"/>
      <w:r w:rsidR="00B7509C">
        <w:rPr>
          <w:szCs w:val="24"/>
        </w:rPr>
        <w:t>continued treatment due to AEs.</w:t>
      </w:r>
      <w:r w:rsidR="000957C2">
        <w:br w:type="page"/>
      </w:r>
    </w:p>
    <w:p w14:paraId="6F1C1E88" w14:textId="5C183ED6" w:rsidR="00067458" w:rsidRPr="009027FE" w:rsidRDefault="000957C2" w:rsidP="009027FE">
      <w:pPr>
        <w:rPr>
          <w:rFonts w:ascii="Arial Narrow" w:hAnsi="Arial Narrow"/>
          <w:b/>
          <w:sz w:val="20"/>
        </w:rPr>
      </w:pPr>
      <w:bookmarkStart w:id="13" w:name="_Ref50556334"/>
      <w:r w:rsidRPr="009027FE">
        <w:rPr>
          <w:rFonts w:ascii="Arial Narrow" w:hAnsi="Arial Narrow"/>
          <w:b/>
          <w:sz w:val="20"/>
        </w:rPr>
        <w:lastRenderedPageBreak/>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2</w:t>
      </w:r>
      <w:r w:rsidR="003F56BF" w:rsidRPr="009027FE">
        <w:rPr>
          <w:rFonts w:ascii="Arial Narrow" w:hAnsi="Arial Narrow"/>
          <w:b/>
          <w:sz w:val="20"/>
        </w:rPr>
        <w:fldChar w:fldCharType="end"/>
      </w:r>
      <w:bookmarkEnd w:id="9"/>
      <w:bookmarkEnd w:id="13"/>
      <w:r w:rsidRPr="009027FE">
        <w:rPr>
          <w:rFonts w:ascii="Arial Narrow" w:hAnsi="Arial Narrow"/>
          <w:b/>
          <w:sz w:val="20"/>
        </w:rPr>
        <w:t>:</w:t>
      </w:r>
      <w:r w:rsidR="00067458" w:rsidRPr="009027FE">
        <w:rPr>
          <w:rFonts w:ascii="Arial Narrow" w:hAnsi="Arial Narrow"/>
          <w:b/>
          <w:sz w:val="20"/>
        </w:rPr>
        <w:t xml:space="preserve"> Summary of adverse events reported in randomised controlled trials.</w:t>
      </w:r>
      <w:bookmarkEnd w:id="10"/>
      <w:bookmarkEnd w:id="11"/>
      <w:bookmarkEnd w:id="12"/>
      <w:r w:rsidR="00067458" w:rsidRPr="009027FE">
        <w:rPr>
          <w:rFonts w:ascii="Arial Narrow" w:hAnsi="Arial Narrow"/>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559"/>
        <w:gridCol w:w="1701"/>
        <w:gridCol w:w="1560"/>
        <w:gridCol w:w="1791"/>
      </w:tblGrid>
      <w:tr w:rsidR="00067458" w:rsidRPr="00DA3C6E" w14:paraId="0EC9514A" w14:textId="77777777" w:rsidTr="0047278C">
        <w:trPr>
          <w:tblHeader/>
        </w:trPr>
        <w:tc>
          <w:tcPr>
            <w:tcW w:w="2405" w:type="dxa"/>
            <w:tcMar>
              <w:top w:w="0" w:type="dxa"/>
              <w:left w:w="108" w:type="dxa"/>
              <w:bottom w:w="0" w:type="dxa"/>
              <w:right w:w="108" w:type="dxa"/>
            </w:tcMar>
            <w:vAlign w:val="center"/>
            <w:hideMark/>
          </w:tcPr>
          <w:p w14:paraId="24CC31CE" w14:textId="77777777" w:rsidR="00067458" w:rsidRPr="00DA3C6E" w:rsidRDefault="00067458" w:rsidP="000957C2">
            <w:pPr>
              <w:rPr>
                <w:rFonts w:ascii="Arial Narrow" w:hAnsi="Arial Narrow" w:cs="Calibri"/>
                <w:b/>
                <w:bCs/>
                <w:sz w:val="20"/>
              </w:rPr>
            </w:pPr>
            <w:r w:rsidRPr="00DA3C6E">
              <w:rPr>
                <w:rFonts w:ascii="Arial Narrow" w:hAnsi="Arial Narrow"/>
                <w:b/>
                <w:bCs/>
                <w:sz w:val="20"/>
              </w:rPr>
              <w:t xml:space="preserve">Study </w:t>
            </w:r>
          </w:p>
        </w:tc>
        <w:tc>
          <w:tcPr>
            <w:tcW w:w="1559" w:type="dxa"/>
            <w:tcMar>
              <w:top w:w="0" w:type="dxa"/>
              <w:left w:w="108" w:type="dxa"/>
              <w:bottom w:w="0" w:type="dxa"/>
              <w:right w:w="108" w:type="dxa"/>
            </w:tcMar>
            <w:vAlign w:val="center"/>
            <w:hideMark/>
          </w:tcPr>
          <w:p w14:paraId="489F82FA" w14:textId="77777777" w:rsidR="00067458" w:rsidRPr="00DA3C6E" w:rsidRDefault="00067458" w:rsidP="000957C2">
            <w:pPr>
              <w:rPr>
                <w:rFonts w:ascii="Arial Narrow" w:hAnsi="Arial Narrow"/>
                <w:b/>
                <w:bCs/>
                <w:sz w:val="20"/>
              </w:rPr>
            </w:pPr>
            <w:r w:rsidRPr="00DA3C6E">
              <w:rPr>
                <w:rFonts w:ascii="Arial Narrow" w:hAnsi="Arial Narrow"/>
                <w:b/>
                <w:bCs/>
                <w:sz w:val="20"/>
              </w:rPr>
              <w:t>Intravenous Ig treatment</w:t>
            </w:r>
          </w:p>
          <w:p w14:paraId="2A70942D" w14:textId="77777777" w:rsidR="00067458" w:rsidRPr="00DA3C6E" w:rsidRDefault="00067458" w:rsidP="000957C2">
            <w:pPr>
              <w:rPr>
                <w:rFonts w:ascii="Arial Narrow" w:hAnsi="Arial Narrow"/>
                <w:b/>
                <w:bCs/>
                <w:sz w:val="20"/>
              </w:rPr>
            </w:pPr>
            <w:proofErr w:type="gramStart"/>
            <w:r w:rsidRPr="00DA3C6E">
              <w:rPr>
                <w:rFonts w:ascii="Arial Narrow" w:hAnsi="Arial Narrow"/>
                <w:b/>
                <w:bCs/>
                <w:sz w:val="20"/>
              </w:rPr>
              <w:t>n/N</w:t>
            </w:r>
            <w:proofErr w:type="gramEnd"/>
            <w:r w:rsidRPr="00DA3C6E">
              <w:rPr>
                <w:rFonts w:ascii="Arial Narrow" w:hAnsi="Arial Narrow"/>
                <w:b/>
                <w:bCs/>
                <w:sz w:val="20"/>
              </w:rPr>
              <w:t xml:space="preserve"> (%)</w:t>
            </w:r>
          </w:p>
        </w:tc>
        <w:tc>
          <w:tcPr>
            <w:tcW w:w="1701" w:type="dxa"/>
            <w:tcMar>
              <w:top w:w="0" w:type="dxa"/>
              <w:left w:w="108" w:type="dxa"/>
              <w:bottom w:w="0" w:type="dxa"/>
              <w:right w:w="108" w:type="dxa"/>
            </w:tcMar>
            <w:vAlign w:val="center"/>
            <w:hideMark/>
          </w:tcPr>
          <w:p w14:paraId="3BF156A4" w14:textId="77777777" w:rsidR="00067458" w:rsidRPr="00DA3C6E" w:rsidRDefault="00067458" w:rsidP="000957C2">
            <w:pPr>
              <w:rPr>
                <w:rFonts w:ascii="Arial Narrow" w:hAnsi="Arial Narrow"/>
                <w:b/>
                <w:bCs/>
                <w:sz w:val="20"/>
              </w:rPr>
            </w:pPr>
            <w:r w:rsidRPr="00DA3C6E">
              <w:rPr>
                <w:rFonts w:ascii="Arial Narrow" w:hAnsi="Arial Narrow"/>
                <w:b/>
                <w:bCs/>
                <w:sz w:val="20"/>
              </w:rPr>
              <w:t>Placebo treatment</w:t>
            </w:r>
          </w:p>
          <w:p w14:paraId="3495B8AE" w14:textId="77777777" w:rsidR="00067458" w:rsidRPr="00DA3C6E" w:rsidRDefault="00067458" w:rsidP="000957C2">
            <w:pPr>
              <w:rPr>
                <w:rFonts w:ascii="Arial Narrow" w:hAnsi="Arial Narrow"/>
                <w:b/>
                <w:bCs/>
                <w:sz w:val="20"/>
              </w:rPr>
            </w:pPr>
            <w:proofErr w:type="gramStart"/>
            <w:r w:rsidRPr="00DA3C6E">
              <w:rPr>
                <w:rFonts w:ascii="Arial Narrow" w:hAnsi="Arial Narrow"/>
                <w:b/>
                <w:bCs/>
                <w:sz w:val="20"/>
              </w:rPr>
              <w:t>n/N</w:t>
            </w:r>
            <w:proofErr w:type="gramEnd"/>
            <w:r w:rsidRPr="00DA3C6E">
              <w:rPr>
                <w:rFonts w:ascii="Arial Narrow" w:hAnsi="Arial Narrow"/>
                <w:b/>
                <w:bCs/>
                <w:sz w:val="20"/>
              </w:rPr>
              <w:t xml:space="preserve"> (%)</w:t>
            </w:r>
          </w:p>
        </w:tc>
        <w:tc>
          <w:tcPr>
            <w:tcW w:w="1560" w:type="dxa"/>
            <w:tcMar>
              <w:top w:w="0" w:type="dxa"/>
              <w:left w:w="108" w:type="dxa"/>
              <w:bottom w:w="0" w:type="dxa"/>
              <w:right w:w="108" w:type="dxa"/>
            </w:tcMar>
            <w:vAlign w:val="center"/>
            <w:hideMark/>
          </w:tcPr>
          <w:p w14:paraId="6EDAC2A6" w14:textId="77777777" w:rsidR="00067458" w:rsidRPr="00DA3C6E" w:rsidRDefault="00067458" w:rsidP="000957C2">
            <w:pPr>
              <w:rPr>
                <w:rFonts w:ascii="Arial Narrow" w:hAnsi="Arial Narrow"/>
                <w:b/>
                <w:bCs/>
                <w:sz w:val="20"/>
              </w:rPr>
            </w:pPr>
            <w:r w:rsidRPr="00DA3C6E">
              <w:rPr>
                <w:rFonts w:ascii="Arial Narrow" w:hAnsi="Arial Narrow"/>
                <w:b/>
                <w:bCs/>
                <w:sz w:val="20"/>
              </w:rPr>
              <w:t>Relative Risk</w:t>
            </w:r>
          </w:p>
          <w:p w14:paraId="596A5988" w14:textId="77777777" w:rsidR="00067458" w:rsidRPr="00DA3C6E" w:rsidRDefault="00067458" w:rsidP="000957C2">
            <w:pPr>
              <w:rPr>
                <w:rFonts w:ascii="Arial Narrow" w:hAnsi="Arial Narrow"/>
                <w:b/>
                <w:bCs/>
                <w:sz w:val="20"/>
              </w:rPr>
            </w:pPr>
            <w:r w:rsidRPr="00DA3C6E">
              <w:rPr>
                <w:rFonts w:ascii="Arial Narrow" w:hAnsi="Arial Narrow"/>
                <w:b/>
                <w:bCs/>
                <w:sz w:val="20"/>
              </w:rPr>
              <w:t>(95%CI)</w:t>
            </w:r>
          </w:p>
        </w:tc>
        <w:tc>
          <w:tcPr>
            <w:tcW w:w="1791" w:type="dxa"/>
            <w:tcMar>
              <w:top w:w="0" w:type="dxa"/>
              <w:left w:w="108" w:type="dxa"/>
              <w:bottom w:w="0" w:type="dxa"/>
              <w:right w:w="108" w:type="dxa"/>
            </w:tcMar>
            <w:vAlign w:val="center"/>
            <w:hideMark/>
          </w:tcPr>
          <w:p w14:paraId="5FF9A0BA" w14:textId="77777777" w:rsidR="00067458" w:rsidRPr="00DA3C6E" w:rsidRDefault="00067458" w:rsidP="000957C2">
            <w:pPr>
              <w:rPr>
                <w:rFonts w:ascii="Arial Narrow" w:hAnsi="Arial Narrow"/>
                <w:b/>
                <w:bCs/>
                <w:sz w:val="20"/>
              </w:rPr>
            </w:pPr>
            <w:r w:rsidRPr="00DA3C6E">
              <w:rPr>
                <w:rFonts w:ascii="Arial Narrow" w:hAnsi="Arial Narrow"/>
                <w:b/>
                <w:bCs/>
                <w:sz w:val="20"/>
              </w:rPr>
              <w:t>Risk difference</w:t>
            </w:r>
          </w:p>
          <w:p w14:paraId="0697F61C" w14:textId="77777777" w:rsidR="00067458" w:rsidRPr="00DA3C6E" w:rsidRDefault="00067458" w:rsidP="000957C2">
            <w:pPr>
              <w:rPr>
                <w:rFonts w:ascii="Arial Narrow" w:hAnsi="Arial Narrow"/>
                <w:b/>
                <w:bCs/>
                <w:sz w:val="20"/>
              </w:rPr>
            </w:pPr>
            <w:r w:rsidRPr="00DA3C6E">
              <w:rPr>
                <w:rFonts w:ascii="Arial Narrow" w:hAnsi="Arial Narrow"/>
                <w:b/>
                <w:bCs/>
                <w:sz w:val="20"/>
              </w:rPr>
              <w:t>(95%CI)</w:t>
            </w:r>
          </w:p>
        </w:tc>
      </w:tr>
      <w:tr w:rsidR="00067458" w:rsidRPr="00DA3C6E" w14:paraId="25B58050" w14:textId="77777777" w:rsidTr="0047278C">
        <w:tc>
          <w:tcPr>
            <w:tcW w:w="9016" w:type="dxa"/>
            <w:gridSpan w:val="5"/>
            <w:tcMar>
              <w:top w:w="0" w:type="dxa"/>
              <w:left w:w="108" w:type="dxa"/>
              <w:bottom w:w="0" w:type="dxa"/>
              <w:right w:w="108" w:type="dxa"/>
            </w:tcMar>
            <w:vAlign w:val="center"/>
            <w:hideMark/>
          </w:tcPr>
          <w:p w14:paraId="5C403170" w14:textId="77777777" w:rsidR="00067458" w:rsidRPr="00DA3C6E" w:rsidRDefault="00067458" w:rsidP="000957C2">
            <w:pPr>
              <w:rPr>
                <w:rFonts w:ascii="Arial Narrow" w:hAnsi="Arial Narrow"/>
                <w:b/>
                <w:bCs/>
                <w:sz w:val="20"/>
              </w:rPr>
            </w:pPr>
            <w:proofErr w:type="spellStart"/>
            <w:r w:rsidRPr="00DA3C6E">
              <w:rPr>
                <w:rFonts w:ascii="Arial Narrow" w:hAnsi="Arial Narrow"/>
                <w:b/>
                <w:bCs/>
                <w:sz w:val="20"/>
              </w:rPr>
              <w:t>Azulay</w:t>
            </w:r>
            <w:proofErr w:type="spellEnd"/>
            <w:r w:rsidRPr="00DA3C6E">
              <w:rPr>
                <w:rFonts w:ascii="Arial Narrow" w:hAnsi="Arial Narrow"/>
                <w:b/>
                <w:bCs/>
                <w:sz w:val="20"/>
              </w:rPr>
              <w:t xml:space="preserve"> et al. 1994</w:t>
            </w:r>
            <w:r w:rsidRPr="00DA3C6E">
              <w:rPr>
                <w:rFonts w:ascii="Arial Narrow" w:hAnsi="Arial Narrow"/>
                <w:b/>
                <w:bCs/>
                <w:sz w:val="20"/>
              </w:rPr>
              <w:fldChar w:fldCharType="begin"/>
            </w:r>
            <w:r w:rsidRPr="00DA3C6E">
              <w:rPr>
                <w:rFonts w:ascii="Arial Narrow" w:hAnsi="Arial Narrow"/>
                <w:b/>
                <w:bCs/>
                <w:sz w:val="20"/>
              </w:rPr>
              <w:instrText xml:space="preserve"> ADDIN EN.CITE &lt;EndNote&gt;&lt;Cite&gt;&lt;Author&gt;Azulay&lt;/Author&gt;&lt;Year&gt;1994&lt;/Year&gt;&lt;RecNum&gt;4&lt;/RecNum&gt;&lt;DisplayText&gt;(24)&lt;/DisplayText&gt;&lt;record&gt;&lt;rec-number&gt;4&lt;/rec-number&gt;&lt;foreign-keys&gt;&lt;key app="EN" db-id="0992p2ztn5fez9e2wvnpw2xstd20f9w2dezz" timestamp="1586818281"&gt;4&lt;/key&gt;&lt;/foreign-keys&gt;&lt;ref-type name="Journal Article"&gt;17&lt;/ref-type&gt;&lt;contributors&gt;&lt;authors&gt;&lt;author&gt;Azulay, J. P.&lt;/author&gt;&lt;author&gt;Blin, O.&lt;/author&gt;&lt;author&gt;Pouget, J.&lt;/author&gt;&lt;author&gt;Boucraut, J.&lt;/author&gt;&lt;author&gt;Bille-Turc, F.&lt;/author&gt;&lt;author&gt;Carles, G.&lt;/author&gt;&lt;author&gt;Serratrice, G.&lt;/author&gt;&lt;/authors&gt;&lt;/contributors&gt;&lt;auth-address&gt;Department of Neurology, University Hospital Timone, Marseilles, France.&lt;/auth-address&gt;&lt;titles&gt;&lt;title&gt;Intravenous immunoglobulin treatment in patients with motor neuron syndromes associated with anti-GM1 antibodies: a double-blind, placebo-controlled study&lt;/title&gt;&lt;secondary-title&gt;Neurology&lt;/secondary-title&gt;&lt;alt-title&gt;Neurology&lt;/alt-title&gt;&lt;/titles&gt;&lt;periodical&gt;&lt;full-title&gt;Neurology&lt;/full-title&gt;&lt;/periodical&gt;&lt;alt-periodical&gt;&lt;full-title&gt;Neurology&lt;/full-title&gt;&lt;/alt-periodical&gt;&lt;pages&gt;429-32&lt;/pages&gt;&lt;volume&gt;44&lt;/volume&gt;&lt;number&gt;3 Pt 1&lt;/number&gt;&lt;edition&gt;1994/03/01&lt;/edition&gt;&lt;keywords&gt;&lt;keyword&gt;Adult&lt;/keyword&gt;&lt;keyword&gt;Autoantibodies/*blood&lt;/keyword&gt;&lt;keyword&gt;Double-Blind Method&lt;/keyword&gt;&lt;keyword&gt;Female&lt;/keyword&gt;&lt;keyword&gt;G(M1) Ganglioside/*immunology&lt;/keyword&gt;&lt;keyword&gt;Humans&lt;/keyword&gt;&lt;keyword&gt;Immunoglobulins, Intravenous/*therapeutic use&lt;/keyword&gt;&lt;keyword&gt;Isometric Contraction/physiology&lt;/keyword&gt;&lt;keyword&gt;Male&lt;/keyword&gt;&lt;keyword&gt;Middle Aged&lt;/keyword&gt;&lt;keyword&gt;Motor Neuron Disease/immunology/physiopathology/*therapy&lt;/keyword&gt;&lt;/keywords&gt;&lt;dates&gt;&lt;year&gt;1994&lt;/year&gt;&lt;pub-dates&gt;&lt;date&gt;Mar&lt;/date&gt;&lt;/pub-dates&gt;&lt;/dates&gt;&lt;isbn&gt;0028-3878 (Print)&amp;#xD;0028-3878&lt;/isbn&gt;&lt;accession-num&gt;8145910&lt;/accession-num&gt;&lt;urls&gt;&lt;/urls&gt;&lt;electronic-resource-num&gt;10.1212/wnl.44.3_part_1.429&lt;/electronic-resource-num&gt;&lt;remote-database-provider&gt;NLM&lt;/remote-database-provider&gt;&lt;research-notes&gt;Included. Need to find full text&lt;/research-notes&gt;&lt;language&gt;eng&lt;/language&gt;&lt;/record&gt;&lt;/Cite&gt;&lt;/EndNote&gt;</w:instrText>
            </w:r>
            <w:r w:rsidRPr="00DA3C6E">
              <w:rPr>
                <w:rFonts w:ascii="Arial Narrow" w:hAnsi="Arial Narrow"/>
                <w:b/>
                <w:bCs/>
                <w:sz w:val="20"/>
              </w:rPr>
              <w:fldChar w:fldCharType="separate"/>
            </w:r>
            <w:r w:rsidRPr="00DA3C6E">
              <w:rPr>
                <w:rFonts w:ascii="Arial Narrow" w:hAnsi="Arial Narrow"/>
                <w:b/>
                <w:bCs/>
                <w:noProof/>
                <w:sz w:val="20"/>
              </w:rPr>
              <w:t>(</w:t>
            </w:r>
            <w:hyperlink w:anchor="_ENREF_24" w:tooltip="Azulay, 1994 #4" w:history="1">
              <w:r w:rsidRPr="00DA3C6E">
                <w:rPr>
                  <w:rFonts w:ascii="Arial Narrow" w:hAnsi="Arial Narrow"/>
                  <w:b/>
                  <w:bCs/>
                  <w:noProof/>
                  <w:sz w:val="20"/>
                </w:rPr>
                <w:t>24</w:t>
              </w:r>
            </w:hyperlink>
            <w:r w:rsidRPr="00DA3C6E">
              <w:rPr>
                <w:rFonts w:ascii="Arial Narrow" w:hAnsi="Arial Narrow"/>
                <w:b/>
                <w:bCs/>
                <w:noProof/>
                <w:sz w:val="20"/>
              </w:rPr>
              <w:t>)</w:t>
            </w:r>
            <w:r w:rsidRPr="00DA3C6E">
              <w:rPr>
                <w:rFonts w:ascii="Arial Narrow" w:hAnsi="Arial Narrow"/>
                <w:b/>
                <w:bCs/>
                <w:sz w:val="20"/>
              </w:rPr>
              <w:fldChar w:fldCharType="end"/>
            </w:r>
          </w:p>
        </w:tc>
      </w:tr>
      <w:tr w:rsidR="00067458" w:rsidRPr="00DA3C6E" w14:paraId="7C769EE5" w14:textId="77777777" w:rsidTr="0047278C">
        <w:tc>
          <w:tcPr>
            <w:tcW w:w="2405" w:type="dxa"/>
            <w:tcMar>
              <w:top w:w="0" w:type="dxa"/>
              <w:left w:w="108" w:type="dxa"/>
              <w:bottom w:w="0" w:type="dxa"/>
              <w:right w:w="108" w:type="dxa"/>
            </w:tcMar>
            <w:vAlign w:val="center"/>
          </w:tcPr>
          <w:p w14:paraId="3F0842BF" w14:textId="77777777" w:rsidR="00067458" w:rsidRPr="00DA3C6E" w:rsidRDefault="00067458" w:rsidP="000957C2">
            <w:pPr>
              <w:rPr>
                <w:rFonts w:ascii="Arial Narrow" w:hAnsi="Arial Narrow"/>
                <w:sz w:val="20"/>
              </w:rPr>
            </w:pPr>
            <w:r w:rsidRPr="00DA3C6E">
              <w:rPr>
                <w:rFonts w:ascii="Arial Narrow" w:hAnsi="Arial Narrow"/>
                <w:sz w:val="20"/>
              </w:rPr>
              <w:t>Cutaneous rash</w:t>
            </w:r>
          </w:p>
        </w:tc>
        <w:tc>
          <w:tcPr>
            <w:tcW w:w="1559" w:type="dxa"/>
            <w:tcMar>
              <w:top w:w="0" w:type="dxa"/>
              <w:left w:w="108" w:type="dxa"/>
              <w:bottom w:w="0" w:type="dxa"/>
              <w:right w:w="108" w:type="dxa"/>
            </w:tcMar>
            <w:vAlign w:val="center"/>
            <w:hideMark/>
          </w:tcPr>
          <w:p w14:paraId="3AF57061" w14:textId="77777777" w:rsidR="00067458" w:rsidRPr="00DA3C6E" w:rsidRDefault="00067458" w:rsidP="000957C2">
            <w:pPr>
              <w:rPr>
                <w:rFonts w:ascii="Arial Narrow" w:hAnsi="Arial Narrow"/>
                <w:sz w:val="20"/>
                <w:vertAlign w:val="superscript"/>
              </w:rPr>
            </w:pPr>
            <w:r w:rsidRPr="00DA3C6E">
              <w:rPr>
                <w:rFonts w:ascii="Arial Narrow" w:hAnsi="Arial Narrow"/>
                <w:sz w:val="20"/>
              </w:rPr>
              <w:t>2/5 (40.0)</w:t>
            </w:r>
          </w:p>
        </w:tc>
        <w:tc>
          <w:tcPr>
            <w:tcW w:w="1701" w:type="dxa"/>
            <w:tcMar>
              <w:top w:w="0" w:type="dxa"/>
              <w:left w:w="108" w:type="dxa"/>
              <w:bottom w:w="0" w:type="dxa"/>
              <w:right w:w="108" w:type="dxa"/>
            </w:tcMar>
            <w:vAlign w:val="center"/>
          </w:tcPr>
          <w:p w14:paraId="74E50EA7" w14:textId="77777777" w:rsidR="00067458" w:rsidRPr="00DA3C6E" w:rsidRDefault="00067458" w:rsidP="000957C2">
            <w:pPr>
              <w:rPr>
                <w:rFonts w:ascii="Arial Narrow" w:hAnsi="Arial Narrow"/>
                <w:sz w:val="20"/>
              </w:rPr>
            </w:pPr>
            <w:r w:rsidRPr="00DA3C6E">
              <w:rPr>
                <w:rFonts w:ascii="Arial Narrow" w:hAnsi="Arial Narrow"/>
                <w:sz w:val="20"/>
              </w:rPr>
              <w:t>0/5 (0)</w:t>
            </w:r>
          </w:p>
        </w:tc>
        <w:tc>
          <w:tcPr>
            <w:tcW w:w="1560" w:type="dxa"/>
            <w:tcMar>
              <w:top w:w="0" w:type="dxa"/>
              <w:left w:w="108" w:type="dxa"/>
              <w:bottom w:w="0" w:type="dxa"/>
              <w:right w:w="108" w:type="dxa"/>
            </w:tcMar>
            <w:vAlign w:val="center"/>
          </w:tcPr>
          <w:p w14:paraId="12701F92"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7277E41A" w14:textId="77777777" w:rsidR="00067458" w:rsidRPr="00DA3C6E" w:rsidRDefault="00067458" w:rsidP="000957C2">
            <w:pPr>
              <w:rPr>
                <w:rFonts w:ascii="Arial Narrow" w:hAnsi="Arial Narrow"/>
                <w:sz w:val="20"/>
              </w:rPr>
            </w:pPr>
            <w:r w:rsidRPr="00DA3C6E">
              <w:rPr>
                <w:rFonts w:ascii="Arial Narrow" w:hAnsi="Arial Narrow"/>
                <w:sz w:val="20"/>
              </w:rPr>
              <w:t>0.40 (-0.03, 0.83)</w:t>
            </w:r>
          </w:p>
        </w:tc>
      </w:tr>
      <w:tr w:rsidR="00067458" w:rsidRPr="00DA3C6E" w14:paraId="7C49BFB2" w14:textId="77777777" w:rsidTr="0047278C">
        <w:tc>
          <w:tcPr>
            <w:tcW w:w="2405" w:type="dxa"/>
            <w:tcMar>
              <w:top w:w="0" w:type="dxa"/>
              <w:left w:w="108" w:type="dxa"/>
              <w:bottom w:w="0" w:type="dxa"/>
              <w:right w:w="108" w:type="dxa"/>
            </w:tcMar>
            <w:vAlign w:val="center"/>
          </w:tcPr>
          <w:p w14:paraId="6DBAB54B" w14:textId="77777777" w:rsidR="00067458" w:rsidRPr="00DA3C6E" w:rsidRDefault="00067458" w:rsidP="000957C2">
            <w:pPr>
              <w:rPr>
                <w:rFonts w:ascii="Arial Narrow" w:hAnsi="Arial Narrow"/>
                <w:sz w:val="20"/>
              </w:rPr>
            </w:pPr>
            <w:r w:rsidRPr="00DA3C6E">
              <w:rPr>
                <w:rFonts w:ascii="Arial Narrow" w:hAnsi="Arial Narrow"/>
                <w:sz w:val="20"/>
              </w:rPr>
              <w:t>Transient fever</w:t>
            </w:r>
          </w:p>
        </w:tc>
        <w:tc>
          <w:tcPr>
            <w:tcW w:w="1559" w:type="dxa"/>
            <w:tcMar>
              <w:top w:w="0" w:type="dxa"/>
              <w:left w:w="108" w:type="dxa"/>
              <w:bottom w:w="0" w:type="dxa"/>
              <w:right w:w="108" w:type="dxa"/>
            </w:tcMar>
            <w:vAlign w:val="center"/>
          </w:tcPr>
          <w:p w14:paraId="2EC9F310" w14:textId="77777777" w:rsidR="00067458" w:rsidRPr="00DA3C6E" w:rsidRDefault="00067458" w:rsidP="000957C2">
            <w:pPr>
              <w:rPr>
                <w:rFonts w:ascii="Arial Narrow" w:hAnsi="Arial Narrow"/>
                <w:sz w:val="20"/>
              </w:rPr>
            </w:pPr>
            <w:r w:rsidRPr="00DA3C6E">
              <w:rPr>
                <w:rFonts w:ascii="Arial Narrow" w:hAnsi="Arial Narrow"/>
                <w:sz w:val="20"/>
              </w:rPr>
              <w:t>2/5 (40.0)</w:t>
            </w:r>
          </w:p>
        </w:tc>
        <w:tc>
          <w:tcPr>
            <w:tcW w:w="1701" w:type="dxa"/>
            <w:tcMar>
              <w:top w:w="0" w:type="dxa"/>
              <w:left w:w="108" w:type="dxa"/>
              <w:bottom w:w="0" w:type="dxa"/>
              <w:right w:w="108" w:type="dxa"/>
            </w:tcMar>
            <w:vAlign w:val="center"/>
          </w:tcPr>
          <w:p w14:paraId="147E672F" w14:textId="77777777" w:rsidR="00067458" w:rsidRPr="00DA3C6E" w:rsidRDefault="00067458" w:rsidP="000957C2">
            <w:pPr>
              <w:rPr>
                <w:rFonts w:ascii="Arial Narrow" w:hAnsi="Arial Narrow"/>
                <w:sz w:val="20"/>
              </w:rPr>
            </w:pPr>
            <w:r w:rsidRPr="00DA3C6E">
              <w:rPr>
                <w:rFonts w:ascii="Arial Narrow" w:hAnsi="Arial Narrow"/>
                <w:sz w:val="20"/>
              </w:rPr>
              <w:t>0/5 (0)</w:t>
            </w:r>
          </w:p>
        </w:tc>
        <w:tc>
          <w:tcPr>
            <w:tcW w:w="1560" w:type="dxa"/>
            <w:tcMar>
              <w:top w:w="0" w:type="dxa"/>
              <w:left w:w="108" w:type="dxa"/>
              <w:bottom w:w="0" w:type="dxa"/>
              <w:right w:w="108" w:type="dxa"/>
            </w:tcMar>
            <w:vAlign w:val="center"/>
          </w:tcPr>
          <w:p w14:paraId="50493CA8"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tcPr>
          <w:p w14:paraId="24A8D6EB" w14:textId="77777777" w:rsidR="00067458" w:rsidRPr="00DA3C6E" w:rsidRDefault="00067458" w:rsidP="000957C2">
            <w:pPr>
              <w:rPr>
                <w:rFonts w:ascii="Arial Narrow" w:hAnsi="Arial Narrow"/>
                <w:sz w:val="20"/>
              </w:rPr>
            </w:pPr>
            <w:r w:rsidRPr="00DA3C6E">
              <w:rPr>
                <w:rFonts w:ascii="Arial Narrow" w:hAnsi="Arial Narrow"/>
                <w:sz w:val="20"/>
              </w:rPr>
              <w:t>0.40 (-0.03, 0.83)</w:t>
            </w:r>
          </w:p>
        </w:tc>
      </w:tr>
      <w:tr w:rsidR="00067458" w:rsidRPr="00DA3C6E" w14:paraId="661D7CFA" w14:textId="77777777" w:rsidTr="0047278C">
        <w:tc>
          <w:tcPr>
            <w:tcW w:w="9016" w:type="dxa"/>
            <w:gridSpan w:val="5"/>
            <w:tcMar>
              <w:top w:w="0" w:type="dxa"/>
              <w:left w:w="108" w:type="dxa"/>
              <w:bottom w:w="0" w:type="dxa"/>
              <w:right w:w="108" w:type="dxa"/>
            </w:tcMar>
            <w:vAlign w:val="center"/>
            <w:hideMark/>
          </w:tcPr>
          <w:p w14:paraId="344C170F" w14:textId="77777777" w:rsidR="00067458" w:rsidRPr="00DA3C6E" w:rsidRDefault="00067458" w:rsidP="000957C2">
            <w:pPr>
              <w:rPr>
                <w:rFonts w:ascii="Arial Narrow" w:hAnsi="Arial Narrow"/>
                <w:b/>
                <w:bCs/>
                <w:sz w:val="20"/>
              </w:rPr>
            </w:pPr>
            <w:r w:rsidRPr="00DA3C6E">
              <w:rPr>
                <w:rFonts w:ascii="Arial Narrow" w:hAnsi="Arial Narrow"/>
                <w:b/>
                <w:bCs/>
                <w:sz w:val="20"/>
                <w:lang w:val="es-CL"/>
              </w:rPr>
              <w:t xml:space="preserve">Van den </w:t>
            </w:r>
            <w:proofErr w:type="spellStart"/>
            <w:r w:rsidRPr="00DA3C6E">
              <w:rPr>
                <w:rFonts w:ascii="Arial Narrow" w:hAnsi="Arial Narrow"/>
                <w:b/>
                <w:bCs/>
                <w:sz w:val="20"/>
                <w:lang w:val="es-CL"/>
              </w:rPr>
              <w:t>Berg</w:t>
            </w:r>
            <w:proofErr w:type="spellEnd"/>
            <w:r w:rsidRPr="00DA3C6E">
              <w:rPr>
                <w:rFonts w:ascii="Arial Narrow" w:hAnsi="Arial Narrow"/>
                <w:b/>
                <w:bCs/>
                <w:sz w:val="20"/>
                <w:lang w:val="es-CL"/>
              </w:rPr>
              <w:t xml:space="preserve"> et al.  </w:t>
            </w:r>
            <w:r w:rsidRPr="00DA3C6E">
              <w:rPr>
                <w:rFonts w:ascii="Arial Narrow" w:hAnsi="Arial Narrow"/>
                <w:b/>
                <w:bCs/>
                <w:sz w:val="20"/>
              </w:rPr>
              <w:t>1995</w:t>
            </w:r>
            <w:r w:rsidRPr="00DA3C6E">
              <w:rPr>
                <w:rFonts w:ascii="Arial Narrow" w:hAnsi="Arial Narrow"/>
                <w:b/>
                <w:bCs/>
                <w:sz w:val="20"/>
              </w:rPr>
              <w:fldChar w:fldCharType="begin"/>
            </w:r>
            <w:r w:rsidRPr="00DA3C6E">
              <w:rPr>
                <w:rFonts w:ascii="Arial Narrow" w:hAnsi="Arial Narrow"/>
                <w:b/>
                <w:bCs/>
                <w:sz w:val="20"/>
              </w:rPr>
              <w:instrText xml:space="preserve"> ADDIN EN.CITE &lt;EndNote&gt;&lt;Cite&gt;&lt;Author&gt;Van den Berg&lt;/Author&gt;&lt;Year&gt;1995&lt;/Year&gt;&lt;RecNum&gt;77&lt;/RecNum&gt;&lt;DisplayText&gt;(25)&lt;/DisplayText&gt;&lt;record&gt;&lt;rec-number&gt;77&lt;/rec-number&gt;&lt;foreign-keys&gt;&lt;key app="EN" db-id="0992p2ztn5fez9e2wvnpw2xstd20f9w2dezz" timestamp="1586863422"&gt;77&lt;/key&gt;&lt;/foreign-keys&gt;&lt;ref-type name="Journal Article"&gt;17&lt;/ref-type&gt;&lt;contributors&gt;&lt;authors&gt;&lt;author&gt;Van den Berg, L. H.&lt;/author&gt;&lt;author&gt;Kerkhoff, H.&lt;/author&gt;&lt;author&gt;Oey, P. L.&lt;/author&gt;&lt;author&gt;Franssen, H.&lt;/author&gt;&lt;author&gt;Mollee, I.&lt;/author&gt;&lt;author&gt;Vermeulen, M.&lt;/author&gt;&lt;author&gt;Jennekens, F. G.&lt;/author&gt;&lt;author&gt;Wokke, J. H.&lt;/author&gt;&lt;/authors&gt;&lt;/contributors&gt;&lt;auth-address&gt;Rudolf Magnus Research School in the Neurosciences, Department of Neurology, University Hospital Utrecht, The Netherlands.&lt;/auth-address&gt;&lt;titles&gt;&lt;title&gt;Treatment of multifocal motor neuropathy with high dose intravenous immunoglobulins: a double blind, placebo controlled study&lt;/title&gt;&lt;secondary-title&gt;J Neurol Neurosurg Psychiatry&lt;/secondary-title&gt;&lt;alt-title&gt;Journal of neurology, neurosurgery, and psychiatry&lt;/alt-title&gt;&lt;/titles&gt;&lt;alt-periodical&gt;&lt;full-title&gt;Journal of neurology, neurosurgery, and psychiatry&lt;/full-title&gt;&lt;/alt-periodical&gt;&lt;pages&gt;248-52&lt;/pages&gt;&lt;volume&gt;59&lt;/volume&gt;&lt;number&gt;3&lt;/number&gt;&lt;edition&gt;1995/09/01&lt;/edition&gt;&lt;keywords&gt;&lt;keyword&gt;Adult&lt;/keyword&gt;&lt;keyword&gt;Double-Blind Method&lt;/keyword&gt;&lt;keyword&gt;Female&lt;/keyword&gt;&lt;keyword&gt;Humans&lt;/keyword&gt;&lt;keyword&gt;Immunoglobulins, Intravenous/*administration &amp;amp; dosage/therapeutic use&lt;/keyword&gt;&lt;keyword&gt;Male&lt;/keyword&gt;&lt;keyword&gt;Middle Aged&lt;/keyword&gt;&lt;keyword&gt;Motor Neuron Disease/physiopathology/*therapy&lt;/keyword&gt;&lt;keyword&gt;Muscles/physiopathology&lt;/keyword&gt;&lt;/keywords&gt;&lt;dates&gt;&lt;year&gt;1995&lt;/year&gt;&lt;pub-dates&gt;&lt;date&gt;Sep&lt;/date&gt;&lt;/pub-dates&gt;&lt;/dates&gt;&lt;isbn&gt;0022-3050 (Print)&amp;#xD;0022-3050&lt;/isbn&gt;&lt;accession-num&gt;7673950&lt;/accession-num&gt;&lt;urls&gt;&lt;/urls&gt;&lt;custom2&gt;PMC486021&lt;/custom2&gt;&lt;electronic-resource-num&gt;10.1136/jnnp.59.3.248&lt;/electronic-resource-num&gt;&lt;remote-database-provider&gt;NLM&lt;/remote-database-provider&gt;&lt;language&gt;eng&lt;/language&gt;&lt;/record&gt;&lt;/Cite&gt;&lt;/EndNote&gt;</w:instrText>
            </w:r>
            <w:r w:rsidRPr="00DA3C6E">
              <w:rPr>
                <w:rFonts w:ascii="Arial Narrow" w:hAnsi="Arial Narrow"/>
                <w:b/>
                <w:bCs/>
                <w:sz w:val="20"/>
              </w:rPr>
              <w:fldChar w:fldCharType="separate"/>
            </w:r>
            <w:r w:rsidRPr="00DA3C6E">
              <w:rPr>
                <w:rFonts w:ascii="Arial Narrow" w:hAnsi="Arial Narrow"/>
                <w:b/>
                <w:bCs/>
                <w:noProof/>
                <w:sz w:val="20"/>
              </w:rPr>
              <w:t>(</w:t>
            </w:r>
            <w:hyperlink w:anchor="_ENREF_25" w:tooltip="Van den Berg, 1995 #77" w:history="1">
              <w:r w:rsidRPr="00DA3C6E">
                <w:rPr>
                  <w:rFonts w:ascii="Arial Narrow" w:hAnsi="Arial Narrow"/>
                  <w:b/>
                  <w:bCs/>
                  <w:noProof/>
                  <w:sz w:val="20"/>
                </w:rPr>
                <w:t>25</w:t>
              </w:r>
            </w:hyperlink>
            <w:r w:rsidRPr="00DA3C6E">
              <w:rPr>
                <w:rFonts w:ascii="Arial Narrow" w:hAnsi="Arial Narrow"/>
                <w:b/>
                <w:bCs/>
                <w:noProof/>
                <w:sz w:val="20"/>
              </w:rPr>
              <w:t>)</w:t>
            </w:r>
            <w:r w:rsidRPr="00DA3C6E">
              <w:rPr>
                <w:rFonts w:ascii="Arial Narrow" w:hAnsi="Arial Narrow"/>
                <w:b/>
                <w:bCs/>
                <w:sz w:val="20"/>
              </w:rPr>
              <w:fldChar w:fldCharType="end"/>
            </w:r>
          </w:p>
        </w:tc>
      </w:tr>
      <w:tr w:rsidR="00067458" w:rsidRPr="00DA3C6E" w14:paraId="3B08958A" w14:textId="77777777" w:rsidTr="0047278C">
        <w:tc>
          <w:tcPr>
            <w:tcW w:w="2405" w:type="dxa"/>
            <w:tcMar>
              <w:top w:w="0" w:type="dxa"/>
              <w:left w:w="108" w:type="dxa"/>
              <w:bottom w:w="0" w:type="dxa"/>
              <w:right w:w="108" w:type="dxa"/>
            </w:tcMar>
            <w:vAlign w:val="center"/>
          </w:tcPr>
          <w:p w14:paraId="14507D8E" w14:textId="77777777" w:rsidR="00067458" w:rsidRPr="00DA3C6E" w:rsidRDefault="00067458" w:rsidP="000957C2">
            <w:pPr>
              <w:rPr>
                <w:rFonts w:ascii="Arial Narrow" w:hAnsi="Arial Narrow"/>
                <w:sz w:val="20"/>
              </w:rPr>
            </w:pPr>
          </w:p>
        </w:tc>
        <w:tc>
          <w:tcPr>
            <w:tcW w:w="1559" w:type="dxa"/>
            <w:tcMar>
              <w:top w:w="0" w:type="dxa"/>
              <w:left w:w="108" w:type="dxa"/>
              <w:bottom w:w="0" w:type="dxa"/>
              <w:right w:w="108" w:type="dxa"/>
            </w:tcMar>
            <w:vAlign w:val="center"/>
            <w:hideMark/>
          </w:tcPr>
          <w:p w14:paraId="6EED784A" w14:textId="77777777" w:rsidR="00067458" w:rsidRPr="00DA3C6E" w:rsidRDefault="00067458" w:rsidP="000957C2">
            <w:pPr>
              <w:rPr>
                <w:rFonts w:ascii="Arial Narrow" w:hAnsi="Arial Narrow"/>
                <w:sz w:val="20"/>
              </w:rPr>
            </w:pPr>
            <w:r w:rsidRPr="00DA3C6E">
              <w:rPr>
                <w:rFonts w:ascii="Arial Narrow" w:hAnsi="Arial Narrow"/>
                <w:sz w:val="20"/>
              </w:rPr>
              <w:t>NR</w:t>
            </w:r>
          </w:p>
        </w:tc>
        <w:tc>
          <w:tcPr>
            <w:tcW w:w="1701" w:type="dxa"/>
            <w:tcMar>
              <w:top w:w="0" w:type="dxa"/>
              <w:left w:w="108" w:type="dxa"/>
              <w:bottom w:w="0" w:type="dxa"/>
              <w:right w:w="108" w:type="dxa"/>
            </w:tcMar>
            <w:vAlign w:val="center"/>
          </w:tcPr>
          <w:p w14:paraId="272CA891" w14:textId="77777777" w:rsidR="00067458" w:rsidRPr="00DA3C6E" w:rsidRDefault="00067458" w:rsidP="000957C2">
            <w:pPr>
              <w:rPr>
                <w:rFonts w:ascii="Arial Narrow" w:hAnsi="Arial Narrow"/>
                <w:sz w:val="20"/>
              </w:rPr>
            </w:pPr>
            <w:r w:rsidRPr="00DA3C6E">
              <w:rPr>
                <w:rFonts w:ascii="Arial Narrow" w:hAnsi="Arial Narrow"/>
                <w:sz w:val="20"/>
              </w:rPr>
              <w:t>NR</w:t>
            </w:r>
          </w:p>
        </w:tc>
        <w:tc>
          <w:tcPr>
            <w:tcW w:w="1560" w:type="dxa"/>
            <w:tcMar>
              <w:top w:w="0" w:type="dxa"/>
              <w:left w:w="108" w:type="dxa"/>
              <w:bottom w:w="0" w:type="dxa"/>
              <w:right w:w="108" w:type="dxa"/>
            </w:tcMar>
            <w:vAlign w:val="center"/>
          </w:tcPr>
          <w:p w14:paraId="774B9BEA" w14:textId="77777777" w:rsidR="00067458" w:rsidRPr="00DA3C6E" w:rsidRDefault="00067458" w:rsidP="000957C2">
            <w:pPr>
              <w:rPr>
                <w:rFonts w:ascii="Arial Narrow" w:hAnsi="Arial Narrow"/>
                <w:sz w:val="20"/>
              </w:rPr>
            </w:pPr>
            <w:r w:rsidRPr="00DA3C6E">
              <w:rPr>
                <w:rFonts w:ascii="Arial Narrow" w:hAnsi="Arial Narrow"/>
                <w:sz w:val="20"/>
              </w:rPr>
              <w:t>NR</w:t>
            </w:r>
          </w:p>
        </w:tc>
        <w:tc>
          <w:tcPr>
            <w:tcW w:w="1791" w:type="dxa"/>
            <w:tcMar>
              <w:top w:w="0" w:type="dxa"/>
              <w:left w:w="108" w:type="dxa"/>
              <w:bottom w:w="0" w:type="dxa"/>
              <w:right w:w="108" w:type="dxa"/>
            </w:tcMar>
            <w:vAlign w:val="center"/>
            <w:hideMark/>
          </w:tcPr>
          <w:p w14:paraId="2AA946A9" w14:textId="77777777" w:rsidR="00067458" w:rsidRPr="00DA3C6E" w:rsidRDefault="00067458" w:rsidP="000957C2">
            <w:pPr>
              <w:rPr>
                <w:rFonts w:ascii="Arial Narrow" w:hAnsi="Arial Narrow"/>
                <w:sz w:val="20"/>
              </w:rPr>
            </w:pPr>
            <w:r w:rsidRPr="00DA3C6E">
              <w:rPr>
                <w:rFonts w:ascii="Arial Narrow" w:hAnsi="Arial Narrow"/>
                <w:sz w:val="20"/>
              </w:rPr>
              <w:t>NR</w:t>
            </w:r>
          </w:p>
        </w:tc>
      </w:tr>
      <w:tr w:rsidR="00067458" w:rsidRPr="00DA3C6E" w14:paraId="4B0E4B4B" w14:textId="77777777" w:rsidTr="0047278C">
        <w:tc>
          <w:tcPr>
            <w:tcW w:w="9016" w:type="dxa"/>
            <w:gridSpan w:val="5"/>
            <w:tcMar>
              <w:top w:w="0" w:type="dxa"/>
              <w:left w:w="108" w:type="dxa"/>
              <w:bottom w:w="0" w:type="dxa"/>
              <w:right w:w="108" w:type="dxa"/>
            </w:tcMar>
            <w:vAlign w:val="center"/>
            <w:hideMark/>
          </w:tcPr>
          <w:p w14:paraId="535DA84C" w14:textId="77777777" w:rsidR="00067458" w:rsidRPr="00DA3C6E" w:rsidRDefault="00067458" w:rsidP="000957C2">
            <w:pPr>
              <w:rPr>
                <w:rFonts w:ascii="Arial Narrow" w:hAnsi="Arial Narrow"/>
                <w:sz w:val="20"/>
                <w:vertAlign w:val="superscript"/>
              </w:rPr>
            </w:pPr>
            <w:r w:rsidRPr="00DA3C6E">
              <w:rPr>
                <w:rFonts w:ascii="Arial Narrow" w:hAnsi="Arial Narrow"/>
                <w:b/>
                <w:bCs/>
                <w:sz w:val="20"/>
              </w:rPr>
              <w:t>Federico et al. 2000</w:t>
            </w:r>
            <w:r w:rsidRPr="00DA3C6E">
              <w:rPr>
                <w:rFonts w:ascii="Arial Narrow" w:hAnsi="Arial Narrow"/>
                <w:b/>
                <w:bCs/>
                <w:sz w:val="20"/>
              </w:rPr>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rPr>
                <w:rFonts w:ascii="Arial Narrow" w:hAnsi="Arial Narrow"/>
                <w:b/>
                <w:bCs/>
                <w:sz w:val="20"/>
              </w:rPr>
              <w:instrText xml:space="preserve"> ADDIN EN.CITE </w:instrText>
            </w:r>
            <w:r w:rsidRPr="00DA3C6E">
              <w:rPr>
                <w:rFonts w:ascii="Arial Narrow" w:hAnsi="Arial Narrow"/>
                <w:b/>
                <w:bCs/>
                <w:sz w:val="20"/>
              </w:rPr>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rPr>
                <w:rFonts w:ascii="Arial Narrow" w:hAnsi="Arial Narrow"/>
                <w:b/>
                <w:bCs/>
                <w:sz w:val="20"/>
              </w:rPr>
              <w:instrText xml:space="preserve"> ADDIN EN.CITE.DATA </w:instrText>
            </w:r>
            <w:r w:rsidRPr="00DA3C6E">
              <w:rPr>
                <w:rFonts w:ascii="Arial Narrow" w:hAnsi="Arial Narrow"/>
                <w:b/>
                <w:bCs/>
                <w:sz w:val="20"/>
              </w:rPr>
            </w:r>
            <w:r w:rsidRPr="00DA3C6E">
              <w:rPr>
                <w:rFonts w:ascii="Arial Narrow" w:hAnsi="Arial Narrow"/>
                <w:b/>
                <w:bCs/>
                <w:sz w:val="20"/>
              </w:rPr>
              <w:fldChar w:fldCharType="end"/>
            </w:r>
            <w:r w:rsidRPr="00DA3C6E">
              <w:rPr>
                <w:rFonts w:ascii="Arial Narrow" w:hAnsi="Arial Narrow"/>
                <w:b/>
                <w:bCs/>
                <w:sz w:val="20"/>
              </w:rPr>
            </w:r>
            <w:r w:rsidRPr="00DA3C6E">
              <w:rPr>
                <w:rFonts w:ascii="Arial Narrow" w:hAnsi="Arial Narrow"/>
                <w:b/>
                <w:bCs/>
                <w:sz w:val="20"/>
              </w:rPr>
              <w:fldChar w:fldCharType="separate"/>
            </w:r>
            <w:r w:rsidRPr="00DA3C6E">
              <w:rPr>
                <w:rFonts w:ascii="Arial Narrow" w:hAnsi="Arial Narrow"/>
                <w:b/>
                <w:bCs/>
                <w:noProof/>
                <w:sz w:val="20"/>
              </w:rPr>
              <w:t>(</w:t>
            </w:r>
            <w:hyperlink w:anchor="_ENREF_26" w:tooltip="Federico, 2000 #20" w:history="1">
              <w:r w:rsidRPr="00DA3C6E">
                <w:rPr>
                  <w:rFonts w:ascii="Arial Narrow" w:hAnsi="Arial Narrow"/>
                  <w:b/>
                  <w:bCs/>
                  <w:noProof/>
                  <w:sz w:val="20"/>
                </w:rPr>
                <w:t>26</w:t>
              </w:r>
            </w:hyperlink>
            <w:r w:rsidRPr="00DA3C6E">
              <w:rPr>
                <w:rFonts w:ascii="Arial Narrow" w:hAnsi="Arial Narrow"/>
                <w:b/>
                <w:bCs/>
                <w:noProof/>
                <w:sz w:val="20"/>
              </w:rPr>
              <w:t>)</w:t>
            </w:r>
            <w:r w:rsidRPr="00DA3C6E">
              <w:rPr>
                <w:rFonts w:ascii="Arial Narrow" w:hAnsi="Arial Narrow"/>
                <w:b/>
                <w:bCs/>
                <w:sz w:val="20"/>
              </w:rPr>
              <w:fldChar w:fldCharType="end"/>
            </w:r>
          </w:p>
        </w:tc>
      </w:tr>
      <w:tr w:rsidR="00067458" w:rsidRPr="00DA3C6E" w14:paraId="4349869E" w14:textId="77777777" w:rsidTr="0047278C">
        <w:tc>
          <w:tcPr>
            <w:tcW w:w="2405" w:type="dxa"/>
            <w:tcMar>
              <w:top w:w="0" w:type="dxa"/>
              <w:left w:w="108" w:type="dxa"/>
              <w:bottom w:w="0" w:type="dxa"/>
              <w:right w:w="108" w:type="dxa"/>
            </w:tcMar>
            <w:vAlign w:val="center"/>
            <w:hideMark/>
          </w:tcPr>
          <w:p w14:paraId="7E6B545C" w14:textId="77777777" w:rsidR="00067458" w:rsidRPr="00DA3C6E" w:rsidRDefault="00067458" w:rsidP="000957C2">
            <w:pPr>
              <w:rPr>
                <w:rFonts w:ascii="Arial Narrow" w:hAnsi="Arial Narrow"/>
                <w:sz w:val="20"/>
              </w:rPr>
            </w:pPr>
            <w:r w:rsidRPr="00DA3C6E">
              <w:rPr>
                <w:rFonts w:ascii="Arial Narrow" w:hAnsi="Arial Narrow"/>
                <w:sz w:val="20"/>
              </w:rPr>
              <w:t>Total events</w:t>
            </w:r>
          </w:p>
        </w:tc>
        <w:tc>
          <w:tcPr>
            <w:tcW w:w="1559" w:type="dxa"/>
            <w:tcMar>
              <w:top w:w="0" w:type="dxa"/>
              <w:left w:w="108" w:type="dxa"/>
              <w:bottom w:w="0" w:type="dxa"/>
              <w:right w:w="108" w:type="dxa"/>
            </w:tcMar>
            <w:vAlign w:val="center"/>
            <w:hideMark/>
          </w:tcPr>
          <w:p w14:paraId="76903EA3" w14:textId="77777777" w:rsidR="00067458" w:rsidRPr="00DA3C6E" w:rsidRDefault="00067458" w:rsidP="000957C2">
            <w:pPr>
              <w:rPr>
                <w:rFonts w:ascii="Arial Narrow" w:hAnsi="Arial Narrow"/>
                <w:sz w:val="20"/>
              </w:rPr>
            </w:pPr>
            <w:r w:rsidRPr="00DA3C6E">
              <w:rPr>
                <w:rFonts w:ascii="Arial Narrow" w:hAnsi="Arial Narrow"/>
                <w:sz w:val="20"/>
              </w:rPr>
              <w:t>13/16 (81.2)</w:t>
            </w:r>
          </w:p>
        </w:tc>
        <w:tc>
          <w:tcPr>
            <w:tcW w:w="1701" w:type="dxa"/>
            <w:tcMar>
              <w:top w:w="0" w:type="dxa"/>
              <w:left w:w="108" w:type="dxa"/>
              <w:bottom w:w="0" w:type="dxa"/>
              <w:right w:w="108" w:type="dxa"/>
            </w:tcMar>
            <w:vAlign w:val="center"/>
            <w:hideMark/>
          </w:tcPr>
          <w:p w14:paraId="16BFDEBD" w14:textId="77777777" w:rsidR="00067458" w:rsidRPr="00DA3C6E" w:rsidRDefault="00067458" w:rsidP="000957C2">
            <w:pPr>
              <w:rPr>
                <w:rFonts w:ascii="Arial Narrow" w:hAnsi="Arial Narrow"/>
                <w:sz w:val="20"/>
              </w:rPr>
            </w:pPr>
            <w:r w:rsidRPr="00DA3C6E">
              <w:rPr>
                <w:rFonts w:ascii="Arial Narrow" w:hAnsi="Arial Narrow"/>
                <w:sz w:val="20"/>
              </w:rPr>
              <w:t>1/16 (6.3)</w:t>
            </w:r>
          </w:p>
        </w:tc>
        <w:tc>
          <w:tcPr>
            <w:tcW w:w="1560" w:type="dxa"/>
            <w:tcMar>
              <w:top w:w="0" w:type="dxa"/>
              <w:left w:w="108" w:type="dxa"/>
              <w:bottom w:w="0" w:type="dxa"/>
              <w:right w:w="108" w:type="dxa"/>
            </w:tcMar>
            <w:vAlign w:val="center"/>
          </w:tcPr>
          <w:p w14:paraId="59D0C550" w14:textId="77777777" w:rsidR="00067458" w:rsidRPr="00DA3C6E" w:rsidRDefault="00067458" w:rsidP="000957C2">
            <w:pPr>
              <w:rPr>
                <w:rFonts w:ascii="Arial Narrow" w:hAnsi="Arial Narrow"/>
                <w:b/>
                <w:sz w:val="20"/>
              </w:rPr>
            </w:pPr>
            <w:r w:rsidRPr="00DA3C6E">
              <w:rPr>
                <w:rFonts w:ascii="Arial Narrow" w:hAnsi="Arial Narrow"/>
                <w:b/>
                <w:sz w:val="20"/>
              </w:rPr>
              <w:t>13 (1.92, 87.99)</w:t>
            </w:r>
          </w:p>
        </w:tc>
        <w:tc>
          <w:tcPr>
            <w:tcW w:w="1791" w:type="dxa"/>
            <w:tcMar>
              <w:top w:w="0" w:type="dxa"/>
              <w:left w:w="108" w:type="dxa"/>
              <w:bottom w:w="0" w:type="dxa"/>
              <w:right w:w="108" w:type="dxa"/>
            </w:tcMar>
            <w:vAlign w:val="center"/>
            <w:hideMark/>
          </w:tcPr>
          <w:p w14:paraId="392E60EF" w14:textId="77777777" w:rsidR="00067458" w:rsidRPr="00DA3C6E" w:rsidRDefault="00067458" w:rsidP="000957C2">
            <w:pPr>
              <w:rPr>
                <w:rFonts w:ascii="Arial Narrow" w:hAnsi="Arial Narrow"/>
                <w:b/>
                <w:bCs/>
                <w:sz w:val="20"/>
              </w:rPr>
            </w:pPr>
            <w:r w:rsidRPr="00DA3C6E">
              <w:rPr>
                <w:rFonts w:ascii="Arial Narrow" w:hAnsi="Arial Narrow"/>
                <w:b/>
                <w:bCs/>
                <w:sz w:val="20"/>
              </w:rPr>
              <w:t>0.75 (0.52, 0.98)</w:t>
            </w:r>
          </w:p>
        </w:tc>
      </w:tr>
      <w:tr w:rsidR="00067458" w:rsidRPr="00DA3C6E" w14:paraId="7C2FE499" w14:textId="77777777" w:rsidTr="0047278C">
        <w:tc>
          <w:tcPr>
            <w:tcW w:w="2405" w:type="dxa"/>
            <w:tcMar>
              <w:top w:w="0" w:type="dxa"/>
              <w:left w:w="108" w:type="dxa"/>
              <w:bottom w:w="0" w:type="dxa"/>
              <w:right w:w="108" w:type="dxa"/>
            </w:tcMar>
            <w:vAlign w:val="center"/>
            <w:hideMark/>
          </w:tcPr>
          <w:p w14:paraId="76BE3469" w14:textId="77777777" w:rsidR="00067458" w:rsidRPr="00DA3C6E" w:rsidRDefault="00067458" w:rsidP="000957C2">
            <w:pPr>
              <w:rPr>
                <w:rFonts w:ascii="Arial Narrow" w:hAnsi="Arial Narrow"/>
                <w:sz w:val="20"/>
              </w:rPr>
            </w:pPr>
            <w:r w:rsidRPr="00DA3C6E">
              <w:rPr>
                <w:rFonts w:ascii="Arial Narrow" w:hAnsi="Arial Narrow"/>
                <w:sz w:val="20"/>
              </w:rPr>
              <w:t xml:space="preserve">Headache </w:t>
            </w:r>
          </w:p>
        </w:tc>
        <w:tc>
          <w:tcPr>
            <w:tcW w:w="1559" w:type="dxa"/>
            <w:tcMar>
              <w:top w:w="0" w:type="dxa"/>
              <w:left w:w="108" w:type="dxa"/>
              <w:bottom w:w="0" w:type="dxa"/>
              <w:right w:w="108" w:type="dxa"/>
            </w:tcMar>
            <w:vAlign w:val="center"/>
            <w:hideMark/>
          </w:tcPr>
          <w:p w14:paraId="79ED9840" w14:textId="77777777" w:rsidR="00067458" w:rsidRPr="00DA3C6E" w:rsidRDefault="00067458" w:rsidP="000957C2">
            <w:pPr>
              <w:rPr>
                <w:rFonts w:ascii="Arial Narrow" w:hAnsi="Arial Narrow"/>
                <w:sz w:val="20"/>
              </w:rPr>
            </w:pPr>
            <w:r w:rsidRPr="00DA3C6E">
              <w:rPr>
                <w:rFonts w:ascii="Arial Narrow" w:hAnsi="Arial Narrow"/>
                <w:sz w:val="20"/>
              </w:rPr>
              <w:t>5/16 (31.3)</w:t>
            </w:r>
          </w:p>
        </w:tc>
        <w:tc>
          <w:tcPr>
            <w:tcW w:w="1701" w:type="dxa"/>
            <w:tcMar>
              <w:top w:w="0" w:type="dxa"/>
              <w:left w:w="108" w:type="dxa"/>
              <w:bottom w:w="0" w:type="dxa"/>
              <w:right w:w="108" w:type="dxa"/>
            </w:tcMar>
            <w:vAlign w:val="center"/>
            <w:hideMark/>
          </w:tcPr>
          <w:p w14:paraId="2AF6D60C" w14:textId="77777777" w:rsidR="00067458" w:rsidRPr="00DA3C6E" w:rsidRDefault="00067458" w:rsidP="000957C2">
            <w:pPr>
              <w:rPr>
                <w:rFonts w:ascii="Arial Narrow" w:hAnsi="Arial Narrow"/>
                <w:sz w:val="20"/>
              </w:rPr>
            </w:pPr>
            <w:r w:rsidRPr="00DA3C6E">
              <w:rPr>
                <w:rFonts w:ascii="Arial Narrow" w:hAnsi="Arial Narrow"/>
                <w:sz w:val="20"/>
              </w:rPr>
              <w:t>1/16 (6.3)</w:t>
            </w:r>
          </w:p>
        </w:tc>
        <w:tc>
          <w:tcPr>
            <w:tcW w:w="1560" w:type="dxa"/>
            <w:tcMar>
              <w:top w:w="0" w:type="dxa"/>
              <w:left w:w="108" w:type="dxa"/>
              <w:bottom w:w="0" w:type="dxa"/>
              <w:right w:w="108" w:type="dxa"/>
            </w:tcMar>
            <w:vAlign w:val="center"/>
          </w:tcPr>
          <w:p w14:paraId="5A7E5B81" w14:textId="77777777" w:rsidR="00067458" w:rsidRPr="00DA3C6E" w:rsidRDefault="00067458" w:rsidP="000957C2">
            <w:pPr>
              <w:rPr>
                <w:rFonts w:ascii="Arial Narrow" w:hAnsi="Arial Narrow"/>
                <w:sz w:val="20"/>
              </w:rPr>
            </w:pPr>
            <w:r w:rsidRPr="00DA3C6E">
              <w:rPr>
                <w:rFonts w:ascii="Arial Narrow" w:hAnsi="Arial Narrow"/>
                <w:sz w:val="20"/>
              </w:rPr>
              <w:t>5 (0.66, 38.15)</w:t>
            </w:r>
          </w:p>
        </w:tc>
        <w:tc>
          <w:tcPr>
            <w:tcW w:w="1791" w:type="dxa"/>
            <w:tcMar>
              <w:top w:w="0" w:type="dxa"/>
              <w:left w:w="108" w:type="dxa"/>
              <w:bottom w:w="0" w:type="dxa"/>
              <w:right w:w="108" w:type="dxa"/>
            </w:tcMar>
            <w:vAlign w:val="center"/>
            <w:hideMark/>
          </w:tcPr>
          <w:p w14:paraId="3C895934" w14:textId="77777777" w:rsidR="00067458" w:rsidRPr="00DA3C6E" w:rsidRDefault="00067458" w:rsidP="000957C2">
            <w:pPr>
              <w:rPr>
                <w:rFonts w:ascii="Arial Narrow" w:hAnsi="Arial Narrow"/>
                <w:sz w:val="20"/>
              </w:rPr>
            </w:pPr>
            <w:r w:rsidRPr="00DA3C6E">
              <w:rPr>
                <w:rFonts w:ascii="Arial Narrow" w:hAnsi="Arial Narrow"/>
                <w:sz w:val="20"/>
              </w:rPr>
              <w:t>0.25 (-0.01, 0.51)</w:t>
            </w:r>
          </w:p>
        </w:tc>
      </w:tr>
      <w:tr w:rsidR="00067458" w:rsidRPr="00DA3C6E" w14:paraId="74B5AFF3" w14:textId="77777777" w:rsidTr="0047278C">
        <w:tc>
          <w:tcPr>
            <w:tcW w:w="2405" w:type="dxa"/>
            <w:tcMar>
              <w:top w:w="0" w:type="dxa"/>
              <w:left w:w="108" w:type="dxa"/>
              <w:bottom w:w="0" w:type="dxa"/>
              <w:right w:w="108" w:type="dxa"/>
            </w:tcMar>
            <w:vAlign w:val="center"/>
            <w:hideMark/>
          </w:tcPr>
          <w:p w14:paraId="5461B113" w14:textId="77777777" w:rsidR="00067458" w:rsidRPr="00DA3C6E" w:rsidRDefault="00067458" w:rsidP="000957C2">
            <w:pPr>
              <w:rPr>
                <w:rFonts w:ascii="Arial Narrow" w:hAnsi="Arial Narrow"/>
                <w:sz w:val="20"/>
              </w:rPr>
            </w:pPr>
            <w:r w:rsidRPr="00DA3C6E">
              <w:rPr>
                <w:rFonts w:ascii="Arial Narrow" w:hAnsi="Arial Narrow"/>
                <w:sz w:val="20"/>
              </w:rPr>
              <w:t>Headache and rash</w:t>
            </w:r>
          </w:p>
        </w:tc>
        <w:tc>
          <w:tcPr>
            <w:tcW w:w="1559" w:type="dxa"/>
            <w:tcMar>
              <w:top w:w="0" w:type="dxa"/>
              <w:left w:w="108" w:type="dxa"/>
              <w:bottom w:w="0" w:type="dxa"/>
              <w:right w:w="108" w:type="dxa"/>
            </w:tcMar>
            <w:vAlign w:val="center"/>
            <w:hideMark/>
          </w:tcPr>
          <w:p w14:paraId="42D30A88" w14:textId="77777777" w:rsidR="00067458" w:rsidRPr="00DA3C6E" w:rsidRDefault="00067458" w:rsidP="000957C2">
            <w:pPr>
              <w:rPr>
                <w:rFonts w:ascii="Arial Narrow" w:hAnsi="Arial Narrow"/>
                <w:sz w:val="20"/>
              </w:rPr>
            </w:pPr>
            <w:r w:rsidRPr="00DA3C6E">
              <w:rPr>
                <w:rFonts w:ascii="Arial Narrow" w:hAnsi="Arial Narrow"/>
                <w:sz w:val="20"/>
              </w:rPr>
              <w:t>3/16 (18.8)</w:t>
            </w:r>
          </w:p>
        </w:tc>
        <w:tc>
          <w:tcPr>
            <w:tcW w:w="1701" w:type="dxa"/>
            <w:tcMar>
              <w:top w:w="0" w:type="dxa"/>
              <w:left w:w="108" w:type="dxa"/>
              <w:bottom w:w="0" w:type="dxa"/>
              <w:right w:w="108" w:type="dxa"/>
            </w:tcMar>
            <w:vAlign w:val="center"/>
            <w:hideMark/>
          </w:tcPr>
          <w:p w14:paraId="3547DB13" w14:textId="77777777" w:rsidR="00067458" w:rsidRPr="00DA3C6E" w:rsidRDefault="00067458" w:rsidP="000957C2">
            <w:pPr>
              <w:rPr>
                <w:rFonts w:ascii="Arial Narrow" w:hAnsi="Arial Narrow"/>
                <w:sz w:val="20"/>
              </w:rPr>
            </w:pPr>
            <w:r w:rsidRPr="00DA3C6E">
              <w:rPr>
                <w:rFonts w:ascii="Arial Narrow" w:hAnsi="Arial Narrow"/>
                <w:sz w:val="20"/>
              </w:rPr>
              <w:t>0/16 (0)</w:t>
            </w:r>
          </w:p>
        </w:tc>
        <w:tc>
          <w:tcPr>
            <w:tcW w:w="1560" w:type="dxa"/>
            <w:tcMar>
              <w:top w:w="0" w:type="dxa"/>
              <w:left w:w="108" w:type="dxa"/>
              <w:bottom w:w="0" w:type="dxa"/>
              <w:right w:w="108" w:type="dxa"/>
            </w:tcMar>
            <w:vAlign w:val="center"/>
          </w:tcPr>
          <w:p w14:paraId="20AC2F50"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089FC783" w14:textId="77777777" w:rsidR="00067458" w:rsidRPr="00DA3C6E" w:rsidRDefault="00067458" w:rsidP="000957C2">
            <w:pPr>
              <w:rPr>
                <w:rFonts w:ascii="Arial Narrow" w:hAnsi="Arial Narrow"/>
                <w:sz w:val="20"/>
              </w:rPr>
            </w:pPr>
            <w:r w:rsidRPr="00DA3C6E">
              <w:rPr>
                <w:rFonts w:ascii="Arial Narrow" w:hAnsi="Arial Narrow"/>
                <w:sz w:val="20"/>
              </w:rPr>
              <w:t>0.19 (-00, 0.38)</w:t>
            </w:r>
          </w:p>
        </w:tc>
      </w:tr>
      <w:tr w:rsidR="00067458" w:rsidRPr="00DA3C6E" w14:paraId="56355968" w14:textId="77777777" w:rsidTr="0047278C">
        <w:tc>
          <w:tcPr>
            <w:tcW w:w="2405" w:type="dxa"/>
            <w:tcMar>
              <w:top w:w="0" w:type="dxa"/>
              <w:left w:w="108" w:type="dxa"/>
              <w:bottom w:w="0" w:type="dxa"/>
              <w:right w:w="108" w:type="dxa"/>
            </w:tcMar>
            <w:vAlign w:val="center"/>
            <w:hideMark/>
          </w:tcPr>
          <w:p w14:paraId="792BE26D" w14:textId="77777777" w:rsidR="00067458" w:rsidRPr="00DA3C6E" w:rsidRDefault="00067458" w:rsidP="000957C2">
            <w:pPr>
              <w:rPr>
                <w:rFonts w:ascii="Arial Narrow" w:hAnsi="Arial Narrow"/>
                <w:sz w:val="20"/>
              </w:rPr>
            </w:pPr>
            <w:r w:rsidRPr="00DA3C6E">
              <w:rPr>
                <w:rFonts w:ascii="Arial Narrow" w:hAnsi="Arial Narrow"/>
                <w:sz w:val="20"/>
              </w:rPr>
              <w:t>Rash only</w:t>
            </w:r>
          </w:p>
        </w:tc>
        <w:tc>
          <w:tcPr>
            <w:tcW w:w="1559" w:type="dxa"/>
            <w:tcMar>
              <w:top w:w="0" w:type="dxa"/>
              <w:left w:w="108" w:type="dxa"/>
              <w:bottom w:w="0" w:type="dxa"/>
              <w:right w:w="108" w:type="dxa"/>
            </w:tcMar>
            <w:vAlign w:val="center"/>
            <w:hideMark/>
          </w:tcPr>
          <w:p w14:paraId="239A7832" w14:textId="77777777" w:rsidR="00067458" w:rsidRPr="00DA3C6E" w:rsidRDefault="00067458" w:rsidP="000957C2">
            <w:pPr>
              <w:rPr>
                <w:rFonts w:ascii="Arial Narrow" w:hAnsi="Arial Narrow"/>
                <w:sz w:val="20"/>
              </w:rPr>
            </w:pPr>
            <w:r w:rsidRPr="00DA3C6E">
              <w:rPr>
                <w:rFonts w:ascii="Arial Narrow" w:hAnsi="Arial Narrow"/>
                <w:sz w:val="20"/>
              </w:rPr>
              <w:t>2/16 (12.5)</w:t>
            </w:r>
          </w:p>
        </w:tc>
        <w:tc>
          <w:tcPr>
            <w:tcW w:w="1701" w:type="dxa"/>
            <w:tcMar>
              <w:top w:w="0" w:type="dxa"/>
              <w:left w:w="108" w:type="dxa"/>
              <w:bottom w:w="0" w:type="dxa"/>
              <w:right w:w="108" w:type="dxa"/>
            </w:tcMar>
            <w:vAlign w:val="center"/>
            <w:hideMark/>
          </w:tcPr>
          <w:p w14:paraId="7801CEBB" w14:textId="77777777" w:rsidR="00067458" w:rsidRPr="00DA3C6E" w:rsidRDefault="00067458" w:rsidP="000957C2">
            <w:pPr>
              <w:rPr>
                <w:rFonts w:ascii="Arial Narrow" w:hAnsi="Arial Narrow"/>
                <w:sz w:val="20"/>
              </w:rPr>
            </w:pPr>
            <w:r w:rsidRPr="00DA3C6E">
              <w:rPr>
                <w:rFonts w:ascii="Arial Narrow" w:hAnsi="Arial Narrow"/>
                <w:sz w:val="20"/>
              </w:rPr>
              <w:t>0/16 (0)</w:t>
            </w:r>
          </w:p>
        </w:tc>
        <w:tc>
          <w:tcPr>
            <w:tcW w:w="1560" w:type="dxa"/>
            <w:tcMar>
              <w:top w:w="0" w:type="dxa"/>
              <w:left w:w="108" w:type="dxa"/>
              <w:bottom w:w="0" w:type="dxa"/>
              <w:right w:w="108" w:type="dxa"/>
            </w:tcMar>
            <w:vAlign w:val="center"/>
          </w:tcPr>
          <w:p w14:paraId="7864E174"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512A135B" w14:textId="77777777" w:rsidR="00067458" w:rsidRPr="00DA3C6E" w:rsidRDefault="00067458" w:rsidP="000957C2">
            <w:pPr>
              <w:rPr>
                <w:rFonts w:ascii="Arial Narrow" w:hAnsi="Arial Narrow"/>
                <w:sz w:val="20"/>
              </w:rPr>
            </w:pPr>
            <w:r w:rsidRPr="00DA3C6E">
              <w:rPr>
                <w:rFonts w:ascii="Arial Narrow" w:hAnsi="Arial Narrow"/>
                <w:sz w:val="20"/>
              </w:rPr>
              <w:t>0.13 (-0.04, 0.29)</w:t>
            </w:r>
          </w:p>
        </w:tc>
      </w:tr>
      <w:tr w:rsidR="00067458" w:rsidRPr="00DA3C6E" w14:paraId="57599415" w14:textId="77777777" w:rsidTr="0047278C">
        <w:tc>
          <w:tcPr>
            <w:tcW w:w="2405" w:type="dxa"/>
            <w:tcMar>
              <w:top w:w="0" w:type="dxa"/>
              <w:left w:w="108" w:type="dxa"/>
              <w:bottom w:w="0" w:type="dxa"/>
              <w:right w:w="108" w:type="dxa"/>
            </w:tcMar>
            <w:vAlign w:val="center"/>
            <w:hideMark/>
          </w:tcPr>
          <w:p w14:paraId="57B3D255" w14:textId="77777777" w:rsidR="00067458" w:rsidRPr="00DA3C6E" w:rsidRDefault="00067458" w:rsidP="000957C2">
            <w:pPr>
              <w:rPr>
                <w:rFonts w:ascii="Arial Narrow" w:hAnsi="Arial Narrow"/>
                <w:sz w:val="20"/>
              </w:rPr>
            </w:pPr>
            <w:r w:rsidRPr="00DA3C6E">
              <w:rPr>
                <w:rFonts w:ascii="Arial Narrow" w:hAnsi="Arial Narrow"/>
                <w:sz w:val="20"/>
              </w:rPr>
              <w:t>Headache and malaise</w:t>
            </w:r>
          </w:p>
        </w:tc>
        <w:tc>
          <w:tcPr>
            <w:tcW w:w="1559" w:type="dxa"/>
            <w:tcMar>
              <w:top w:w="0" w:type="dxa"/>
              <w:left w:w="108" w:type="dxa"/>
              <w:bottom w:w="0" w:type="dxa"/>
              <w:right w:w="108" w:type="dxa"/>
            </w:tcMar>
            <w:vAlign w:val="center"/>
            <w:hideMark/>
          </w:tcPr>
          <w:p w14:paraId="2898E1C5" w14:textId="77777777" w:rsidR="00067458" w:rsidRPr="00DA3C6E" w:rsidRDefault="00067458" w:rsidP="000957C2">
            <w:pPr>
              <w:rPr>
                <w:rFonts w:ascii="Arial Narrow" w:hAnsi="Arial Narrow"/>
                <w:sz w:val="20"/>
              </w:rPr>
            </w:pPr>
            <w:r w:rsidRPr="00DA3C6E">
              <w:rPr>
                <w:rFonts w:ascii="Arial Narrow" w:hAnsi="Arial Narrow"/>
                <w:sz w:val="20"/>
              </w:rPr>
              <w:t>1/16 (6.3)</w:t>
            </w:r>
          </w:p>
        </w:tc>
        <w:tc>
          <w:tcPr>
            <w:tcW w:w="1701" w:type="dxa"/>
            <w:tcMar>
              <w:top w:w="0" w:type="dxa"/>
              <w:left w:w="108" w:type="dxa"/>
              <w:bottom w:w="0" w:type="dxa"/>
              <w:right w:w="108" w:type="dxa"/>
            </w:tcMar>
            <w:vAlign w:val="center"/>
            <w:hideMark/>
          </w:tcPr>
          <w:p w14:paraId="0C1A02B5" w14:textId="77777777" w:rsidR="00067458" w:rsidRPr="00DA3C6E" w:rsidRDefault="00067458" w:rsidP="000957C2">
            <w:pPr>
              <w:rPr>
                <w:rFonts w:ascii="Arial Narrow" w:hAnsi="Arial Narrow"/>
                <w:sz w:val="20"/>
              </w:rPr>
            </w:pPr>
            <w:r w:rsidRPr="00DA3C6E">
              <w:rPr>
                <w:rFonts w:ascii="Arial Narrow" w:hAnsi="Arial Narrow"/>
                <w:sz w:val="20"/>
              </w:rPr>
              <w:t>0/16 (0)</w:t>
            </w:r>
          </w:p>
        </w:tc>
        <w:tc>
          <w:tcPr>
            <w:tcW w:w="1560" w:type="dxa"/>
            <w:tcMar>
              <w:top w:w="0" w:type="dxa"/>
              <w:left w:w="108" w:type="dxa"/>
              <w:bottom w:w="0" w:type="dxa"/>
              <w:right w:w="108" w:type="dxa"/>
            </w:tcMar>
            <w:vAlign w:val="center"/>
          </w:tcPr>
          <w:p w14:paraId="5CE69FCF"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168DC209" w14:textId="77777777" w:rsidR="00067458" w:rsidRPr="00DA3C6E" w:rsidRDefault="00067458" w:rsidP="000957C2">
            <w:pPr>
              <w:rPr>
                <w:rFonts w:ascii="Arial Narrow" w:hAnsi="Arial Narrow"/>
                <w:sz w:val="20"/>
              </w:rPr>
            </w:pPr>
            <w:r w:rsidRPr="00DA3C6E">
              <w:rPr>
                <w:rFonts w:ascii="Arial Narrow" w:hAnsi="Arial Narrow"/>
                <w:sz w:val="20"/>
              </w:rPr>
              <w:t>0.06 (-0.06, 0.18)</w:t>
            </w:r>
          </w:p>
        </w:tc>
      </w:tr>
      <w:tr w:rsidR="00067458" w:rsidRPr="00DA3C6E" w14:paraId="1741D02D" w14:textId="77777777" w:rsidTr="0047278C">
        <w:tc>
          <w:tcPr>
            <w:tcW w:w="2405" w:type="dxa"/>
            <w:tcMar>
              <w:top w:w="0" w:type="dxa"/>
              <w:left w:w="108" w:type="dxa"/>
              <w:bottom w:w="0" w:type="dxa"/>
              <w:right w:w="108" w:type="dxa"/>
            </w:tcMar>
            <w:vAlign w:val="center"/>
            <w:hideMark/>
          </w:tcPr>
          <w:p w14:paraId="2292C80A" w14:textId="77777777" w:rsidR="00067458" w:rsidRPr="00DA3C6E" w:rsidRDefault="00067458" w:rsidP="000957C2">
            <w:pPr>
              <w:rPr>
                <w:rFonts w:ascii="Arial Narrow" w:hAnsi="Arial Narrow"/>
                <w:sz w:val="20"/>
              </w:rPr>
            </w:pPr>
            <w:r w:rsidRPr="00DA3C6E">
              <w:rPr>
                <w:rFonts w:ascii="Arial Narrow" w:hAnsi="Arial Narrow"/>
                <w:sz w:val="20"/>
              </w:rPr>
              <w:t>Anorexia, chills and fever</w:t>
            </w:r>
          </w:p>
        </w:tc>
        <w:tc>
          <w:tcPr>
            <w:tcW w:w="1559" w:type="dxa"/>
            <w:tcMar>
              <w:top w:w="0" w:type="dxa"/>
              <w:left w:w="108" w:type="dxa"/>
              <w:bottom w:w="0" w:type="dxa"/>
              <w:right w:w="108" w:type="dxa"/>
            </w:tcMar>
            <w:vAlign w:val="center"/>
            <w:hideMark/>
          </w:tcPr>
          <w:p w14:paraId="7410FC60" w14:textId="77777777" w:rsidR="00067458" w:rsidRPr="00DA3C6E" w:rsidRDefault="00067458" w:rsidP="000957C2">
            <w:pPr>
              <w:rPr>
                <w:rFonts w:ascii="Arial Narrow" w:hAnsi="Arial Narrow"/>
                <w:sz w:val="20"/>
              </w:rPr>
            </w:pPr>
            <w:r w:rsidRPr="00DA3C6E">
              <w:rPr>
                <w:rFonts w:ascii="Arial Narrow" w:hAnsi="Arial Narrow"/>
                <w:sz w:val="20"/>
              </w:rPr>
              <w:t>1/16 (6.3)</w:t>
            </w:r>
          </w:p>
        </w:tc>
        <w:tc>
          <w:tcPr>
            <w:tcW w:w="1701" w:type="dxa"/>
            <w:tcMar>
              <w:top w:w="0" w:type="dxa"/>
              <w:left w:w="108" w:type="dxa"/>
              <w:bottom w:w="0" w:type="dxa"/>
              <w:right w:w="108" w:type="dxa"/>
            </w:tcMar>
            <w:vAlign w:val="center"/>
            <w:hideMark/>
          </w:tcPr>
          <w:p w14:paraId="4AAED96C" w14:textId="77777777" w:rsidR="00067458" w:rsidRPr="00DA3C6E" w:rsidRDefault="00067458" w:rsidP="000957C2">
            <w:pPr>
              <w:rPr>
                <w:rFonts w:ascii="Arial Narrow" w:hAnsi="Arial Narrow"/>
                <w:sz w:val="20"/>
              </w:rPr>
            </w:pPr>
            <w:r w:rsidRPr="00DA3C6E">
              <w:rPr>
                <w:rFonts w:ascii="Arial Narrow" w:hAnsi="Arial Narrow"/>
                <w:sz w:val="20"/>
              </w:rPr>
              <w:t>1/16 (6.3)</w:t>
            </w:r>
          </w:p>
        </w:tc>
        <w:tc>
          <w:tcPr>
            <w:tcW w:w="1560" w:type="dxa"/>
            <w:tcMar>
              <w:top w:w="0" w:type="dxa"/>
              <w:left w:w="108" w:type="dxa"/>
              <w:bottom w:w="0" w:type="dxa"/>
              <w:right w:w="108" w:type="dxa"/>
            </w:tcMar>
            <w:vAlign w:val="center"/>
          </w:tcPr>
          <w:p w14:paraId="30D7E977" w14:textId="77777777" w:rsidR="00067458" w:rsidRPr="00DA3C6E" w:rsidRDefault="00067458" w:rsidP="000957C2">
            <w:pPr>
              <w:rPr>
                <w:rFonts w:ascii="Arial Narrow" w:hAnsi="Arial Narrow"/>
                <w:sz w:val="20"/>
              </w:rPr>
            </w:pPr>
            <w:r w:rsidRPr="00DA3C6E">
              <w:rPr>
                <w:rFonts w:ascii="Arial Narrow" w:hAnsi="Arial Narrow"/>
                <w:sz w:val="20"/>
              </w:rPr>
              <w:t>1 (0.07, 14,64)</w:t>
            </w:r>
          </w:p>
        </w:tc>
        <w:tc>
          <w:tcPr>
            <w:tcW w:w="1791" w:type="dxa"/>
            <w:tcMar>
              <w:top w:w="0" w:type="dxa"/>
              <w:left w:w="108" w:type="dxa"/>
              <w:bottom w:w="0" w:type="dxa"/>
              <w:right w:w="108" w:type="dxa"/>
            </w:tcMar>
            <w:vAlign w:val="center"/>
            <w:hideMark/>
          </w:tcPr>
          <w:p w14:paraId="66243CEA" w14:textId="77777777" w:rsidR="00067458" w:rsidRPr="00DA3C6E" w:rsidRDefault="00067458" w:rsidP="000957C2">
            <w:pPr>
              <w:rPr>
                <w:rFonts w:ascii="Arial Narrow" w:hAnsi="Arial Narrow"/>
                <w:sz w:val="20"/>
              </w:rPr>
            </w:pPr>
            <w:r w:rsidRPr="00DA3C6E">
              <w:rPr>
                <w:rFonts w:ascii="Arial Narrow" w:hAnsi="Arial Narrow"/>
                <w:sz w:val="20"/>
              </w:rPr>
              <w:t>0.00 (-0.17, 0.17)</w:t>
            </w:r>
          </w:p>
        </w:tc>
      </w:tr>
      <w:tr w:rsidR="00067458" w:rsidRPr="00DA3C6E" w14:paraId="41F0E7A5" w14:textId="77777777" w:rsidTr="0047278C">
        <w:tc>
          <w:tcPr>
            <w:tcW w:w="2405" w:type="dxa"/>
            <w:tcMar>
              <w:top w:w="0" w:type="dxa"/>
              <w:left w:w="108" w:type="dxa"/>
              <w:bottom w:w="0" w:type="dxa"/>
              <w:right w:w="108" w:type="dxa"/>
            </w:tcMar>
            <w:vAlign w:val="center"/>
            <w:hideMark/>
          </w:tcPr>
          <w:p w14:paraId="52DC08CA" w14:textId="77777777" w:rsidR="00067458" w:rsidRPr="00DA3C6E" w:rsidRDefault="00067458" w:rsidP="000957C2">
            <w:pPr>
              <w:rPr>
                <w:rFonts w:ascii="Arial Narrow" w:hAnsi="Arial Narrow"/>
                <w:sz w:val="20"/>
              </w:rPr>
            </w:pPr>
            <w:r w:rsidRPr="00DA3C6E">
              <w:rPr>
                <w:rFonts w:ascii="Arial Narrow" w:hAnsi="Arial Narrow"/>
                <w:sz w:val="20"/>
              </w:rPr>
              <w:t>Transient hypertension</w:t>
            </w:r>
          </w:p>
        </w:tc>
        <w:tc>
          <w:tcPr>
            <w:tcW w:w="1559" w:type="dxa"/>
            <w:tcMar>
              <w:top w:w="0" w:type="dxa"/>
              <w:left w:w="108" w:type="dxa"/>
              <w:bottom w:w="0" w:type="dxa"/>
              <w:right w:w="108" w:type="dxa"/>
            </w:tcMar>
            <w:vAlign w:val="center"/>
            <w:hideMark/>
          </w:tcPr>
          <w:p w14:paraId="5E4A214C" w14:textId="77777777" w:rsidR="00067458" w:rsidRPr="00DA3C6E" w:rsidRDefault="00067458" w:rsidP="000957C2">
            <w:pPr>
              <w:rPr>
                <w:rFonts w:ascii="Arial Narrow" w:hAnsi="Arial Narrow"/>
                <w:sz w:val="20"/>
              </w:rPr>
            </w:pPr>
            <w:r w:rsidRPr="00DA3C6E">
              <w:rPr>
                <w:rFonts w:ascii="Arial Narrow" w:hAnsi="Arial Narrow"/>
                <w:sz w:val="20"/>
              </w:rPr>
              <w:t>1/16 (6.3)</w:t>
            </w:r>
          </w:p>
        </w:tc>
        <w:tc>
          <w:tcPr>
            <w:tcW w:w="1701" w:type="dxa"/>
            <w:tcMar>
              <w:top w:w="0" w:type="dxa"/>
              <w:left w:w="108" w:type="dxa"/>
              <w:bottom w:w="0" w:type="dxa"/>
              <w:right w:w="108" w:type="dxa"/>
            </w:tcMar>
            <w:vAlign w:val="center"/>
            <w:hideMark/>
          </w:tcPr>
          <w:p w14:paraId="5CEC3A5F" w14:textId="77777777" w:rsidR="00067458" w:rsidRPr="00DA3C6E" w:rsidRDefault="00067458" w:rsidP="000957C2">
            <w:pPr>
              <w:rPr>
                <w:rFonts w:ascii="Arial Narrow" w:hAnsi="Arial Narrow"/>
                <w:sz w:val="20"/>
              </w:rPr>
            </w:pPr>
            <w:r w:rsidRPr="00DA3C6E">
              <w:rPr>
                <w:rFonts w:ascii="Arial Narrow" w:hAnsi="Arial Narrow"/>
                <w:sz w:val="20"/>
              </w:rPr>
              <w:t>0/16 (0)</w:t>
            </w:r>
          </w:p>
        </w:tc>
        <w:tc>
          <w:tcPr>
            <w:tcW w:w="1560" w:type="dxa"/>
            <w:tcMar>
              <w:top w:w="0" w:type="dxa"/>
              <w:left w:w="108" w:type="dxa"/>
              <w:bottom w:w="0" w:type="dxa"/>
              <w:right w:w="108" w:type="dxa"/>
            </w:tcMar>
            <w:vAlign w:val="center"/>
          </w:tcPr>
          <w:p w14:paraId="6D883F93"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1EFBEE47" w14:textId="77777777" w:rsidR="00067458" w:rsidRPr="00DA3C6E" w:rsidRDefault="00067458" w:rsidP="000957C2">
            <w:pPr>
              <w:rPr>
                <w:rFonts w:ascii="Arial Narrow" w:hAnsi="Arial Narrow"/>
                <w:sz w:val="20"/>
              </w:rPr>
            </w:pPr>
            <w:r w:rsidRPr="00DA3C6E">
              <w:rPr>
                <w:rFonts w:ascii="Arial Narrow" w:hAnsi="Arial Narrow"/>
                <w:sz w:val="20"/>
              </w:rPr>
              <w:t>0.06 (-0.06, 0.18)</w:t>
            </w:r>
          </w:p>
        </w:tc>
      </w:tr>
      <w:tr w:rsidR="00067458" w:rsidRPr="00DA3C6E" w14:paraId="03BE4291" w14:textId="77777777" w:rsidTr="0047278C">
        <w:tc>
          <w:tcPr>
            <w:tcW w:w="9016" w:type="dxa"/>
            <w:gridSpan w:val="5"/>
            <w:tcMar>
              <w:top w:w="0" w:type="dxa"/>
              <w:left w:w="108" w:type="dxa"/>
              <w:bottom w:w="0" w:type="dxa"/>
              <w:right w:w="108" w:type="dxa"/>
            </w:tcMar>
            <w:vAlign w:val="center"/>
            <w:hideMark/>
          </w:tcPr>
          <w:p w14:paraId="51F37437" w14:textId="77777777" w:rsidR="00067458" w:rsidRPr="00DA3C6E" w:rsidRDefault="00067458" w:rsidP="000957C2">
            <w:pPr>
              <w:rPr>
                <w:rFonts w:ascii="Arial Narrow" w:hAnsi="Arial Narrow"/>
                <w:sz w:val="20"/>
              </w:rPr>
            </w:pPr>
            <w:r w:rsidRPr="00DA3C6E">
              <w:rPr>
                <w:rFonts w:ascii="Arial Narrow" w:hAnsi="Arial Narrow"/>
                <w:b/>
                <w:bCs/>
                <w:sz w:val="20"/>
              </w:rPr>
              <w:t>Leger et al. 2001</w:t>
            </w:r>
            <w:r w:rsidRPr="00DA3C6E">
              <w:rPr>
                <w:rFonts w:ascii="Arial Narrow" w:hAnsi="Arial Narrow"/>
                <w:b/>
                <w:bCs/>
                <w:sz w:val="20"/>
              </w:rPr>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rPr>
                <w:rFonts w:ascii="Arial Narrow" w:hAnsi="Arial Narrow"/>
                <w:b/>
                <w:bCs/>
                <w:sz w:val="20"/>
              </w:rPr>
              <w:instrText xml:space="preserve"> ADDIN EN.CITE </w:instrText>
            </w:r>
            <w:r w:rsidRPr="00DA3C6E">
              <w:rPr>
                <w:rFonts w:ascii="Arial Narrow" w:hAnsi="Arial Narrow"/>
                <w:b/>
                <w:bCs/>
                <w:sz w:val="20"/>
              </w:rPr>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rPr>
                <w:rFonts w:ascii="Arial Narrow" w:hAnsi="Arial Narrow"/>
                <w:b/>
                <w:bCs/>
                <w:sz w:val="20"/>
              </w:rPr>
              <w:instrText xml:space="preserve"> ADDIN EN.CITE.DATA </w:instrText>
            </w:r>
            <w:r w:rsidRPr="00DA3C6E">
              <w:rPr>
                <w:rFonts w:ascii="Arial Narrow" w:hAnsi="Arial Narrow"/>
                <w:b/>
                <w:bCs/>
                <w:sz w:val="20"/>
              </w:rPr>
            </w:r>
            <w:r w:rsidRPr="00DA3C6E">
              <w:rPr>
                <w:rFonts w:ascii="Arial Narrow" w:hAnsi="Arial Narrow"/>
                <w:b/>
                <w:bCs/>
                <w:sz w:val="20"/>
              </w:rPr>
              <w:fldChar w:fldCharType="end"/>
            </w:r>
            <w:r w:rsidRPr="00DA3C6E">
              <w:rPr>
                <w:rFonts w:ascii="Arial Narrow" w:hAnsi="Arial Narrow"/>
                <w:b/>
                <w:bCs/>
                <w:sz w:val="20"/>
              </w:rPr>
            </w:r>
            <w:r w:rsidRPr="00DA3C6E">
              <w:rPr>
                <w:rFonts w:ascii="Arial Narrow" w:hAnsi="Arial Narrow"/>
                <w:b/>
                <w:bCs/>
                <w:sz w:val="20"/>
              </w:rPr>
              <w:fldChar w:fldCharType="separate"/>
            </w:r>
            <w:r w:rsidRPr="00DA3C6E">
              <w:rPr>
                <w:rFonts w:ascii="Arial Narrow" w:hAnsi="Arial Narrow"/>
                <w:b/>
                <w:bCs/>
                <w:noProof/>
                <w:sz w:val="20"/>
              </w:rPr>
              <w:t>(</w:t>
            </w:r>
            <w:hyperlink w:anchor="_ENREF_27" w:tooltip="Leger, 2001 #39" w:history="1">
              <w:r w:rsidRPr="00DA3C6E">
                <w:rPr>
                  <w:rFonts w:ascii="Arial Narrow" w:hAnsi="Arial Narrow"/>
                  <w:b/>
                  <w:bCs/>
                  <w:noProof/>
                  <w:sz w:val="20"/>
                </w:rPr>
                <w:t>27</w:t>
              </w:r>
            </w:hyperlink>
            <w:r w:rsidRPr="00DA3C6E">
              <w:rPr>
                <w:rFonts w:ascii="Arial Narrow" w:hAnsi="Arial Narrow"/>
                <w:b/>
                <w:bCs/>
                <w:noProof/>
                <w:sz w:val="20"/>
              </w:rPr>
              <w:t>)</w:t>
            </w:r>
            <w:r w:rsidRPr="00DA3C6E">
              <w:rPr>
                <w:rFonts w:ascii="Arial Narrow" w:hAnsi="Arial Narrow"/>
                <w:b/>
                <w:bCs/>
                <w:sz w:val="20"/>
              </w:rPr>
              <w:fldChar w:fldCharType="end"/>
            </w:r>
          </w:p>
        </w:tc>
      </w:tr>
      <w:tr w:rsidR="00067458" w:rsidRPr="00DA3C6E" w14:paraId="4B670DA7" w14:textId="77777777" w:rsidTr="0047278C">
        <w:tc>
          <w:tcPr>
            <w:tcW w:w="2405" w:type="dxa"/>
            <w:tcMar>
              <w:top w:w="0" w:type="dxa"/>
              <w:left w:w="108" w:type="dxa"/>
              <w:bottom w:w="0" w:type="dxa"/>
              <w:right w:w="108" w:type="dxa"/>
            </w:tcMar>
            <w:vAlign w:val="center"/>
            <w:hideMark/>
          </w:tcPr>
          <w:p w14:paraId="350C6D53" w14:textId="77777777" w:rsidR="00067458" w:rsidRPr="00DA3C6E" w:rsidRDefault="00067458" w:rsidP="000957C2">
            <w:pPr>
              <w:rPr>
                <w:rFonts w:ascii="Arial Narrow" w:hAnsi="Arial Narrow"/>
                <w:sz w:val="20"/>
              </w:rPr>
            </w:pPr>
            <w:r w:rsidRPr="00DA3C6E">
              <w:rPr>
                <w:rFonts w:ascii="Arial Narrow" w:hAnsi="Arial Narrow"/>
                <w:sz w:val="20"/>
              </w:rPr>
              <w:t xml:space="preserve">Headache </w:t>
            </w:r>
          </w:p>
        </w:tc>
        <w:tc>
          <w:tcPr>
            <w:tcW w:w="1559" w:type="dxa"/>
            <w:tcMar>
              <w:top w:w="0" w:type="dxa"/>
              <w:left w:w="108" w:type="dxa"/>
              <w:bottom w:w="0" w:type="dxa"/>
              <w:right w:w="108" w:type="dxa"/>
            </w:tcMar>
            <w:vAlign w:val="center"/>
            <w:hideMark/>
          </w:tcPr>
          <w:p w14:paraId="38CAC8EB" w14:textId="77777777" w:rsidR="00067458" w:rsidRPr="00DA3C6E" w:rsidRDefault="00067458" w:rsidP="000957C2">
            <w:pPr>
              <w:rPr>
                <w:rFonts w:ascii="Arial Narrow" w:hAnsi="Arial Narrow"/>
                <w:sz w:val="20"/>
              </w:rPr>
            </w:pPr>
            <w:r w:rsidRPr="00DA3C6E">
              <w:rPr>
                <w:rFonts w:ascii="Arial Narrow" w:hAnsi="Arial Narrow"/>
                <w:sz w:val="20"/>
              </w:rPr>
              <w:t>3/9 (33.3)</w:t>
            </w:r>
          </w:p>
        </w:tc>
        <w:tc>
          <w:tcPr>
            <w:tcW w:w="1701" w:type="dxa"/>
            <w:tcMar>
              <w:top w:w="0" w:type="dxa"/>
              <w:left w:w="108" w:type="dxa"/>
              <w:bottom w:w="0" w:type="dxa"/>
              <w:right w:w="108" w:type="dxa"/>
            </w:tcMar>
            <w:vAlign w:val="center"/>
            <w:hideMark/>
          </w:tcPr>
          <w:p w14:paraId="568AA8F3" w14:textId="77777777" w:rsidR="00067458" w:rsidRPr="00DA3C6E" w:rsidRDefault="00067458" w:rsidP="000957C2">
            <w:pPr>
              <w:rPr>
                <w:rFonts w:ascii="Arial Narrow" w:hAnsi="Arial Narrow"/>
                <w:sz w:val="20"/>
              </w:rPr>
            </w:pPr>
            <w:r w:rsidRPr="00DA3C6E">
              <w:rPr>
                <w:rFonts w:ascii="Arial Narrow" w:hAnsi="Arial Narrow"/>
                <w:sz w:val="20"/>
              </w:rPr>
              <w:t>0/9 (0)</w:t>
            </w:r>
          </w:p>
        </w:tc>
        <w:tc>
          <w:tcPr>
            <w:tcW w:w="1560" w:type="dxa"/>
            <w:tcMar>
              <w:top w:w="0" w:type="dxa"/>
              <w:left w:w="108" w:type="dxa"/>
              <w:bottom w:w="0" w:type="dxa"/>
              <w:right w:w="108" w:type="dxa"/>
            </w:tcMar>
            <w:vAlign w:val="center"/>
          </w:tcPr>
          <w:p w14:paraId="20805A5B"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771713FF" w14:textId="77777777" w:rsidR="00067458" w:rsidRPr="00DA3C6E" w:rsidRDefault="00067458" w:rsidP="000957C2">
            <w:pPr>
              <w:rPr>
                <w:rFonts w:ascii="Arial Narrow" w:hAnsi="Arial Narrow"/>
                <w:b/>
                <w:bCs/>
                <w:sz w:val="20"/>
              </w:rPr>
            </w:pPr>
            <w:r w:rsidRPr="00DA3C6E">
              <w:rPr>
                <w:rFonts w:ascii="Arial Narrow" w:hAnsi="Arial Narrow"/>
                <w:b/>
                <w:bCs/>
                <w:sz w:val="20"/>
              </w:rPr>
              <w:t>0.33 (0.03, 0.64)</w:t>
            </w:r>
          </w:p>
        </w:tc>
      </w:tr>
      <w:tr w:rsidR="00067458" w:rsidRPr="00DA3C6E" w14:paraId="14BAC3CA" w14:textId="77777777" w:rsidTr="0047278C">
        <w:tc>
          <w:tcPr>
            <w:tcW w:w="2405" w:type="dxa"/>
            <w:tcMar>
              <w:top w:w="0" w:type="dxa"/>
              <w:left w:w="108" w:type="dxa"/>
              <w:bottom w:w="0" w:type="dxa"/>
              <w:right w:w="108" w:type="dxa"/>
            </w:tcMar>
            <w:vAlign w:val="center"/>
            <w:hideMark/>
          </w:tcPr>
          <w:p w14:paraId="4B83AEC9" w14:textId="77777777" w:rsidR="00067458" w:rsidRPr="00DA3C6E" w:rsidRDefault="00067458" w:rsidP="000957C2">
            <w:pPr>
              <w:rPr>
                <w:rFonts w:ascii="Arial Narrow" w:hAnsi="Arial Narrow"/>
                <w:sz w:val="20"/>
              </w:rPr>
            </w:pPr>
            <w:r w:rsidRPr="00DA3C6E">
              <w:rPr>
                <w:rFonts w:ascii="Arial Narrow" w:hAnsi="Arial Narrow"/>
                <w:sz w:val="20"/>
              </w:rPr>
              <w:t xml:space="preserve">Flushing </w:t>
            </w:r>
          </w:p>
        </w:tc>
        <w:tc>
          <w:tcPr>
            <w:tcW w:w="1559" w:type="dxa"/>
            <w:tcMar>
              <w:top w:w="0" w:type="dxa"/>
              <w:left w:w="108" w:type="dxa"/>
              <w:bottom w:w="0" w:type="dxa"/>
              <w:right w:w="108" w:type="dxa"/>
            </w:tcMar>
            <w:vAlign w:val="center"/>
            <w:hideMark/>
          </w:tcPr>
          <w:p w14:paraId="15D53D2C" w14:textId="77777777" w:rsidR="00067458" w:rsidRPr="00DA3C6E" w:rsidRDefault="00067458" w:rsidP="000957C2">
            <w:pPr>
              <w:rPr>
                <w:rFonts w:ascii="Arial Narrow" w:hAnsi="Arial Narrow"/>
                <w:sz w:val="20"/>
              </w:rPr>
            </w:pPr>
            <w:r w:rsidRPr="00DA3C6E">
              <w:rPr>
                <w:rFonts w:ascii="Arial Narrow" w:hAnsi="Arial Narrow"/>
                <w:sz w:val="20"/>
              </w:rPr>
              <w:t>1/9 (11.1)</w:t>
            </w:r>
          </w:p>
        </w:tc>
        <w:tc>
          <w:tcPr>
            <w:tcW w:w="1701" w:type="dxa"/>
            <w:tcMar>
              <w:top w:w="0" w:type="dxa"/>
              <w:left w:w="108" w:type="dxa"/>
              <w:bottom w:w="0" w:type="dxa"/>
              <w:right w:w="108" w:type="dxa"/>
            </w:tcMar>
            <w:vAlign w:val="center"/>
            <w:hideMark/>
          </w:tcPr>
          <w:p w14:paraId="309886E5" w14:textId="77777777" w:rsidR="00067458" w:rsidRPr="00DA3C6E" w:rsidRDefault="00067458" w:rsidP="000957C2">
            <w:pPr>
              <w:rPr>
                <w:rFonts w:ascii="Arial Narrow" w:hAnsi="Arial Narrow"/>
                <w:sz w:val="20"/>
              </w:rPr>
            </w:pPr>
            <w:r w:rsidRPr="00DA3C6E">
              <w:rPr>
                <w:rFonts w:ascii="Arial Narrow" w:hAnsi="Arial Narrow"/>
                <w:sz w:val="20"/>
              </w:rPr>
              <w:t>0/9 (0)</w:t>
            </w:r>
          </w:p>
        </w:tc>
        <w:tc>
          <w:tcPr>
            <w:tcW w:w="1560" w:type="dxa"/>
            <w:tcMar>
              <w:top w:w="0" w:type="dxa"/>
              <w:left w:w="108" w:type="dxa"/>
              <w:bottom w:w="0" w:type="dxa"/>
              <w:right w:w="108" w:type="dxa"/>
            </w:tcMar>
            <w:vAlign w:val="center"/>
          </w:tcPr>
          <w:p w14:paraId="667BC4B9"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3536DCA0" w14:textId="77777777" w:rsidR="00067458" w:rsidRPr="00DA3C6E" w:rsidRDefault="00067458" w:rsidP="000957C2">
            <w:pPr>
              <w:rPr>
                <w:rFonts w:ascii="Arial Narrow" w:hAnsi="Arial Narrow"/>
                <w:sz w:val="20"/>
              </w:rPr>
            </w:pPr>
            <w:r w:rsidRPr="00DA3C6E">
              <w:rPr>
                <w:rFonts w:ascii="Arial Narrow" w:hAnsi="Arial Narrow"/>
                <w:sz w:val="20"/>
              </w:rPr>
              <w:t>0.11 (-0.09, 0.32)</w:t>
            </w:r>
          </w:p>
        </w:tc>
      </w:tr>
      <w:tr w:rsidR="00067458" w:rsidRPr="00DA3C6E" w14:paraId="0436FB65" w14:textId="77777777" w:rsidTr="0047278C">
        <w:tc>
          <w:tcPr>
            <w:tcW w:w="2405" w:type="dxa"/>
            <w:tcMar>
              <w:top w:w="0" w:type="dxa"/>
              <w:left w:w="108" w:type="dxa"/>
              <w:bottom w:w="0" w:type="dxa"/>
              <w:right w:w="108" w:type="dxa"/>
            </w:tcMar>
            <w:vAlign w:val="center"/>
            <w:hideMark/>
          </w:tcPr>
          <w:p w14:paraId="5BF5D1CE" w14:textId="77777777" w:rsidR="00067458" w:rsidRPr="00DA3C6E" w:rsidRDefault="00067458" w:rsidP="000957C2">
            <w:pPr>
              <w:rPr>
                <w:rFonts w:ascii="Arial Narrow" w:hAnsi="Arial Narrow"/>
                <w:sz w:val="20"/>
              </w:rPr>
            </w:pPr>
            <w:r w:rsidRPr="00DA3C6E">
              <w:rPr>
                <w:rFonts w:ascii="Arial Narrow" w:hAnsi="Arial Narrow"/>
                <w:sz w:val="20"/>
              </w:rPr>
              <w:t xml:space="preserve">Shivering </w:t>
            </w:r>
          </w:p>
        </w:tc>
        <w:tc>
          <w:tcPr>
            <w:tcW w:w="1559" w:type="dxa"/>
            <w:tcMar>
              <w:top w:w="0" w:type="dxa"/>
              <w:left w:w="108" w:type="dxa"/>
              <w:bottom w:w="0" w:type="dxa"/>
              <w:right w:w="108" w:type="dxa"/>
            </w:tcMar>
            <w:vAlign w:val="center"/>
            <w:hideMark/>
          </w:tcPr>
          <w:p w14:paraId="007EB93C" w14:textId="77777777" w:rsidR="00067458" w:rsidRPr="00DA3C6E" w:rsidRDefault="00067458" w:rsidP="000957C2">
            <w:pPr>
              <w:rPr>
                <w:rFonts w:ascii="Arial Narrow" w:hAnsi="Arial Narrow"/>
                <w:sz w:val="20"/>
              </w:rPr>
            </w:pPr>
            <w:r w:rsidRPr="00DA3C6E">
              <w:rPr>
                <w:rFonts w:ascii="Arial Narrow" w:hAnsi="Arial Narrow"/>
                <w:sz w:val="20"/>
              </w:rPr>
              <w:t>2/9 (22.2)</w:t>
            </w:r>
          </w:p>
        </w:tc>
        <w:tc>
          <w:tcPr>
            <w:tcW w:w="1701" w:type="dxa"/>
            <w:tcMar>
              <w:top w:w="0" w:type="dxa"/>
              <w:left w:w="108" w:type="dxa"/>
              <w:bottom w:w="0" w:type="dxa"/>
              <w:right w:w="108" w:type="dxa"/>
            </w:tcMar>
            <w:vAlign w:val="center"/>
            <w:hideMark/>
          </w:tcPr>
          <w:p w14:paraId="1894EDC5" w14:textId="77777777" w:rsidR="00067458" w:rsidRPr="00DA3C6E" w:rsidRDefault="00067458" w:rsidP="000957C2">
            <w:pPr>
              <w:rPr>
                <w:rFonts w:ascii="Arial Narrow" w:hAnsi="Arial Narrow"/>
                <w:sz w:val="20"/>
              </w:rPr>
            </w:pPr>
            <w:r w:rsidRPr="00DA3C6E">
              <w:rPr>
                <w:rFonts w:ascii="Arial Narrow" w:hAnsi="Arial Narrow"/>
                <w:sz w:val="20"/>
              </w:rPr>
              <w:t>0/9 (0)</w:t>
            </w:r>
          </w:p>
        </w:tc>
        <w:tc>
          <w:tcPr>
            <w:tcW w:w="1560" w:type="dxa"/>
            <w:tcMar>
              <w:top w:w="0" w:type="dxa"/>
              <w:left w:w="108" w:type="dxa"/>
              <w:bottom w:w="0" w:type="dxa"/>
              <w:right w:w="108" w:type="dxa"/>
            </w:tcMar>
            <w:vAlign w:val="center"/>
          </w:tcPr>
          <w:p w14:paraId="2472502C"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507A7067" w14:textId="77777777" w:rsidR="00067458" w:rsidRPr="00DA3C6E" w:rsidRDefault="00067458" w:rsidP="000957C2">
            <w:pPr>
              <w:rPr>
                <w:rFonts w:ascii="Arial Narrow" w:hAnsi="Arial Narrow"/>
                <w:sz w:val="20"/>
              </w:rPr>
            </w:pPr>
            <w:r w:rsidRPr="00DA3C6E">
              <w:rPr>
                <w:rFonts w:ascii="Arial Narrow" w:hAnsi="Arial Narrow"/>
                <w:sz w:val="20"/>
              </w:rPr>
              <w:t>0.22 (-0.05, 0.49)</w:t>
            </w:r>
          </w:p>
        </w:tc>
      </w:tr>
      <w:tr w:rsidR="00067458" w:rsidRPr="00DA3C6E" w14:paraId="669D42A3" w14:textId="77777777" w:rsidTr="0047278C">
        <w:tc>
          <w:tcPr>
            <w:tcW w:w="2405" w:type="dxa"/>
            <w:tcMar>
              <w:top w:w="0" w:type="dxa"/>
              <w:left w:w="108" w:type="dxa"/>
              <w:bottom w:w="0" w:type="dxa"/>
              <w:right w:w="108" w:type="dxa"/>
            </w:tcMar>
            <w:vAlign w:val="center"/>
            <w:hideMark/>
          </w:tcPr>
          <w:p w14:paraId="4C5716ED" w14:textId="77777777" w:rsidR="00067458" w:rsidRPr="00DA3C6E" w:rsidRDefault="00067458" w:rsidP="000957C2">
            <w:pPr>
              <w:rPr>
                <w:rFonts w:ascii="Arial Narrow" w:hAnsi="Arial Narrow"/>
                <w:sz w:val="20"/>
              </w:rPr>
            </w:pPr>
            <w:r w:rsidRPr="00DA3C6E">
              <w:rPr>
                <w:rFonts w:ascii="Arial Narrow" w:hAnsi="Arial Narrow"/>
                <w:sz w:val="20"/>
              </w:rPr>
              <w:t xml:space="preserve">Fever </w:t>
            </w:r>
          </w:p>
        </w:tc>
        <w:tc>
          <w:tcPr>
            <w:tcW w:w="1559" w:type="dxa"/>
            <w:tcMar>
              <w:top w:w="0" w:type="dxa"/>
              <w:left w:w="108" w:type="dxa"/>
              <w:bottom w:w="0" w:type="dxa"/>
              <w:right w:w="108" w:type="dxa"/>
            </w:tcMar>
            <w:vAlign w:val="center"/>
            <w:hideMark/>
          </w:tcPr>
          <w:p w14:paraId="441755A5" w14:textId="77777777" w:rsidR="00067458" w:rsidRPr="00DA3C6E" w:rsidRDefault="00067458" w:rsidP="000957C2">
            <w:pPr>
              <w:rPr>
                <w:rFonts w:ascii="Arial Narrow" w:hAnsi="Arial Narrow"/>
                <w:sz w:val="20"/>
              </w:rPr>
            </w:pPr>
            <w:r w:rsidRPr="00DA3C6E">
              <w:rPr>
                <w:rFonts w:ascii="Arial Narrow" w:hAnsi="Arial Narrow"/>
                <w:sz w:val="20"/>
              </w:rPr>
              <w:t>1/9 (11.1)</w:t>
            </w:r>
          </w:p>
        </w:tc>
        <w:tc>
          <w:tcPr>
            <w:tcW w:w="1701" w:type="dxa"/>
            <w:tcMar>
              <w:top w:w="0" w:type="dxa"/>
              <w:left w:w="108" w:type="dxa"/>
              <w:bottom w:w="0" w:type="dxa"/>
              <w:right w:w="108" w:type="dxa"/>
            </w:tcMar>
            <w:vAlign w:val="center"/>
            <w:hideMark/>
          </w:tcPr>
          <w:p w14:paraId="4E3D62B9" w14:textId="77777777" w:rsidR="00067458" w:rsidRPr="00DA3C6E" w:rsidRDefault="00067458" w:rsidP="000957C2">
            <w:pPr>
              <w:rPr>
                <w:rFonts w:ascii="Arial Narrow" w:hAnsi="Arial Narrow"/>
                <w:sz w:val="20"/>
              </w:rPr>
            </w:pPr>
            <w:r w:rsidRPr="00DA3C6E">
              <w:rPr>
                <w:rFonts w:ascii="Arial Narrow" w:hAnsi="Arial Narrow"/>
                <w:sz w:val="20"/>
              </w:rPr>
              <w:t>0/9 (0)</w:t>
            </w:r>
          </w:p>
        </w:tc>
        <w:tc>
          <w:tcPr>
            <w:tcW w:w="1560" w:type="dxa"/>
            <w:tcMar>
              <w:top w:w="0" w:type="dxa"/>
              <w:left w:w="108" w:type="dxa"/>
              <w:bottom w:w="0" w:type="dxa"/>
              <w:right w:w="108" w:type="dxa"/>
            </w:tcMar>
            <w:vAlign w:val="center"/>
          </w:tcPr>
          <w:p w14:paraId="24012D7F"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5C3B3641" w14:textId="77777777" w:rsidR="00067458" w:rsidRPr="00DA3C6E" w:rsidRDefault="00067458" w:rsidP="000957C2">
            <w:pPr>
              <w:rPr>
                <w:rFonts w:ascii="Arial Narrow" w:hAnsi="Arial Narrow"/>
                <w:sz w:val="20"/>
              </w:rPr>
            </w:pPr>
            <w:r w:rsidRPr="00DA3C6E">
              <w:rPr>
                <w:rFonts w:ascii="Arial Narrow" w:hAnsi="Arial Narrow"/>
                <w:sz w:val="20"/>
              </w:rPr>
              <w:t>0.11 (-0.09, 0.32)</w:t>
            </w:r>
          </w:p>
        </w:tc>
      </w:tr>
      <w:tr w:rsidR="00067458" w:rsidRPr="00DA3C6E" w14:paraId="40267BB4" w14:textId="77777777" w:rsidTr="0047278C">
        <w:tc>
          <w:tcPr>
            <w:tcW w:w="2405" w:type="dxa"/>
            <w:tcMar>
              <w:top w:w="0" w:type="dxa"/>
              <w:left w:w="108" w:type="dxa"/>
              <w:bottom w:w="0" w:type="dxa"/>
              <w:right w:w="108" w:type="dxa"/>
            </w:tcMar>
            <w:vAlign w:val="center"/>
            <w:hideMark/>
          </w:tcPr>
          <w:p w14:paraId="3A125E0D" w14:textId="77777777" w:rsidR="00067458" w:rsidRPr="00DA3C6E" w:rsidRDefault="00067458" w:rsidP="000957C2">
            <w:pPr>
              <w:rPr>
                <w:rFonts w:ascii="Arial Narrow" w:hAnsi="Arial Narrow"/>
                <w:sz w:val="20"/>
              </w:rPr>
            </w:pPr>
            <w:r w:rsidRPr="00DA3C6E">
              <w:rPr>
                <w:rFonts w:ascii="Arial Narrow" w:hAnsi="Arial Narrow"/>
                <w:sz w:val="20"/>
              </w:rPr>
              <w:t>Cold feet</w:t>
            </w:r>
          </w:p>
        </w:tc>
        <w:tc>
          <w:tcPr>
            <w:tcW w:w="1559" w:type="dxa"/>
            <w:tcMar>
              <w:top w:w="0" w:type="dxa"/>
              <w:left w:w="108" w:type="dxa"/>
              <w:bottom w:w="0" w:type="dxa"/>
              <w:right w:w="108" w:type="dxa"/>
            </w:tcMar>
            <w:vAlign w:val="center"/>
            <w:hideMark/>
          </w:tcPr>
          <w:p w14:paraId="6DAEF5B5" w14:textId="77777777" w:rsidR="00067458" w:rsidRPr="00DA3C6E" w:rsidRDefault="00067458" w:rsidP="000957C2">
            <w:pPr>
              <w:rPr>
                <w:rFonts w:ascii="Arial Narrow" w:hAnsi="Arial Narrow"/>
                <w:sz w:val="20"/>
              </w:rPr>
            </w:pPr>
            <w:r w:rsidRPr="00DA3C6E">
              <w:rPr>
                <w:rFonts w:ascii="Arial Narrow" w:hAnsi="Arial Narrow"/>
                <w:sz w:val="20"/>
              </w:rPr>
              <w:t>0/9 (0)</w:t>
            </w:r>
          </w:p>
        </w:tc>
        <w:tc>
          <w:tcPr>
            <w:tcW w:w="1701" w:type="dxa"/>
            <w:tcMar>
              <w:top w:w="0" w:type="dxa"/>
              <w:left w:w="108" w:type="dxa"/>
              <w:bottom w:w="0" w:type="dxa"/>
              <w:right w:w="108" w:type="dxa"/>
            </w:tcMar>
            <w:vAlign w:val="center"/>
            <w:hideMark/>
          </w:tcPr>
          <w:p w14:paraId="6C150A8D" w14:textId="77777777" w:rsidR="00067458" w:rsidRPr="00DA3C6E" w:rsidRDefault="00067458" w:rsidP="000957C2">
            <w:pPr>
              <w:rPr>
                <w:rFonts w:ascii="Arial Narrow" w:hAnsi="Arial Narrow"/>
                <w:sz w:val="20"/>
              </w:rPr>
            </w:pPr>
            <w:r w:rsidRPr="00DA3C6E">
              <w:rPr>
                <w:rFonts w:ascii="Arial Narrow" w:hAnsi="Arial Narrow"/>
                <w:sz w:val="20"/>
              </w:rPr>
              <w:t>1/9 (11.1)</w:t>
            </w:r>
          </w:p>
        </w:tc>
        <w:tc>
          <w:tcPr>
            <w:tcW w:w="1560" w:type="dxa"/>
            <w:tcMar>
              <w:top w:w="0" w:type="dxa"/>
              <w:left w:w="108" w:type="dxa"/>
              <w:bottom w:w="0" w:type="dxa"/>
              <w:right w:w="108" w:type="dxa"/>
            </w:tcMar>
            <w:vAlign w:val="center"/>
          </w:tcPr>
          <w:p w14:paraId="7E42AF57"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5F4DA101" w14:textId="77777777" w:rsidR="00067458" w:rsidRPr="00DA3C6E" w:rsidRDefault="00067458" w:rsidP="000957C2">
            <w:pPr>
              <w:rPr>
                <w:rFonts w:ascii="Arial Narrow" w:hAnsi="Arial Narrow"/>
                <w:sz w:val="20"/>
              </w:rPr>
            </w:pPr>
            <w:r w:rsidRPr="00DA3C6E">
              <w:rPr>
                <w:rFonts w:ascii="Arial Narrow" w:hAnsi="Arial Narrow"/>
                <w:sz w:val="20"/>
              </w:rPr>
              <w:t>-0.11 (-0.32, 0.09)</w:t>
            </w:r>
          </w:p>
        </w:tc>
      </w:tr>
      <w:tr w:rsidR="00067458" w:rsidRPr="00DA3C6E" w14:paraId="13B47F3D" w14:textId="77777777" w:rsidTr="0047278C">
        <w:tc>
          <w:tcPr>
            <w:tcW w:w="2405" w:type="dxa"/>
            <w:tcMar>
              <w:top w:w="0" w:type="dxa"/>
              <w:left w:w="108" w:type="dxa"/>
              <w:bottom w:w="0" w:type="dxa"/>
              <w:right w:w="108" w:type="dxa"/>
            </w:tcMar>
            <w:vAlign w:val="center"/>
            <w:hideMark/>
          </w:tcPr>
          <w:p w14:paraId="1F648827" w14:textId="77777777" w:rsidR="00067458" w:rsidRPr="00DA3C6E" w:rsidRDefault="00067458" w:rsidP="000957C2">
            <w:pPr>
              <w:rPr>
                <w:rFonts w:ascii="Arial Narrow" w:hAnsi="Arial Narrow"/>
                <w:sz w:val="20"/>
              </w:rPr>
            </w:pPr>
            <w:r w:rsidRPr="00DA3C6E">
              <w:rPr>
                <w:rFonts w:ascii="Arial Narrow" w:hAnsi="Arial Narrow"/>
                <w:sz w:val="20"/>
              </w:rPr>
              <w:t>Visual blur</w:t>
            </w:r>
          </w:p>
        </w:tc>
        <w:tc>
          <w:tcPr>
            <w:tcW w:w="1559" w:type="dxa"/>
            <w:tcMar>
              <w:top w:w="0" w:type="dxa"/>
              <w:left w:w="108" w:type="dxa"/>
              <w:bottom w:w="0" w:type="dxa"/>
              <w:right w:w="108" w:type="dxa"/>
            </w:tcMar>
            <w:vAlign w:val="center"/>
            <w:hideMark/>
          </w:tcPr>
          <w:p w14:paraId="6EC7F8E3" w14:textId="77777777" w:rsidR="00067458" w:rsidRPr="00DA3C6E" w:rsidRDefault="00067458" w:rsidP="000957C2">
            <w:pPr>
              <w:rPr>
                <w:rFonts w:ascii="Arial Narrow" w:hAnsi="Arial Narrow"/>
                <w:sz w:val="20"/>
              </w:rPr>
            </w:pPr>
            <w:r w:rsidRPr="00DA3C6E">
              <w:rPr>
                <w:rFonts w:ascii="Arial Narrow" w:hAnsi="Arial Narrow"/>
                <w:sz w:val="20"/>
              </w:rPr>
              <w:t>2/9 (22.2)</w:t>
            </w:r>
          </w:p>
        </w:tc>
        <w:tc>
          <w:tcPr>
            <w:tcW w:w="1701" w:type="dxa"/>
            <w:tcMar>
              <w:top w:w="0" w:type="dxa"/>
              <w:left w:w="108" w:type="dxa"/>
              <w:bottom w:w="0" w:type="dxa"/>
              <w:right w:w="108" w:type="dxa"/>
            </w:tcMar>
            <w:vAlign w:val="center"/>
            <w:hideMark/>
          </w:tcPr>
          <w:p w14:paraId="08A40990" w14:textId="77777777" w:rsidR="00067458" w:rsidRPr="00DA3C6E" w:rsidRDefault="00067458" w:rsidP="000957C2">
            <w:pPr>
              <w:rPr>
                <w:rFonts w:ascii="Arial Narrow" w:hAnsi="Arial Narrow"/>
                <w:sz w:val="20"/>
              </w:rPr>
            </w:pPr>
            <w:r w:rsidRPr="00DA3C6E">
              <w:rPr>
                <w:rFonts w:ascii="Arial Narrow" w:hAnsi="Arial Narrow"/>
                <w:sz w:val="20"/>
              </w:rPr>
              <w:t>0/9 (0)</w:t>
            </w:r>
          </w:p>
        </w:tc>
        <w:tc>
          <w:tcPr>
            <w:tcW w:w="1560" w:type="dxa"/>
            <w:tcMar>
              <w:top w:w="0" w:type="dxa"/>
              <w:left w:w="108" w:type="dxa"/>
              <w:bottom w:w="0" w:type="dxa"/>
              <w:right w:w="108" w:type="dxa"/>
            </w:tcMar>
            <w:vAlign w:val="center"/>
          </w:tcPr>
          <w:p w14:paraId="180F9EC6"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2A4AD405" w14:textId="77777777" w:rsidR="00067458" w:rsidRPr="00DA3C6E" w:rsidRDefault="00067458" w:rsidP="000957C2">
            <w:pPr>
              <w:rPr>
                <w:rFonts w:ascii="Arial Narrow" w:hAnsi="Arial Narrow"/>
                <w:sz w:val="20"/>
              </w:rPr>
            </w:pPr>
            <w:r w:rsidRPr="00DA3C6E">
              <w:rPr>
                <w:rFonts w:ascii="Arial Narrow" w:hAnsi="Arial Narrow"/>
                <w:sz w:val="20"/>
              </w:rPr>
              <w:t>0.22 (-0.05, 0.49)</w:t>
            </w:r>
          </w:p>
        </w:tc>
      </w:tr>
      <w:tr w:rsidR="00067458" w:rsidRPr="00DA3C6E" w14:paraId="6DEE2EF1" w14:textId="77777777" w:rsidTr="0047278C">
        <w:tc>
          <w:tcPr>
            <w:tcW w:w="2405" w:type="dxa"/>
            <w:tcMar>
              <w:top w:w="0" w:type="dxa"/>
              <w:left w:w="108" w:type="dxa"/>
              <w:bottom w:w="0" w:type="dxa"/>
              <w:right w:w="108" w:type="dxa"/>
            </w:tcMar>
            <w:vAlign w:val="center"/>
            <w:hideMark/>
          </w:tcPr>
          <w:p w14:paraId="0E81FC36" w14:textId="77777777" w:rsidR="00067458" w:rsidRPr="00DA3C6E" w:rsidRDefault="00067458" w:rsidP="000957C2">
            <w:pPr>
              <w:rPr>
                <w:rFonts w:ascii="Arial Narrow" w:hAnsi="Arial Narrow"/>
                <w:sz w:val="20"/>
              </w:rPr>
            </w:pPr>
            <w:r w:rsidRPr="00DA3C6E">
              <w:rPr>
                <w:rFonts w:ascii="Arial Narrow" w:hAnsi="Arial Narrow"/>
                <w:sz w:val="20"/>
              </w:rPr>
              <w:t xml:space="preserve">Eczema </w:t>
            </w:r>
          </w:p>
        </w:tc>
        <w:tc>
          <w:tcPr>
            <w:tcW w:w="1559" w:type="dxa"/>
            <w:tcMar>
              <w:top w:w="0" w:type="dxa"/>
              <w:left w:w="108" w:type="dxa"/>
              <w:bottom w:w="0" w:type="dxa"/>
              <w:right w:w="108" w:type="dxa"/>
            </w:tcMar>
            <w:vAlign w:val="center"/>
            <w:hideMark/>
          </w:tcPr>
          <w:p w14:paraId="2BB56E2C" w14:textId="77777777" w:rsidR="00067458" w:rsidRPr="00DA3C6E" w:rsidRDefault="00067458" w:rsidP="000957C2">
            <w:pPr>
              <w:rPr>
                <w:rFonts w:ascii="Arial Narrow" w:hAnsi="Arial Narrow"/>
                <w:sz w:val="20"/>
              </w:rPr>
            </w:pPr>
            <w:r w:rsidRPr="00DA3C6E">
              <w:rPr>
                <w:rFonts w:ascii="Arial Narrow" w:hAnsi="Arial Narrow"/>
                <w:sz w:val="20"/>
              </w:rPr>
              <w:t>1/9 (11.1)</w:t>
            </w:r>
          </w:p>
        </w:tc>
        <w:tc>
          <w:tcPr>
            <w:tcW w:w="1701" w:type="dxa"/>
            <w:tcMar>
              <w:top w:w="0" w:type="dxa"/>
              <w:left w:w="108" w:type="dxa"/>
              <w:bottom w:w="0" w:type="dxa"/>
              <w:right w:w="108" w:type="dxa"/>
            </w:tcMar>
            <w:vAlign w:val="center"/>
            <w:hideMark/>
          </w:tcPr>
          <w:p w14:paraId="6A505D8E" w14:textId="77777777" w:rsidR="00067458" w:rsidRPr="00DA3C6E" w:rsidRDefault="00067458" w:rsidP="000957C2">
            <w:pPr>
              <w:rPr>
                <w:rFonts w:ascii="Arial Narrow" w:hAnsi="Arial Narrow"/>
                <w:sz w:val="20"/>
              </w:rPr>
            </w:pPr>
            <w:r w:rsidRPr="00DA3C6E">
              <w:rPr>
                <w:rFonts w:ascii="Arial Narrow" w:hAnsi="Arial Narrow"/>
                <w:sz w:val="20"/>
              </w:rPr>
              <w:t>0/9 (0)</w:t>
            </w:r>
          </w:p>
        </w:tc>
        <w:tc>
          <w:tcPr>
            <w:tcW w:w="1560" w:type="dxa"/>
            <w:tcMar>
              <w:top w:w="0" w:type="dxa"/>
              <w:left w:w="108" w:type="dxa"/>
              <w:bottom w:w="0" w:type="dxa"/>
              <w:right w:w="108" w:type="dxa"/>
            </w:tcMar>
            <w:vAlign w:val="center"/>
          </w:tcPr>
          <w:p w14:paraId="28220D0B"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hideMark/>
          </w:tcPr>
          <w:p w14:paraId="3D5B2D85" w14:textId="77777777" w:rsidR="00067458" w:rsidRPr="00DA3C6E" w:rsidRDefault="00067458" w:rsidP="000957C2">
            <w:pPr>
              <w:rPr>
                <w:rFonts w:ascii="Arial Narrow" w:hAnsi="Arial Narrow"/>
                <w:sz w:val="20"/>
              </w:rPr>
            </w:pPr>
            <w:r w:rsidRPr="00DA3C6E">
              <w:rPr>
                <w:rFonts w:ascii="Arial Narrow" w:hAnsi="Arial Narrow"/>
                <w:sz w:val="20"/>
              </w:rPr>
              <w:t>0.11 (-0.09, 0.32)</w:t>
            </w:r>
          </w:p>
        </w:tc>
      </w:tr>
      <w:tr w:rsidR="00067458" w:rsidRPr="00DA3C6E" w14:paraId="3BBB3950" w14:textId="77777777" w:rsidTr="0047278C">
        <w:tc>
          <w:tcPr>
            <w:tcW w:w="9016" w:type="dxa"/>
            <w:gridSpan w:val="5"/>
            <w:tcMar>
              <w:top w:w="0" w:type="dxa"/>
              <w:left w:w="108" w:type="dxa"/>
              <w:bottom w:w="0" w:type="dxa"/>
              <w:right w:w="108" w:type="dxa"/>
            </w:tcMar>
            <w:vAlign w:val="center"/>
            <w:hideMark/>
          </w:tcPr>
          <w:p w14:paraId="658BB568" w14:textId="77777777" w:rsidR="00067458" w:rsidRPr="00DA3C6E" w:rsidRDefault="00067458" w:rsidP="000957C2">
            <w:pPr>
              <w:rPr>
                <w:rFonts w:ascii="Arial Narrow" w:hAnsi="Arial Narrow"/>
                <w:sz w:val="20"/>
              </w:rPr>
            </w:pPr>
            <w:r w:rsidRPr="00DA3C6E">
              <w:rPr>
                <w:rFonts w:ascii="Arial Narrow" w:hAnsi="Arial Narrow"/>
                <w:b/>
                <w:bCs/>
                <w:sz w:val="20"/>
              </w:rPr>
              <w:t>Hahn et al. 2013</w:t>
            </w:r>
            <w:r w:rsidRPr="00DA3C6E">
              <w:rPr>
                <w:rFonts w:ascii="Arial Narrow" w:hAnsi="Arial Narrow"/>
                <w:b/>
                <w:bCs/>
                <w:sz w:val="20"/>
              </w:rPr>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rPr>
                <w:rFonts w:ascii="Arial Narrow" w:hAnsi="Arial Narrow"/>
                <w:b/>
                <w:bCs/>
                <w:sz w:val="20"/>
              </w:rPr>
              <w:instrText xml:space="preserve"> ADDIN EN.CITE </w:instrText>
            </w:r>
            <w:r w:rsidRPr="00DA3C6E">
              <w:rPr>
                <w:rFonts w:ascii="Arial Narrow" w:hAnsi="Arial Narrow"/>
                <w:b/>
                <w:bCs/>
                <w:sz w:val="20"/>
              </w:rPr>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rPr>
                <w:rFonts w:ascii="Arial Narrow" w:hAnsi="Arial Narrow"/>
                <w:b/>
                <w:bCs/>
                <w:sz w:val="20"/>
              </w:rPr>
              <w:instrText xml:space="preserve"> ADDIN EN.CITE.DATA </w:instrText>
            </w:r>
            <w:r w:rsidRPr="00DA3C6E">
              <w:rPr>
                <w:rFonts w:ascii="Arial Narrow" w:hAnsi="Arial Narrow"/>
                <w:b/>
                <w:bCs/>
                <w:sz w:val="20"/>
              </w:rPr>
            </w:r>
            <w:r w:rsidRPr="00DA3C6E">
              <w:rPr>
                <w:rFonts w:ascii="Arial Narrow" w:hAnsi="Arial Narrow"/>
                <w:b/>
                <w:bCs/>
                <w:sz w:val="20"/>
              </w:rPr>
              <w:fldChar w:fldCharType="end"/>
            </w:r>
            <w:r w:rsidRPr="00DA3C6E">
              <w:rPr>
                <w:rFonts w:ascii="Arial Narrow" w:hAnsi="Arial Narrow"/>
                <w:b/>
                <w:bCs/>
                <w:sz w:val="20"/>
              </w:rPr>
            </w:r>
            <w:r w:rsidRPr="00DA3C6E">
              <w:rPr>
                <w:rFonts w:ascii="Arial Narrow" w:hAnsi="Arial Narrow"/>
                <w:b/>
                <w:bCs/>
                <w:sz w:val="20"/>
              </w:rPr>
              <w:fldChar w:fldCharType="separate"/>
            </w:r>
            <w:r w:rsidRPr="00DA3C6E">
              <w:rPr>
                <w:rFonts w:ascii="Arial Narrow" w:hAnsi="Arial Narrow"/>
                <w:b/>
                <w:bCs/>
                <w:noProof/>
                <w:sz w:val="20"/>
              </w:rPr>
              <w:t>(</w:t>
            </w:r>
            <w:hyperlink w:anchor="_ENREF_28" w:tooltip="Hahn, 2013 #26" w:history="1">
              <w:r w:rsidRPr="00DA3C6E">
                <w:rPr>
                  <w:rFonts w:ascii="Arial Narrow" w:hAnsi="Arial Narrow"/>
                  <w:b/>
                  <w:bCs/>
                  <w:noProof/>
                  <w:sz w:val="20"/>
                </w:rPr>
                <w:t>28</w:t>
              </w:r>
            </w:hyperlink>
            <w:r w:rsidRPr="00DA3C6E">
              <w:rPr>
                <w:rFonts w:ascii="Arial Narrow" w:hAnsi="Arial Narrow"/>
                <w:b/>
                <w:bCs/>
                <w:noProof/>
                <w:sz w:val="20"/>
              </w:rPr>
              <w:t>)</w:t>
            </w:r>
            <w:r w:rsidRPr="00DA3C6E">
              <w:rPr>
                <w:rFonts w:ascii="Arial Narrow" w:hAnsi="Arial Narrow"/>
                <w:b/>
                <w:bCs/>
                <w:sz w:val="20"/>
              </w:rPr>
              <w:fldChar w:fldCharType="end"/>
            </w:r>
          </w:p>
        </w:tc>
      </w:tr>
      <w:tr w:rsidR="00067458" w:rsidRPr="00DA3C6E" w14:paraId="483C1808" w14:textId="77777777" w:rsidTr="0047278C">
        <w:tc>
          <w:tcPr>
            <w:tcW w:w="9016" w:type="dxa"/>
            <w:gridSpan w:val="5"/>
            <w:tcMar>
              <w:top w:w="0" w:type="dxa"/>
              <w:left w:w="108" w:type="dxa"/>
              <w:bottom w:w="0" w:type="dxa"/>
              <w:right w:w="108" w:type="dxa"/>
            </w:tcMar>
            <w:vAlign w:val="center"/>
            <w:hideMark/>
          </w:tcPr>
          <w:p w14:paraId="1892866F" w14:textId="77777777" w:rsidR="00067458" w:rsidRPr="00DA3C6E" w:rsidRDefault="00067458" w:rsidP="000957C2">
            <w:pPr>
              <w:rPr>
                <w:rFonts w:ascii="Arial Narrow" w:hAnsi="Arial Narrow"/>
                <w:sz w:val="20"/>
              </w:rPr>
            </w:pPr>
            <w:r w:rsidRPr="00DA3C6E">
              <w:rPr>
                <w:rFonts w:ascii="Arial Narrow" w:hAnsi="Arial Narrow"/>
                <w:sz w:val="20"/>
              </w:rPr>
              <w:t xml:space="preserve">One or more moderate or severe adverse </w:t>
            </w:r>
            <w:proofErr w:type="spellStart"/>
            <w:r w:rsidRPr="00DA3C6E">
              <w:rPr>
                <w:rFonts w:ascii="Arial Narrow" w:hAnsi="Arial Narrow"/>
                <w:sz w:val="20"/>
              </w:rPr>
              <w:t>events</w:t>
            </w:r>
            <w:r w:rsidRPr="00DA3C6E">
              <w:rPr>
                <w:rFonts w:ascii="Arial Narrow" w:hAnsi="Arial Narrow"/>
                <w:sz w:val="20"/>
                <w:vertAlign w:val="superscript"/>
              </w:rPr>
              <w:t>b</w:t>
            </w:r>
            <w:proofErr w:type="spellEnd"/>
          </w:p>
        </w:tc>
      </w:tr>
      <w:tr w:rsidR="00067458" w:rsidRPr="00DA3C6E" w14:paraId="23E16D2F" w14:textId="77777777" w:rsidTr="0047278C">
        <w:tc>
          <w:tcPr>
            <w:tcW w:w="2405" w:type="dxa"/>
            <w:tcMar>
              <w:top w:w="0" w:type="dxa"/>
              <w:left w:w="108" w:type="dxa"/>
              <w:bottom w:w="0" w:type="dxa"/>
              <w:right w:w="108" w:type="dxa"/>
            </w:tcMar>
            <w:vAlign w:val="center"/>
          </w:tcPr>
          <w:p w14:paraId="4472BE3A" w14:textId="77777777" w:rsidR="00067458" w:rsidRPr="00DA3C6E" w:rsidRDefault="00067458" w:rsidP="000957C2">
            <w:pPr>
              <w:rPr>
                <w:rFonts w:ascii="Arial Narrow" w:hAnsi="Arial Narrow"/>
                <w:sz w:val="20"/>
              </w:rPr>
            </w:pPr>
            <w:r w:rsidRPr="00DA3C6E">
              <w:rPr>
                <w:rFonts w:ascii="Arial Narrow" w:hAnsi="Arial Narrow"/>
                <w:sz w:val="20"/>
              </w:rPr>
              <w:t>Pulmonary embolism</w:t>
            </w:r>
          </w:p>
        </w:tc>
        <w:tc>
          <w:tcPr>
            <w:tcW w:w="1559" w:type="dxa"/>
            <w:tcMar>
              <w:top w:w="0" w:type="dxa"/>
              <w:left w:w="108" w:type="dxa"/>
              <w:bottom w:w="0" w:type="dxa"/>
              <w:right w:w="108" w:type="dxa"/>
            </w:tcMar>
            <w:vAlign w:val="center"/>
          </w:tcPr>
          <w:p w14:paraId="00F89050" w14:textId="77777777" w:rsidR="00067458" w:rsidRPr="00DA3C6E" w:rsidRDefault="00067458" w:rsidP="000957C2">
            <w:pPr>
              <w:rPr>
                <w:rFonts w:ascii="Arial Narrow" w:hAnsi="Arial Narrow"/>
                <w:sz w:val="20"/>
              </w:rPr>
            </w:pPr>
            <w:r w:rsidRPr="00DA3C6E">
              <w:rPr>
                <w:rFonts w:ascii="Arial Narrow" w:hAnsi="Arial Narrow"/>
                <w:sz w:val="20"/>
              </w:rPr>
              <w:t>1/22 (9.1)</w:t>
            </w:r>
          </w:p>
        </w:tc>
        <w:tc>
          <w:tcPr>
            <w:tcW w:w="1701" w:type="dxa"/>
            <w:tcMar>
              <w:top w:w="0" w:type="dxa"/>
              <w:left w:w="108" w:type="dxa"/>
              <w:bottom w:w="0" w:type="dxa"/>
              <w:right w:w="108" w:type="dxa"/>
            </w:tcMar>
            <w:vAlign w:val="center"/>
          </w:tcPr>
          <w:p w14:paraId="5AC50D5A" w14:textId="77777777" w:rsidR="00067458" w:rsidRPr="00DA3C6E" w:rsidRDefault="00067458" w:rsidP="000957C2">
            <w:pPr>
              <w:rPr>
                <w:rFonts w:ascii="Arial Narrow" w:hAnsi="Arial Narrow"/>
                <w:sz w:val="20"/>
              </w:rPr>
            </w:pPr>
            <w:r w:rsidRPr="00DA3C6E">
              <w:rPr>
                <w:rFonts w:ascii="Arial Narrow" w:hAnsi="Arial Narrow"/>
                <w:sz w:val="20"/>
              </w:rPr>
              <w:t>0/22</w:t>
            </w:r>
          </w:p>
        </w:tc>
        <w:tc>
          <w:tcPr>
            <w:tcW w:w="1560" w:type="dxa"/>
            <w:tcMar>
              <w:top w:w="0" w:type="dxa"/>
              <w:left w:w="108" w:type="dxa"/>
              <w:bottom w:w="0" w:type="dxa"/>
              <w:right w:w="108" w:type="dxa"/>
            </w:tcMar>
            <w:vAlign w:val="center"/>
          </w:tcPr>
          <w:p w14:paraId="549E09B1" w14:textId="77777777" w:rsidR="00067458" w:rsidRPr="00DA3C6E" w:rsidRDefault="00067458" w:rsidP="000957C2">
            <w:pPr>
              <w:rPr>
                <w:rFonts w:ascii="Arial Narrow" w:hAnsi="Arial Narrow"/>
                <w:sz w:val="20"/>
              </w:rPr>
            </w:pPr>
            <w:r w:rsidRPr="00DA3C6E">
              <w:rPr>
                <w:rFonts w:ascii="Arial Narrow" w:hAnsi="Arial Narrow"/>
                <w:sz w:val="20"/>
              </w:rPr>
              <w:t>NE</w:t>
            </w:r>
          </w:p>
        </w:tc>
        <w:tc>
          <w:tcPr>
            <w:tcW w:w="1791" w:type="dxa"/>
            <w:tcMar>
              <w:top w:w="0" w:type="dxa"/>
              <w:left w:w="108" w:type="dxa"/>
              <w:bottom w:w="0" w:type="dxa"/>
              <w:right w:w="108" w:type="dxa"/>
            </w:tcMar>
            <w:vAlign w:val="center"/>
          </w:tcPr>
          <w:p w14:paraId="4DE6A1FE" w14:textId="77777777" w:rsidR="00067458" w:rsidRPr="00DA3C6E" w:rsidRDefault="00067458" w:rsidP="000957C2">
            <w:pPr>
              <w:rPr>
                <w:rFonts w:ascii="Arial Narrow" w:hAnsi="Arial Narrow"/>
                <w:sz w:val="20"/>
              </w:rPr>
            </w:pPr>
            <w:r w:rsidRPr="00DA3C6E">
              <w:rPr>
                <w:rFonts w:ascii="Arial Narrow" w:hAnsi="Arial Narrow"/>
                <w:sz w:val="20"/>
              </w:rPr>
              <w:t>0.045 (-0.042, 0.13)</w:t>
            </w:r>
          </w:p>
        </w:tc>
      </w:tr>
      <w:tr w:rsidR="00067458" w:rsidRPr="00DA3C6E" w14:paraId="703F7696" w14:textId="77777777" w:rsidTr="0047278C">
        <w:tc>
          <w:tcPr>
            <w:tcW w:w="2405" w:type="dxa"/>
            <w:tcMar>
              <w:top w:w="0" w:type="dxa"/>
              <w:left w:w="108" w:type="dxa"/>
              <w:bottom w:w="0" w:type="dxa"/>
              <w:right w:w="108" w:type="dxa"/>
            </w:tcMar>
            <w:vAlign w:val="center"/>
            <w:hideMark/>
          </w:tcPr>
          <w:p w14:paraId="1A266ABC" w14:textId="77777777" w:rsidR="00067458" w:rsidRPr="00DA3C6E" w:rsidRDefault="00067458" w:rsidP="000957C2">
            <w:pPr>
              <w:rPr>
                <w:rFonts w:ascii="Arial Narrow" w:hAnsi="Arial Narrow"/>
                <w:sz w:val="20"/>
              </w:rPr>
            </w:pPr>
            <w:r w:rsidRPr="00DA3C6E">
              <w:rPr>
                <w:rFonts w:ascii="Arial Narrow" w:hAnsi="Arial Narrow"/>
                <w:sz w:val="20"/>
              </w:rPr>
              <w:t>Intravenous Ig then placebo sequence</w:t>
            </w:r>
          </w:p>
        </w:tc>
        <w:tc>
          <w:tcPr>
            <w:tcW w:w="1559" w:type="dxa"/>
            <w:tcMar>
              <w:top w:w="0" w:type="dxa"/>
              <w:left w:w="108" w:type="dxa"/>
              <w:bottom w:w="0" w:type="dxa"/>
              <w:right w:w="108" w:type="dxa"/>
            </w:tcMar>
            <w:vAlign w:val="center"/>
            <w:hideMark/>
          </w:tcPr>
          <w:p w14:paraId="4ED96CC9" w14:textId="77777777" w:rsidR="00067458" w:rsidRPr="00DA3C6E" w:rsidRDefault="00067458" w:rsidP="000957C2">
            <w:pPr>
              <w:rPr>
                <w:rFonts w:ascii="Arial Narrow" w:hAnsi="Arial Narrow"/>
                <w:sz w:val="20"/>
              </w:rPr>
            </w:pPr>
            <w:r w:rsidRPr="00DA3C6E">
              <w:rPr>
                <w:rFonts w:ascii="Arial Narrow" w:hAnsi="Arial Narrow"/>
                <w:sz w:val="20"/>
              </w:rPr>
              <w:t>1/22 (9.1)</w:t>
            </w:r>
          </w:p>
        </w:tc>
        <w:tc>
          <w:tcPr>
            <w:tcW w:w="1701" w:type="dxa"/>
            <w:tcMar>
              <w:top w:w="0" w:type="dxa"/>
              <w:left w:w="108" w:type="dxa"/>
              <w:bottom w:w="0" w:type="dxa"/>
              <w:right w:w="108" w:type="dxa"/>
            </w:tcMar>
            <w:vAlign w:val="center"/>
            <w:hideMark/>
          </w:tcPr>
          <w:p w14:paraId="062F4798" w14:textId="77777777" w:rsidR="00067458" w:rsidRPr="00DA3C6E" w:rsidRDefault="00067458" w:rsidP="000957C2">
            <w:pPr>
              <w:rPr>
                <w:rFonts w:ascii="Arial Narrow" w:hAnsi="Arial Narrow"/>
                <w:sz w:val="20"/>
              </w:rPr>
            </w:pPr>
            <w:r w:rsidRPr="00DA3C6E">
              <w:rPr>
                <w:rFonts w:ascii="Arial Narrow" w:hAnsi="Arial Narrow"/>
                <w:sz w:val="20"/>
              </w:rPr>
              <w:t>6/22 (27.3)</w:t>
            </w:r>
          </w:p>
        </w:tc>
        <w:tc>
          <w:tcPr>
            <w:tcW w:w="1560" w:type="dxa"/>
            <w:tcMar>
              <w:top w:w="0" w:type="dxa"/>
              <w:left w:w="108" w:type="dxa"/>
              <w:bottom w:w="0" w:type="dxa"/>
              <w:right w:w="108" w:type="dxa"/>
            </w:tcMar>
            <w:vAlign w:val="center"/>
          </w:tcPr>
          <w:p w14:paraId="5EDA4D43" w14:textId="77777777" w:rsidR="00067458" w:rsidRPr="00DA3C6E" w:rsidRDefault="00067458" w:rsidP="000957C2">
            <w:pPr>
              <w:rPr>
                <w:rFonts w:ascii="Arial Narrow" w:hAnsi="Arial Narrow"/>
                <w:sz w:val="20"/>
              </w:rPr>
            </w:pPr>
            <w:r w:rsidRPr="00DA3C6E">
              <w:rPr>
                <w:rFonts w:ascii="Arial Narrow" w:hAnsi="Arial Narrow"/>
                <w:sz w:val="20"/>
              </w:rPr>
              <w:t>0.17 (0.02,1.27)</w:t>
            </w:r>
          </w:p>
        </w:tc>
        <w:tc>
          <w:tcPr>
            <w:tcW w:w="1791" w:type="dxa"/>
            <w:tcMar>
              <w:top w:w="0" w:type="dxa"/>
              <w:left w:w="108" w:type="dxa"/>
              <w:bottom w:w="0" w:type="dxa"/>
              <w:right w:w="108" w:type="dxa"/>
            </w:tcMar>
            <w:vAlign w:val="center"/>
            <w:hideMark/>
          </w:tcPr>
          <w:p w14:paraId="77D2E245" w14:textId="77777777" w:rsidR="00067458" w:rsidRPr="00DA3C6E" w:rsidRDefault="00067458" w:rsidP="000957C2">
            <w:pPr>
              <w:rPr>
                <w:rFonts w:ascii="Arial Narrow" w:hAnsi="Arial Narrow"/>
                <w:bCs/>
                <w:sz w:val="20"/>
              </w:rPr>
            </w:pPr>
            <w:r w:rsidRPr="00DA3C6E">
              <w:rPr>
                <w:rFonts w:ascii="Arial Narrow" w:hAnsi="Arial Narrow"/>
                <w:bCs/>
                <w:sz w:val="20"/>
              </w:rPr>
              <w:t>-0.23 (-0.43, -0.02)</w:t>
            </w:r>
          </w:p>
        </w:tc>
      </w:tr>
      <w:tr w:rsidR="00067458" w:rsidRPr="00DA3C6E" w14:paraId="3D17B001" w14:textId="77777777" w:rsidTr="0047278C">
        <w:tc>
          <w:tcPr>
            <w:tcW w:w="2405" w:type="dxa"/>
            <w:tcMar>
              <w:top w:w="0" w:type="dxa"/>
              <w:left w:w="108" w:type="dxa"/>
              <w:bottom w:w="0" w:type="dxa"/>
              <w:right w:w="108" w:type="dxa"/>
            </w:tcMar>
            <w:vAlign w:val="center"/>
            <w:hideMark/>
          </w:tcPr>
          <w:p w14:paraId="4DB54CB5" w14:textId="77777777" w:rsidR="00067458" w:rsidRPr="00DA3C6E" w:rsidRDefault="00067458" w:rsidP="000957C2">
            <w:pPr>
              <w:rPr>
                <w:rFonts w:ascii="Arial Narrow" w:hAnsi="Arial Narrow"/>
                <w:sz w:val="20"/>
              </w:rPr>
            </w:pPr>
            <w:r w:rsidRPr="00DA3C6E">
              <w:rPr>
                <w:rFonts w:ascii="Arial Narrow" w:hAnsi="Arial Narrow"/>
                <w:sz w:val="20"/>
              </w:rPr>
              <w:t>Placebo then intravenous Ig sequence</w:t>
            </w:r>
          </w:p>
        </w:tc>
        <w:tc>
          <w:tcPr>
            <w:tcW w:w="1559" w:type="dxa"/>
            <w:tcMar>
              <w:top w:w="0" w:type="dxa"/>
              <w:left w:w="108" w:type="dxa"/>
              <w:bottom w:w="0" w:type="dxa"/>
              <w:right w:w="108" w:type="dxa"/>
            </w:tcMar>
            <w:vAlign w:val="center"/>
            <w:hideMark/>
          </w:tcPr>
          <w:p w14:paraId="3F4C8B1A" w14:textId="77777777" w:rsidR="00067458" w:rsidRPr="00DA3C6E" w:rsidRDefault="00067458" w:rsidP="000957C2">
            <w:pPr>
              <w:rPr>
                <w:rFonts w:ascii="Arial Narrow" w:hAnsi="Arial Narrow"/>
                <w:sz w:val="20"/>
              </w:rPr>
            </w:pPr>
            <w:r w:rsidRPr="00DA3C6E">
              <w:rPr>
                <w:rFonts w:ascii="Arial Narrow" w:hAnsi="Arial Narrow"/>
                <w:sz w:val="20"/>
              </w:rPr>
              <w:t>4/21 (19)</w:t>
            </w:r>
          </w:p>
        </w:tc>
        <w:tc>
          <w:tcPr>
            <w:tcW w:w="1701" w:type="dxa"/>
            <w:tcMar>
              <w:top w:w="0" w:type="dxa"/>
              <w:left w:w="108" w:type="dxa"/>
              <w:bottom w:w="0" w:type="dxa"/>
              <w:right w:w="108" w:type="dxa"/>
            </w:tcMar>
            <w:vAlign w:val="center"/>
            <w:hideMark/>
          </w:tcPr>
          <w:p w14:paraId="76814BFE" w14:textId="77777777" w:rsidR="00067458" w:rsidRPr="00DA3C6E" w:rsidRDefault="00067458" w:rsidP="000957C2">
            <w:pPr>
              <w:rPr>
                <w:rFonts w:ascii="Arial Narrow" w:hAnsi="Arial Narrow"/>
                <w:sz w:val="20"/>
              </w:rPr>
            </w:pPr>
            <w:r w:rsidRPr="00DA3C6E">
              <w:rPr>
                <w:rFonts w:ascii="Arial Narrow" w:hAnsi="Arial Narrow"/>
                <w:sz w:val="20"/>
              </w:rPr>
              <w:t>1/21 (9.1)</w:t>
            </w:r>
          </w:p>
        </w:tc>
        <w:tc>
          <w:tcPr>
            <w:tcW w:w="1560" w:type="dxa"/>
            <w:tcMar>
              <w:top w:w="0" w:type="dxa"/>
              <w:left w:w="108" w:type="dxa"/>
              <w:bottom w:w="0" w:type="dxa"/>
              <w:right w:w="108" w:type="dxa"/>
            </w:tcMar>
            <w:vAlign w:val="center"/>
          </w:tcPr>
          <w:p w14:paraId="594D5086" w14:textId="77777777" w:rsidR="00067458" w:rsidRPr="00DA3C6E" w:rsidRDefault="00067458" w:rsidP="000957C2">
            <w:pPr>
              <w:rPr>
                <w:rFonts w:ascii="Arial Narrow" w:hAnsi="Arial Narrow"/>
                <w:sz w:val="20"/>
              </w:rPr>
            </w:pPr>
            <w:r w:rsidRPr="00DA3C6E">
              <w:rPr>
                <w:rFonts w:ascii="Arial Narrow" w:hAnsi="Arial Narrow"/>
                <w:sz w:val="20"/>
              </w:rPr>
              <w:t>4 (0.49,33.00)</w:t>
            </w:r>
          </w:p>
        </w:tc>
        <w:tc>
          <w:tcPr>
            <w:tcW w:w="1791" w:type="dxa"/>
            <w:tcMar>
              <w:top w:w="0" w:type="dxa"/>
              <w:left w:w="108" w:type="dxa"/>
              <w:bottom w:w="0" w:type="dxa"/>
              <w:right w:w="108" w:type="dxa"/>
            </w:tcMar>
            <w:vAlign w:val="center"/>
            <w:hideMark/>
          </w:tcPr>
          <w:p w14:paraId="06170B43" w14:textId="77777777" w:rsidR="00067458" w:rsidRPr="00DA3C6E" w:rsidRDefault="00067458" w:rsidP="000957C2">
            <w:pPr>
              <w:rPr>
                <w:rFonts w:ascii="Arial Narrow" w:hAnsi="Arial Narrow"/>
                <w:sz w:val="20"/>
              </w:rPr>
            </w:pPr>
            <w:r w:rsidRPr="00DA3C6E">
              <w:rPr>
                <w:rFonts w:ascii="Arial Narrow" w:hAnsi="Arial Narrow"/>
                <w:sz w:val="20"/>
              </w:rPr>
              <w:t>0.14 (-0.05, 0.32)</w:t>
            </w:r>
          </w:p>
        </w:tc>
      </w:tr>
    </w:tbl>
    <w:p w14:paraId="50C7E5B6" w14:textId="7271D1D8" w:rsidR="00067458" w:rsidRDefault="00067458" w:rsidP="00067458">
      <w:pPr>
        <w:rPr>
          <w:rFonts w:ascii="Arial Narrow" w:hAnsi="Arial Narrow"/>
          <w:sz w:val="18"/>
          <w:szCs w:val="18"/>
        </w:rPr>
      </w:pPr>
      <w:r w:rsidRPr="004528BE">
        <w:rPr>
          <w:rFonts w:ascii="Arial Narrow" w:hAnsi="Arial Narrow"/>
          <w:b/>
          <w:sz w:val="18"/>
          <w:szCs w:val="18"/>
        </w:rPr>
        <w:t>Source:</w:t>
      </w:r>
      <w:r>
        <w:rPr>
          <w:rFonts w:ascii="Arial Narrow" w:hAnsi="Arial Narrow"/>
          <w:sz w:val="18"/>
          <w:szCs w:val="18"/>
        </w:rPr>
        <w:t xml:space="preserve"> </w:t>
      </w:r>
      <w:r w:rsidR="000A12A3">
        <w:rPr>
          <w:rFonts w:ascii="Arial Narrow" w:hAnsi="Arial Narrow"/>
          <w:sz w:val="18"/>
          <w:szCs w:val="18"/>
        </w:rPr>
        <w:t>1590 DCAR</w:t>
      </w:r>
      <w:r>
        <w:rPr>
          <w:rFonts w:ascii="Arial Narrow" w:hAnsi="Arial Narrow"/>
          <w:sz w:val="18"/>
          <w:szCs w:val="18"/>
        </w:rPr>
        <w:t>, Table 14</w:t>
      </w:r>
    </w:p>
    <w:p w14:paraId="1FC45EAC" w14:textId="77777777" w:rsidR="00067458" w:rsidRPr="00DA3C6E" w:rsidRDefault="00067458" w:rsidP="00067458">
      <w:pPr>
        <w:rPr>
          <w:rFonts w:ascii="Arial Narrow" w:hAnsi="Arial Narrow"/>
          <w:sz w:val="18"/>
          <w:szCs w:val="18"/>
        </w:rPr>
      </w:pPr>
      <w:r w:rsidRPr="00DA3C6E">
        <w:rPr>
          <w:rFonts w:ascii="Arial Narrow" w:hAnsi="Arial Narrow"/>
          <w:sz w:val="18"/>
          <w:szCs w:val="18"/>
        </w:rPr>
        <w:t xml:space="preserve">Abbreviations: CI = confidence interval; Ig = immunoglobulins; NE = not estimable; NR = not reported. </w:t>
      </w:r>
    </w:p>
    <w:p w14:paraId="3ADDB03B" w14:textId="131A3C8A" w:rsidR="00067458" w:rsidRPr="000957C2" w:rsidRDefault="00067458" w:rsidP="00067458">
      <w:pPr>
        <w:rPr>
          <w:rFonts w:ascii="Arial Narrow" w:hAnsi="Arial Narrow"/>
          <w:sz w:val="18"/>
          <w:szCs w:val="18"/>
        </w:rPr>
      </w:pPr>
      <w:r w:rsidRPr="00DA3C6E">
        <w:rPr>
          <w:rFonts w:ascii="Arial Narrow" w:hAnsi="Arial Narrow"/>
          <w:sz w:val="18"/>
          <w:szCs w:val="18"/>
        </w:rPr>
        <w:t xml:space="preserve">Note: Bold text refers to statistically significant; </w:t>
      </w:r>
      <w:proofErr w:type="spellStart"/>
      <w:r w:rsidRPr="00DA3C6E">
        <w:rPr>
          <w:rFonts w:ascii="Arial Narrow" w:hAnsi="Arial Narrow"/>
          <w:sz w:val="18"/>
          <w:szCs w:val="18"/>
          <w:vertAlign w:val="superscript"/>
        </w:rPr>
        <w:t>a</w:t>
      </w:r>
      <w:r w:rsidRPr="00DA3C6E">
        <w:rPr>
          <w:rFonts w:ascii="Arial Narrow" w:hAnsi="Arial Narrow"/>
          <w:sz w:val="18"/>
          <w:szCs w:val="18"/>
        </w:rPr>
        <w:t>study</w:t>
      </w:r>
      <w:proofErr w:type="spellEnd"/>
      <w:r w:rsidRPr="00DA3C6E">
        <w:rPr>
          <w:rFonts w:ascii="Arial Narrow" w:hAnsi="Arial Narrow"/>
          <w:sz w:val="18"/>
          <w:szCs w:val="18"/>
        </w:rPr>
        <w:t xml:space="preserve"> reported that two patients have cutaneous rash and transient fever, but did not specify if patients were MMN or LMNS; </w:t>
      </w:r>
      <w:r w:rsidRPr="00DA3C6E">
        <w:rPr>
          <w:rFonts w:ascii="Arial Narrow" w:hAnsi="Arial Narrow"/>
          <w:sz w:val="18"/>
          <w:szCs w:val="18"/>
          <w:vertAlign w:val="superscript"/>
        </w:rPr>
        <w:t>b</w:t>
      </w:r>
      <w:r w:rsidRPr="00DA3C6E">
        <w:rPr>
          <w:rFonts w:ascii="Arial Narrow" w:hAnsi="Arial Narrow"/>
          <w:sz w:val="18"/>
          <w:szCs w:val="18"/>
        </w:rPr>
        <w:t>one or more moderate or severe adverse events that began during infusion or within 72hrs of completion of infusion regardless of causality. Severe adverse events were pulmonary embolism (serious and severe) and headaches and nausea (severe but non-serious).</w:t>
      </w:r>
    </w:p>
    <w:p w14:paraId="6E2EA7B2" w14:textId="77777777" w:rsidR="00BC1364" w:rsidRPr="00F715D1" w:rsidRDefault="00BC1364" w:rsidP="00F715D1">
      <w:pPr>
        <w:pStyle w:val="Heading1"/>
      </w:pPr>
      <w:r w:rsidRPr="00F715D1">
        <w:t>Comparative effectiveness</w:t>
      </w:r>
    </w:p>
    <w:p w14:paraId="0EE45C71" w14:textId="77777777" w:rsidR="00067458" w:rsidRDefault="00067458" w:rsidP="00067458">
      <w:pPr>
        <w:tabs>
          <w:tab w:val="left" w:pos="720"/>
          <w:tab w:val="left" w:pos="1140"/>
        </w:tabs>
        <w:rPr>
          <w:szCs w:val="24"/>
        </w:rPr>
      </w:pPr>
      <w:r>
        <w:rPr>
          <w:szCs w:val="24"/>
        </w:rPr>
        <w:t>Clinical effectiveness is defined in the PICO by the following outcome measures:</w:t>
      </w:r>
    </w:p>
    <w:p w14:paraId="69BB096E" w14:textId="77777777" w:rsidR="00067458" w:rsidRDefault="00067458" w:rsidP="00067458">
      <w:pPr>
        <w:pStyle w:val="ListParagraph"/>
        <w:numPr>
          <w:ilvl w:val="0"/>
          <w:numId w:val="30"/>
        </w:numPr>
        <w:tabs>
          <w:tab w:val="left" w:pos="720"/>
          <w:tab w:val="left" w:pos="1140"/>
        </w:tabs>
        <w:rPr>
          <w:szCs w:val="24"/>
        </w:rPr>
      </w:pPr>
      <w:r>
        <w:rPr>
          <w:szCs w:val="24"/>
        </w:rPr>
        <w:t>Disease remission;</w:t>
      </w:r>
    </w:p>
    <w:p w14:paraId="4765AB82" w14:textId="77777777" w:rsidR="00067458" w:rsidRDefault="00067458" w:rsidP="00067458">
      <w:pPr>
        <w:pStyle w:val="ListParagraph"/>
        <w:numPr>
          <w:ilvl w:val="0"/>
          <w:numId w:val="30"/>
        </w:numPr>
        <w:tabs>
          <w:tab w:val="left" w:pos="720"/>
          <w:tab w:val="left" w:pos="1140"/>
        </w:tabs>
        <w:rPr>
          <w:szCs w:val="24"/>
        </w:rPr>
      </w:pPr>
      <w:r w:rsidRPr="008123E1">
        <w:rPr>
          <w:szCs w:val="24"/>
        </w:rPr>
        <w:t>Change in motor muscle weakness;</w:t>
      </w:r>
    </w:p>
    <w:p w14:paraId="22717F4F" w14:textId="77777777" w:rsidR="00067458" w:rsidRDefault="00067458" w:rsidP="00067458">
      <w:pPr>
        <w:pStyle w:val="ListParagraph"/>
        <w:numPr>
          <w:ilvl w:val="0"/>
          <w:numId w:val="30"/>
        </w:numPr>
        <w:tabs>
          <w:tab w:val="left" w:pos="720"/>
          <w:tab w:val="left" w:pos="1140"/>
        </w:tabs>
        <w:rPr>
          <w:szCs w:val="24"/>
        </w:rPr>
      </w:pPr>
      <w:r w:rsidRPr="008123E1">
        <w:rPr>
          <w:szCs w:val="24"/>
        </w:rPr>
        <w:t>Change in disability (e.g. measured by the ONLS);</w:t>
      </w:r>
    </w:p>
    <w:p w14:paraId="772DAE72" w14:textId="77777777" w:rsidR="00067458" w:rsidRDefault="00067458" w:rsidP="00067458">
      <w:pPr>
        <w:pStyle w:val="ListParagraph"/>
        <w:numPr>
          <w:ilvl w:val="0"/>
          <w:numId w:val="30"/>
        </w:numPr>
        <w:tabs>
          <w:tab w:val="left" w:pos="720"/>
          <w:tab w:val="left" w:pos="1140"/>
        </w:tabs>
        <w:rPr>
          <w:szCs w:val="24"/>
        </w:rPr>
      </w:pPr>
      <w:r w:rsidRPr="008123E1">
        <w:rPr>
          <w:szCs w:val="24"/>
        </w:rPr>
        <w:t>Change in quality of life (</w:t>
      </w:r>
      <w:proofErr w:type="spellStart"/>
      <w:r w:rsidRPr="008123E1">
        <w:rPr>
          <w:szCs w:val="24"/>
        </w:rPr>
        <w:t>QoL</w:t>
      </w:r>
      <w:proofErr w:type="spellEnd"/>
      <w:r w:rsidRPr="008123E1">
        <w:rPr>
          <w:szCs w:val="24"/>
        </w:rPr>
        <w:t>);</w:t>
      </w:r>
    </w:p>
    <w:p w14:paraId="09CBC66D" w14:textId="77163C5E" w:rsidR="00067458" w:rsidRPr="00B7509C" w:rsidRDefault="00B7509C" w:rsidP="00067458">
      <w:pPr>
        <w:pStyle w:val="ListParagraph"/>
        <w:numPr>
          <w:ilvl w:val="0"/>
          <w:numId w:val="30"/>
        </w:numPr>
        <w:tabs>
          <w:tab w:val="left" w:pos="720"/>
          <w:tab w:val="left" w:pos="1140"/>
        </w:tabs>
        <w:rPr>
          <w:szCs w:val="24"/>
        </w:rPr>
      </w:pPr>
      <w:r>
        <w:rPr>
          <w:szCs w:val="24"/>
        </w:rPr>
        <w:t>Quality adjusted life year.</w:t>
      </w:r>
    </w:p>
    <w:p w14:paraId="5FE9991B" w14:textId="4D862DE3" w:rsidR="00B7509C" w:rsidRDefault="00067458" w:rsidP="00B7509C">
      <w:pPr>
        <w:tabs>
          <w:tab w:val="left" w:pos="720"/>
          <w:tab w:val="left" w:pos="1140"/>
        </w:tabs>
        <w:spacing w:before="240" w:after="240"/>
      </w:pPr>
      <w:r>
        <w:rPr>
          <w:szCs w:val="24"/>
        </w:rPr>
        <w:t xml:space="preserve">Five RCTs assessed clinical effectiveness of Ig versus No Ig mainly in terms of change in disability and muscle strength. </w:t>
      </w:r>
      <w:r w:rsidR="00075F47">
        <w:rPr>
          <w:szCs w:val="24"/>
        </w:rPr>
        <w:t>All five RCTs</w:t>
      </w:r>
      <w:r>
        <w:rPr>
          <w:szCs w:val="24"/>
        </w:rPr>
        <w:t xml:space="preserve"> reported some benefit associated with Ig</w:t>
      </w:r>
      <w:r w:rsidR="001E719E">
        <w:rPr>
          <w:szCs w:val="24"/>
        </w:rPr>
        <w:t>, but noted limitations include the</w:t>
      </w:r>
      <w:r>
        <w:rPr>
          <w:szCs w:val="24"/>
        </w:rPr>
        <w:t xml:space="preserve"> </w:t>
      </w:r>
      <w:r w:rsidR="001E719E">
        <w:rPr>
          <w:szCs w:val="24"/>
        </w:rPr>
        <w:t>low</w:t>
      </w:r>
      <w:r>
        <w:rPr>
          <w:szCs w:val="24"/>
        </w:rPr>
        <w:t xml:space="preserve"> number of patients</w:t>
      </w:r>
      <w:r w:rsidR="001E719E">
        <w:rPr>
          <w:szCs w:val="24"/>
        </w:rPr>
        <w:t xml:space="preserve"> recruited</w:t>
      </w:r>
      <w:r>
        <w:rPr>
          <w:szCs w:val="24"/>
        </w:rPr>
        <w:t>, limited follow up and cross-over study design.</w:t>
      </w:r>
      <w:r>
        <w:t xml:space="preserve"> S</w:t>
      </w:r>
      <w:r w:rsidRPr="00842E0F">
        <w:t>ome difficulties were found in comparing</w:t>
      </w:r>
      <w:r>
        <w:t xml:space="preserve"> </w:t>
      </w:r>
      <w:r w:rsidRPr="00842E0F">
        <w:t>results because different tools were used to measure the outcome</w:t>
      </w:r>
      <w:r>
        <w:t>s</w:t>
      </w:r>
      <w:r w:rsidRPr="00842E0F">
        <w:t xml:space="preserve">. Only </w:t>
      </w:r>
      <w:r>
        <w:t>one study (Leger et al. 2001</w:t>
      </w:r>
      <w:r w:rsidRPr="00842E0F">
        <w:t>) reported overall response to Ig treatment as an effectiveness measure.</w:t>
      </w:r>
      <w:r>
        <w:t xml:space="preserve"> None of the RCTs reported improvement in quality of life as an outcome for patients with MMN.</w:t>
      </w:r>
      <w:r w:rsidR="00B7509C">
        <w:br w:type="page"/>
      </w:r>
    </w:p>
    <w:p w14:paraId="317F1547" w14:textId="509BDBF6" w:rsidR="00067458" w:rsidRPr="00945FA1" w:rsidRDefault="00067458" w:rsidP="00067458">
      <w:pPr>
        <w:tabs>
          <w:tab w:val="left" w:pos="720"/>
          <w:tab w:val="left" w:pos="1140"/>
        </w:tabs>
        <w:rPr>
          <w:szCs w:val="24"/>
          <w:u w:val="single"/>
        </w:rPr>
      </w:pPr>
      <w:r>
        <w:rPr>
          <w:szCs w:val="24"/>
          <w:u w:val="single"/>
        </w:rPr>
        <w:lastRenderedPageBreak/>
        <w:t>Change</w:t>
      </w:r>
      <w:r w:rsidRPr="00945FA1">
        <w:rPr>
          <w:szCs w:val="24"/>
          <w:u w:val="single"/>
        </w:rPr>
        <w:t xml:space="preserve"> in disability</w:t>
      </w:r>
    </w:p>
    <w:p w14:paraId="491103B2" w14:textId="38E7CF49" w:rsidR="00067458" w:rsidRDefault="00067458" w:rsidP="00067458">
      <w:pPr>
        <w:tabs>
          <w:tab w:val="left" w:pos="720"/>
          <w:tab w:val="left" w:pos="1140"/>
        </w:tabs>
      </w:pPr>
      <w:r>
        <w:rPr>
          <w:szCs w:val="24"/>
        </w:rPr>
        <w:t xml:space="preserve">Three of the five studies </w:t>
      </w:r>
      <w:r w:rsidRPr="00BA153F">
        <w:rPr>
          <w:szCs w:val="24"/>
        </w:rPr>
        <w:t>reported improvement in disability as an outcome measure</w:t>
      </w:r>
      <w:r>
        <w:rPr>
          <w:szCs w:val="24"/>
        </w:rPr>
        <w:t xml:space="preserve"> (see</w:t>
      </w:r>
      <w:r w:rsidRPr="00BA153F">
        <w:rPr>
          <w:szCs w:val="24"/>
        </w:rPr>
        <w:t xml:space="preserve"> </w:t>
      </w:r>
      <w:r w:rsidR="00DD06C6" w:rsidRPr="00DD06C6">
        <w:rPr>
          <w:szCs w:val="24"/>
        </w:rPr>
        <w:fldChar w:fldCharType="begin"/>
      </w:r>
      <w:r w:rsidR="00DD06C6" w:rsidRPr="00DD06C6">
        <w:rPr>
          <w:szCs w:val="24"/>
        </w:rPr>
        <w:instrText xml:space="preserve"> REF _Ref29371365 \h  \* MERGEFORMAT </w:instrText>
      </w:r>
      <w:r w:rsidR="00DD06C6" w:rsidRPr="00DD06C6">
        <w:rPr>
          <w:szCs w:val="24"/>
        </w:rPr>
      </w:r>
      <w:r w:rsidR="00DD06C6" w:rsidRPr="00DD06C6">
        <w:rPr>
          <w:szCs w:val="24"/>
        </w:rPr>
        <w:fldChar w:fldCharType="separate"/>
      </w:r>
      <w:r w:rsidR="00123232" w:rsidRPr="00123232">
        <w:rPr>
          <w:szCs w:val="24"/>
        </w:rPr>
        <w:t>Table 3</w:t>
      </w:r>
      <w:r w:rsidR="00DD06C6" w:rsidRPr="00DD06C6">
        <w:rPr>
          <w:szCs w:val="24"/>
        </w:rPr>
        <w:fldChar w:fldCharType="end"/>
      </w:r>
      <w:r>
        <w:rPr>
          <w:szCs w:val="24"/>
        </w:rPr>
        <w:t>),</w:t>
      </w:r>
      <w:r w:rsidRPr="00BA153F">
        <w:rPr>
          <w:szCs w:val="24"/>
        </w:rPr>
        <w:t xml:space="preserve"> b</w:t>
      </w:r>
      <w:r>
        <w:rPr>
          <w:szCs w:val="24"/>
        </w:rPr>
        <w:t>ut of these, only the study by Hahn et al. 2013</w:t>
      </w:r>
      <w:r w:rsidRPr="00405BE1">
        <w:rPr>
          <w:szCs w:val="24"/>
        </w:rPr>
        <w:t xml:space="preserve"> found statistically significant differences (RR = 1.37; 95% CI 1.07, 1.76)</w:t>
      </w:r>
      <w:r>
        <w:rPr>
          <w:szCs w:val="24"/>
        </w:rPr>
        <w:t xml:space="preserve">. </w:t>
      </w:r>
      <w:r w:rsidRPr="00DA3C6E">
        <w:t xml:space="preserve">The pooled treatment effect reported in Hahn et al 2013 and Leger et al 2001 was of RR 1.81 (95% CI 0.74, 4.45), </w:t>
      </w:r>
      <w:r>
        <w:t>indicating</w:t>
      </w:r>
      <w:r w:rsidRPr="00DA3C6E">
        <w:t xml:space="preserve"> that intravenous Ig is superior to placebo, however no statistical d</w:t>
      </w:r>
      <w:r w:rsidR="00B7509C">
        <w:t>ifferences were found (p=0.19).</w:t>
      </w:r>
    </w:p>
    <w:p w14:paraId="2CC7A898" w14:textId="508935A3" w:rsidR="00067458" w:rsidRPr="009027FE" w:rsidRDefault="000957C2" w:rsidP="009027FE">
      <w:pPr>
        <w:spacing w:before="240"/>
        <w:rPr>
          <w:rFonts w:ascii="Arial Narrow" w:hAnsi="Arial Narrow"/>
          <w:b/>
          <w:sz w:val="20"/>
        </w:rPr>
      </w:pPr>
      <w:bookmarkStart w:id="14" w:name="_Ref29371365"/>
      <w:bookmarkStart w:id="15" w:name="_Toc30497463"/>
      <w:bookmarkStart w:id="16" w:name="_Toc30687744"/>
      <w:bookmarkStart w:id="17" w:name="_Toc37845819"/>
      <w:r w:rsidRPr="009027FE">
        <w:rPr>
          <w:rFonts w:ascii="Arial Narrow" w:hAnsi="Arial Narrow"/>
          <w:b/>
          <w:sz w:val="20"/>
        </w:rPr>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3</w:t>
      </w:r>
      <w:r w:rsidR="003F56BF" w:rsidRPr="009027FE">
        <w:rPr>
          <w:rFonts w:ascii="Arial Narrow" w:hAnsi="Arial Narrow"/>
          <w:b/>
          <w:sz w:val="20"/>
        </w:rPr>
        <w:fldChar w:fldCharType="end"/>
      </w:r>
      <w:bookmarkEnd w:id="14"/>
      <w:r w:rsidRPr="009027FE">
        <w:rPr>
          <w:rFonts w:ascii="Arial Narrow" w:hAnsi="Arial Narrow"/>
          <w:b/>
          <w:sz w:val="20"/>
        </w:rPr>
        <w:t>:</w:t>
      </w:r>
      <w:r w:rsidR="00067458" w:rsidRPr="009027FE">
        <w:rPr>
          <w:rFonts w:ascii="Arial Narrow" w:hAnsi="Arial Narrow"/>
          <w:b/>
          <w:sz w:val="20"/>
        </w:rPr>
        <w:t xml:space="preserve"> Results of disability across randomised controlled trials</w:t>
      </w:r>
      <w:bookmarkEnd w:id="15"/>
      <w:bookmarkEnd w:id="16"/>
      <w:bookmarkEnd w:id="17"/>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4"/>
        <w:gridCol w:w="773"/>
        <w:gridCol w:w="2045"/>
        <w:gridCol w:w="2045"/>
        <w:gridCol w:w="680"/>
        <w:gridCol w:w="2091"/>
      </w:tblGrid>
      <w:tr w:rsidR="00067458" w:rsidRPr="00DA3C6E" w14:paraId="44FAC1F6" w14:textId="77777777" w:rsidTr="0047278C">
        <w:trPr>
          <w:tblHeader/>
        </w:trPr>
        <w:tc>
          <w:tcPr>
            <w:tcW w:w="837" w:type="pct"/>
            <w:shd w:val="clear" w:color="auto" w:fill="auto"/>
            <w:vAlign w:val="center"/>
          </w:tcPr>
          <w:p w14:paraId="029B9C66" w14:textId="77777777" w:rsidR="00067458" w:rsidRPr="00BA153F" w:rsidRDefault="00067458" w:rsidP="000957C2">
            <w:pPr>
              <w:pStyle w:val="TableHeading"/>
              <w:spacing w:before="0" w:after="0"/>
              <w:jc w:val="left"/>
              <w:rPr>
                <w:snapToGrid w:val="0"/>
                <w:lang w:eastAsia="en-US"/>
              </w:rPr>
            </w:pPr>
            <w:r w:rsidRPr="00BA153F">
              <w:rPr>
                <w:snapToGrid w:val="0"/>
                <w:lang w:eastAsia="en-US"/>
              </w:rPr>
              <w:t>Study ID</w:t>
            </w:r>
          </w:p>
        </w:tc>
        <w:tc>
          <w:tcPr>
            <w:tcW w:w="799" w:type="pct"/>
            <w:shd w:val="clear" w:color="auto" w:fill="auto"/>
            <w:vAlign w:val="center"/>
          </w:tcPr>
          <w:p w14:paraId="26CBABFB" w14:textId="77777777" w:rsidR="00067458" w:rsidRPr="00BA153F" w:rsidRDefault="00067458" w:rsidP="000957C2">
            <w:pPr>
              <w:pStyle w:val="TableHeading"/>
              <w:spacing w:before="0" w:after="0"/>
              <w:ind w:left="16" w:right="117"/>
              <w:jc w:val="left"/>
              <w:rPr>
                <w:snapToGrid w:val="0"/>
                <w:lang w:eastAsia="en-US"/>
              </w:rPr>
            </w:pPr>
            <w:r w:rsidRPr="00BA153F">
              <w:rPr>
                <w:snapToGrid w:val="0"/>
                <w:lang w:eastAsia="en-US"/>
              </w:rPr>
              <w:t>Risk of bias</w:t>
            </w:r>
          </w:p>
        </w:tc>
        <w:tc>
          <w:tcPr>
            <w:tcW w:w="823" w:type="pct"/>
            <w:shd w:val="clear" w:color="auto" w:fill="auto"/>
            <w:vAlign w:val="center"/>
          </w:tcPr>
          <w:p w14:paraId="6E917521" w14:textId="77777777" w:rsidR="00067458" w:rsidRPr="00BA153F" w:rsidRDefault="00067458" w:rsidP="000957C2">
            <w:pPr>
              <w:rPr>
                <w:rFonts w:ascii="Arial Narrow" w:hAnsi="Arial Narrow"/>
                <w:b/>
                <w:sz w:val="20"/>
              </w:rPr>
            </w:pPr>
            <w:r w:rsidRPr="00BA153F">
              <w:rPr>
                <w:rFonts w:ascii="Arial Narrow" w:hAnsi="Arial Narrow"/>
                <w:b/>
                <w:sz w:val="20"/>
              </w:rPr>
              <w:t>Intravenous Ig treatment</w:t>
            </w:r>
          </w:p>
          <w:p w14:paraId="5D4765A1" w14:textId="77777777" w:rsidR="00067458" w:rsidRPr="00BA153F" w:rsidRDefault="00067458" w:rsidP="000957C2">
            <w:pPr>
              <w:pStyle w:val="TableHeading"/>
              <w:spacing w:before="0" w:after="0"/>
              <w:ind w:right="117"/>
              <w:jc w:val="left"/>
              <w:rPr>
                <w:snapToGrid w:val="0"/>
                <w:lang w:eastAsia="en-US"/>
              </w:rPr>
            </w:pPr>
            <w:r w:rsidRPr="00BA153F">
              <w:rPr>
                <w:b w:val="0"/>
              </w:rPr>
              <w:t>Mean/median (SD/SEM)</w:t>
            </w:r>
          </w:p>
        </w:tc>
        <w:tc>
          <w:tcPr>
            <w:tcW w:w="879" w:type="pct"/>
            <w:shd w:val="clear" w:color="auto" w:fill="auto"/>
            <w:vAlign w:val="center"/>
          </w:tcPr>
          <w:p w14:paraId="1712A809" w14:textId="77777777" w:rsidR="00067458" w:rsidRPr="00BA153F" w:rsidRDefault="00067458" w:rsidP="000957C2">
            <w:pPr>
              <w:rPr>
                <w:rFonts w:ascii="Arial Narrow" w:hAnsi="Arial Narrow"/>
                <w:b/>
                <w:sz w:val="20"/>
              </w:rPr>
            </w:pPr>
            <w:r w:rsidRPr="00BA153F">
              <w:rPr>
                <w:rFonts w:ascii="Arial Narrow" w:hAnsi="Arial Narrow"/>
                <w:b/>
                <w:sz w:val="20"/>
              </w:rPr>
              <w:t>Placebo treatment</w:t>
            </w:r>
          </w:p>
          <w:p w14:paraId="41C50CE1" w14:textId="77777777" w:rsidR="00067458" w:rsidRPr="00BA153F" w:rsidRDefault="00067458" w:rsidP="000957C2">
            <w:pPr>
              <w:pStyle w:val="TableHeading"/>
              <w:spacing w:before="0" w:after="0"/>
              <w:ind w:right="117"/>
              <w:jc w:val="left"/>
              <w:rPr>
                <w:snapToGrid w:val="0"/>
                <w:lang w:eastAsia="en-US"/>
              </w:rPr>
            </w:pPr>
            <w:r w:rsidRPr="00BA153F">
              <w:rPr>
                <w:b w:val="0"/>
              </w:rPr>
              <w:t>Mean/median (SD/SEM)</w:t>
            </w:r>
          </w:p>
        </w:tc>
        <w:tc>
          <w:tcPr>
            <w:tcW w:w="800" w:type="pct"/>
            <w:shd w:val="clear" w:color="auto" w:fill="auto"/>
            <w:vAlign w:val="center"/>
          </w:tcPr>
          <w:p w14:paraId="3F8BE2A3" w14:textId="77777777" w:rsidR="00067458" w:rsidRPr="00BA153F" w:rsidRDefault="00067458" w:rsidP="000957C2">
            <w:pPr>
              <w:pStyle w:val="TableHeading"/>
              <w:spacing w:before="0" w:after="0"/>
              <w:ind w:left="41" w:right="117"/>
              <w:jc w:val="left"/>
              <w:rPr>
                <w:snapToGrid w:val="0"/>
                <w:lang w:eastAsia="en-US"/>
              </w:rPr>
            </w:pPr>
            <w:r w:rsidRPr="00BA153F">
              <w:t>Relative risk (95% CI)</w:t>
            </w:r>
          </w:p>
        </w:tc>
        <w:tc>
          <w:tcPr>
            <w:tcW w:w="862" w:type="pct"/>
            <w:shd w:val="clear" w:color="auto" w:fill="auto"/>
            <w:vAlign w:val="center"/>
          </w:tcPr>
          <w:p w14:paraId="74826B51" w14:textId="77777777" w:rsidR="00067458" w:rsidRPr="00BA153F" w:rsidRDefault="00067458" w:rsidP="000957C2">
            <w:pPr>
              <w:pStyle w:val="TableHeading"/>
              <w:spacing w:before="0" w:after="0"/>
              <w:ind w:right="117"/>
              <w:jc w:val="left"/>
              <w:rPr>
                <w:snapToGrid w:val="0"/>
                <w:lang w:eastAsia="en-US"/>
              </w:rPr>
            </w:pPr>
            <w:r w:rsidRPr="00BA153F">
              <w:rPr>
                <w:snapToGrid w:val="0"/>
                <w:lang w:eastAsia="en-US"/>
              </w:rPr>
              <w:t>Relative difference</w:t>
            </w:r>
          </w:p>
          <w:p w14:paraId="4A5BF60A" w14:textId="77777777" w:rsidR="00067458" w:rsidRPr="00DA3C6E" w:rsidRDefault="00067458" w:rsidP="000957C2">
            <w:pPr>
              <w:pStyle w:val="TableHeading"/>
              <w:spacing w:before="0" w:after="0"/>
              <w:ind w:right="117"/>
              <w:jc w:val="left"/>
              <w:rPr>
                <w:snapToGrid w:val="0"/>
                <w:lang w:eastAsia="en-US"/>
              </w:rPr>
            </w:pPr>
            <w:r w:rsidRPr="00BA153F">
              <w:rPr>
                <w:snapToGrid w:val="0"/>
                <w:lang w:eastAsia="en-US"/>
              </w:rPr>
              <w:t>(95% CI)</w:t>
            </w:r>
          </w:p>
        </w:tc>
      </w:tr>
      <w:tr w:rsidR="00067458" w:rsidRPr="00DA3C6E" w14:paraId="26EBD893" w14:textId="77777777" w:rsidTr="0047278C">
        <w:tc>
          <w:tcPr>
            <w:tcW w:w="5000" w:type="pct"/>
            <w:gridSpan w:val="6"/>
            <w:shd w:val="clear" w:color="auto" w:fill="auto"/>
            <w:vAlign w:val="center"/>
          </w:tcPr>
          <w:p w14:paraId="62EFDC85" w14:textId="77777777" w:rsidR="00067458" w:rsidRPr="00DA3C6E" w:rsidRDefault="00067458" w:rsidP="000957C2">
            <w:pPr>
              <w:pStyle w:val="TableText"/>
              <w:spacing w:before="0" w:after="0"/>
              <w:ind w:right="117"/>
              <w:jc w:val="left"/>
              <w:rPr>
                <w:b/>
                <w:snapToGrid w:val="0"/>
              </w:rPr>
            </w:pPr>
            <w:r w:rsidRPr="00DA3C6E">
              <w:rPr>
                <w:b/>
                <w:snapToGrid w:val="0"/>
              </w:rPr>
              <w:t>Improvement in disability</w:t>
            </w:r>
          </w:p>
        </w:tc>
      </w:tr>
      <w:tr w:rsidR="00067458" w:rsidRPr="00DA3C6E" w14:paraId="4A3935B8" w14:textId="77777777" w:rsidTr="0047278C">
        <w:tc>
          <w:tcPr>
            <w:tcW w:w="837" w:type="pct"/>
            <w:shd w:val="clear" w:color="auto" w:fill="auto"/>
            <w:vAlign w:val="center"/>
          </w:tcPr>
          <w:p w14:paraId="40E0355A" w14:textId="77777777" w:rsidR="00067458" w:rsidRPr="00DA3C6E" w:rsidRDefault="00067458" w:rsidP="000957C2">
            <w:pPr>
              <w:pStyle w:val="TableText"/>
              <w:spacing w:before="0" w:after="0"/>
              <w:jc w:val="left"/>
              <w:rPr>
                <w:snapToGrid w:val="0"/>
              </w:rPr>
            </w:pPr>
            <w:proofErr w:type="spellStart"/>
            <w:r w:rsidRPr="00DA3C6E">
              <w:t>Azulay</w:t>
            </w:r>
            <w:proofErr w:type="spellEnd"/>
            <w:r w:rsidRPr="00DA3C6E">
              <w:t xml:space="preserve"> et al. 1994</w:t>
            </w:r>
            <w:r>
              <w:t xml:space="preserve"> </w:t>
            </w:r>
            <w:r w:rsidRPr="00DA3C6E">
              <w:fldChar w:fldCharType="begin"/>
            </w:r>
            <w:r w:rsidRPr="00DA3C6E">
              <w:instrText xml:space="preserve"> ADDIN EN.CITE &lt;EndNote&gt;&lt;Cite&gt;&lt;Author&gt;Azulay&lt;/Author&gt;&lt;Year&gt;1994&lt;/Year&gt;&lt;RecNum&gt;4&lt;/RecNum&gt;&lt;DisplayText&gt;(24)&lt;/DisplayText&gt;&lt;record&gt;&lt;rec-number&gt;4&lt;/rec-number&gt;&lt;foreign-keys&gt;&lt;key app="EN" db-id="0992p2ztn5fez9e2wvnpw2xstd20f9w2dezz" timestamp="1586818281"&gt;4&lt;/key&gt;&lt;/foreign-keys&gt;&lt;ref-type name="Journal Article"&gt;17&lt;/ref-type&gt;&lt;contributors&gt;&lt;authors&gt;&lt;author&gt;Azulay, J. P.&lt;/author&gt;&lt;author&gt;Blin, O.&lt;/author&gt;&lt;author&gt;Pouget, J.&lt;/author&gt;&lt;author&gt;Boucraut, J.&lt;/author&gt;&lt;author&gt;Bille-Turc, F.&lt;/author&gt;&lt;author&gt;Carles, G.&lt;/author&gt;&lt;author&gt;Serratrice, G.&lt;/author&gt;&lt;/authors&gt;&lt;/contributors&gt;&lt;auth-address&gt;Department of Neurology, University Hospital Timone, Marseilles, France.&lt;/auth-address&gt;&lt;titles&gt;&lt;title&gt;Intravenous immunoglobulin treatment in patients with motor neuron syndromes associated with anti-GM1 antibodies: a double-blind, placebo-controlled study&lt;/title&gt;&lt;secondary-title&gt;Neurology&lt;/secondary-title&gt;&lt;alt-title&gt;Neurology&lt;/alt-title&gt;&lt;/titles&gt;&lt;periodical&gt;&lt;full-title&gt;Neurology&lt;/full-title&gt;&lt;/periodical&gt;&lt;alt-periodical&gt;&lt;full-title&gt;Neurology&lt;/full-title&gt;&lt;/alt-periodical&gt;&lt;pages&gt;429-32&lt;/pages&gt;&lt;volume&gt;44&lt;/volume&gt;&lt;number&gt;3 Pt 1&lt;/number&gt;&lt;edition&gt;1994/03/01&lt;/edition&gt;&lt;keywords&gt;&lt;keyword&gt;Adult&lt;/keyword&gt;&lt;keyword&gt;Autoantibodies/*blood&lt;/keyword&gt;&lt;keyword&gt;Double-Blind Method&lt;/keyword&gt;&lt;keyword&gt;Female&lt;/keyword&gt;&lt;keyword&gt;G(M1) Ganglioside/*immunology&lt;/keyword&gt;&lt;keyword&gt;Humans&lt;/keyword&gt;&lt;keyword&gt;Immunoglobulins, Intravenous/*therapeutic use&lt;/keyword&gt;&lt;keyword&gt;Isometric Contraction/physiology&lt;/keyword&gt;&lt;keyword&gt;Male&lt;/keyword&gt;&lt;keyword&gt;Middle Aged&lt;/keyword&gt;&lt;keyword&gt;Motor Neuron Disease/immunology/physiopathology/*therapy&lt;/keyword&gt;&lt;/keywords&gt;&lt;dates&gt;&lt;year&gt;1994&lt;/year&gt;&lt;pub-dates&gt;&lt;date&gt;Mar&lt;/date&gt;&lt;/pub-dates&gt;&lt;/dates&gt;&lt;isbn&gt;0028-3878 (Print)&amp;#xD;0028-3878&lt;/isbn&gt;&lt;accession-num&gt;8145910&lt;/accession-num&gt;&lt;urls&gt;&lt;/urls&gt;&lt;electronic-resource-num&gt;10.1212/wnl.44.3_part_1.429&lt;/electronic-resource-num&gt;&lt;remote-database-provider&gt;NLM&lt;/remote-database-provider&gt;&lt;research-notes&gt;Included. Need to find full text&lt;/research-notes&gt;&lt;language&gt;eng&lt;/language&gt;&lt;/record&gt;&lt;/Cite&gt;&lt;/EndNote&gt;</w:instrText>
            </w:r>
            <w:r w:rsidRPr="00DA3C6E">
              <w:fldChar w:fldCharType="separate"/>
            </w:r>
            <w:r w:rsidRPr="00DA3C6E">
              <w:rPr>
                <w:noProof/>
              </w:rPr>
              <w:t>(</w:t>
            </w:r>
            <w:hyperlink w:anchor="_ENREF_24" w:tooltip="Azulay, 1994 #4" w:history="1">
              <w:r w:rsidRPr="00DA3C6E">
                <w:rPr>
                  <w:noProof/>
                </w:rPr>
                <w:t>24</w:t>
              </w:r>
            </w:hyperlink>
            <w:r w:rsidRPr="00DA3C6E">
              <w:rPr>
                <w:noProof/>
              </w:rPr>
              <w:t>)</w:t>
            </w:r>
            <w:r w:rsidRPr="00DA3C6E">
              <w:fldChar w:fldCharType="end"/>
            </w:r>
          </w:p>
        </w:tc>
        <w:tc>
          <w:tcPr>
            <w:tcW w:w="799" w:type="pct"/>
            <w:vAlign w:val="center"/>
          </w:tcPr>
          <w:p w14:paraId="746B8F24" w14:textId="77777777" w:rsidR="00067458" w:rsidRPr="00DA3C6E" w:rsidRDefault="00067458" w:rsidP="000957C2">
            <w:pPr>
              <w:pStyle w:val="TableText"/>
              <w:spacing w:before="0" w:after="0"/>
              <w:ind w:left="16" w:right="117"/>
              <w:jc w:val="left"/>
              <w:rPr>
                <w:snapToGrid w:val="0"/>
              </w:rPr>
            </w:pPr>
            <w:r w:rsidRPr="00DA3C6E">
              <w:rPr>
                <w:snapToGrid w:val="0"/>
              </w:rPr>
              <w:t>Some concern</w:t>
            </w:r>
          </w:p>
        </w:tc>
        <w:tc>
          <w:tcPr>
            <w:tcW w:w="823" w:type="pct"/>
            <w:shd w:val="clear" w:color="auto" w:fill="auto"/>
            <w:vAlign w:val="center"/>
          </w:tcPr>
          <w:p w14:paraId="5D5F42ED" w14:textId="77777777" w:rsidR="00067458" w:rsidRPr="00DA3C6E" w:rsidRDefault="00067458" w:rsidP="000957C2">
            <w:pPr>
              <w:pStyle w:val="TableText"/>
              <w:spacing w:before="0" w:after="0"/>
              <w:ind w:left="111" w:right="117"/>
              <w:jc w:val="left"/>
              <w:rPr>
                <w:snapToGrid w:val="0"/>
              </w:rPr>
            </w:pPr>
            <w:r w:rsidRPr="00DA3C6E">
              <w:rPr>
                <w:szCs w:val="20"/>
              </w:rPr>
              <w:t>0/5</w:t>
            </w:r>
          </w:p>
        </w:tc>
        <w:tc>
          <w:tcPr>
            <w:tcW w:w="879" w:type="pct"/>
            <w:shd w:val="clear" w:color="auto" w:fill="auto"/>
            <w:vAlign w:val="center"/>
          </w:tcPr>
          <w:p w14:paraId="2A9758D6" w14:textId="77777777" w:rsidR="00067458" w:rsidRPr="00DA3C6E" w:rsidRDefault="00067458" w:rsidP="000957C2">
            <w:pPr>
              <w:pStyle w:val="TableText"/>
              <w:spacing w:before="0" w:after="0"/>
              <w:ind w:left="77" w:right="117"/>
              <w:jc w:val="left"/>
              <w:rPr>
                <w:snapToGrid w:val="0"/>
              </w:rPr>
            </w:pPr>
            <w:r w:rsidRPr="00DA3C6E">
              <w:rPr>
                <w:szCs w:val="20"/>
              </w:rPr>
              <w:t>0/5</w:t>
            </w:r>
          </w:p>
        </w:tc>
        <w:tc>
          <w:tcPr>
            <w:tcW w:w="800" w:type="pct"/>
            <w:shd w:val="clear" w:color="auto" w:fill="auto"/>
            <w:vAlign w:val="center"/>
          </w:tcPr>
          <w:p w14:paraId="0B37E250" w14:textId="77777777" w:rsidR="00067458" w:rsidRPr="00DA3C6E" w:rsidRDefault="00067458" w:rsidP="000957C2">
            <w:pPr>
              <w:pStyle w:val="TableText"/>
              <w:spacing w:before="0" w:after="0"/>
              <w:ind w:left="41" w:right="117"/>
              <w:jc w:val="left"/>
              <w:rPr>
                <w:i/>
                <w:snapToGrid w:val="0"/>
              </w:rPr>
            </w:pPr>
            <w:r w:rsidRPr="00DA3C6E">
              <w:rPr>
                <w:snapToGrid w:val="0"/>
              </w:rPr>
              <w:t>NE</w:t>
            </w:r>
          </w:p>
        </w:tc>
        <w:tc>
          <w:tcPr>
            <w:tcW w:w="862" w:type="pct"/>
            <w:shd w:val="clear" w:color="auto" w:fill="auto"/>
            <w:vAlign w:val="center"/>
          </w:tcPr>
          <w:p w14:paraId="79F1BEFF" w14:textId="77777777" w:rsidR="00067458" w:rsidRPr="00DA3C6E" w:rsidRDefault="00067458" w:rsidP="000957C2">
            <w:pPr>
              <w:pStyle w:val="TableText"/>
              <w:spacing w:before="0" w:after="0"/>
              <w:ind w:right="117"/>
              <w:jc w:val="left"/>
              <w:rPr>
                <w:i/>
                <w:snapToGrid w:val="0"/>
              </w:rPr>
            </w:pPr>
            <w:r w:rsidRPr="00DA3C6E">
              <w:rPr>
                <w:snapToGrid w:val="0"/>
              </w:rPr>
              <w:t>NE</w:t>
            </w:r>
          </w:p>
        </w:tc>
      </w:tr>
      <w:tr w:rsidR="00067458" w:rsidRPr="00DA3C6E" w14:paraId="1BD4E44E" w14:textId="77777777" w:rsidTr="0047278C">
        <w:tc>
          <w:tcPr>
            <w:tcW w:w="837" w:type="pct"/>
            <w:shd w:val="clear" w:color="auto" w:fill="auto"/>
            <w:vAlign w:val="center"/>
          </w:tcPr>
          <w:p w14:paraId="0FCEC211" w14:textId="77777777" w:rsidR="00067458" w:rsidRPr="00DA3C6E" w:rsidRDefault="00067458" w:rsidP="000957C2">
            <w:pPr>
              <w:pStyle w:val="TableText"/>
              <w:spacing w:before="0" w:after="0"/>
              <w:jc w:val="left"/>
              <w:rPr>
                <w:snapToGrid w:val="0"/>
              </w:rPr>
            </w:pPr>
            <w:r w:rsidRPr="00DA3C6E">
              <w:rPr>
                <w:lang w:val="es-CL"/>
              </w:rPr>
              <w:t xml:space="preserve">Van den </w:t>
            </w:r>
            <w:proofErr w:type="spellStart"/>
            <w:r w:rsidRPr="00DA3C6E">
              <w:rPr>
                <w:lang w:val="es-CL"/>
              </w:rPr>
              <w:t>Berg</w:t>
            </w:r>
            <w:proofErr w:type="spellEnd"/>
            <w:r w:rsidRPr="00DA3C6E">
              <w:rPr>
                <w:lang w:val="es-CL"/>
              </w:rPr>
              <w:t xml:space="preserve"> et al.  </w:t>
            </w:r>
            <w:r w:rsidRPr="00DA3C6E">
              <w:t>1995</w:t>
            </w:r>
            <w:r>
              <w:t xml:space="preserve"> </w:t>
            </w:r>
            <w:r w:rsidRPr="00DA3C6E">
              <w:fldChar w:fldCharType="begin"/>
            </w:r>
            <w:r w:rsidRPr="00DA3C6E">
              <w:instrText xml:space="preserve"> ADDIN EN.CITE &lt;EndNote&gt;&lt;Cite&gt;&lt;Author&gt;Van den Berg&lt;/Author&gt;&lt;Year&gt;1995&lt;/Year&gt;&lt;RecNum&gt;77&lt;/RecNum&gt;&lt;DisplayText&gt;(25)&lt;/DisplayText&gt;&lt;record&gt;&lt;rec-number&gt;77&lt;/rec-number&gt;&lt;foreign-keys&gt;&lt;key app="EN" db-id="0992p2ztn5fez9e2wvnpw2xstd20f9w2dezz" timestamp="1586863422"&gt;77&lt;/key&gt;&lt;/foreign-keys&gt;&lt;ref-type name="Journal Article"&gt;17&lt;/ref-type&gt;&lt;contributors&gt;&lt;authors&gt;&lt;author&gt;Van den Berg, L. H.&lt;/author&gt;&lt;author&gt;Kerkhoff, H.&lt;/author&gt;&lt;author&gt;Oey, P. L.&lt;/author&gt;&lt;author&gt;Franssen, H.&lt;/author&gt;&lt;author&gt;Mollee, I.&lt;/author&gt;&lt;author&gt;Vermeulen, M.&lt;/author&gt;&lt;author&gt;Jennekens, F. G.&lt;/author&gt;&lt;author&gt;Wokke, J. H.&lt;/author&gt;&lt;/authors&gt;&lt;/contributors&gt;&lt;auth-address&gt;Rudolf Magnus Research School in the Neurosciences, Department of Neurology, University Hospital Utrecht, The Netherlands.&lt;/auth-address&gt;&lt;titles&gt;&lt;title&gt;Treatment of multifocal motor neuropathy with high dose intravenous immunoglobulins: a double blind, placebo controlled study&lt;/title&gt;&lt;secondary-title&gt;J Neurol Neurosurg Psychiatry&lt;/secondary-title&gt;&lt;alt-title&gt;Journal of neurology, neurosurgery, and psychiatry&lt;/alt-title&gt;&lt;/titles&gt;&lt;alt-periodical&gt;&lt;full-title&gt;Journal of neurology, neurosurgery, and psychiatry&lt;/full-title&gt;&lt;/alt-periodical&gt;&lt;pages&gt;248-52&lt;/pages&gt;&lt;volume&gt;59&lt;/volume&gt;&lt;number&gt;3&lt;/number&gt;&lt;edition&gt;1995/09/01&lt;/edition&gt;&lt;keywords&gt;&lt;keyword&gt;Adult&lt;/keyword&gt;&lt;keyword&gt;Double-Blind Method&lt;/keyword&gt;&lt;keyword&gt;Female&lt;/keyword&gt;&lt;keyword&gt;Humans&lt;/keyword&gt;&lt;keyword&gt;Immunoglobulins, Intravenous/*administration &amp;amp; dosage/therapeutic use&lt;/keyword&gt;&lt;keyword&gt;Male&lt;/keyword&gt;&lt;keyword&gt;Middle Aged&lt;/keyword&gt;&lt;keyword&gt;Motor Neuron Disease/physiopathology/*therapy&lt;/keyword&gt;&lt;keyword&gt;Muscles/physiopathology&lt;/keyword&gt;&lt;/keywords&gt;&lt;dates&gt;&lt;year&gt;1995&lt;/year&gt;&lt;pub-dates&gt;&lt;date&gt;Sep&lt;/date&gt;&lt;/pub-dates&gt;&lt;/dates&gt;&lt;isbn&gt;0022-3050 (Print)&amp;#xD;0022-3050&lt;/isbn&gt;&lt;accession-num&gt;7673950&lt;/accession-num&gt;&lt;urls&gt;&lt;/urls&gt;&lt;custom2&gt;PMC486021&lt;/custom2&gt;&lt;electronic-resource-num&gt;10.1136/jnnp.59.3.248&lt;/electronic-resource-num&gt;&lt;remote-database-provider&gt;NLM&lt;/remote-database-provider&gt;&lt;language&gt;eng&lt;/language&gt;&lt;/record&gt;&lt;/Cite&gt;&lt;/EndNote&gt;</w:instrText>
            </w:r>
            <w:r w:rsidRPr="00DA3C6E">
              <w:fldChar w:fldCharType="separate"/>
            </w:r>
            <w:r w:rsidRPr="00DA3C6E">
              <w:rPr>
                <w:noProof/>
              </w:rPr>
              <w:t>(</w:t>
            </w:r>
            <w:hyperlink w:anchor="_ENREF_25" w:tooltip="Van den Berg, 1995 #77" w:history="1">
              <w:r w:rsidRPr="00DA3C6E">
                <w:rPr>
                  <w:noProof/>
                </w:rPr>
                <w:t>25</w:t>
              </w:r>
            </w:hyperlink>
            <w:r w:rsidRPr="00DA3C6E">
              <w:rPr>
                <w:noProof/>
              </w:rPr>
              <w:t>)</w:t>
            </w:r>
            <w:r w:rsidRPr="00DA3C6E">
              <w:fldChar w:fldCharType="end"/>
            </w:r>
          </w:p>
        </w:tc>
        <w:tc>
          <w:tcPr>
            <w:tcW w:w="799" w:type="pct"/>
            <w:vAlign w:val="center"/>
          </w:tcPr>
          <w:p w14:paraId="09F7C113" w14:textId="77777777" w:rsidR="00067458" w:rsidRPr="00DA3C6E" w:rsidRDefault="00067458" w:rsidP="000957C2">
            <w:pPr>
              <w:pStyle w:val="TableText"/>
              <w:spacing w:before="0" w:after="0"/>
              <w:ind w:left="16" w:right="117"/>
              <w:jc w:val="left"/>
              <w:rPr>
                <w:snapToGrid w:val="0"/>
              </w:rPr>
            </w:pPr>
            <w:r w:rsidRPr="00DA3C6E">
              <w:rPr>
                <w:snapToGrid w:val="0"/>
              </w:rPr>
              <w:t xml:space="preserve">Low </w:t>
            </w:r>
          </w:p>
        </w:tc>
        <w:tc>
          <w:tcPr>
            <w:tcW w:w="823" w:type="pct"/>
            <w:shd w:val="clear" w:color="auto" w:fill="auto"/>
            <w:vAlign w:val="center"/>
          </w:tcPr>
          <w:p w14:paraId="00B6A08A" w14:textId="77777777" w:rsidR="00067458" w:rsidRPr="00DA3C6E" w:rsidRDefault="00067458" w:rsidP="000957C2">
            <w:pPr>
              <w:pStyle w:val="TableText"/>
              <w:spacing w:before="0" w:after="0"/>
              <w:ind w:left="111" w:right="117"/>
              <w:jc w:val="left"/>
              <w:rPr>
                <w:snapToGrid w:val="0"/>
              </w:rPr>
            </w:pPr>
            <w:r w:rsidRPr="00DA3C6E">
              <w:rPr>
                <w:szCs w:val="20"/>
              </w:rPr>
              <w:t>NR</w:t>
            </w:r>
          </w:p>
        </w:tc>
        <w:tc>
          <w:tcPr>
            <w:tcW w:w="879" w:type="pct"/>
            <w:shd w:val="clear" w:color="auto" w:fill="auto"/>
            <w:vAlign w:val="center"/>
          </w:tcPr>
          <w:p w14:paraId="79398F2B" w14:textId="77777777" w:rsidR="00067458" w:rsidRPr="00DA3C6E" w:rsidRDefault="00067458" w:rsidP="000957C2">
            <w:pPr>
              <w:pStyle w:val="TableText"/>
              <w:spacing w:before="0" w:after="0"/>
              <w:ind w:left="77" w:right="117"/>
              <w:jc w:val="left"/>
              <w:rPr>
                <w:snapToGrid w:val="0"/>
              </w:rPr>
            </w:pPr>
            <w:r w:rsidRPr="00DA3C6E">
              <w:rPr>
                <w:szCs w:val="20"/>
              </w:rPr>
              <w:t>NR</w:t>
            </w:r>
          </w:p>
        </w:tc>
        <w:tc>
          <w:tcPr>
            <w:tcW w:w="800" w:type="pct"/>
            <w:shd w:val="clear" w:color="auto" w:fill="auto"/>
            <w:vAlign w:val="center"/>
          </w:tcPr>
          <w:p w14:paraId="303657F0" w14:textId="77777777" w:rsidR="00067458" w:rsidRPr="00DA3C6E" w:rsidRDefault="00067458" w:rsidP="000957C2">
            <w:pPr>
              <w:pStyle w:val="TableText"/>
              <w:spacing w:before="0" w:after="0"/>
              <w:ind w:left="41" w:right="117"/>
              <w:jc w:val="left"/>
              <w:rPr>
                <w:snapToGrid w:val="0"/>
              </w:rPr>
            </w:pPr>
            <w:r w:rsidRPr="00DA3C6E">
              <w:rPr>
                <w:snapToGrid w:val="0"/>
              </w:rPr>
              <w:t>NR</w:t>
            </w:r>
          </w:p>
        </w:tc>
        <w:tc>
          <w:tcPr>
            <w:tcW w:w="862" w:type="pct"/>
            <w:shd w:val="clear" w:color="auto" w:fill="auto"/>
            <w:vAlign w:val="center"/>
          </w:tcPr>
          <w:p w14:paraId="2FD8662F" w14:textId="77777777" w:rsidR="00067458" w:rsidRPr="00DA3C6E" w:rsidRDefault="00067458" w:rsidP="000957C2">
            <w:pPr>
              <w:pStyle w:val="TableText"/>
              <w:spacing w:before="0" w:after="0"/>
              <w:ind w:right="117"/>
              <w:jc w:val="left"/>
              <w:rPr>
                <w:snapToGrid w:val="0"/>
              </w:rPr>
            </w:pPr>
            <w:r w:rsidRPr="00DA3C6E">
              <w:rPr>
                <w:snapToGrid w:val="0"/>
              </w:rPr>
              <w:t>NR</w:t>
            </w:r>
          </w:p>
        </w:tc>
      </w:tr>
      <w:tr w:rsidR="00067458" w:rsidRPr="00DA3C6E" w14:paraId="1B6D9899" w14:textId="77777777" w:rsidTr="0047278C">
        <w:tc>
          <w:tcPr>
            <w:tcW w:w="837" w:type="pct"/>
            <w:tcBorders>
              <w:bottom w:val="single" w:sz="4" w:space="0" w:color="auto"/>
            </w:tcBorders>
            <w:shd w:val="clear" w:color="auto" w:fill="auto"/>
            <w:vAlign w:val="center"/>
          </w:tcPr>
          <w:p w14:paraId="514745E6" w14:textId="77777777" w:rsidR="00067458" w:rsidRPr="00DA3C6E" w:rsidRDefault="00067458" w:rsidP="000957C2">
            <w:pPr>
              <w:pStyle w:val="TableText"/>
              <w:spacing w:before="0" w:after="0"/>
              <w:jc w:val="left"/>
              <w:rPr>
                <w:snapToGrid w:val="0"/>
              </w:rPr>
            </w:pPr>
            <w:r w:rsidRPr="00DA3C6E">
              <w:t>Federico et al. 2000</w:t>
            </w:r>
            <w:r>
              <w:t xml:space="preserve"> </w: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 </w:instrTex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EN.CITE.DATA </w:instrText>
            </w:r>
            <w:r w:rsidRPr="00DA3C6E">
              <w:fldChar w:fldCharType="end"/>
            </w:r>
            <w:r w:rsidRPr="00DA3C6E">
              <w:fldChar w:fldCharType="separate"/>
            </w:r>
            <w:r w:rsidRPr="00DA3C6E">
              <w:rPr>
                <w:noProof/>
              </w:rPr>
              <w:t>(</w:t>
            </w:r>
            <w:hyperlink w:anchor="_ENREF_26" w:tooltip="Federico, 2000 #20" w:history="1">
              <w:r w:rsidRPr="00DA3C6E">
                <w:rPr>
                  <w:noProof/>
                </w:rPr>
                <w:t>26</w:t>
              </w:r>
            </w:hyperlink>
            <w:r w:rsidRPr="00DA3C6E">
              <w:rPr>
                <w:noProof/>
              </w:rPr>
              <w:t>)</w:t>
            </w:r>
            <w:r w:rsidRPr="00DA3C6E">
              <w:fldChar w:fldCharType="end"/>
            </w:r>
          </w:p>
        </w:tc>
        <w:tc>
          <w:tcPr>
            <w:tcW w:w="799" w:type="pct"/>
            <w:tcBorders>
              <w:bottom w:val="single" w:sz="4" w:space="0" w:color="auto"/>
            </w:tcBorders>
            <w:vAlign w:val="center"/>
          </w:tcPr>
          <w:p w14:paraId="36515FEC" w14:textId="77777777" w:rsidR="00067458" w:rsidRPr="00DA3C6E" w:rsidRDefault="00067458" w:rsidP="000957C2">
            <w:pPr>
              <w:pStyle w:val="TableText"/>
              <w:spacing w:before="0" w:after="0"/>
              <w:ind w:left="16" w:right="117"/>
              <w:jc w:val="left"/>
              <w:rPr>
                <w:snapToGrid w:val="0"/>
                <w:color w:val="FFFFFF" w:themeColor="background1"/>
              </w:rPr>
            </w:pPr>
            <w:r w:rsidRPr="00DA3C6E">
              <w:rPr>
                <w:snapToGrid w:val="0"/>
              </w:rPr>
              <w:t>Low</w:t>
            </w:r>
          </w:p>
        </w:tc>
        <w:tc>
          <w:tcPr>
            <w:tcW w:w="823" w:type="pct"/>
            <w:tcBorders>
              <w:bottom w:val="single" w:sz="4" w:space="0" w:color="auto"/>
            </w:tcBorders>
            <w:shd w:val="clear" w:color="auto" w:fill="auto"/>
            <w:vAlign w:val="center"/>
          </w:tcPr>
          <w:p w14:paraId="6AD9B2A1"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NR</w:t>
            </w:r>
          </w:p>
        </w:tc>
        <w:tc>
          <w:tcPr>
            <w:tcW w:w="879" w:type="pct"/>
            <w:tcBorders>
              <w:bottom w:val="single" w:sz="4" w:space="0" w:color="auto"/>
            </w:tcBorders>
            <w:shd w:val="clear" w:color="auto" w:fill="auto"/>
            <w:vAlign w:val="center"/>
          </w:tcPr>
          <w:p w14:paraId="3CA6B8C9"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NR</w:t>
            </w:r>
          </w:p>
        </w:tc>
        <w:tc>
          <w:tcPr>
            <w:tcW w:w="800" w:type="pct"/>
            <w:tcBorders>
              <w:bottom w:val="single" w:sz="4" w:space="0" w:color="auto"/>
            </w:tcBorders>
            <w:shd w:val="clear" w:color="auto" w:fill="auto"/>
            <w:vAlign w:val="center"/>
          </w:tcPr>
          <w:p w14:paraId="630BB8E1" w14:textId="77777777" w:rsidR="00067458" w:rsidRPr="00DA3C6E" w:rsidRDefault="00067458" w:rsidP="000957C2">
            <w:pPr>
              <w:pStyle w:val="TableText"/>
              <w:spacing w:before="0" w:after="0"/>
              <w:ind w:left="41" w:right="117"/>
              <w:jc w:val="left"/>
              <w:rPr>
                <w:snapToGrid w:val="0"/>
              </w:rPr>
            </w:pPr>
            <w:r w:rsidRPr="00DA3C6E">
              <w:rPr>
                <w:snapToGrid w:val="0"/>
              </w:rPr>
              <w:t>NR</w:t>
            </w:r>
          </w:p>
        </w:tc>
        <w:tc>
          <w:tcPr>
            <w:tcW w:w="862" w:type="pct"/>
            <w:tcBorders>
              <w:bottom w:val="single" w:sz="4" w:space="0" w:color="auto"/>
            </w:tcBorders>
            <w:shd w:val="clear" w:color="auto" w:fill="auto"/>
            <w:vAlign w:val="center"/>
          </w:tcPr>
          <w:p w14:paraId="53C082FA" w14:textId="77777777" w:rsidR="00067458" w:rsidRPr="00DA3C6E" w:rsidRDefault="00067458" w:rsidP="000957C2">
            <w:pPr>
              <w:pStyle w:val="TableText"/>
              <w:spacing w:before="0" w:after="0"/>
              <w:ind w:right="117"/>
              <w:jc w:val="left"/>
              <w:rPr>
                <w:snapToGrid w:val="0"/>
              </w:rPr>
            </w:pPr>
            <w:r w:rsidRPr="00DA3C6E">
              <w:rPr>
                <w:snapToGrid w:val="0"/>
              </w:rPr>
              <w:t>NR</w:t>
            </w:r>
          </w:p>
        </w:tc>
      </w:tr>
      <w:tr w:rsidR="00067458" w:rsidRPr="00DA3C6E" w14:paraId="569A580A" w14:textId="77777777" w:rsidTr="0047278C">
        <w:tc>
          <w:tcPr>
            <w:tcW w:w="837" w:type="pct"/>
            <w:tcBorders>
              <w:bottom w:val="single" w:sz="4" w:space="0" w:color="auto"/>
            </w:tcBorders>
            <w:shd w:val="clear" w:color="auto" w:fill="auto"/>
            <w:vAlign w:val="center"/>
          </w:tcPr>
          <w:p w14:paraId="5683EF03" w14:textId="77777777" w:rsidR="00067458" w:rsidRPr="00DA3C6E" w:rsidRDefault="00067458" w:rsidP="000957C2">
            <w:pPr>
              <w:pStyle w:val="TableText"/>
              <w:spacing w:before="0" w:after="0"/>
              <w:jc w:val="left"/>
              <w:rPr>
                <w:snapToGrid w:val="0"/>
              </w:rPr>
            </w:pPr>
            <w:r w:rsidRPr="00DA3C6E">
              <w:t>Leger et al. 2001</w:t>
            </w:r>
            <w:r>
              <w:t xml:space="preserve"> </w: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 </w:instrTex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EN.CITE.DATA </w:instrText>
            </w:r>
            <w:r w:rsidRPr="00DA3C6E">
              <w:fldChar w:fldCharType="end"/>
            </w:r>
            <w:r w:rsidRPr="00DA3C6E">
              <w:fldChar w:fldCharType="separate"/>
            </w:r>
            <w:r w:rsidRPr="00DA3C6E">
              <w:rPr>
                <w:noProof/>
              </w:rPr>
              <w:t>(</w:t>
            </w:r>
            <w:hyperlink w:anchor="_ENREF_27" w:tooltip="Leger, 2001 #39" w:history="1">
              <w:r w:rsidRPr="00DA3C6E">
                <w:rPr>
                  <w:noProof/>
                </w:rPr>
                <w:t>27</w:t>
              </w:r>
            </w:hyperlink>
            <w:r w:rsidRPr="00DA3C6E">
              <w:rPr>
                <w:noProof/>
              </w:rPr>
              <w:t>)</w:t>
            </w:r>
            <w:r w:rsidRPr="00DA3C6E">
              <w:fldChar w:fldCharType="end"/>
            </w:r>
          </w:p>
        </w:tc>
        <w:tc>
          <w:tcPr>
            <w:tcW w:w="799" w:type="pct"/>
            <w:tcBorders>
              <w:bottom w:val="single" w:sz="4" w:space="0" w:color="auto"/>
            </w:tcBorders>
            <w:vAlign w:val="center"/>
          </w:tcPr>
          <w:p w14:paraId="1E75203B" w14:textId="77777777" w:rsidR="00067458" w:rsidRPr="00DA3C6E" w:rsidRDefault="00067458" w:rsidP="000957C2">
            <w:pPr>
              <w:pStyle w:val="TableText"/>
              <w:spacing w:before="0" w:after="0"/>
              <w:ind w:left="16" w:right="117"/>
              <w:jc w:val="left"/>
              <w:rPr>
                <w:snapToGrid w:val="0"/>
                <w:color w:val="FFFFFF" w:themeColor="background1"/>
              </w:rPr>
            </w:pPr>
          </w:p>
        </w:tc>
        <w:tc>
          <w:tcPr>
            <w:tcW w:w="823" w:type="pct"/>
            <w:tcBorders>
              <w:bottom w:val="single" w:sz="4" w:space="0" w:color="auto"/>
            </w:tcBorders>
            <w:shd w:val="clear" w:color="auto" w:fill="auto"/>
            <w:vAlign w:val="center"/>
          </w:tcPr>
          <w:p w14:paraId="0E623E9E" w14:textId="77777777" w:rsidR="00067458" w:rsidRPr="00DA3C6E" w:rsidRDefault="00067458" w:rsidP="000957C2">
            <w:pPr>
              <w:pStyle w:val="TableText"/>
              <w:spacing w:before="0" w:after="0"/>
              <w:ind w:left="111" w:right="117"/>
              <w:jc w:val="left"/>
              <w:rPr>
                <w:snapToGrid w:val="0"/>
                <w:color w:val="FFFFFF" w:themeColor="background1"/>
              </w:rPr>
            </w:pPr>
          </w:p>
        </w:tc>
        <w:tc>
          <w:tcPr>
            <w:tcW w:w="879" w:type="pct"/>
            <w:tcBorders>
              <w:bottom w:val="single" w:sz="4" w:space="0" w:color="auto"/>
            </w:tcBorders>
            <w:shd w:val="clear" w:color="auto" w:fill="auto"/>
            <w:vAlign w:val="center"/>
          </w:tcPr>
          <w:p w14:paraId="6A08FC4D" w14:textId="77777777" w:rsidR="00067458" w:rsidRPr="00DA3C6E" w:rsidRDefault="00067458" w:rsidP="000957C2">
            <w:pPr>
              <w:pStyle w:val="TableText"/>
              <w:spacing w:before="0" w:after="0"/>
              <w:ind w:left="77" w:right="117"/>
              <w:jc w:val="left"/>
              <w:rPr>
                <w:snapToGrid w:val="0"/>
                <w:color w:val="FFFFFF" w:themeColor="background1"/>
              </w:rPr>
            </w:pPr>
          </w:p>
        </w:tc>
        <w:tc>
          <w:tcPr>
            <w:tcW w:w="800" w:type="pct"/>
            <w:tcBorders>
              <w:bottom w:val="single" w:sz="4" w:space="0" w:color="auto"/>
            </w:tcBorders>
            <w:shd w:val="clear" w:color="auto" w:fill="auto"/>
            <w:vAlign w:val="center"/>
          </w:tcPr>
          <w:p w14:paraId="75C40C0F" w14:textId="77777777" w:rsidR="00067458" w:rsidRPr="00DA3C6E" w:rsidRDefault="00067458" w:rsidP="000957C2">
            <w:pPr>
              <w:pStyle w:val="TableText"/>
              <w:spacing w:before="0" w:after="0"/>
              <w:ind w:left="41" w:right="117"/>
              <w:jc w:val="left"/>
              <w:rPr>
                <w:i/>
                <w:snapToGrid w:val="0"/>
              </w:rPr>
            </w:pPr>
          </w:p>
        </w:tc>
        <w:tc>
          <w:tcPr>
            <w:tcW w:w="862" w:type="pct"/>
            <w:tcBorders>
              <w:bottom w:val="single" w:sz="4" w:space="0" w:color="auto"/>
            </w:tcBorders>
            <w:shd w:val="clear" w:color="auto" w:fill="auto"/>
            <w:vAlign w:val="center"/>
          </w:tcPr>
          <w:p w14:paraId="7D0F7F7A" w14:textId="77777777" w:rsidR="00067458" w:rsidRPr="00DA3C6E" w:rsidRDefault="00067458" w:rsidP="000957C2">
            <w:pPr>
              <w:pStyle w:val="TableText"/>
              <w:spacing w:before="0" w:after="0"/>
              <w:ind w:right="117"/>
              <w:jc w:val="left"/>
              <w:rPr>
                <w:i/>
                <w:snapToGrid w:val="0"/>
              </w:rPr>
            </w:pPr>
          </w:p>
        </w:tc>
      </w:tr>
      <w:tr w:rsidR="00067458" w:rsidRPr="00DA3C6E" w14:paraId="213433C0" w14:textId="77777777" w:rsidTr="0047278C">
        <w:tc>
          <w:tcPr>
            <w:tcW w:w="837" w:type="pct"/>
            <w:tcBorders>
              <w:bottom w:val="single" w:sz="4" w:space="0" w:color="auto"/>
            </w:tcBorders>
            <w:shd w:val="clear" w:color="auto" w:fill="auto"/>
            <w:vAlign w:val="center"/>
          </w:tcPr>
          <w:p w14:paraId="7A30670C" w14:textId="77777777" w:rsidR="00067458" w:rsidRPr="00DA3C6E" w:rsidRDefault="00067458" w:rsidP="000957C2">
            <w:pPr>
              <w:pStyle w:val="TableText"/>
              <w:spacing w:before="0" w:after="0"/>
              <w:jc w:val="left"/>
            </w:pPr>
            <w:r w:rsidRPr="00DA3C6E">
              <w:t>Total patients</w:t>
            </w:r>
          </w:p>
        </w:tc>
        <w:tc>
          <w:tcPr>
            <w:tcW w:w="799" w:type="pct"/>
            <w:vMerge w:val="restart"/>
            <w:vAlign w:val="center"/>
          </w:tcPr>
          <w:p w14:paraId="2DEE3B62" w14:textId="77777777" w:rsidR="00067458" w:rsidRPr="00DA3C6E" w:rsidRDefault="00067458" w:rsidP="000957C2">
            <w:pPr>
              <w:pStyle w:val="TableText"/>
              <w:spacing w:before="0" w:after="0"/>
              <w:ind w:left="16" w:right="117"/>
              <w:jc w:val="left"/>
              <w:rPr>
                <w:snapToGrid w:val="0"/>
              </w:rPr>
            </w:pPr>
            <w:r w:rsidRPr="00DA3C6E">
              <w:rPr>
                <w:snapToGrid w:val="0"/>
              </w:rPr>
              <w:t>Low</w:t>
            </w:r>
          </w:p>
        </w:tc>
        <w:tc>
          <w:tcPr>
            <w:tcW w:w="823" w:type="pct"/>
            <w:tcBorders>
              <w:bottom w:val="single" w:sz="4" w:space="0" w:color="auto"/>
            </w:tcBorders>
            <w:shd w:val="clear" w:color="auto" w:fill="auto"/>
            <w:vAlign w:val="center"/>
          </w:tcPr>
          <w:p w14:paraId="2768FA8A" w14:textId="77777777" w:rsidR="00067458" w:rsidRPr="00DA3C6E" w:rsidRDefault="00067458" w:rsidP="000957C2">
            <w:pPr>
              <w:pStyle w:val="TableText"/>
              <w:spacing w:before="0" w:after="0"/>
              <w:ind w:left="111" w:right="117"/>
              <w:jc w:val="left"/>
              <w:rPr>
                <w:szCs w:val="20"/>
              </w:rPr>
            </w:pPr>
            <w:r w:rsidRPr="00DA3C6E">
              <w:rPr>
                <w:szCs w:val="20"/>
              </w:rPr>
              <w:t>7/9 (77.8)</w:t>
            </w:r>
            <w:r w:rsidRPr="00DA3C6E">
              <w:rPr>
                <w:szCs w:val="20"/>
                <w:vertAlign w:val="superscript"/>
              </w:rPr>
              <w:t>a</w:t>
            </w:r>
          </w:p>
        </w:tc>
        <w:tc>
          <w:tcPr>
            <w:tcW w:w="879" w:type="pct"/>
            <w:tcBorders>
              <w:bottom w:val="single" w:sz="4" w:space="0" w:color="auto"/>
            </w:tcBorders>
            <w:shd w:val="clear" w:color="auto" w:fill="auto"/>
            <w:vAlign w:val="center"/>
          </w:tcPr>
          <w:p w14:paraId="0160551B" w14:textId="77777777" w:rsidR="00067458" w:rsidRPr="00DA3C6E" w:rsidRDefault="00067458" w:rsidP="000957C2">
            <w:pPr>
              <w:pStyle w:val="TableText"/>
              <w:spacing w:before="0" w:after="0"/>
              <w:ind w:left="77" w:right="117"/>
              <w:jc w:val="left"/>
              <w:rPr>
                <w:szCs w:val="20"/>
              </w:rPr>
            </w:pPr>
            <w:r w:rsidRPr="00DA3C6E">
              <w:rPr>
                <w:szCs w:val="20"/>
              </w:rPr>
              <w:t>2/9(22.2)</w:t>
            </w:r>
            <w:r w:rsidRPr="00DA3C6E">
              <w:rPr>
                <w:szCs w:val="20"/>
                <w:vertAlign w:val="superscript"/>
              </w:rPr>
              <w:t>a</w:t>
            </w:r>
          </w:p>
        </w:tc>
        <w:tc>
          <w:tcPr>
            <w:tcW w:w="800" w:type="pct"/>
            <w:tcBorders>
              <w:bottom w:val="single" w:sz="4" w:space="0" w:color="auto"/>
            </w:tcBorders>
            <w:shd w:val="clear" w:color="auto" w:fill="auto"/>
            <w:vAlign w:val="center"/>
          </w:tcPr>
          <w:p w14:paraId="67AD9F88" w14:textId="77777777" w:rsidR="00067458" w:rsidRPr="00DA3C6E" w:rsidRDefault="00067458" w:rsidP="000957C2">
            <w:pPr>
              <w:pStyle w:val="TableText"/>
              <w:spacing w:before="0" w:after="0"/>
              <w:ind w:left="41" w:right="117"/>
              <w:jc w:val="left"/>
              <w:rPr>
                <w:i/>
                <w:snapToGrid w:val="0"/>
              </w:rPr>
            </w:pPr>
            <w:r w:rsidRPr="00DA3C6E">
              <w:rPr>
                <w:i/>
                <w:snapToGrid w:val="0"/>
              </w:rPr>
              <w:t>3.5 (0.98, 12.48)</w:t>
            </w:r>
          </w:p>
        </w:tc>
        <w:tc>
          <w:tcPr>
            <w:tcW w:w="862" w:type="pct"/>
            <w:tcBorders>
              <w:bottom w:val="single" w:sz="4" w:space="0" w:color="auto"/>
            </w:tcBorders>
            <w:shd w:val="clear" w:color="auto" w:fill="auto"/>
            <w:vAlign w:val="center"/>
          </w:tcPr>
          <w:p w14:paraId="0ACE237D" w14:textId="77777777" w:rsidR="00067458" w:rsidRPr="00DA3C6E" w:rsidRDefault="00067458" w:rsidP="000957C2">
            <w:pPr>
              <w:pStyle w:val="TableText"/>
              <w:spacing w:before="0" w:after="0"/>
              <w:ind w:right="117"/>
              <w:jc w:val="left"/>
              <w:rPr>
                <w:i/>
                <w:snapToGrid w:val="0"/>
              </w:rPr>
            </w:pPr>
            <w:r w:rsidRPr="00DA3C6E">
              <w:rPr>
                <w:i/>
                <w:snapToGrid w:val="0"/>
              </w:rPr>
              <w:t>0.56 (0.17, 0.94)</w:t>
            </w:r>
          </w:p>
        </w:tc>
      </w:tr>
      <w:tr w:rsidR="00067458" w:rsidRPr="00DA3C6E" w14:paraId="35BF2CAC" w14:textId="77777777" w:rsidTr="0047278C">
        <w:tc>
          <w:tcPr>
            <w:tcW w:w="837" w:type="pct"/>
            <w:tcBorders>
              <w:bottom w:val="single" w:sz="4" w:space="0" w:color="auto"/>
            </w:tcBorders>
            <w:shd w:val="clear" w:color="auto" w:fill="auto"/>
            <w:vAlign w:val="center"/>
          </w:tcPr>
          <w:p w14:paraId="6AB20F36" w14:textId="77777777" w:rsidR="00067458" w:rsidRPr="00DA3C6E" w:rsidRDefault="00067458" w:rsidP="000957C2">
            <w:pPr>
              <w:pStyle w:val="TableText"/>
              <w:spacing w:before="0" w:after="0"/>
              <w:jc w:val="left"/>
            </w:pPr>
            <w:r w:rsidRPr="00DA3C6E">
              <w:t>Treatment naïve patients</w:t>
            </w:r>
          </w:p>
        </w:tc>
        <w:tc>
          <w:tcPr>
            <w:tcW w:w="799" w:type="pct"/>
            <w:vMerge/>
            <w:vAlign w:val="center"/>
          </w:tcPr>
          <w:p w14:paraId="4BFE68E0" w14:textId="77777777" w:rsidR="00067458" w:rsidRPr="00DA3C6E" w:rsidRDefault="00067458" w:rsidP="000957C2">
            <w:pPr>
              <w:pStyle w:val="TableText"/>
              <w:spacing w:before="0" w:after="0"/>
              <w:ind w:left="16" w:right="117"/>
              <w:jc w:val="left"/>
              <w:rPr>
                <w:snapToGrid w:val="0"/>
              </w:rPr>
            </w:pPr>
          </w:p>
        </w:tc>
        <w:tc>
          <w:tcPr>
            <w:tcW w:w="823" w:type="pct"/>
            <w:tcBorders>
              <w:bottom w:val="single" w:sz="4" w:space="0" w:color="auto"/>
            </w:tcBorders>
            <w:shd w:val="clear" w:color="auto" w:fill="auto"/>
            <w:vAlign w:val="center"/>
          </w:tcPr>
          <w:p w14:paraId="7A0A468B"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2/4 (50)</w:t>
            </w:r>
            <w:r w:rsidRPr="00DA3C6E">
              <w:rPr>
                <w:szCs w:val="20"/>
                <w:vertAlign w:val="superscript"/>
              </w:rPr>
              <w:t>b</w:t>
            </w:r>
          </w:p>
        </w:tc>
        <w:tc>
          <w:tcPr>
            <w:tcW w:w="879" w:type="pct"/>
            <w:tcBorders>
              <w:bottom w:val="single" w:sz="4" w:space="0" w:color="auto"/>
            </w:tcBorders>
            <w:shd w:val="clear" w:color="auto" w:fill="auto"/>
            <w:vAlign w:val="center"/>
          </w:tcPr>
          <w:p w14:paraId="77413548"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2/5(40)</w:t>
            </w:r>
            <w:r w:rsidRPr="00DA3C6E">
              <w:rPr>
                <w:szCs w:val="20"/>
                <w:vertAlign w:val="superscript"/>
              </w:rPr>
              <w:t>b</w:t>
            </w:r>
          </w:p>
        </w:tc>
        <w:tc>
          <w:tcPr>
            <w:tcW w:w="800" w:type="pct"/>
            <w:tcBorders>
              <w:bottom w:val="single" w:sz="4" w:space="0" w:color="auto"/>
            </w:tcBorders>
            <w:shd w:val="clear" w:color="auto" w:fill="auto"/>
            <w:vAlign w:val="center"/>
          </w:tcPr>
          <w:p w14:paraId="1BA615DA" w14:textId="77777777" w:rsidR="00067458" w:rsidRPr="00DA3C6E" w:rsidRDefault="00067458" w:rsidP="000957C2">
            <w:pPr>
              <w:pStyle w:val="TableText"/>
              <w:spacing w:before="0" w:after="0"/>
              <w:ind w:left="41" w:right="117"/>
              <w:jc w:val="left"/>
              <w:rPr>
                <w:i/>
                <w:snapToGrid w:val="0"/>
              </w:rPr>
            </w:pPr>
            <w:r w:rsidRPr="00DA3C6E">
              <w:rPr>
                <w:i/>
                <w:snapToGrid w:val="0"/>
              </w:rPr>
              <w:t>1.25 (0.29, 5.34)</w:t>
            </w:r>
          </w:p>
        </w:tc>
        <w:tc>
          <w:tcPr>
            <w:tcW w:w="862" w:type="pct"/>
            <w:tcBorders>
              <w:bottom w:val="single" w:sz="4" w:space="0" w:color="auto"/>
            </w:tcBorders>
            <w:shd w:val="clear" w:color="auto" w:fill="auto"/>
            <w:vAlign w:val="center"/>
          </w:tcPr>
          <w:p w14:paraId="4DA10810" w14:textId="77777777" w:rsidR="00067458" w:rsidRPr="00DA3C6E" w:rsidRDefault="00067458" w:rsidP="000957C2">
            <w:pPr>
              <w:pStyle w:val="TableText"/>
              <w:spacing w:before="0" w:after="0"/>
              <w:ind w:right="117"/>
              <w:jc w:val="left"/>
              <w:rPr>
                <w:i/>
                <w:snapToGrid w:val="0"/>
              </w:rPr>
            </w:pPr>
            <w:r w:rsidRPr="00DA3C6E">
              <w:rPr>
                <w:i/>
                <w:snapToGrid w:val="0"/>
              </w:rPr>
              <w:t>0.10 (-0.55, 0.75)</w:t>
            </w:r>
          </w:p>
        </w:tc>
      </w:tr>
      <w:tr w:rsidR="00067458" w:rsidRPr="00DA3C6E" w14:paraId="6BF96733" w14:textId="77777777" w:rsidTr="0047278C">
        <w:tc>
          <w:tcPr>
            <w:tcW w:w="837" w:type="pct"/>
            <w:tcBorders>
              <w:bottom w:val="single" w:sz="4" w:space="0" w:color="auto"/>
            </w:tcBorders>
            <w:shd w:val="clear" w:color="auto" w:fill="auto"/>
            <w:vAlign w:val="center"/>
          </w:tcPr>
          <w:p w14:paraId="02219AAE" w14:textId="77777777" w:rsidR="00067458" w:rsidRPr="00DA3C6E" w:rsidRDefault="00067458" w:rsidP="000957C2">
            <w:pPr>
              <w:pStyle w:val="TableText"/>
              <w:spacing w:before="0" w:after="0"/>
              <w:jc w:val="left"/>
            </w:pPr>
            <w:r w:rsidRPr="00DA3C6E">
              <w:t>Pre-treated patients</w:t>
            </w:r>
          </w:p>
        </w:tc>
        <w:tc>
          <w:tcPr>
            <w:tcW w:w="799" w:type="pct"/>
            <w:vMerge/>
            <w:tcBorders>
              <w:bottom w:val="single" w:sz="4" w:space="0" w:color="auto"/>
            </w:tcBorders>
            <w:vAlign w:val="center"/>
          </w:tcPr>
          <w:p w14:paraId="5E37B0AB" w14:textId="77777777" w:rsidR="00067458" w:rsidRPr="00DA3C6E" w:rsidRDefault="00067458" w:rsidP="000957C2">
            <w:pPr>
              <w:pStyle w:val="TableText"/>
              <w:spacing w:before="0" w:after="0"/>
              <w:ind w:left="16" w:right="117"/>
              <w:jc w:val="left"/>
              <w:rPr>
                <w:snapToGrid w:val="0"/>
              </w:rPr>
            </w:pPr>
          </w:p>
        </w:tc>
        <w:tc>
          <w:tcPr>
            <w:tcW w:w="823" w:type="pct"/>
            <w:tcBorders>
              <w:bottom w:val="single" w:sz="4" w:space="0" w:color="auto"/>
            </w:tcBorders>
            <w:shd w:val="clear" w:color="auto" w:fill="auto"/>
            <w:vAlign w:val="center"/>
          </w:tcPr>
          <w:p w14:paraId="19817774"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5/5 (100)</w:t>
            </w:r>
            <w:r w:rsidRPr="00DA3C6E">
              <w:rPr>
                <w:szCs w:val="20"/>
                <w:vertAlign w:val="superscript"/>
              </w:rPr>
              <w:t>c</w:t>
            </w:r>
          </w:p>
        </w:tc>
        <w:tc>
          <w:tcPr>
            <w:tcW w:w="879" w:type="pct"/>
            <w:tcBorders>
              <w:bottom w:val="single" w:sz="4" w:space="0" w:color="auto"/>
            </w:tcBorders>
            <w:shd w:val="clear" w:color="auto" w:fill="auto"/>
            <w:vAlign w:val="center"/>
          </w:tcPr>
          <w:p w14:paraId="16D053C4"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0/4 (0)</w:t>
            </w:r>
            <w:r w:rsidRPr="00DA3C6E">
              <w:rPr>
                <w:szCs w:val="20"/>
                <w:vertAlign w:val="superscript"/>
              </w:rPr>
              <w:t>c</w:t>
            </w:r>
          </w:p>
        </w:tc>
        <w:tc>
          <w:tcPr>
            <w:tcW w:w="800" w:type="pct"/>
            <w:tcBorders>
              <w:bottom w:val="single" w:sz="4" w:space="0" w:color="auto"/>
            </w:tcBorders>
            <w:shd w:val="clear" w:color="auto" w:fill="auto"/>
            <w:vAlign w:val="center"/>
          </w:tcPr>
          <w:p w14:paraId="512A49A3" w14:textId="77777777" w:rsidR="00067458" w:rsidRPr="00DA3C6E" w:rsidRDefault="00067458" w:rsidP="000957C2">
            <w:pPr>
              <w:pStyle w:val="TableText"/>
              <w:spacing w:before="0" w:after="0"/>
              <w:ind w:left="41" w:right="117"/>
              <w:jc w:val="left"/>
              <w:rPr>
                <w:snapToGrid w:val="0"/>
              </w:rPr>
            </w:pPr>
            <w:r w:rsidRPr="00DA3C6E">
              <w:rPr>
                <w:snapToGrid w:val="0"/>
              </w:rPr>
              <w:t>NE</w:t>
            </w:r>
          </w:p>
        </w:tc>
        <w:tc>
          <w:tcPr>
            <w:tcW w:w="862" w:type="pct"/>
            <w:tcBorders>
              <w:bottom w:val="single" w:sz="4" w:space="0" w:color="auto"/>
            </w:tcBorders>
            <w:shd w:val="clear" w:color="auto" w:fill="auto"/>
            <w:vAlign w:val="center"/>
          </w:tcPr>
          <w:p w14:paraId="5E57DE56" w14:textId="77777777" w:rsidR="00067458" w:rsidRPr="00DA3C6E" w:rsidRDefault="00067458" w:rsidP="000957C2">
            <w:pPr>
              <w:pStyle w:val="TableText"/>
              <w:spacing w:before="0" w:after="0"/>
              <w:ind w:right="117"/>
              <w:jc w:val="left"/>
              <w:rPr>
                <w:i/>
                <w:snapToGrid w:val="0"/>
              </w:rPr>
            </w:pPr>
            <w:r w:rsidRPr="00DA3C6E">
              <w:rPr>
                <w:i/>
                <w:snapToGrid w:val="0"/>
              </w:rPr>
              <w:t>1 (1, 1)</w:t>
            </w:r>
          </w:p>
        </w:tc>
      </w:tr>
      <w:tr w:rsidR="00067458" w:rsidRPr="00DA3C6E" w14:paraId="7B3D32CD" w14:textId="77777777" w:rsidTr="0047278C">
        <w:tc>
          <w:tcPr>
            <w:tcW w:w="837" w:type="pct"/>
            <w:vMerge w:val="restart"/>
            <w:shd w:val="clear" w:color="auto" w:fill="auto"/>
            <w:vAlign w:val="center"/>
          </w:tcPr>
          <w:p w14:paraId="59F90730" w14:textId="77777777" w:rsidR="00067458" w:rsidRPr="00DA3C6E" w:rsidRDefault="00067458" w:rsidP="000957C2">
            <w:pPr>
              <w:pStyle w:val="TableText"/>
              <w:spacing w:before="0" w:after="0"/>
              <w:jc w:val="left"/>
              <w:rPr>
                <w:snapToGrid w:val="0"/>
              </w:rPr>
            </w:pPr>
            <w:r w:rsidRPr="00DA3C6E">
              <w:t>Hahn et al. 2013</w:t>
            </w:r>
            <w:r>
              <w:t xml:space="preserve"> </w: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 </w:instrTex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EN.CITE.DATA </w:instrText>
            </w:r>
            <w:r w:rsidRPr="00DA3C6E">
              <w:fldChar w:fldCharType="end"/>
            </w:r>
            <w:r w:rsidRPr="00DA3C6E">
              <w:fldChar w:fldCharType="separate"/>
            </w:r>
            <w:r w:rsidRPr="00DA3C6E">
              <w:rPr>
                <w:noProof/>
              </w:rPr>
              <w:t>(</w:t>
            </w:r>
            <w:hyperlink w:anchor="_ENREF_28" w:tooltip="Hahn, 2013 #26" w:history="1">
              <w:r w:rsidRPr="00DA3C6E">
                <w:rPr>
                  <w:noProof/>
                </w:rPr>
                <w:t>28</w:t>
              </w:r>
            </w:hyperlink>
            <w:r w:rsidRPr="00DA3C6E">
              <w:rPr>
                <w:noProof/>
              </w:rPr>
              <w:t>)</w:t>
            </w:r>
            <w:r w:rsidRPr="00DA3C6E">
              <w:fldChar w:fldCharType="end"/>
            </w:r>
          </w:p>
        </w:tc>
        <w:tc>
          <w:tcPr>
            <w:tcW w:w="799" w:type="pct"/>
            <w:vMerge w:val="restart"/>
            <w:vAlign w:val="center"/>
          </w:tcPr>
          <w:p w14:paraId="4195996C" w14:textId="77777777" w:rsidR="00067458" w:rsidRPr="00DA3C6E" w:rsidRDefault="00067458" w:rsidP="000957C2">
            <w:pPr>
              <w:pStyle w:val="TableText"/>
              <w:spacing w:before="0" w:after="0"/>
              <w:ind w:left="16" w:right="117"/>
              <w:jc w:val="left"/>
              <w:rPr>
                <w:snapToGrid w:val="0"/>
                <w:color w:val="FFFFFF" w:themeColor="background1"/>
              </w:rPr>
            </w:pPr>
            <w:r w:rsidRPr="00DA3C6E">
              <w:rPr>
                <w:snapToGrid w:val="0"/>
              </w:rPr>
              <w:t>Low</w:t>
            </w:r>
          </w:p>
        </w:tc>
        <w:tc>
          <w:tcPr>
            <w:tcW w:w="823" w:type="pct"/>
            <w:tcBorders>
              <w:bottom w:val="single" w:sz="4" w:space="0" w:color="auto"/>
            </w:tcBorders>
            <w:shd w:val="clear" w:color="auto" w:fill="auto"/>
            <w:vAlign w:val="center"/>
          </w:tcPr>
          <w:p w14:paraId="232BAE09"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37/42 (88.1)</w:t>
            </w:r>
            <w:r w:rsidRPr="00DA3C6E">
              <w:rPr>
                <w:szCs w:val="20"/>
                <w:vertAlign w:val="superscript"/>
              </w:rPr>
              <w:t>e</w:t>
            </w:r>
          </w:p>
        </w:tc>
        <w:tc>
          <w:tcPr>
            <w:tcW w:w="879" w:type="pct"/>
            <w:tcBorders>
              <w:bottom w:val="single" w:sz="4" w:space="0" w:color="auto"/>
            </w:tcBorders>
            <w:shd w:val="clear" w:color="auto" w:fill="auto"/>
            <w:vAlign w:val="center"/>
          </w:tcPr>
          <w:p w14:paraId="5DC05507"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27/42 (64.3)</w:t>
            </w:r>
            <w:r w:rsidRPr="00DA3C6E">
              <w:rPr>
                <w:szCs w:val="20"/>
                <w:vertAlign w:val="superscript"/>
              </w:rPr>
              <w:t>e</w:t>
            </w:r>
          </w:p>
        </w:tc>
        <w:tc>
          <w:tcPr>
            <w:tcW w:w="800" w:type="pct"/>
            <w:tcBorders>
              <w:bottom w:val="single" w:sz="4" w:space="0" w:color="auto"/>
            </w:tcBorders>
            <w:shd w:val="clear" w:color="auto" w:fill="auto"/>
            <w:vAlign w:val="center"/>
          </w:tcPr>
          <w:p w14:paraId="368ACB81" w14:textId="77777777" w:rsidR="00067458" w:rsidRPr="00DA3C6E" w:rsidRDefault="00067458" w:rsidP="000957C2">
            <w:pPr>
              <w:pStyle w:val="TableText"/>
              <w:spacing w:before="0" w:after="0"/>
              <w:ind w:left="41" w:right="117"/>
              <w:jc w:val="left"/>
              <w:rPr>
                <w:b/>
                <w:i/>
                <w:snapToGrid w:val="0"/>
              </w:rPr>
            </w:pPr>
            <w:r w:rsidRPr="00DA3C6E">
              <w:rPr>
                <w:b/>
                <w:i/>
                <w:snapToGrid w:val="0"/>
              </w:rPr>
              <w:t>1.37 (1.07, 1.76)</w:t>
            </w:r>
          </w:p>
        </w:tc>
        <w:tc>
          <w:tcPr>
            <w:tcW w:w="862" w:type="pct"/>
            <w:tcBorders>
              <w:bottom w:val="single" w:sz="4" w:space="0" w:color="auto"/>
            </w:tcBorders>
            <w:shd w:val="clear" w:color="auto" w:fill="auto"/>
            <w:vAlign w:val="center"/>
          </w:tcPr>
          <w:p w14:paraId="05ADE52A" w14:textId="77777777" w:rsidR="00067458" w:rsidRPr="00DA3C6E" w:rsidRDefault="00067458" w:rsidP="000957C2">
            <w:pPr>
              <w:pStyle w:val="TableText"/>
              <w:spacing w:before="0" w:after="0"/>
              <w:ind w:right="117"/>
              <w:jc w:val="left"/>
              <w:rPr>
                <w:i/>
                <w:snapToGrid w:val="0"/>
              </w:rPr>
            </w:pPr>
            <w:r w:rsidRPr="00DA3C6E">
              <w:rPr>
                <w:i/>
                <w:snapToGrid w:val="0"/>
              </w:rPr>
              <w:t>0.24 (0.06, 0.41)</w:t>
            </w:r>
          </w:p>
        </w:tc>
      </w:tr>
      <w:tr w:rsidR="00067458" w:rsidRPr="00DA3C6E" w14:paraId="2639E7F4" w14:textId="77777777" w:rsidTr="0047278C">
        <w:tc>
          <w:tcPr>
            <w:tcW w:w="837" w:type="pct"/>
            <w:vMerge/>
            <w:tcBorders>
              <w:bottom w:val="single" w:sz="4" w:space="0" w:color="auto"/>
            </w:tcBorders>
            <w:shd w:val="clear" w:color="auto" w:fill="auto"/>
            <w:vAlign w:val="center"/>
          </w:tcPr>
          <w:p w14:paraId="75D2EBAA" w14:textId="77777777" w:rsidR="00067458" w:rsidRPr="00DA3C6E" w:rsidRDefault="00067458" w:rsidP="000957C2">
            <w:pPr>
              <w:pStyle w:val="TableText"/>
              <w:spacing w:before="0" w:after="0"/>
              <w:jc w:val="left"/>
            </w:pPr>
          </w:p>
        </w:tc>
        <w:tc>
          <w:tcPr>
            <w:tcW w:w="799" w:type="pct"/>
            <w:vMerge/>
            <w:tcBorders>
              <w:bottom w:val="single" w:sz="4" w:space="0" w:color="auto"/>
            </w:tcBorders>
            <w:vAlign w:val="center"/>
          </w:tcPr>
          <w:p w14:paraId="37A7C913" w14:textId="77777777" w:rsidR="00067458" w:rsidRPr="00DA3C6E" w:rsidRDefault="00067458" w:rsidP="000957C2">
            <w:pPr>
              <w:pStyle w:val="TableText"/>
              <w:spacing w:before="0" w:after="0"/>
              <w:ind w:left="16" w:right="117"/>
              <w:jc w:val="left"/>
              <w:rPr>
                <w:snapToGrid w:val="0"/>
              </w:rPr>
            </w:pPr>
          </w:p>
        </w:tc>
        <w:tc>
          <w:tcPr>
            <w:tcW w:w="823" w:type="pct"/>
            <w:tcBorders>
              <w:bottom w:val="single" w:sz="4" w:space="0" w:color="auto"/>
            </w:tcBorders>
            <w:shd w:val="clear" w:color="auto" w:fill="auto"/>
            <w:vAlign w:val="center"/>
          </w:tcPr>
          <w:p w14:paraId="3AD9C288"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39/42 (92.9)</w:t>
            </w:r>
            <w:r w:rsidRPr="00DA3C6E">
              <w:rPr>
                <w:szCs w:val="20"/>
                <w:vertAlign w:val="superscript"/>
              </w:rPr>
              <w:t>f</w:t>
            </w:r>
          </w:p>
        </w:tc>
        <w:tc>
          <w:tcPr>
            <w:tcW w:w="879" w:type="pct"/>
            <w:tcBorders>
              <w:bottom w:val="single" w:sz="4" w:space="0" w:color="auto"/>
            </w:tcBorders>
            <w:shd w:val="clear" w:color="auto" w:fill="auto"/>
            <w:vAlign w:val="center"/>
          </w:tcPr>
          <w:p w14:paraId="4F08B312"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29/42 (69)</w:t>
            </w:r>
            <w:r w:rsidRPr="00DA3C6E">
              <w:rPr>
                <w:szCs w:val="20"/>
                <w:vertAlign w:val="superscript"/>
              </w:rPr>
              <w:t>f</w:t>
            </w:r>
          </w:p>
        </w:tc>
        <w:tc>
          <w:tcPr>
            <w:tcW w:w="800" w:type="pct"/>
            <w:tcBorders>
              <w:bottom w:val="single" w:sz="4" w:space="0" w:color="auto"/>
            </w:tcBorders>
            <w:shd w:val="clear" w:color="auto" w:fill="auto"/>
            <w:vAlign w:val="center"/>
          </w:tcPr>
          <w:p w14:paraId="1BCAA750" w14:textId="77777777" w:rsidR="00067458" w:rsidRPr="00DA3C6E" w:rsidRDefault="00067458" w:rsidP="000957C2">
            <w:pPr>
              <w:pStyle w:val="TableText"/>
              <w:spacing w:before="0" w:after="0"/>
              <w:ind w:left="41" w:right="117"/>
              <w:jc w:val="left"/>
              <w:rPr>
                <w:b/>
                <w:i/>
                <w:snapToGrid w:val="0"/>
              </w:rPr>
            </w:pPr>
            <w:r w:rsidRPr="00DA3C6E">
              <w:rPr>
                <w:b/>
                <w:i/>
                <w:snapToGrid w:val="0"/>
              </w:rPr>
              <w:t>1.34 (1.08, 1.67)</w:t>
            </w:r>
          </w:p>
        </w:tc>
        <w:tc>
          <w:tcPr>
            <w:tcW w:w="862" w:type="pct"/>
            <w:tcBorders>
              <w:bottom w:val="single" w:sz="4" w:space="0" w:color="auto"/>
            </w:tcBorders>
            <w:shd w:val="clear" w:color="auto" w:fill="auto"/>
            <w:vAlign w:val="center"/>
          </w:tcPr>
          <w:p w14:paraId="48815F82" w14:textId="77777777" w:rsidR="00067458" w:rsidRPr="00DA3C6E" w:rsidRDefault="00067458" w:rsidP="000957C2">
            <w:pPr>
              <w:pStyle w:val="TableText"/>
              <w:spacing w:before="0" w:after="0"/>
              <w:ind w:right="117"/>
              <w:jc w:val="left"/>
              <w:rPr>
                <w:i/>
                <w:snapToGrid w:val="0"/>
              </w:rPr>
            </w:pPr>
            <w:r w:rsidRPr="00DA3C6E">
              <w:rPr>
                <w:i/>
                <w:snapToGrid w:val="0"/>
              </w:rPr>
              <w:t>0.24 (0.08, 0.40)</w:t>
            </w:r>
          </w:p>
        </w:tc>
      </w:tr>
      <w:tr w:rsidR="00067458" w:rsidRPr="00DA3C6E" w14:paraId="635126EB" w14:textId="77777777" w:rsidTr="0047278C">
        <w:tc>
          <w:tcPr>
            <w:tcW w:w="837" w:type="pct"/>
            <w:tcBorders>
              <w:bottom w:val="single" w:sz="4" w:space="0" w:color="auto"/>
            </w:tcBorders>
            <w:shd w:val="clear" w:color="auto" w:fill="auto"/>
            <w:vAlign w:val="center"/>
          </w:tcPr>
          <w:p w14:paraId="16843A6F" w14:textId="77777777" w:rsidR="00067458" w:rsidRPr="00DA3C6E" w:rsidRDefault="00067458" w:rsidP="000957C2">
            <w:pPr>
              <w:pStyle w:val="TableText"/>
              <w:spacing w:before="0" w:after="0"/>
              <w:jc w:val="left"/>
              <w:rPr>
                <w:snapToGrid w:val="0"/>
              </w:rPr>
            </w:pPr>
            <w:r w:rsidRPr="00DA3C6E">
              <w:rPr>
                <w:snapToGrid w:val="0"/>
              </w:rPr>
              <w:t>Pooled result</w:t>
            </w:r>
          </w:p>
        </w:tc>
        <w:tc>
          <w:tcPr>
            <w:tcW w:w="4163" w:type="pct"/>
            <w:gridSpan w:val="5"/>
            <w:tcBorders>
              <w:bottom w:val="single" w:sz="4" w:space="0" w:color="auto"/>
            </w:tcBorders>
            <w:vAlign w:val="center"/>
          </w:tcPr>
          <w:p w14:paraId="69C2700A" w14:textId="77777777" w:rsidR="00067458" w:rsidRPr="00DA3C6E" w:rsidRDefault="00067458" w:rsidP="000957C2">
            <w:pPr>
              <w:pStyle w:val="TableText"/>
              <w:spacing w:before="0" w:after="0"/>
              <w:ind w:right="117"/>
              <w:jc w:val="center"/>
              <w:rPr>
                <w:i/>
                <w:snapToGrid w:val="0"/>
              </w:rPr>
            </w:pPr>
            <w:r w:rsidRPr="00DA3C6E">
              <w:rPr>
                <w:i/>
                <w:snapToGrid w:val="0"/>
              </w:rPr>
              <w:t>RR = 1.81 (95% CI 0.74, 4.45; p value = 0.19)</w:t>
            </w:r>
          </w:p>
        </w:tc>
      </w:tr>
      <w:tr w:rsidR="00067458" w:rsidRPr="00DA3C6E" w14:paraId="5CD2E0E8" w14:textId="77777777" w:rsidTr="0047278C">
        <w:tc>
          <w:tcPr>
            <w:tcW w:w="5000" w:type="pct"/>
            <w:gridSpan w:val="6"/>
            <w:shd w:val="clear" w:color="auto" w:fill="auto"/>
            <w:vAlign w:val="center"/>
          </w:tcPr>
          <w:p w14:paraId="3B4EE5CE" w14:textId="77777777" w:rsidR="00067458" w:rsidRPr="00DA3C6E" w:rsidRDefault="00067458" w:rsidP="000957C2">
            <w:pPr>
              <w:pStyle w:val="TableText"/>
              <w:spacing w:before="0" w:after="0"/>
              <w:ind w:right="117"/>
              <w:jc w:val="left"/>
              <w:rPr>
                <w:b/>
                <w:snapToGrid w:val="0"/>
              </w:rPr>
            </w:pPr>
            <w:r w:rsidRPr="00DA3C6E">
              <w:rPr>
                <w:b/>
                <w:snapToGrid w:val="0"/>
              </w:rPr>
              <w:t>Mean change in disability</w:t>
            </w:r>
          </w:p>
        </w:tc>
      </w:tr>
      <w:tr w:rsidR="00067458" w:rsidRPr="00DA3C6E" w14:paraId="4AAFBF0F" w14:textId="77777777" w:rsidTr="0047278C">
        <w:tc>
          <w:tcPr>
            <w:tcW w:w="837" w:type="pct"/>
            <w:shd w:val="clear" w:color="auto" w:fill="auto"/>
            <w:vAlign w:val="center"/>
          </w:tcPr>
          <w:p w14:paraId="210B12A7" w14:textId="77777777" w:rsidR="00067458" w:rsidRPr="00DA3C6E" w:rsidRDefault="00067458" w:rsidP="000957C2">
            <w:pPr>
              <w:pStyle w:val="TableText"/>
              <w:spacing w:before="0" w:after="0"/>
              <w:jc w:val="left"/>
              <w:rPr>
                <w:snapToGrid w:val="0"/>
              </w:rPr>
            </w:pPr>
            <w:proofErr w:type="spellStart"/>
            <w:r w:rsidRPr="00DA3C6E">
              <w:t>Azulay</w:t>
            </w:r>
            <w:proofErr w:type="spellEnd"/>
            <w:r w:rsidRPr="00DA3C6E">
              <w:t xml:space="preserve"> et al. 1994</w:t>
            </w:r>
            <w:r>
              <w:t xml:space="preserve"> </w:t>
            </w:r>
            <w:r w:rsidRPr="00DA3C6E">
              <w:fldChar w:fldCharType="begin"/>
            </w:r>
            <w:r w:rsidRPr="00DA3C6E">
              <w:instrText xml:space="preserve"> ADDIN EN.CITE &lt;EndNote&gt;&lt;Cite&gt;&lt;Author&gt;Azulay&lt;/Author&gt;&lt;Year&gt;1994&lt;/Year&gt;&lt;RecNum&gt;4&lt;/RecNum&gt;&lt;DisplayText&gt;(24)&lt;/DisplayText&gt;&lt;record&gt;&lt;rec-number&gt;4&lt;/rec-number&gt;&lt;foreign-keys&gt;&lt;key app="EN" db-id="0992p2ztn5fez9e2wvnpw2xstd20f9w2dezz" timestamp="1586818281"&gt;4&lt;/key&gt;&lt;/foreign-keys&gt;&lt;ref-type name="Journal Article"&gt;17&lt;/ref-type&gt;&lt;contributors&gt;&lt;authors&gt;&lt;author&gt;Azulay, J. P.&lt;/author&gt;&lt;author&gt;Blin, O.&lt;/author&gt;&lt;author&gt;Pouget, J.&lt;/author&gt;&lt;author&gt;Boucraut, J.&lt;/author&gt;&lt;author&gt;Bille-Turc, F.&lt;/author&gt;&lt;author&gt;Carles, G.&lt;/author&gt;&lt;author&gt;Serratrice, G.&lt;/author&gt;&lt;/authors&gt;&lt;/contributors&gt;&lt;auth-address&gt;Department of Neurology, University Hospital Timone, Marseilles, France.&lt;/auth-address&gt;&lt;titles&gt;&lt;title&gt;Intravenous immunoglobulin treatment in patients with motor neuron syndromes associated with anti-GM1 antibodies: a double-blind, placebo-controlled study&lt;/title&gt;&lt;secondary-title&gt;Neurology&lt;/secondary-title&gt;&lt;alt-title&gt;Neurology&lt;/alt-title&gt;&lt;/titles&gt;&lt;periodical&gt;&lt;full-title&gt;Neurology&lt;/full-title&gt;&lt;/periodical&gt;&lt;alt-periodical&gt;&lt;full-title&gt;Neurology&lt;/full-title&gt;&lt;/alt-periodical&gt;&lt;pages&gt;429-32&lt;/pages&gt;&lt;volume&gt;44&lt;/volume&gt;&lt;number&gt;3 Pt 1&lt;/number&gt;&lt;edition&gt;1994/03/01&lt;/edition&gt;&lt;keywords&gt;&lt;keyword&gt;Adult&lt;/keyword&gt;&lt;keyword&gt;Autoantibodies/*blood&lt;/keyword&gt;&lt;keyword&gt;Double-Blind Method&lt;/keyword&gt;&lt;keyword&gt;Female&lt;/keyword&gt;&lt;keyword&gt;G(M1) Ganglioside/*immunology&lt;/keyword&gt;&lt;keyword&gt;Humans&lt;/keyword&gt;&lt;keyword&gt;Immunoglobulins, Intravenous/*therapeutic use&lt;/keyword&gt;&lt;keyword&gt;Isometric Contraction/physiology&lt;/keyword&gt;&lt;keyword&gt;Male&lt;/keyword&gt;&lt;keyword&gt;Middle Aged&lt;/keyword&gt;&lt;keyword&gt;Motor Neuron Disease/immunology/physiopathology/*therapy&lt;/keyword&gt;&lt;/keywords&gt;&lt;dates&gt;&lt;year&gt;1994&lt;/year&gt;&lt;pub-dates&gt;&lt;date&gt;Mar&lt;/date&gt;&lt;/pub-dates&gt;&lt;/dates&gt;&lt;isbn&gt;0028-3878 (Print)&amp;#xD;0028-3878&lt;/isbn&gt;&lt;accession-num&gt;8145910&lt;/accession-num&gt;&lt;urls&gt;&lt;/urls&gt;&lt;electronic-resource-num&gt;10.1212/wnl.44.3_part_1.429&lt;/electronic-resource-num&gt;&lt;remote-database-provider&gt;NLM&lt;/remote-database-provider&gt;&lt;research-notes&gt;Included. Need to find full text&lt;/research-notes&gt;&lt;language&gt;eng&lt;/language&gt;&lt;/record&gt;&lt;/Cite&gt;&lt;/EndNote&gt;</w:instrText>
            </w:r>
            <w:r w:rsidRPr="00DA3C6E">
              <w:fldChar w:fldCharType="separate"/>
            </w:r>
            <w:r w:rsidRPr="00DA3C6E">
              <w:rPr>
                <w:noProof/>
              </w:rPr>
              <w:t>(</w:t>
            </w:r>
            <w:hyperlink w:anchor="_ENREF_24" w:tooltip="Azulay, 1994 #4" w:history="1">
              <w:r w:rsidRPr="00DA3C6E">
                <w:rPr>
                  <w:noProof/>
                </w:rPr>
                <w:t>24</w:t>
              </w:r>
            </w:hyperlink>
            <w:r w:rsidRPr="00DA3C6E">
              <w:rPr>
                <w:noProof/>
              </w:rPr>
              <w:t>)</w:t>
            </w:r>
            <w:r w:rsidRPr="00DA3C6E">
              <w:fldChar w:fldCharType="end"/>
            </w:r>
          </w:p>
        </w:tc>
        <w:tc>
          <w:tcPr>
            <w:tcW w:w="799" w:type="pct"/>
            <w:vAlign w:val="center"/>
          </w:tcPr>
          <w:p w14:paraId="40D75980" w14:textId="77777777" w:rsidR="00067458" w:rsidRPr="00DA3C6E" w:rsidRDefault="00067458" w:rsidP="000957C2">
            <w:pPr>
              <w:pStyle w:val="TableText"/>
              <w:spacing w:before="0" w:after="0"/>
              <w:ind w:left="16" w:right="117"/>
              <w:jc w:val="left"/>
              <w:rPr>
                <w:snapToGrid w:val="0"/>
                <w:color w:val="FFFFFF" w:themeColor="background1"/>
              </w:rPr>
            </w:pPr>
            <w:r w:rsidRPr="00DA3C6E">
              <w:rPr>
                <w:snapToGrid w:val="0"/>
              </w:rPr>
              <w:t>Some concern</w:t>
            </w:r>
          </w:p>
        </w:tc>
        <w:tc>
          <w:tcPr>
            <w:tcW w:w="823" w:type="pct"/>
            <w:shd w:val="clear" w:color="auto" w:fill="auto"/>
            <w:vAlign w:val="center"/>
          </w:tcPr>
          <w:p w14:paraId="20914C42"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0/5</w:t>
            </w:r>
          </w:p>
        </w:tc>
        <w:tc>
          <w:tcPr>
            <w:tcW w:w="879" w:type="pct"/>
            <w:shd w:val="clear" w:color="auto" w:fill="auto"/>
            <w:vAlign w:val="center"/>
          </w:tcPr>
          <w:p w14:paraId="012741C5"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0/5</w:t>
            </w:r>
          </w:p>
        </w:tc>
        <w:tc>
          <w:tcPr>
            <w:tcW w:w="800" w:type="pct"/>
            <w:shd w:val="clear" w:color="auto" w:fill="auto"/>
            <w:vAlign w:val="center"/>
          </w:tcPr>
          <w:p w14:paraId="5A12C21C" w14:textId="77777777" w:rsidR="00067458" w:rsidRPr="00DA3C6E" w:rsidRDefault="00067458" w:rsidP="000957C2">
            <w:pPr>
              <w:pStyle w:val="TableText"/>
              <w:spacing w:before="0" w:after="0"/>
              <w:ind w:left="41" w:right="117"/>
              <w:jc w:val="left"/>
              <w:rPr>
                <w:snapToGrid w:val="0"/>
              </w:rPr>
            </w:pPr>
            <w:r w:rsidRPr="00DA3C6E">
              <w:rPr>
                <w:snapToGrid w:val="0"/>
              </w:rPr>
              <w:t>NE</w:t>
            </w:r>
          </w:p>
        </w:tc>
        <w:tc>
          <w:tcPr>
            <w:tcW w:w="862" w:type="pct"/>
            <w:shd w:val="clear" w:color="auto" w:fill="auto"/>
            <w:vAlign w:val="center"/>
          </w:tcPr>
          <w:p w14:paraId="1CAD9812" w14:textId="77777777" w:rsidR="00067458" w:rsidRPr="00DA3C6E" w:rsidRDefault="00067458" w:rsidP="000957C2">
            <w:pPr>
              <w:pStyle w:val="TableText"/>
              <w:spacing w:before="0" w:after="0"/>
              <w:ind w:right="117"/>
              <w:jc w:val="left"/>
              <w:rPr>
                <w:snapToGrid w:val="0"/>
              </w:rPr>
            </w:pPr>
            <w:r w:rsidRPr="00DA3C6E">
              <w:rPr>
                <w:snapToGrid w:val="0"/>
              </w:rPr>
              <w:t>NE</w:t>
            </w:r>
          </w:p>
        </w:tc>
      </w:tr>
      <w:tr w:rsidR="00067458" w:rsidRPr="00DA3C6E" w14:paraId="201C42D3" w14:textId="77777777" w:rsidTr="0047278C">
        <w:tc>
          <w:tcPr>
            <w:tcW w:w="837" w:type="pct"/>
            <w:shd w:val="clear" w:color="auto" w:fill="auto"/>
            <w:vAlign w:val="center"/>
          </w:tcPr>
          <w:p w14:paraId="53417817" w14:textId="77777777" w:rsidR="00067458" w:rsidRPr="00DA3C6E" w:rsidRDefault="00067458" w:rsidP="000957C2">
            <w:pPr>
              <w:pStyle w:val="TableText"/>
              <w:spacing w:before="0" w:after="0"/>
              <w:jc w:val="left"/>
              <w:rPr>
                <w:snapToGrid w:val="0"/>
              </w:rPr>
            </w:pPr>
            <w:r w:rsidRPr="00DA3C6E">
              <w:rPr>
                <w:lang w:val="es-CL"/>
              </w:rPr>
              <w:t xml:space="preserve">Van den </w:t>
            </w:r>
            <w:proofErr w:type="spellStart"/>
            <w:r w:rsidRPr="00DA3C6E">
              <w:rPr>
                <w:lang w:val="es-CL"/>
              </w:rPr>
              <w:t>Berg</w:t>
            </w:r>
            <w:proofErr w:type="spellEnd"/>
            <w:r w:rsidRPr="00DA3C6E">
              <w:rPr>
                <w:lang w:val="es-CL"/>
              </w:rPr>
              <w:t xml:space="preserve"> et al.  </w:t>
            </w:r>
            <w:r w:rsidRPr="00DA3C6E">
              <w:t>1995</w:t>
            </w:r>
            <w:r>
              <w:t xml:space="preserve"> </w:t>
            </w:r>
            <w:r w:rsidRPr="00DA3C6E">
              <w:fldChar w:fldCharType="begin"/>
            </w:r>
            <w:r w:rsidRPr="00DA3C6E">
              <w:instrText xml:space="preserve"> ADDIN EN.CITE &lt;EndNote&gt;&lt;Cite&gt;&lt;Author&gt;Van den Berg&lt;/Author&gt;&lt;Year&gt;1995&lt;/Year&gt;&lt;RecNum&gt;77&lt;/RecNum&gt;&lt;DisplayText&gt;(25)&lt;/DisplayText&gt;&lt;record&gt;&lt;rec-number&gt;77&lt;/rec-number&gt;&lt;foreign-keys&gt;&lt;key app="EN" db-id="0992p2ztn5fez9e2wvnpw2xstd20f9w2dezz" timestamp="1586863422"&gt;77&lt;/key&gt;&lt;/foreign-keys&gt;&lt;ref-type name="Journal Article"&gt;17&lt;/ref-type&gt;&lt;contributors&gt;&lt;authors&gt;&lt;author&gt;Van den Berg, L. H.&lt;/author&gt;&lt;author&gt;Kerkhoff, H.&lt;/author&gt;&lt;author&gt;Oey, P. L.&lt;/author&gt;&lt;author&gt;Franssen, H.&lt;/author&gt;&lt;author&gt;Mollee, I.&lt;/author&gt;&lt;author&gt;Vermeulen, M.&lt;/author&gt;&lt;author&gt;Jennekens, F. G.&lt;/author&gt;&lt;author&gt;Wokke, J. H.&lt;/author&gt;&lt;/authors&gt;&lt;/contributors&gt;&lt;auth-address&gt;Rudolf Magnus Research School in the Neurosciences, Department of Neurology, University Hospital Utrecht, The Netherlands.&lt;/auth-address&gt;&lt;titles&gt;&lt;title&gt;Treatment of multifocal motor neuropathy with high dose intravenous immunoglobulins: a double blind, placebo controlled study&lt;/title&gt;&lt;secondary-title&gt;J Neurol Neurosurg Psychiatry&lt;/secondary-title&gt;&lt;alt-title&gt;Journal of neurology, neurosurgery, and psychiatry&lt;/alt-title&gt;&lt;/titles&gt;&lt;alt-periodical&gt;&lt;full-title&gt;Journal of neurology, neurosurgery, and psychiatry&lt;/full-title&gt;&lt;/alt-periodical&gt;&lt;pages&gt;248-52&lt;/pages&gt;&lt;volume&gt;59&lt;/volume&gt;&lt;number&gt;3&lt;/number&gt;&lt;edition&gt;1995/09/01&lt;/edition&gt;&lt;keywords&gt;&lt;keyword&gt;Adult&lt;/keyword&gt;&lt;keyword&gt;Double-Blind Method&lt;/keyword&gt;&lt;keyword&gt;Female&lt;/keyword&gt;&lt;keyword&gt;Humans&lt;/keyword&gt;&lt;keyword&gt;Immunoglobulins, Intravenous/*administration &amp;amp; dosage/therapeutic use&lt;/keyword&gt;&lt;keyword&gt;Male&lt;/keyword&gt;&lt;keyword&gt;Middle Aged&lt;/keyword&gt;&lt;keyword&gt;Motor Neuron Disease/physiopathology/*therapy&lt;/keyword&gt;&lt;keyword&gt;Muscles/physiopathology&lt;/keyword&gt;&lt;/keywords&gt;&lt;dates&gt;&lt;year&gt;1995&lt;/year&gt;&lt;pub-dates&gt;&lt;date&gt;Sep&lt;/date&gt;&lt;/pub-dates&gt;&lt;/dates&gt;&lt;isbn&gt;0022-3050 (Print)&amp;#xD;0022-3050&lt;/isbn&gt;&lt;accession-num&gt;7673950&lt;/accession-num&gt;&lt;urls&gt;&lt;/urls&gt;&lt;custom2&gt;PMC486021&lt;/custom2&gt;&lt;electronic-resource-num&gt;10.1136/jnnp.59.3.248&lt;/electronic-resource-num&gt;&lt;remote-database-provider&gt;NLM&lt;/remote-database-provider&gt;&lt;language&gt;eng&lt;/language&gt;&lt;/record&gt;&lt;/Cite&gt;&lt;/EndNote&gt;</w:instrText>
            </w:r>
            <w:r w:rsidRPr="00DA3C6E">
              <w:fldChar w:fldCharType="separate"/>
            </w:r>
            <w:r w:rsidRPr="00DA3C6E">
              <w:rPr>
                <w:noProof/>
              </w:rPr>
              <w:t>(</w:t>
            </w:r>
            <w:hyperlink w:anchor="_ENREF_25" w:tooltip="Van den Berg, 1995 #77" w:history="1">
              <w:r w:rsidRPr="00DA3C6E">
                <w:rPr>
                  <w:noProof/>
                </w:rPr>
                <w:t>25</w:t>
              </w:r>
            </w:hyperlink>
            <w:r w:rsidRPr="00DA3C6E">
              <w:rPr>
                <w:noProof/>
              </w:rPr>
              <w:t>)</w:t>
            </w:r>
            <w:r w:rsidRPr="00DA3C6E">
              <w:fldChar w:fldCharType="end"/>
            </w:r>
          </w:p>
        </w:tc>
        <w:tc>
          <w:tcPr>
            <w:tcW w:w="799" w:type="pct"/>
            <w:vAlign w:val="center"/>
          </w:tcPr>
          <w:p w14:paraId="11A8FBCD" w14:textId="77777777" w:rsidR="00067458" w:rsidRPr="00DA3C6E" w:rsidRDefault="00067458" w:rsidP="000957C2">
            <w:pPr>
              <w:pStyle w:val="TableText"/>
              <w:spacing w:before="0" w:after="0"/>
              <w:ind w:left="16" w:right="117"/>
              <w:jc w:val="left"/>
              <w:rPr>
                <w:snapToGrid w:val="0"/>
                <w:color w:val="FFFFFF" w:themeColor="background1"/>
              </w:rPr>
            </w:pPr>
            <w:r w:rsidRPr="00DA3C6E">
              <w:rPr>
                <w:snapToGrid w:val="0"/>
              </w:rPr>
              <w:t xml:space="preserve">Low </w:t>
            </w:r>
          </w:p>
        </w:tc>
        <w:tc>
          <w:tcPr>
            <w:tcW w:w="823" w:type="pct"/>
            <w:shd w:val="clear" w:color="auto" w:fill="auto"/>
            <w:vAlign w:val="center"/>
          </w:tcPr>
          <w:p w14:paraId="1AD09B1A"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NR</w:t>
            </w:r>
          </w:p>
        </w:tc>
        <w:tc>
          <w:tcPr>
            <w:tcW w:w="879" w:type="pct"/>
            <w:shd w:val="clear" w:color="auto" w:fill="auto"/>
            <w:vAlign w:val="center"/>
          </w:tcPr>
          <w:p w14:paraId="4FDAEDB1"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NR</w:t>
            </w:r>
          </w:p>
        </w:tc>
        <w:tc>
          <w:tcPr>
            <w:tcW w:w="800" w:type="pct"/>
            <w:shd w:val="clear" w:color="auto" w:fill="auto"/>
            <w:vAlign w:val="center"/>
          </w:tcPr>
          <w:p w14:paraId="1CDD7073" w14:textId="77777777" w:rsidR="00067458" w:rsidRPr="00DA3C6E" w:rsidRDefault="00067458" w:rsidP="000957C2">
            <w:pPr>
              <w:pStyle w:val="TableText"/>
              <w:spacing w:before="0" w:after="0"/>
              <w:ind w:left="41" w:right="117"/>
              <w:jc w:val="left"/>
              <w:rPr>
                <w:snapToGrid w:val="0"/>
              </w:rPr>
            </w:pPr>
            <w:r w:rsidRPr="00DA3C6E">
              <w:rPr>
                <w:snapToGrid w:val="0"/>
              </w:rPr>
              <w:t>NR</w:t>
            </w:r>
          </w:p>
        </w:tc>
        <w:tc>
          <w:tcPr>
            <w:tcW w:w="862" w:type="pct"/>
            <w:shd w:val="clear" w:color="auto" w:fill="auto"/>
            <w:vAlign w:val="center"/>
          </w:tcPr>
          <w:p w14:paraId="762FBAC0" w14:textId="77777777" w:rsidR="00067458" w:rsidRPr="00DA3C6E" w:rsidRDefault="00067458" w:rsidP="000957C2">
            <w:pPr>
              <w:pStyle w:val="TableText"/>
              <w:spacing w:before="0" w:after="0"/>
              <w:ind w:right="117"/>
              <w:jc w:val="left"/>
              <w:rPr>
                <w:snapToGrid w:val="0"/>
              </w:rPr>
            </w:pPr>
            <w:r w:rsidRPr="00DA3C6E">
              <w:rPr>
                <w:snapToGrid w:val="0"/>
              </w:rPr>
              <w:t>NR</w:t>
            </w:r>
          </w:p>
        </w:tc>
      </w:tr>
      <w:tr w:rsidR="00067458" w:rsidRPr="00DA3C6E" w14:paraId="1537F444" w14:textId="77777777" w:rsidTr="0047278C">
        <w:tc>
          <w:tcPr>
            <w:tcW w:w="837" w:type="pct"/>
            <w:shd w:val="clear" w:color="auto" w:fill="auto"/>
            <w:vAlign w:val="center"/>
          </w:tcPr>
          <w:p w14:paraId="773C61DB" w14:textId="77777777" w:rsidR="00067458" w:rsidRPr="00DA3C6E" w:rsidRDefault="00067458" w:rsidP="000957C2">
            <w:pPr>
              <w:pStyle w:val="TableText"/>
              <w:spacing w:before="0" w:after="0"/>
              <w:jc w:val="left"/>
              <w:rPr>
                <w:snapToGrid w:val="0"/>
              </w:rPr>
            </w:pPr>
            <w:r w:rsidRPr="00DA3C6E">
              <w:t>Federico et al. 2000</w:t>
            </w:r>
            <w:r>
              <w:t xml:space="preserve"> </w: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 </w:instrTex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EN.CITE.DATA </w:instrText>
            </w:r>
            <w:r w:rsidRPr="00DA3C6E">
              <w:fldChar w:fldCharType="end"/>
            </w:r>
            <w:r w:rsidRPr="00DA3C6E">
              <w:fldChar w:fldCharType="separate"/>
            </w:r>
            <w:r w:rsidRPr="00DA3C6E">
              <w:rPr>
                <w:noProof/>
              </w:rPr>
              <w:t>(</w:t>
            </w:r>
            <w:hyperlink w:anchor="_ENREF_26" w:tooltip="Federico, 2000 #20" w:history="1">
              <w:r w:rsidRPr="00DA3C6E">
                <w:rPr>
                  <w:noProof/>
                </w:rPr>
                <w:t>26</w:t>
              </w:r>
            </w:hyperlink>
            <w:r w:rsidRPr="00DA3C6E">
              <w:rPr>
                <w:noProof/>
              </w:rPr>
              <w:t>)</w:t>
            </w:r>
            <w:r w:rsidRPr="00DA3C6E">
              <w:fldChar w:fldCharType="end"/>
            </w:r>
          </w:p>
        </w:tc>
        <w:tc>
          <w:tcPr>
            <w:tcW w:w="799" w:type="pct"/>
            <w:vAlign w:val="center"/>
          </w:tcPr>
          <w:p w14:paraId="6282FA27" w14:textId="77777777" w:rsidR="00067458" w:rsidRPr="00DA3C6E" w:rsidRDefault="00067458" w:rsidP="000957C2">
            <w:pPr>
              <w:pStyle w:val="TableText"/>
              <w:spacing w:before="0" w:after="0"/>
              <w:ind w:left="16" w:right="117"/>
              <w:jc w:val="left"/>
              <w:rPr>
                <w:snapToGrid w:val="0"/>
                <w:color w:val="FFFFFF" w:themeColor="background1"/>
              </w:rPr>
            </w:pPr>
            <w:r w:rsidRPr="00DA3C6E">
              <w:rPr>
                <w:snapToGrid w:val="0"/>
              </w:rPr>
              <w:t>Low</w:t>
            </w:r>
          </w:p>
        </w:tc>
        <w:tc>
          <w:tcPr>
            <w:tcW w:w="823" w:type="pct"/>
            <w:shd w:val="clear" w:color="auto" w:fill="auto"/>
            <w:vAlign w:val="center"/>
          </w:tcPr>
          <w:p w14:paraId="55C3A413"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- 6.7 (3.3)</w:t>
            </w:r>
          </w:p>
        </w:tc>
        <w:tc>
          <w:tcPr>
            <w:tcW w:w="879" w:type="pct"/>
            <w:shd w:val="clear" w:color="auto" w:fill="auto"/>
            <w:vAlign w:val="center"/>
          </w:tcPr>
          <w:p w14:paraId="4D7A5B0C"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2.1 (3)</w:t>
            </w:r>
          </w:p>
        </w:tc>
        <w:tc>
          <w:tcPr>
            <w:tcW w:w="800" w:type="pct"/>
            <w:shd w:val="clear" w:color="auto" w:fill="auto"/>
            <w:vAlign w:val="center"/>
          </w:tcPr>
          <w:p w14:paraId="6A03B5A5" w14:textId="77777777" w:rsidR="00067458" w:rsidRPr="00DA3C6E" w:rsidRDefault="00067458" w:rsidP="000957C2">
            <w:pPr>
              <w:pStyle w:val="TableText"/>
              <w:spacing w:before="0" w:after="0"/>
              <w:ind w:left="41" w:right="117"/>
              <w:jc w:val="left"/>
              <w:rPr>
                <w:snapToGrid w:val="0"/>
              </w:rPr>
            </w:pPr>
            <w:r w:rsidRPr="00DA3C6E">
              <w:rPr>
                <w:snapToGrid w:val="0"/>
              </w:rPr>
              <w:t>NE</w:t>
            </w:r>
          </w:p>
        </w:tc>
        <w:tc>
          <w:tcPr>
            <w:tcW w:w="862" w:type="pct"/>
            <w:shd w:val="clear" w:color="auto" w:fill="auto"/>
            <w:vAlign w:val="center"/>
          </w:tcPr>
          <w:p w14:paraId="2B5C766D" w14:textId="77777777" w:rsidR="00067458" w:rsidRPr="00DA3C6E" w:rsidRDefault="00067458" w:rsidP="000957C2">
            <w:pPr>
              <w:pStyle w:val="TableText"/>
              <w:spacing w:before="0" w:after="0"/>
              <w:ind w:right="117"/>
              <w:jc w:val="left"/>
              <w:rPr>
                <w:snapToGrid w:val="0"/>
              </w:rPr>
            </w:pPr>
            <w:r w:rsidRPr="00DA3C6E">
              <w:rPr>
                <w:snapToGrid w:val="0"/>
              </w:rPr>
              <w:t>NE</w:t>
            </w:r>
          </w:p>
        </w:tc>
      </w:tr>
      <w:tr w:rsidR="00067458" w:rsidRPr="00DA3C6E" w14:paraId="071BE16F" w14:textId="77777777" w:rsidTr="0047278C">
        <w:tc>
          <w:tcPr>
            <w:tcW w:w="837" w:type="pct"/>
            <w:shd w:val="clear" w:color="auto" w:fill="auto"/>
            <w:vAlign w:val="center"/>
          </w:tcPr>
          <w:p w14:paraId="1EA27ED1" w14:textId="77777777" w:rsidR="00067458" w:rsidRPr="00DA3C6E" w:rsidRDefault="00067458" w:rsidP="000957C2">
            <w:pPr>
              <w:pStyle w:val="TableText"/>
              <w:spacing w:before="0" w:after="0"/>
              <w:jc w:val="left"/>
              <w:rPr>
                <w:snapToGrid w:val="0"/>
              </w:rPr>
            </w:pPr>
            <w:r w:rsidRPr="00DA3C6E">
              <w:t>Leger et al. 2001</w:t>
            </w:r>
            <w:r>
              <w:t xml:space="preserve"> </w: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 </w:instrTex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EN.CITE.DATA </w:instrText>
            </w:r>
            <w:r w:rsidRPr="00DA3C6E">
              <w:fldChar w:fldCharType="end"/>
            </w:r>
            <w:r w:rsidRPr="00DA3C6E">
              <w:fldChar w:fldCharType="separate"/>
            </w:r>
            <w:r w:rsidRPr="00DA3C6E">
              <w:rPr>
                <w:noProof/>
              </w:rPr>
              <w:t>(</w:t>
            </w:r>
            <w:hyperlink w:anchor="_ENREF_27" w:tooltip="Leger, 2001 #39" w:history="1">
              <w:r w:rsidRPr="00DA3C6E">
                <w:rPr>
                  <w:noProof/>
                </w:rPr>
                <w:t>27</w:t>
              </w:r>
            </w:hyperlink>
            <w:r w:rsidRPr="00DA3C6E">
              <w:rPr>
                <w:noProof/>
              </w:rPr>
              <w:t>)</w:t>
            </w:r>
            <w:r w:rsidRPr="00DA3C6E">
              <w:fldChar w:fldCharType="end"/>
            </w:r>
          </w:p>
        </w:tc>
        <w:tc>
          <w:tcPr>
            <w:tcW w:w="799" w:type="pct"/>
            <w:vAlign w:val="center"/>
          </w:tcPr>
          <w:p w14:paraId="5AE7CE8C" w14:textId="77777777" w:rsidR="00067458" w:rsidRPr="00DA3C6E" w:rsidRDefault="00067458" w:rsidP="000957C2">
            <w:pPr>
              <w:pStyle w:val="TableText"/>
              <w:spacing w:before="0" w:after="0"/>
              <w:ind w:left="16" w:right="117"/>
              <w:jc w:val="left"/>
              <w:rPr>
                <w:snapToGrid w:val="0"/>
                <w:color w:val="FFFFFF" w:themeColor="background1"/>
              </w:rPr>
            </w:pPr>
            <w:r w:rsidRPr="00DA3C6E">
              <w:rPr>
                <w:snapToGrid w:val="0"/>
              </w:rPr>
              <w:t>Low</w:t>
            </w:r>
          </w:p>
        </w:tc>
        <w:tc>
          <w:tcPr>
            <w:tcW w:w="823" w:type="pct"/>
            <w:shd w:val="clear" w:color="auto" w:fill="auto"/>
            <w:vAlign w:val="center"/>
          </w:tcPr>
          <w:p w14:paraId="09EBBAA9" w14:textId="77777777" w:rsidR="00067458" w:rsidRPr="00DA3C6E" w:rsidRDefault="00067458" w:rsidP="000957C2">
            <w:pPr>
              <w:pStyle w:val="TableText"/>
              <w:spacing w:before="0" w:after="0"/>
              <w:ind w:left="111" w:right="117"/>
              <w:jc w:val="left"/>
              <w:rPr>
                <w:snapToGrid w:val="0"/>
                <w:color w:val="FFFFFF" w:themeColor="background1"/>
                <w:vertAlign w:val="superscript"/>
              </w:rPr>
            </w:pPr>
            <w:r w:rsidRPr="00DA3C6E">
              <w:rPr>
                <w:szCs w:val="20"/>
              </w:rPr>
              <w:t>-7</w:t>
            </w:r>
            <w:r w:rsidRPr="00DA3C6E">
              <w:rPr>
                <w:szCs w:val="20"/>
                <w:vertAlign w:val="superscript"/>
              </w:rPr>
              <w:t>g</w:t>
            </w:r>
          </w:p>
        </w:tc>
        <w:tc>
          <w:tcPr>
            <w:tcW w:w="879" w:type="pct"/>
            <w:shd w:val="clear" w:color="auto" w:fill="auto"/>
            <w:vAlign w:val="center"/>
          </w:tcPr>
          <w:p w14:paraId="3364AB27" w14:textId="77777777" w:rsidR="00067458" w:rsidRPr="00DA3C6E" w:rsidRDefault="00067458" w:rsidP="000957C2">
            <w:pPr>
              <w:pStyle w:val="TableText"/>
              <w:spacing w:before="0" w:after="0"/>
              <w:ind w:left="77" w:right="117"/>
              <w:jc w:val="left"/>
              <w:rPr>
                <w:snapToGrid w:val="0"/>
                <w:color w:val="FFFFFF" w:themeColor="background1"/>
                <w:vertAlign w:val="superscript"/>
              </w:rPr>
            </w:pPr>
            <w:r w:rsidRPr="00DA3C6E">
              <w:rPr>
                <w:szCs w:val="20"/>
              </w:rPr>
              <w:t>0</w:t>
            </w:r>
            <w:r w:rsidRPr="00DA3C6E">
              <w:rPr>
                <w:szCs w:val="20"/>
                <w:vertAlign w:val="superscript"/>
              </w:rPr>
              <w:t>g</w:t>
            </w:r>
          </w:p>
        </w:tc>
        <w:tc>
          <w:tcPr>
            <w:tcW w:w="800" w:type="pct"/>
            <w:shd w:val="clear" w:color="auto" w:fill="auto"/>
            <w:vAlign w:val="center"/>
          </w:tcPr>
          <w:p w14:paraId="3806D521" w14:textId="77777777" w:rsidR="00067458" w:rsidRPr="00DA3C6E" w:rsidRDefault="00067458" w:rsidP="000957C2">
            <w:pPr>
              <w:pStyle w:val="TableText"/>
              <w:spacing w:before="0" w:after="0"/>
              <w:ind w:left="41" w:right="117"/>
              <w:jc w:val="left"/>
              <w:rPr>
                <w:snapToGrid w:val="0"/>
              </w:rPr>
            </w:pPr>
            <w:r w:rsidRPr="00DA3C6E">
              <w:rPr>
                <w:snapToGrid w:val="0"/>
              </w:rPr>
              <w:t>NE</w:t>
            </w:r>
          </w:p>
        </w:tc>
        <w:tc>
          <w:tcPr>
            <w:tcW w:w="862" w:type="pct"/>
            <w:shd w:val="clear" w:color="auto" w:fill="auto"/>
            <w:vAlign w:val="center"/>
          </w:tcPr>
          <w:p w14:paraId="792B2448" w14:textId="77777777" w:rsidR="00067458" w:rsidRPr="00DA3C6E" w:rsidRDefault="00067458" w:rsidP="000957C2">
            <w:pPr>
              <w:pStyle w:val="TableText"/>
              <w:spacing w:before="0" w:after="0"/>
              <w:ind w:right="117"/>
              <w:jc w:val="left"/>
              <w:rPr>
                <w:snapToGrid w:val="0"/>
              </w:rPr>
            </w:pPr>
            <w:r w:rsidRPr="00DA3C6E">
              <w:rPr>
                <w:snapToGrid w:val="0"/>
              </w:rPr>
              <w:t>NE</w:t>
            </w:r>
          </w:p>
        </w:tc>
      </w:tr>
      <w:tr w:rsidR="00067458" w:rsidRPr="00DA3C6E" w14:paraId="785A80CC" w14:textId="77777777" w:rsidTr="0047278C">
        <w:tc>
          <w:tcPr>
            <w:tcW w:w="837" w:type="pct"/>
            <w:shd w:val="clear" w:color="auto" w:fill="auto"/>
            <w:vAlign w:val="center"/>
          </w:tcPr>
          <w:p w14:paraId="53A41BCA" w14:textId="77777777" w:rsidR="00067458" w:rsidRPr="00DA3C6E" w:rsidRDefault="00067458" w:rsidP="000957C2">
            <w:pPr>
              <w:pStyle w:val="TableText"/>
              <w:spacing w:before="0" w:after="0"/>
              <w:jc w:val="left"/>
              <w:rPr>
                <w:snapToGrid w:val="0"/>
              </w:rPr>
            </w:pPr>
            <w:r w:rsidRPr="00DA3C6E">
              <w:t>Hahn et al. 2013</w:t>
            </w:r>
            <w:r>
              <w:t xml:space="preserve"> </w: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 </w:instrTex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EN.CITE.DATA </w:instrText>
            </w:r>
            <w:r w:rsidRPr="00DA3C6E">
              <w:fldChar w:fldCharType="end"/>
            </w:r>
            <w:r w:rsidRPr="00DA3C6E">
              <w:fldChar w:fldCharType="separate"/>
            </w:r>
            <w:r w:rsidRPr="00DA3C6E">
              <w:rPr>
                <w:noProof/>
              </w:rPr>
              <w:t>(</w:t>
            </w:r>
            <w:hyperlink w:anchor="_ENREF_28" w:tooltip="Hahn, 2013 #26" w:history="1">
              <w:r w:rsidRPr="00DA3C6E">
                <w:rPr>
                  <w:noProof/>
                </w:rPr>
                <w:t>28</w:t>
              </w:r>
            </w:hyperlink>
            <w:r w:rsidRPr="00DA3C6E">
              <w:rPr>
                <w:noProof/>
              </w:rPr>
              <w:t>)</w:t>
            </w:r>
            <w:r w:rsidRPr="00DA3C6E">
              <w:fldChar w:fldCharType="end"/>
            </w:r>
          </w:p>
        </w:tc>
        <w:tc>
          <w:tcPr>
            <w:tcW w:w="799" w:type="pct"/>
            <w:vAlign w:val="center"/>
          </w:tcPr>
          <w:p w14:paraId="59CB04A0" w14:textId="77777777" w:rsidR="00067458" w:rsidRPr="00DA3C6E" w:rsidRDefault="00067458" w:rsidP="000957C2">
            <w:pPr>
              <w:pStyle w:val="TableText"/>
              <w:spacing w:before="0" w:after="0"/>
              <w:ind w:left="16" w:right="117"/>
              <w:jc w:val="left"/>
              <w:rPr>
                <w:snapToGrid w:val="0"/>
                <w:color w:val="FFFFFF" w:themeColor="background1"/>
              </w:rPr>
            </w:pPr>
            <w:r w:rsidRPr="00DA3C6E">
              <w:rPr>
                <w:snapToGrid w:val="0"/>
              </w:rPr>
              <w:t>Low</w:t>
            </w:r>
          </w:p>
        </w:tc>
        <w:tc>
          <w:tcPr>
            <w:tcW w:w="823" w:type="pct"/>
            <w:shd w:val="clear" w:color="auto" w:fill="auto"/>
            <w:vAlign w:val="center"/>
          </w:tcPr>
          <w:p w14:paraId="5C7D4BB6"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4.09 (0.95)</w:t>
            </w:r>
            <w:r w:rsidRPr="00DA3C6E">
              <w:rPr>
                <w:vertAlign w:val="superscript"/>
              </w:rPr>
              <w:t>h</w:t>
            </w:r>
          </w:p>
        </w:tc>
        <w:tc>
          <w:tcPr>
            <w:tcW w:w="879" w:type="pct"/>
            <w:shd w:val="clear" w:color="auto" w:fill="auto"/>
            <w:vAlign w:val="center"/>
          </w:tcPr>
          <w:p w14:paraId="4DCE59EF"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5.56 (0.84)</w:t>
            </w:r>
            <w:r w:rsidRPr="00DA3C6E">
              <w:rPr>
                <w:vertAlign w:val="superscript"/>
              </w:rPr>
              <w:t>h</w:t>
            </w:r>
          </w:p>
        </w:tc>
        <w:tc>
          <w:tcPr>
            <w:tcW w:w="800" w:type="pct"/>
            <w:shd w:val="clear" w:color="auto" w:fill="auto"/>
            <w:vAlign w:val="center"/>
          </w:tcPr>
          <w:p w14:paraId="005D1758" w14:textId="77777777" w:rsidR="00067458" w:rsidRPr="00DA3C6E" w:rsidRDefault="00067458" w:rsidP="000957C2">
            <w:pPr>
              <w:pStyle w:val="TableText"/>
              <w:spacing w:before="0" w:after="0"/>
              <w:ind w:left="41" w:right="117"/>
              <w:jc w:val="left"/>
              <w:rPr>
                <w:snapToGrid w:val="0"/>
              </w:rPr>
            </w:pPr>
            <w:r w:rsidRPr="00DA3C6E">
              <w:rPr>
                <w:snapToGrid w:val="0"/>
              </w:rPr>
              <w:t>NE</w:t>
            </w:r>
          </w:p>
        </w:tc>
        <w:tc>
          <w:tcPr>
            <w:tcW w:w="862" w:type="pct"/>
            <w:shd w:val="clear" w:color="auto" w:fill="auto"/>
            <w:vAlign w:val="center"/>
          </w:tcPr>
          <w:p w14:paraId="0E554591" w14:textId="77777777" w:rsidR="00067458" w:rsidRPr="00DA3C6E" w:rsidRDefault="00067458" w:rsidP="000957C2">
            <w:pPr>
              <w:pStyle w:val="TableText"/>
              <w:spacing w:before="0" w:after="0"/>
              <w:ind w:right="117"/>
              <w:jc w:val="left"/>
              <w:rPr>
                <w:snapToGrid w:val="0"/>
              </w:rPr>
            </w:pPr>
            <w:r w:rsidRPr="00DA3C6E">
              <w:rPr>
                <w:snapToGrid w:val="0"/>
              </w:rPr>
              <w:t>NE</w:t>
            </w:r>
          </w:p>
        </w:tc>
      </w:tr>
      <w:tr w:rsidR="00067458" w:rsidRPr="00DA3C6E" w14:paraId="37BD422A" w14:textId="77777777" w:rsidTr="0047278C">
        <w:tc>
          <w:tcPr>
            <w:tcW w:w="837" w:type="pct"/>
            <w:shd w:val="clear" w:color="auto" w:fill="auto"/>
            <w:vAlign w:val="center"/>
          </w:tcPr>
          <w:p w14:paraId="430C185D" w14:textId="77777777" w:rsidR="00067458" w:rsidRPr="00DA3C6E" w:rsidRDefault="00067458" w:rsidP="000957C2">
            <w:pPr>
              <w:pStyle w:val="TableText"/>
              <w:spacing w:before="0" w:after="0"/>
              <w:jc w:val="left"/>
            </w:pPr>
          </w:p>
        </w:tc>
        <w:tc>
          <w:tcPr>
            <w:tcW w:w="799" w:type="pct"/>
            <w:vAlign w:val="center"/>
          </w:tcPr>
          <w:p w14:paraId="420F7663" w14:textId="77777777" w:rsidR="00067458" w:rsidRPr="00DA3C6E" w:rsidRDefault="00067458" w:rsidP="000957C2">
            <w:pPr>
              <w:pStyle w:val="TableText"/>
              <w:spacing w:before="0" w:after="0"/>
              <w:ind w:left="16" w:right="117"/>
              <w:jc w:val="left"/>
              <w:rPr>
                <w:snapToGrid w:val="0"/>
              </w:rPr>
            </w:pPr>
          </w:p>
        </w:tc>
        <w:tc>
          <w:tcPr>
            <w:tcW w:w="823" w:type="pct"/>
            <w:shd w:val="clear" w:color="auto" w:fill="auto"/>
            <w:vAlign w:val="center"/>
          </w:tcPr>
          <w:p w14:paraId="663D7C32" w14:textId="77777777" w:rsidR="00067458" w:rsidRPr="00DA3C6E" w:rsidRDefault="00067458" w:rsidP="000957C2">
            <w:pPr>
              <w:pStyle w:val="TableText"/>
              <w:spacing w:before="0" w:after="0"/>
              <w:ind w:left="111" w:right="117"/>
              <w:jc w:val="left"/>
              <w:rPr>
                <w:snapToGrid w:val="0"/>
                <w:color w:val="FFFFFF" w:themeColor="background1"/>
              </w:rPr>
            </w:pPr>
            <w:r w:rsidRPr="00DA3C6E">
              <w:rPr>
                <w:szCs w:val="20"/>
              </w:rPr>
              <w:t>73.33 (94.60)</w:t>
            </w:r>
            <w:proofErr w:type="spellStart"/>
            <w:r w:rsidRPr="00DA3C6E">
              <w:rPr>
                <w:szCs w:val="20"/>
                <w:vertAlign w:val="superscript"/>
              </w:rPr>
              <w:t>i</w:t>
            </w:r>
            <w:proofErr w:type="spellEnd"/>
          </w:p>
        </w:tc>
        <w:tc>
          <w:tcPr>
            <w:tcW w:w="879" w:type="pct"/>
            <w:shd w:val="clear" w:color="auto" w:fill="auto"/>
            <w:vAlign w:val="center"/>
          </w:tcPr>
          <w:p w14:paraId="5FD267E6" w14:textId="77777777" w:rsidR="00067458" w:rsidRPr="00DA3C6E" w:rsidRDefault="00067458" w:rsidP="000957C2">
            <w:pPr>
              <w:pStyle w:val="TableText"/>
              <w:spacing w:before="0" w:after="0"/>
              <w:ind w:left="77" w:right="117"/>
              <w:jc w:val="left"/>
              <w:rPr>
                <w:snapToGrid w:val="0"/>
                <w:color w:val="FFFFFF" w:themeColor="background1"/>
              </w:rPr>
            </w:pPr>
            <w:r w:rsidRPr="00DA3C6E">
              <w:rPr>
                <w:szCs w:val="20"/>
              </w:rPr>
              <w:t>289.93 (96.99)</w:t>
            </w:r>
            <w:proofErr w:type="spellStart"/>
            <w:r w:rsidRPr="00DA3C6E">
              <w:rPr>
                <w:szCs w:val="20"/>
                <w:vertAlign w:val="superscript"/>
              </w:rPr>
              <w:t>i</w:t>
            </w:r>
            <w:proofErr w:type="spellEnd"/>
          </w:p>
        </w:tc>
        <w:tc>
          <w:tcPr>
            <w:tcW w:w="800" w:type="pct"/>
            <w:shd w:val="clear" w:color="auto" w:fill="auto"/>
            <w:vAlign w:val="center"/>
          </w:tcPr>
          <w:p w14:paraId="25E8C550" w14:textId="77777777" w:rsidR="00067458" w:rsidRPr="00DA3C6E" w:rsidRDefault="00067458" w:rsidP="000957C2">
            <w:pPr>
              <w:pStyle w:val="TableText"/>
              <w:spacing w:before="0" w:after="0"/>
              <w:ind w:left="41" w:right="117"/>
              <w:jc w:val="left"/>
              <w:rPr>
                <w:snapToGrid w:val="0"/>
              </w:rPr>
            </w:pPr>
            <w:r w:rsidRPr="00DA3C6E">
              <w:rPr>
                <w:snapToGrid w:val="0"/>
              </w:rPr>
              <w:t>NE</w:t>
            </w:r>
          </w:p>
        </w:tc>
        <w:tc>
          <w:tcPr>
            <w:tcW w:w="862" w:type="pct"/>
            <w:shd w:val="clear" w:color="auto" w:fill="auto"/>
            <w:vAlign w:val="center"/>
          </w:tcPr>
          <w:p w14:paraId="6DE650F9" w14:textId="77777777" w:rsidR="00067458" w:rsidRPr="00DA3C6E" w:rsidRDefault="00067458" w:rsidP="000957C2">
            <w:pPr>
              <w:pStyle w:val="TableText"/>
              <w:spacing w:before="0" w:after="0"/>
              <w:ind w:right="117"/>
              <w:jc w:val="left"/>
              <w:rPr>
                <w:snapToGrid w:val="0"/>
              </w:rPr>
            </w:pPr>
            <w:r w:rsidRPr="00DA3C6E">
              <w:rPr>
                <w:snapToGrid w:val="0"/>
              </w:rPr>
              <w:t>NE</w:t>
            </w:r>
          </w:p>
        </w:tc>
      </w:tr>
      <w:tr w:rsidR="00067458" w:rsidRPr="00DA3C6E" w14:paraId="395BA487" w14:textId="77777777" w:rsidTr="0047278C">
        <w:tc>
          <w:tcPr>
            <w:tcW w:w="837" w:type="pct"/>
            <w:shd w:val="clear" w:color="auto" w:fill="auto"/>
            <w:vAlign w:val="center"/>
          </w:tcPr>
          <w:p w14:paraId="72A019B3" w14:textId="77777777" w:rsidR="00067458" w:rsidRPr="00DA3C6E" w:rsidRDefault="00067458" w:rsidP="000957C2">
            <w:pPr>
              <w:pStyle w:val="TableText"/>
              <w:spacing w:before="0" w:after="0"/>
              <w:jc w:val="left"/>
              <w:rPr>
                <w:snapToGrid w:val="0"/>
              </w:rPr>
            </w:pPr>
            <w:r w:rsidRPr="00DA3C6E">
              <w:rPr>
                <w:snapToGrid w:val="0"/>
              </w:rPr>
              <w:t>Pooled result</w:t>
            </w:r>
          </w:p>
        </w:tc>
        <w:tc>
          <w:tcPr>
            <w:tcW w:w="4163" w:type="pct"/>
            <w:gridSpan w:val="5"/>
            <w:vAlign w:val="center"/>
          </w:tcPr>
          <w:p w14:paraId="0306DD12" w14:textId="77777777" w:rsidR="00067458" w:rsidRPr="00DA3C6E" w:rsidRDefault="00067458" w:rsidP="000957C2">
            <w:pPr>
              <w:pStyle w:val="TableText"/>
              <w:spacing w:before="0" w:after="0"/>
              <w:ind w:right="117"/>
              <w:jc w:val="center"/>
              <w:rPr>
                <w:i/>
                <w:snapToGrid w:val="0"/>
              </w:rPr>
            </w:pPr>
            <w:r w:rsidRPr="00DA3C6E">
              <w:rPr>
                <w:i/>
                <w:snapToGrid w:val="0"/>
              </w:rPr>
              <w:t>RR = -5.04 (95% CI -12.22, 2.14; p value = 0.17)</w:t>
            </w:r>
          </w:p>
        </w:tc>
      </w:tr>
    </w:tbl>
    <w:p w14:paraId="0BC3903D" w14:textId="55034B2F" w:rsidR="00067458" w:rsidRDefault="00067458" w:rsidP="00067458">
      <w:pPr>
        <w:widowControl w:val="0"/>
        <w:rPr>
          <w:rFonts w:ascii="Arial Narrow" w:hAnsi="Arial Narrow" w:cs="Arial"/>
          <w:snapToGrid w:val="0"/>
          <w:sz w:val="18"/>
          <w:lang w:eastAsia="en-US"/>
        </w:rPr>
      </w:pPr>
      <w:r w:rsidRPr="007F7684">
        <w:rPr>
          <w:rFonts w:ascii="Arial Narrow" w:hAnsi="Arial Narrow" w:cs="Arial"/>
          <w:b/>
          <w:snapToGrid w:val="0"/>
          <w:sz w:val="18"/>
          <w:lang w:eastAsia="en-US"/>
        </w:rPr>
        <w:t>Source</w:t>
      </w:r>
      <w:r>
        <w:rPr>
          <w:rFonts w:ascii="Arial Narrow" w:hAnsi="Arial Narrow" w:cs="Arial"/>
          <w:snapToGrid w:val="0"/>
          <w:sz w:val="18"/>
          <w:lang w:eastAsia="en-US"/>
        </w:rPr>
        <w:t xml:space="preserve">: </w:t>
      </w:r>
      <w:r w:rsidR="000A12A3">
        <w:rPr>
          <w:rFonts w:ascii="Arial Narrow" w:hAnsi="Arial Narrow" w:cs="Arial"/>
          <w:snapToGrid w:val="0"/>
          <w:sz w:val="18"/>
          <w:lang w:eastAsia="en-US"/>
        </w:rPr>
        <w:t>1590 DCAR</w:t>
      </w:r>
      <w:r>
        <w:rPr>
          <w:rFonts w:ascii="Arial Narrow" w:hAnsi="Arial Narrow" w:cs="Arial"/>
          <w:snapToGrid w:val="0"/>
          <w:sz w:val="18"/>
          <w:lang w:eastAsia="en-US"/>
        </w:rPr>
        <w:t>, Table 16</w:t>
      </w:r>
    </w:p>
    <w:p w14:paraId="68811953" w14:textId="77777777" w:rsidR="00067458" w:rsidRPr="00DA3C6E" w:rsidRDefault="00067458" w:rsidP="00067458">
      <w:pPr>
        <w:widowControl w:val="0"/>
        <w:rPr>
          <w:rFonts w:ascii="Arial Narrow" w:hAnsi="Arial Narrow" w:cs="Arial"/>
          <w:snapToGrid w:val="0"/>
          <w:sz w:val="18"/>
          <w:lang w:eastAsia="en-US"/>
        </w:rPr>
      </w:pPr>
      <w:r w:rsidRPr="00DA3C6E">
        <w:rPr>
          <w:rFonts w:ascii="Arial Narrow" w:hAnsi="Arial Narrow" w:cs="Arial"/>
          <w:snapToGrid w:val="0"/>
          <w:sz w:val="18"/>
          <w:lang w:eastAsia="en-US"/>
        </w:rPr>
        <w:t>Abbreviations: CI = confidence interval; NE = not estimable; NR = not reported; RR = risk ratio; SD = standard deviation; SEM = standard error of mean.</w:t>
      </w:r>
    </w:p>
    <w:p w14:paraId="3BB56297" w14:textId="77777777" w:rsidR="00067458" w:rsidRPr="00DA3C6E" w:rsidRDefault="00067458" w:rsidP="00067458">
      <w:pPr>
        <w:rPr>
          <w:rFonts w:ascii="Arial Narrow" w:hAnsi="Arial Narrow"/>
          <w:sz w:val="18"/>
        </w:rPr>
      </w:pPr>
      <w:r w:rsidRPr="00DA3C6E">
        <w:rPr>
          <w:rFonts w:ascii="Arial Narrow" w:hAnsi="Arial Narrow" w:cs="Arial"/>
          <w:snapToGrid w:val="0"/>
          <w:sz w:val="18"/>
          <w:lang w:eastAsia="en-US"/>
        </w:rPr>
        <w:t>Notes: Relative risk, risk difference and pooled risk ratios were calculated during the evaluation (italics); bold text indicates statistically significant differences.</w:t>
      </w:r>
      <w:r w:rsidRPr="00DA3C6E">
        <w:rPr>
          <w:rFonts w:ascii="Arial Narrow" w:hAnsi="Arial Narrow"/>
          <w:sz w:val="18"/>
        </w:rPr>
        <w:t xml:space="preserve"> </w:t>
      </w:r>
    </w:p>
    <w:p w14:paraId="389401BD" w14:textId="77777777" w:rsidR="00067458" w:rsidRPr="00DA3C6E" w:rsidRDefault="00067458" w:rsidP="00067458">
      <w:pPr>
        <w:rPr>
          <w:rFonts w:ascii="Arial Narrow" w:hAnsi="Arial Narrow"/>
          <w:sz w:val="18"/>
        </w:rPr>
      </w:pPr>
      <w:r w:rsidRPr="00DA3C6E">
        <w:rPr>
          <w:rFonts w:ascii="Arial Narrow" w:hAnsi="Arial Narrow"/>
          <w:sz w:val="18"/>
        </w:rPr>
        <w:t>a = all patients in the trial. One patient in the Intravenous Ig treatment at was lost to follow-up before the evaluation period. This patient was treatment naïve;</w:t>
      </w:r>
      <w:r>
        <w:rPr>
          <w:rFonts w:ascii="Arial Narrow" w:hAnsi="Arial Narrow"/>
          <w:sz w:val="18"/>
        </w:rPr>
        <w:t xml:space="preserve"> </w:t>
      </w:r>
      <w:r w:rsidRPr="00DA3C6E">
        <w:rPr>
          <w:rFonts w:ascii="Arial Narrow" w:hAnsi="Arial Narrow"/>
          <w:sz w:val="18"/>
        </w:rPr>
        <w:t xml:space="preserve">b = treatment naïve patients; c = pre-treatment patients; d = represent the number of patients who remained stable or improved; e = using GNDS disability scale; f = using ODSS disability scale; </w:t>
      </w:r>
    </w:p>
    <w:p w14:paraId="2113830F" w14:textId="77777777" w:rsidR="00067458" w:rsidRPr="00DA3C6E" w:rsidRDefault="00067458" w:rsidP="00067458">
      <w:pPr>
        <w:rPr>
          <w:rFonts w:ascii="Arial Narrow" w:hAnsi="Arial Narrow"/>
          <w:sz w:val="18"/>
        </w:rPr>
      </w:pPr>
      <w:r w:rsidRPr="00DA3C6E">
        <w:rPr>
          <w:rFonts w:ascii="Arial Narrow" w:hAnsi="Arial Narrow"/>
          <w:sz w:val="18"/>
        </w:rPr>
        <w:t xml:space="preserve">g = self-evaluation score reported for five motor activities of daily living. This was assumed to be synonymous to/represent a disability score. The estimate reported is a change (in median) in score between baseline and 4 months; </w:t>
      </w:r>
    </w:p>
    <w:p w14:paraId="2D4DEFB6" w14:textId="11383622" w:rsidR="00B7509C" w:rsidRDefault="00067458" w:rsidP="00B7509C">
      <w:pPr>
        <w:spacing w:after="240"/>
        <w:rPr>
          <w:rFonts w:ascii="Arial Narrow" w:hAnsi="Arial Narrow"/>
          <w:sz w:val="18"/>
        </w:rPr>
      </w:pPr>
      <w:r w:rsidRPr="00DA3C6E">
        <w:rPr>
          <w:rFonts w:ascii="Arial Narrow" w:hAnsi="Arial Narrow"/>
          <w:sz w:val="18"/>
        </w:rPr>
        <w:t xml:space="preserve">h = Mean estimate for patient global impression of change scores that represent perceived deterioration since the last efficacy assessment; </w:t>
      </w:r>
      <w:proofErr w:type="spellStart"/>
      <w:r w:rsidRPr="00DA3C6E">
        <w:rPr>
          <w:rFonts w:ascii="Arial Narrow" w:hAnsi="Arial Narrow"/>
          <w:sz w:val="18"/>
        </w:rPr>
        <w:t>i</w:t>
      </w:r>
      <w:proofErr w:type="spellEnd"/>
      <w:r w:rsidRPr="00DA3C6E">
        <w:rPr>
          <w:rFonts w:ascii="Arial Narrow" w:hAnsi="Arial Narrow"/>
          <w:sz w:val="18"/>
        </w:rPr>
        <w:t xml:space="preserve"> = score on visual analogue scale: higher scores represent</w:t>
      </w:r>
      <w:r w:rsidR="00B7509C">
        <w:rPr>
          <w:rFonts w:ascii="Arial Narrow" w:hAnsi="Arial Narrow"/>
          <w:sz w:val="18"/>
        </w:rPr>
        <w:t xml:space="preserve"> more severe disability. </w:t>
      </w:r>
      <w:r w:rsidR="00B7509C">
        <w:rPr>
          <w:rFonts w:ascii="Arial Narrow" w:hAnsi="Arial Narrow"/>
          <w:sz w:val="18"/>
        </w:rPr>
        <w:br w:type="page"/>
      </w:r>
    </w:p>
    <w:p w14:paraId="3391B677" w14:textId="0F97F824" w:rsidR="00067458" w:rsidRPr="00945FA1" w:rsidRDefault="00067458" w:rsidP="00067458">
      <w:pPr>
        <w:tabs>
          <w:tab w:val="left" w:pos="720"/>
          <w:tab w:val="left" w:pos="1140"/>
        </w:tabs>
        <w:rPr>
          <w:u w:val="single"/>
        </w:rPr>
      </w:pPr>
      <w:r>
        <w:rPr>
          <w:u w:val="single"/>
        </w:rPr>
        <w:lastRenderedPageBreak/>
        <w:t>Change</w:t>
      </w:r>
      <w:r w:rsidRPr="00945FA1">
        <w:rPr>
          <w:u w:val="single"/>
        </w:rPr>
        <w:t xml:space="preserve"> in muscle strength</w:t>
      </w:r>
    </w:p>
    <w:p w14:paraId="5CFDC855" w14:textId="3030C1F7" w:rsidR="00067458" w:rsidRPr="00BA153F" w:rsidRDefault="00067458" w:rsidP="00067458">
      <w:pPr>
        <w:tabs>
          <w:tab w:val="left" w:pos="720"/>
          <w:tab w:val="left" w:pos="1140"/>
        </w:tabs>
      </w:pPr>
      <w:r>
        <w:t>A</w:t>
      </w:r>
      <w:r w:rsidRPr="00DA3C6E">
        <w:t xml:space="preserve">ll five RCTs </w:t>
      </w:r>
      <w:r>
        <w:t>reported</w:t>
      </w:r>
      <w:r w:rsidRPr="00DA3C6E">
        <w:t xml:space="preserve"> that intravenous Ig </w:t>
      </w:r>
      <w:r>
        <w:t xml:space="preserve">treatment </w:t>
      </w:r>
      <w:r w:rsidRPr="00DA3C6E">
        <w:t xml:space="preserve">compared to placebo, resulted in an improvement in </w:t>
      </w:r>
      <w:r w:rsidRPr="00BA153F">
        <w:t xml:space="preserve">muscle strength (see </w:t>
      </w:r>
      <w:r w:rsidR="00DD06C6" w:rsidRPr="00DD06C6">
        <w:rPr>
          <w:szCs w:val="24"/>
        </w:rPr>
        <w:fldChar w:fldCharType="begin"/>
      </w:r>
      <w:r w:rsidR="00DD06C6" w:rsidRPr="00DD06C6">
        <w:rPr>
          <w:szCs w:val="24"/>
        </w:rPr>
        <w:instrText xml:space="preserve"> REF _Ref29303314 \h  \* MERGEFORMAT </w:instrText>
      </w:r>
      <w:r w:rsidR="00DD06C6" w:rsidRPr="00DD06C6">
        <w:rPr>
          <w:szCs w:val="24"/>
        </w:rPr>
      </w:r>
      <w:r w:rsidR="00DD06C6" w:rsidRPr="00DD06C6">
        <w:rPr>
          <w:szCs w:val="24"/>
        </w:rPr>
        <w:fldChar w:fldCharType="separate"/>
      </w:r>
      <w:r w:rsidR="00123232" w:rsidRPr="00123232">
        <w:rPr>
          <w:szCs w:val="24"/>
        </w:rPr>
        <w:t>Table 4</w:t>
      </w:r>
      <w:r w:rsidR="00DD06C6" w:rsidRPr="00DD06C6">
        <w:rPr>
          <w:szCs w:val="24"/>
        </w:rPr>
        <w:fldChar w:fldCharType="end"/>
      </w:r>
      <w:r w:rsidRPr="00BA153F">
        <w:t>) but was only found to be statistically significant in Hahn et al. 2013 (RR = 1.67; 95% CI 1.27, 2.18). The pooled treatment effect of RR 3.51 (95% CI 1.12, 11.05) indicates that intravenous Ig is superior to placebo for improveme</w:t>
      </w:r>
      <w:r w:rsidR="00B7509C">
        <w:t>nt in muscle strength (p=0.03).</w:t>
      </w:r>
    </w:p>
    <w:p w14:paraId="0EFB476A" w14:textId="07035010" w:rsidR="00067458" w:rsidRPr="009027FE" w:rsidRDefault="000957C2" w:rsidP="009027FE">
      <w:pPr>
        <w:spacing w:before="240"/>
        <w:rPr>
          <w:rFonts w:ascii="Arial Narrow" w:hAnsi="Arial Narrow"/>
          <w:b/>
          <w:sz w:val="20"/>
        </w:rPr>
      </w:pPr>
      <w:bookmarkStart w:id="18" w:name="_Ref29303314"/>
      <w:bookmarkStart w:id="19" w:name="_Toc30497464"/>
      <w:bookmarkStart w:id="20" w:name="_Toc30687745"/>
      <w:bookmarkStart w:id="21" w:name="_Toc37845820"/>
      <w:r w:rsidRPr="009027FE">
        <w:rPr>
          <w:rFonts w:ascii="Arial Narrow" w:hAnsi="Arial Narrow"/>
          <w:b/>
          <w:sz w:val="20"/>
        </w:rPr>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4</w:t>
      </w:r>
      <w:r w:rsidR="003F56BF" w:rsidRPr="009027FE">
        <w:rPr>
          <w:rFonts w:ascii="Arial Narrow" w:hAnsi="Arial Narrow"/>
          <w:b/>
          <w:sz w:val="20"/>
        </w:rPr>
        <w:fldChar w:fldCharType="end"/>
      </w:r>
      <w:bookmarkEnd w:id="18"/>
      <w:r w:rsidRPr="009027FE">
        <w:rPr>
          <w:rFonts w:ascii="Arial Narrow" w:hAnsi="Arial Narrow"/>
          <w:b/>
          <w:sz w:val="20"/>
        </w:rPr>
        <w:t>:</w:t>
      </w:r>
      <w:r w:rsidR="00067458" w:rsidRPr="009027FE">
        <w:rPr>
          <w:rFonts w:ascii="Arial Narrow" w:hAnsi="Arial Narrow"/>
          <w:b/>
          <w:sz w:val="20"/>
        </w:rPr>
        <w:t xml:space="preserve"> Results of improvement and change in muscle strength across RCTs</w:t>
      </w:r>
      <w:bookmarkEnd w:id="19"/>
      <w:bookmarkEnd w:id="20"/>
      <w:bookmarkEnd w:id="21"/>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4"/>
        <w:gridCol w:w="1349"/>
        <w:gridCol w:w="1335"/>
        <w:gridCol w:w="14"/>
        <w:gridCol w:w="1300"/>
        <w:gridCol w:w="1413"/>
        <w:gridCol w:w="2091"/>
      </w:tblGrid>
      <w:tr w:rsidR="00067458" w:rsidRPr="00DA3C6E" w14:paraId="0A262E83" w14:textId="77777777" w:rsidTr="0047278C">
        <w:tc>
          <w:tcPr>
            <w:tcW w:w="782" w:type="pct"/>
            <w:shd w:val="clear" w:color="auto" w:fill="auto"/>
            <w:vAlign w:val="center"/>
          </w:tcPr>
          <w:p w14:paraId="58EF5B83" w14:textId="77777777" w:rsidR="00067458" w:rsidRPr="00DA3C6E" w:rsidRDefault="00067458" w:rsidP="0047278C">
            <w:pPr>
              <w:pStyle w:val="TableText"/>
              <w:ind w:right="117"/>
              <w:rPr>
                <w:b/>
                <w:snapToGrid w:val="0"/>
              </w:rPr>
            </w:pPr>
            <w:r w:rsidRPr="00DA3C6E">
              <w:rPr>
                <w:b/>
                <w:snapToGrid w:val="0"/>
              </w:rPr>
              <w:t>Study ID</w:t>
            </w:r>
          </w:p>
        </w:tc>
        <w:tc>
          <w:tcPr>
            <w:tcW w:w="774" w:type="pct"/>
            <w:shd w:val="clear" w:color="auto" w:fill="auto"/>
            <w:vAlign w:val="center"/>
          </w:tcPr>
          <w:p w14:paraId="71969EA8" w14:textId="77777777" w:rsidR="00067458" w:rsidRPr="00DA3C6E" w:rsidRDefault="00067458" w:rsidP="0047278C">
            <w:pPr>
              <w:pStyle w:val="TableText"/>
              <w:ind w:right="117"/>
              <w:rPr>
                <w:b/>
                <w:snapToGrid w:val="0"/>
              </w:rPr>
            </w:pPr>
            <w:r w:rsidRPr="00DA3C6E">
              <w:rPr>
                <w:b/>
                <w:snapToGrid w:val="0"/>
              </w:rPr>
              <w:t>Risk of bias</w:t>
            </w:r>
          </w:p>
        </w:tc>
        <w:tc>
          <w:tcPr>
            <w:tcW w:w="775" w:type="pct"/>
            <w:gridSpan w:val="2"/>
            <w:shd w:val="clear" w:color="auto" w:fill="auto"/>
            <w:vAlign w:val="center"/>
          </w:tcPr>
          <w:p w14:paraId="3A518CB7" w14:textId="77777777" w:rsidR="00067458" w:rsidRPr="00DA3C6E" w:rsidRDefault="00067458" w:rsidP="0047278C">
            <w:pPr>
              <w:rPr>
                <w:rFonts w:ascii="Arial Narrow" w:hAnsi="Arial Narrow"/>
                <w:b/>
                <w:sz w:val="20"/>
              </w:rPr>
            </w:pPr>
            <w:r w:rsidRPr="00DA3C6E">
              <w:rPr>
                <w:rFonts w:ascii="Arial Narrow" w:hAnsi="Arial Narrow"/>
                <w:b/>
                <w:sz w:val="20"/>
              </w:rPr>
              <w:t>Intravenous Ig treatment</w:t>
            </w:r>
          </w:p>
          <w:p w14:paraId="659021B8" w14:textId="77777777" w:rsidR="00067458" w:rsidRPr="00DA3C6E" w:rsidRDefault="00067458" w:rsidP="0047278C">
            <w:pPr>
              <w:pStyle w:val="TableText"/>
              <w:ind w:right="117"/>
              <w:rPr>
                <w:b/>
                <w:snapToGrid w:val="0"/>
              </w:rPr>
            </w:pPr>
            <w:r w:rsidRPr="00DA3C6E">
              <w:rPr>
                <w:b/>
              </w:rPr>
              <w:t>Mean/median (SD/SEM)</w:t>
            </w:r>
          </w:p>
        </w:tc>
        <w:tc>
          <w:tcPr>
            <w:tcW w:w="758" w:type="pct"/>
            <w:shd w:val="clear" w:color="auto" w:fill="auto"/>
            <w:vAlign w:val="center"/>
          </w:tcPr>
          <w:p w14:paraId="656A767E" w14:textId="77777777" w:rsidR="00067458" w:rsidRPr="00DA3C6E" w:rsidRDefault="00067458" w:rsidP="0047278C">
            <w:pPr>
              <w:rPr>
                <w:rFonts w:ascii="Arial Narrow" w:hAnsi="Arial Narrow"/>
                <w:b/>
                <w:sz w:val="20"/>
              </w:rPr>
            </w:pPr>
            <w:r w:rsidRPr="00DA3C6E">
              <w:rPr>
                <w:rFonts w:ascii="Arial Narrow" w:hAnsi="Arial Narrow"/>
                <w:b/>
                <w:sz w:val="20"/>
              </w:rPr>
              <w:t>Placebo treatment</w:t>
            </w:r>
          </w:p>
          <w:p w14:paraId="4050BA22" w14:textId="77777777" w:rsidR="00067458" w:rsidRPr="00DA3C6E" w:rsidRDefault="00067458" w:rsidP="0047278C">
            <w:pPr>
              <w:pStyle w:val="TableText"/>
              <w:ind w:right="117"/>
              <w:rPr>
                <w:b/>
                <w:snapToGrid w:val="0"/>
              </w:rPr>
            </w:pPr>
            <w:r w:rsidRPr="00DA3C6E">
              <w:rPr>
                <w:b/>
              </w:rPr>
              <w:t>Mean/median (SD/SEM)</w:t>
            </w:r>
          </w:p>
        </w:tc>
        <w:tc>
          <w:tcPr>
            <w:tcW w:w="810" w:type="pct"/>
            <w:shd w:val="clear" w:color="auto" w:fill="auto"/>
            <w:vAlign w:val="center"/>
          </w:tcPr>
          <w:p w14:paraId="74017594" w14:textId="77777777" w:rsidR="00067458" w:rsidRPr="00DA3C6E" w:rsidRDefault="00067458" w:rsidP="0047278C">
            <w:pPr>
              <w:pStyle w:val="TableText"/>
              <w:ind w:right="117"/>
              <w:rPr>
                <w:b/>
              </w:rPr>
            </w:pPr>
            <w:r w:rsidRPr="00DA3C6E">
              <w:rPr>
                <w:b/>
              </w:rPr>
              <w:t>Relative risk</w:t>
            </w:r>
          </w:p>
          <w:p w14:paraId="770896B0" w14:textId="77777777" w:rsidR="00067458" w:rsidRPr="00DA3C6E" w:rsidRDefault="00067458" w:rsidP="0047278C">
            <w:pPr>
              <w:pStyle w:val="TableText"/>
              <w:ind w:right="117"/>
              <w:rPr>
                <w:b/>
                <w:snapToGrid w:val="0"/>
              </w:rPr>
            </w:pPr>
            <w:r w:rsidRPr="00DA3C6E">
              <w:rPr>
                <w:snapToGrid w:val="0"/>
              </w:rPr>
              <w:t>(95% CI)</w:t>
            </w:r>
          </w:p>
        </w:tc>
        <w:tc>
          <w:tcPr>
            <w:tcW w:w="1101" w:type="pct"/>
            <w:shd w:val="clear" w:color="auto" w:fill="auto"/>
            <w:vAlign w:val="center"/>
          </w:tcPr>
          <w:p w14:paraId="1F89DBBF" w14:textId="77777777" w:rsidR="00067458" w:rsidRPr="00DA3C6E" w:rsidRDefault="00067458" w:rsidP="0047278C">
            <w:pPr>
              <w:pStyle w:val="TableHeading"/>
              <w:ind w:right="117"/>
              <w:jc w:val="left"/>
              <w:rPr>
                <w:snapToGrid w:val="0"/>
                <w:lang w:eastAsia="en-US"/>
              </w:rPr>
            </w:pPr>
            <w:r w:rsidRPr="00DA3C6E">
              <w:rPr>
                <w:snapToGrid w:val="0"/>
                <w:lang w:eastAsia="en-US"/>
              </w:rPr>
              <w:t>Risk difference</w:t>
            </w:r>
          </w:p>
          <w:p w14:paraId="06BFE0F8" w14:textId="77777777" w:rsidR="00067458" w:rsidRPr="00DA3C6E" w:rsidRDefault="00067458" w:rsidP="0047278C">
            <w:pPr>
              <w:pStyle w:val="TableHeading"/>
              <w:ind w:right="117"/>
              <w:jc w:val="left"/>
              <w:rPr>
                <w:snapToGrid w:val="0"/>
              </w:rPr>
            </w:pPr>
            <w:r w:rsidRPr="00DA3C6E">
              <w:rPr>
                <w:snapToGrid w:val="0"/>
                <w:lang w:eastAsia="en-US"/>
              </w:rPr>
              <w:t xml:space="preserve">(95% CI) </w:t>
            </w:r>
          </w:p>
        </w:tc>
      </w:tr>
      <w:tr w:rsidR="00067458" w:rsidRPr="00DA3C6E" w14:paraId="3DF48A7C" w14:textId="77777777" w:rsidTr="0047278C">
        <w:tc>
          <w:tcPr>
            <w:tcW w:w="5000" w:type="pct"/>
            <w:gridSpan w:val="7"/>
            <w:shd w:val="clear" w:color="auto" w:fill="auto"/>
            <w:vAlign w:val="center"/>
          </w:tcPr>
          <w:p w14:paraId="75D315B4" w14:textId="77777777" w:rsidR="00067458" w:rsidRPr="00DA3C6E" w:rsidRDefault="00067458" w:rsidP="0047278C">
            <w:pPr>
              <w:pStyle w:val="TableText"/>
              <w:ind w:right="117"/>
              <w:rPr>
                <w:b/>
                <w:snapToGrid w:val="0"/>
              </w:rPr>
            </w:pPr>
            <w:r w:rsidRPr="00DA3C6E">
              <w:rPr>
                <w:b/>
                <w:snapToGrid w:val="0"/>
              </w:rPr>
              <w:t>Improvement in muscle strength/grip</w:t>
            </w:r>
          </w:p>
        </w:tc>
      </w:tr>
      <w:tr w:rsidR="00067458" w:rsidRPr="00DA3C6E" w14:paraId="048E6948" w14:textId="77777777" w:rsidTr="0047278C">
        <w:tc>
          <w:tcPr>
            <w:tcW w:w="782" w:type="pct"/>
            <w:shd w:val="clear" w:color="auto" w:fill="auto"/>
          </w:tcPr>
          <w:p w14:paraId="697186B2" w14:textId="77777777" w:rsidR="00067458" w:rsidRPr="00DA3C6E" w:rsidRDefault="00067458" w:rsidP="0047278C">
            <w:pPr>
              <w:pStyle w:val="TableText"/>
              <w:rPr>
                <w:snapToGrid w:val="0"/>
              </w:rPr>
            </w:pPr>
            <w:proofErr w:type="spellStart"/>
            <w:r w:rsidRPr="00DA3C6E">
              <w:t>Azulay</w:t>
            </w:r>
            <w:proofErr w:type="spellEnd"/>
            <w:r w:rsidRPr="00DA3C6E">
              <w:t xml:space="preserve"> et al. 1994</w:t>
            </w:r>
            <w:r>
              <w:t xml:space="preserve"> </w:t>
            </w:r>
            <w:r w:rsidRPr="00DA3C6E">
              <w:fldChar w:fldCharType="begin"/>
            </w:r>
            <w:r w:rsidRPr="00DA3C6E">
              <w:instrText xml:space="preserve"> ADDIN EN.CITE &lt;EndNote&gt;&lt;Cite&gt;&lt;Author&gt;Azulay&lt;/Author&gt;&lt;Year&gt;1994&lt;/Year&gt;&lt;RecNum&gt;4&lt;/RecNum&gt;&lt;DisplayText&gt;(24)&lt;/DisplayText&gt;&lt;record&gt;&lt;rec-number&gt;4&lt;/rec-number&gt;&lt;foreign-keys&gt;&lt;key app="EN" db-id="0992p2ztn5fez9e2wvnpw2xstd20f9w2dezz" timestamp="1586818281"&gt;4&lt;/key&gt;&lt;/foreign-keys&gt;&lt;ref-type name="Journal Article"&gt;17&lt;/ref-type&gt;&lt;contributors&gt;&lt;authors&gt;&lt;author&gt;Azulay, J. P.&lt;/author&gt;&lt;author&gt;Blin, O.&lt;/author&gt;&lt;author&gt;Pouget, J.&lt;/author&gt;&lt;author&gt;Boucraut, J.&lt;/author&gt;&lt;author&gt;Bille-Turc, F.&lt;/author&gt;&lt;author&gt;Carles, G.&lt;/author&gt;&lt;author&gt;Serratrice, G.&lt;/author&gt;&lt;/authors&gt;&lt;/contributors&gt;&lt;auth-address&gt;Department of Neurology, University Hospital Timone, Marseilles, France.&lt;/auth-address&gt;&lt;titles&gt;&lt;title&gt;Intravenous immunoglobulin treatment in patients with motor neuron syndromes associated with anti-GM1 antibodies: a double-blind, placebo-controlled study&lt;/title&gt;&lt;secondary-title&gt;Neurology&lt;/secondary-title&gt;&lt;alt-title&gt;Neurology&lt;/alt-title&gt;&lt;/titles&gt;&lt;periodical&gt;&lt;full-title&gt;Neurology&lt;/full-title&gt;&lt;/periodical&gt;&lt;alt-periodical&gt;&lt;full-title&gt;Neurology&lt;/full-title&gt;&lt;/alt-periodical&gt;&lt;pages&gt;429-32&lt;/pages&gt;&lt;volume&gt;44&lt;/volume&gt;&lt;number&gt;3 Pt 1&lt;/number&gt;&lt;edition&gt;1994/03/01&lt;/edition&gt;&lt;keywords&gt;&lt;keyword&gt;Adult&lt;/keyword&gt;&lt;keyword&gt;Autoantibodies/*blood&lt;/keyword&gt;&lt;keyword&gt;Double-Blind Method&lt;/keyword&gt;&lt;keyword&gt;Female&lt;/keyword&gt;&lt;keyword&gt;G(M1) Ganglioside/*immunology&lt;/keyword&gt;&lt;keyword&gt;Humans&lt;/keyword&gt;&lt;keyword&gt;Immunoglobulins, Intravenous/*therapeutic use&lt;/keyword&gt;&lt;keyword&gt;Isometric Contraction/physiology&lt;/keyword&gt;&lt;keyword&gt;Male&lt;/keyword&gt;&lt;keyword&gt;Middle Aged&lt;/keyword&gt;&lt;keyword&gt;Motor Neuron Disease/immunology/physiopathology/*therapy&lt;/keyword&gt;&lt;/keywords&gt;&lt;dates&gt;&lt;year&gt;1994&lt;/year&gt;&lt;pub-dates&gt;&lt;date&gt;Mar&lt;/date&gt;&lt;/pub-dates&gt;&lt;/dates&gt;&lt;isbn&gt;0028-3878 (Print)&amp;#xD;0028-3878&lt;/isbn&gt;&lt;accession-num&gt;8145910&lt;/accession-num&gt;&lt;urls&gt;&lt;/urls&gt;&lt;electronic-resource-num&gt;10.1212/wnl.44.3_part_1.429&lt;/electronic-resource-num&gt;&lt;remote-database-provider&gt;NLM&lt;/remote-database-provider&gt;&lt;research-notes&gt;Included. Need to find full text&lt;/research-notes&gt;&lt;language&gt;eng&lt;/language&gt;&lt;/record&gt;&lt;/Cite&gt;&lt;/EndNote&gt;</w:instrText>
            </w:r>
            <w:r w:rsidRPr="00DA3C6E">
              <w:fldChar w:fldCharType="separate"/>
            </w:r>
            <w:r w:rsidRPr="00DA3C6E">
              <w:rPr>
                <w:noProof/>
              </w:rPr>
              <w:t>(</w:t>
            </w:r>
            <w:hyperlink w:anchor="_ENREF_24" w:tooltip="Azulay, 1994 #4" w:history="1">
              <w:r w:rsidRPr="00DA3C6E">
                <w:rPr>
                  <w:noProof/>
                </w:rPr>
                <w:t>24</w:t>
              </w:r>
            </w:hyperlink>
            <w:r w:rsidRPr="00DA3C6E">
              <w:rPr>
                <w:noProof/>
              </w:rPr>
              <w:t>)</w:t>
            </w:r>
            <w:r w:rsidRPr="00DA3C6E">
              <w:fldChar w:fldCharType="end"/>
            </w:r>
          </w:p>
        </w:tc>
        <w:tc>
          <w:tcPr>
            <w:tcW w:w="774" w:type="pct"/>
            <w:vAlign w:val="center"/>
          </w:tcPr>
          <w:p w14:paraId="434937BA" w14:textId="77777777" w:rsidR="00067458" w:rsidRPr="00DA3C6E" w:rsidRDefault="00067458" w:rsidP="0047278C">
            <w:pPr>
              <w:pStyle w:val="TableText"/>
              <w:ind w:left="16" w:right="117"/>
              <w:jc w:val="center"/>
              <w:rPr>
                <w:snapToGrid w:val="0"/>
                <w:color w:val="FFFFFF" w:themeColor="background1"/>
              </w:rPr>
            </w:pPr>
            <w:r w:rsidRPr="00DA3C6E">
              <w:rPr>
                <w:snapToGrid w:val="0"/>
              </w:rPr>
              <w:t>Some concern</w:t>
            </w:r>
          </w:p>
        </w:tc>
        <w:tc>
          <w:tcPr>
            <w:tcW w:w="766" w:type="pct"/>
            <w:shd w:val="clear" w:color="auto" w:fill="auto"/>
          </w:tcPr>
          <w:p w14:paraId="6AEBA4F9" w14:textId="77777777" w:rsidR="00067458" w:rsidRPr="00DA3C6E" w:rsidRDefault="00067458" w:rsidP="0047278C">
            <w:pPr>
              <w:pStyle w:val="TableText"/>
              <w:ind w:left="111" w:right="117"/>
              <w:jc w:val="center"/>
              <w:rPr>
                <w:snapToGrid w:val="0"/>
                <w:color w:val="FFFFFF" w:themeColor="background1"/>
              </w:rPr>
            </w:pPr>
            <w:r w:rsidRPr="00DA3C6E">
              <w:rPr>
                <w:szCs w:val="20"/>
              </w:rPr>
              <w:t>5/5 (100)</w:t>
            </w:r>
          </w:p>
        </w:tc>
        <w:tc>
          <w:tcPr>
            <w:tcW w:w="767" w:type="pct"/>
            <w:gridSpan w:val="2"/>
            <w:shd w:val="clear" w:color="auto" w:fill="auto"/>
          </w:tcPr>
          <w:p w14:paraId="6D24CC74" w14:textId="77777777" w:rsidR="00067458" w:rsidRPr="00DA3C6E" w:rsidRDefault="00067458" w:rsidP="0047278C">
            <w:pPr>
              <w:pStyle w:val="TableText"/>
              <w:ind w:left="77" w:right="117"/>
              <w:jc w:val="center"/>
              <w:rPr>
                <w:snapToGrid w:val="0"/>
                <w:color w:val="FFFFFF" w:themeColor="background1"/>
              </w:rPr>
            </w:pPr>
            <w:r w:rsidRPr="00DA3C6E">
              <w:rPr>
                <w:szCs w:val="20"/>
              </w:rPr>
              <w:t>0/5 (0)</w:t>
            </w:r>
          </w:p>
        </w:tc>
        <w:tc>
          <w:tcPr>
            <w:tcW w:w="810" w:type="pct"/>
            <w:shd w:val="clear" w:color="auto" w:fill="auto"/>
            <w:vAlign w:val="center"/>
          </w:tcPr>
          <w:p w14:paraId="37C482D7" w14:textId="77777777" w:rsidR="00067458" w:rsidRPr="00DA3C6E" w:rsidRDefault="00067458" w:rsidP="0047278C">
            <w:pPr>
              <w:pStyle w:val="TableText"/>
              <w:ind w:left="41" w:right="117"/>
              <w:jc w:val="center"/>
              <w:rPr>
                <w:i/>
                <w:snapToGrid w:val="0"/>
              </w:rPr>
            </w:pPr>
            <w:r w:rsidRPr="00DA3C6E">
              <w:rPr>
                <w:i/>
                <w:snapToGrid w:val="0"/>
              </w:rPr>
              <w:t>NE</w:t>
            </w:r>
          </w:p>
        </w:tc>
        <w:tc>
          <w:tcPr>
            <w:tcW w:w="1101" w:type="pct"/>
            <w:shd w:val="clear" w:color="auto" w:fill="auto"/>
            <w:vAlign w:val="center"/>
          </w:tcPr>
          <w:p w14:paraId="08DC3FF6" w14:textId="77777777" w:rsidR="00067458" w:rsidRPr="00DA3C6E" w:rsidRDefault="00067458" w:rsidP="0047278C">
            <w:pPr>
              <w:pStyle w:val="TableText"/>
              <w:ind w:right="117"/>
              <w:jc w:val="center"/>
              <w:rPr>
                <w:i/>
                <w:snapToGrid w:val="0"/>
              </w:rPr>
            </w:pPr>
            <w:r w:rsidRPr="00DA3C6E">
              <w:rPr>
                <w:i/>
                <w:snapToGrid w:val="0"/>
              </w:rPr>
              <w:t>1 (1, 1)</w:t>
            </w:r>
          </w:p>
        </w:tc>
      </w:tr>
      <w:tr w:rsidR="00067458" w:rsidRPr="00DA3C6E" w14:paraId="60C2A45B" w14:textId="77777777" w:rsidTr="0047278C">
        <w:tc>
          <w:tcPr>
            <w:tcW w:w="782" w:type="pct"/>
            <w:shd w:val="clear" w:color="auto" w:fill="auto"/>
          </w:tcPr>
          <w:p w14:paraId="6669A960" w14:textId="77777777" w:rsidR="00067458" w:rsidRPr="00DA3C6E" w:rsidRDefault="00067458" w:rsidP="0047278C">
            <w:pPr>
              <w:pStyle w:val="TableText"/>
              <w:rPr>
                <w:snapToGrid w:val="0"/>
              </w:rPr>
            </w:pPr>
            <w:r w:rsidRPr="00DA3C6E">
              <w:rPr>
                <w:lang w:val="es-CL"/>
              </w:rPr>
              <w:t xml:space="preserve">Van den </w:t>
            </w:r>
            <w:proofErr w:type="spellStart"/>
            <w:r w:rsidRPr="00DA3C6E">
              <w:rPr>
                <w:lang w:val="es-CL"/>
              </w:rPr>
              <w:t>Berg</w:t>
            </w:r>
            <w:proofErr w:type="spellEnd"/>
            <w:r w:rsidRPr="00DA3C6E">
              <w:rPr>
                <w:lang w:val="es-CL"/>
              </w:rPr>
              <w:t xml:space="preserve"> et al.  </w:t>
            </w:r>
            <w:r w:rsidRPr="00DA3C6E">
              <w:t>1995</w:t>
            </w:r>
            <w:r>
              <w:t xml:space="preserve"> </w:t>
            </w:r>
            <w:r w:rsidRPr="00DA3C6E">
              <w:fldChar w:fldCharType="begin"/>
            </w:r>
            <w:r w:rsidRPr="00DA3C6E">
              <w:instrText xml:space="preserve"> ADDIN EN.CITE &lt;EndNote&gt;&lt;Cite&gt;&lt;Author&gt;Van den Berg&lt;/Author&gt;&lt;Year&gt;1995&lt;/Year&gt;&lt;RecNum&gt;77&lt;/RecNum&gt;&lt;DisplayText&gt;(25)&lt;/DisplayText&gt;&lt;record&gt;&lt;rec-number&gt;77&lt;/rec-number&gt;&lt;foreign-keys&gt;&lt;key app="EN" db-id="0992p2ztn5fez9e2wvnpw2xstd20f9w2dezz" timestamp="1586863422"&gt;77&lt;/key&gt;&lt;/foreign-keys&gt;&lt;ref-type name="Journal Article"&gt;17&lt;/ref-type&gt;&lt;contributors&gt;&lt;authors&gt;&lt;author&gt;Van den Berg, L. H.&lt;/author&gt;&lt;author&gt;Kerkhoff, H.&lt;/author&gt;&lt;author&gt;Oey, P. L.&lt;/author&gt;&lt;author&gt;Franssen, H.&lt;/author&gt;&lt;author&gt;Mollee, I.&lt;/author&gt;&lt;author&gt;Vermeulen, M.&lt;/author&gt;&lt;author&gt;Jennekens, F. G.&lt;/author&gt;&lt;author&gt;Wokke, J. H.&lt;/author&gt;&lt;/authors&gt;&lt;/contributors&gt;&lt;auth-address&gt;Rudolf Magnus Research School in the Neurosciences, Department of Neurology, University Hospital Utrecht, The Netherlands.&lt;/auth-address&gt;&lt;titles&gt;&lt;title&gt;Treatment of multifocal motor neuropathy with high dose intravenous immunoglobulins: a double blind, placebo controlled study&lt;/title&gt;&lt;secondary-title&gt;J Neurol Neurosurg Psychiatry&lt;/secondary-title&gt;&lt;alt-title&gt;Journal of neurology, neurosurgery, and psychiatry&lt;/alt-title&gt;&lt;/titles&gt;&lt;alt-periodical&gt;&lt;full-title&gt;Journal of neurology, neurosurgery, and psychiatry&lt;/full-title&gt;&lt;/alt-periodical&gt;&lt;pages&gt;248-52&lt;/pages&gt;&lt;volume&gt;59&lt;/volume&gt;&lt;number&gt;3&lt;/number&gt;&lt;edition&gt;1995/09/01&lt;/edition&gt;&lt;keywords&gt;&lt;keyword&gt;Adult&lt;/keyword&gt;&lt;keyword&gt;Double-Blind Method&lt;/keyword&gt;&lt;keyword&gt;Female&lt;/keyword&gt;&lt;keyword&gt;Humans&lt;/keyword&gt;&lt;keyword&gt;Immunoglobulins, Intravenous/*administration &amp;amp; dosage/therapeutic use&lt;/keyword&gt;&lt;keyword&gt;Male&lt;/keyword&gt;&lt;keyword&gt;Middle Aged&lt;/keyword&gt;&lt;keyword&gt;Motor Neuron Disease/physiopathology/*therapy&lt;/keyword&gt;&lt;keyword&gt;Muscles/physiopathology&lt;/keyword&gt;&lt;/keywords&gt;&lt;dates&gt;&lt;year&gt;1995&lt;/year&gt;&lt;pub-dates&gt;&lt;date&gt;Sep&lt;/date&gt;&lt;/pub-dates&gt;&lt;/dates&gt;&lt;isbn&gt;0022-3050 (Print)&amp;#xD;0022-3050&lt;/isbn&gt;&lt;accession-num&gt;7673950&lt;/accession-num&gt;&lt;urls&gt;&lt;/urls&gt;&lt;custom2&gt;PMC486021&lt;/custom2&gt;&lt;electronic-resource-num&gt;10.1136/jnnp.59.3.248&lt;/electronic-resource-num&gt;&lt;remote-database-provider&gt;NLM&lt;/remote-database-provider&gt;&lt;language&gt;eng&lt;/language&gt;&lt;/record&gt;&lt;/Cite&gt;&lt;/EndNote&gt;</w:instrText>
            </w:r>
            <w:r w:rsidRPr="00DA3C6E">
              <w:fldChar w:fldCharType="separate"/>
            </w:r>
            <w:r w:rsidRPr="00DA3C6E">
              <w:rPr>
                <w:noProof/>
              </w:rPr>
              <w:t>(</w:t>
            </w:r>
            <w:hyperlink w:anchor="_ENREF_25" w:tooltip="Van den Berg, 1995 #77" w:history="1">
              <w:r w:rsidRPr="00DA3C6E">
                <w:rPr>
                  <w:noProof/>
                </w:rPr>
                <w:t>25</w:t>
              </w:r>
            </w:hyperlink>
            <w:r w:rsidRPr="00DA3C6E">
              <w:rPr>
                <w:noProof/>
              </w:rPr>
              <w:t>)</w:t>
            </w:r>
            <w:r w:rsidRPr="00DA3C6E">
              <w:fldChar w:fldCharType="end"/>
            </w:r>
          </w:p>
        </w:tc>
        <w:tc>
          <w:tcPr>
            <w:tcW w:w="774" w:type="pct"/>
            <w:vAlign w:val="center"/>
          </w:tcPr>
          <w:p w14:paraId="7E93A6E1" w14:textId="77777777" w:rsidR="00067458" w:rsidRPr="00DA3C6E" w:rsidRDefault="00067458" w:rsidP="0047278C">
            <w:pPr>
              <w:pStyle w:val="TableText"/>
              <w:ind w:left="16" w:right="117"/>
              <w:jc w:val="center"/>
              <w:rPr>
                <w:snapToGrid w:val="0"/>
                <w:color w:val="FFFFFF" w:themeColor="background1"/>
              </w:rPr>
            </w:pPr>
            <w:r w:rsidRPr="00DA3C6E">
              <w:rPr>
                <w:snapToGrid w:val="0"/>
              </w:rPr>
              <w:t xml:space="preserve">Low </w:t>
            </w:r>
          </w:p>
        </w:tc>
        <w:tc>
          <w:tcPr>
            <w:tcW w:w="766" w:type="pct"/>
            <w:shd w:val="clear" w:color="auto" w:fill="auto"/>
          </w:tcPr>
          <w:p w14:paraId="0176123C" w14:textId="77777777" w:rsidR="00067458" w:rsidRPr="00DA3C6E" w:rsidRDefault="00067458" w:rsidP="0047278C">
            <w:pPr>
              <w:pStyle w:val="TableText"/>
              <w:ind w:left="111" w:right="117"/>
              <w:jc w:val="center"/>
              <w:rPr>
                <w:snapToGrid w:val="0"/>
                <w:color w:val="FFFFFF" w:themeColor="background1"/>
              </w:rPr>
            </w:pPr>
            <w:r w:rsidRPr="00DA3C6E">
              <w:rPr>
                <w:szCs w:val="20"/>
              </w:rPr>
              <w:t>5/6 (83)</w:t>
            </w:r>
          </w:p>
        </w:tc>
        <w:tc>
          <w:tcPr>
            <w:tcW w:w="767" w:type="pct"/>
            <w:gridSpan w:val="2"/>
            <w:shd w:val="clear" w:color="auto" w:fill="auto"/>
          </w:tcPr>
          <w:p w14:paraId="29A62B17" w14:textId="77777777" w:rsidR="00067458" w:rsidRPr="00DA3C6E" w:rsidRDefault="00067458" w:rsidP="0047278C">
            <w:pPr>
              <w:pStyle w:val="TableText"/>
              <w:ind w:left="77" w:right="117"/>
              <w:jc w:val="center"/>
              <w:rPr>
                <w:snapToGrid w:val="0"/>
                <w:color w:val="FFFFFF" w:themeColor="background1"/>
              </w:rPr>
            </w:pPr>
            <w:r w:rsidRPr="00DA3C6E">
              <w:rPr>
                <w:szCs w:val="20"/>
              </w:rPr>
              <w:t>1/6 (16.7)</w:t>
            </w:r>
          </w:p>
        </w:tc>
        <w:tc>
          <w:tcPr>
            <w:tcW w:w="810" w:type="pct"/>
            <w:shd w:val="clear" w:color="auto" w:fill="auto"/>
            <w:vAlign w:val="center"/>
          </w:tcPr>
          <w:p w14:paraId="66CFDA09" w14:textId="77777777" w:rsidR="00067458" w:rsidRPr="00DA3C6E" w:rsidRDefault="00067458" w:rsidP="0047278C">
            <w:pPr>
              <w:pStyle w:val="TableText"/>
              <w:ind w:left="41" w:right="117"/>
              <w:jc w:val="center"/>
              <w:rPr>
                <w:i/>
                <w:snapToGrid w:val="0"/>
              </w:rPr>
            </w:pPr>
            <w:r w:rsidRPr="00DA3C6E">
              <w:rPr>
                <w:i/>
                <w:snapToGrid w:val="0"/>
              </w:rPr>
              <w:t>5 (0.81, 31.00)</w:t>
            </w:r>
          </w:p>
        </w:tc>
        <w:tc>
          <w:tcPr>
            <w:tcW w:w="1101" w:type="pct"/>
            <w:shd w:val="clear" w:color="auto" w:fill="auto"/>
            <w:vAlign w:val="center"/>
          </w:tcPr>
          <w:p w14:paraId="4EEC77F4" w14:textId="77777777" w:rsidR="00067458" w:rsidRPr="00DA3C6E" w:rsidRDefault="00067458" w:rsidP="0047278C">
            <w:pPr>
              <w:pStyle w:val="TableText"/>
              <w:ind w:right="117"/>
              <w:jc w:val="center"/>
              <w:rPr>
                <w:i/>
                <w:snapToGrid w:val="0"/>
              </w:rPr>
            </w:pPr>
            <w:r w:rsidRPr="00DA3C6E">
              <w:rPr>
                <w:i/>
                <w:snapToGrid w:val="0"/>
              </w:rPr>
              <w:t>0.67 (0.25, 1.09)</w:t>
            </w:r>
          </w:p>
        </w:tc>
      </w:tr>
      <w:tr w:rsidR="00067458" w:rsidRPr="00DA3C6E" w14:paraId="658D9F1C" w14:textId="77777777" w:rsidTr="0047278C">
        <w:tc>
          <w:tcPr>
            <w:tcW w:w="782" w:type="pct"/>
            <w:shd w:val="clear" w:color="auto" w:fill="auto"/>
          </w:tcPr>
          <w:p w14:paraId="2628134C" w14:textId="77777777" w:rsidR="00067458" w:rsidRPr="00DA3C6E" w:rsidRDefault="00067458" w:rsidP="0047278C">
            <w:pPr>
              <w:pStyle w:val="TableText"/>
              <w:rPr>
                <w:snapToGrid w:val="0"/>
              </w:rPr>
            </w:pPr>
            <w:r w:rsidRPr="00DA3C6E">
              <w:t>Federico et al. 2000</w:t>
            </w:r>
            <w:r>
              <w:t xml:space="preserve"> </w: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 </w:instrTex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EN.CITE.DATA </w:instrText>
            </w:r>
            <w:r w:rsidRPr="00DA3C6E">
              <w:fldChar w:fldCharType="end"/>
            </w:r>
            <w:r w:rsidRPr="00DA3C6E">
              <w:fldChar w:fldCharType="separate"/>
            </w:r>
            <w:r w:rsidRPr="00DA3C6E">
              <w:rPr>
                <w:noProof/>
              </w:rPr>
              <w:t>(</w:t>
            </w:r>
            <w:hyperlink w:anchor="_ENREF_26" w:tooltip="Federico, 2000 #20" w:history="1">
              <w:r w:rsidRPr="00DA3C6E">
                <w:rPr>
                  <w:noProof/>
                </w:rPr>
                <w:t>26</w:t>
              </w:r>
            </w:hyperlink>
            <w:r w:rsidRPr="00DA3C6E">
              <w:rPr>
                <w:noProof/>
              </w:rPr>
              <w:t>)</w:t>
            </w:r>
            <w:r w:rsidRPr="00DA3C6E">
              <w:fldChar w:fldCharType="end"/>
            </w:r>
          </w:p>
        </w:tc>
        <w:tc>
          <w:tcPr>
            <w:tcW w:w="774" w:type="pct"/>
            <w:vAlign w:val="center"/>
          </w:tcPr>
          <w:p w14:paraId="6A791516" w14:textId="77777777" w:rsidR="00067458" w:rsidRPr="00DA3C6E" w:rsidRDefault="00067458" w:rsidP="0047278C">
            <w:pPr>
              <w:pStyle w:val="TableText"/>
              <w:ind w:left="16" w:right="117"/>
              <w:jc w:val="center"/>
              <w:rPr>
                <w:snapToGrid w:val="0"/>
                <w:color w:val="FFFFFF" w:themeColor="background1"/>
              </w:rPr>
            </w:pPr>
            <w:r w:rsidRPr="00DA3C6E">
              <w:rPr>
                <w:snapToGrid w:val="0"/>
              </w:rPr>
              <w:t>Low</w:t>
            </w:r>
          </w:p>
        </w:tc>
        <w:tc>
          <w:tcPr>
            <w:tcW w:w="766" w:type="pct"/>
            <w:shd w:val="clear" w:color="auto" w:fill="auto"/>
          </w:tcPr>
          <w:p w14:paraId="422ADBF6" w14:textId="77777777" w:rsidR="00067458" w:rsidRPr="00DA3C6E" w:rsidRDefault="00067458" w:rsidP="0047278C">
            <w:pPr>
              <w:pStyle w:val="TableText"/>
              <w:ind w:left="111" w:right="117"/>
              <w:jc w:val="center"/>
              <w:rPr>
                <w:snapToGrid w:val="0"/>
                <w:color w:val="FFFFFF" w:themeColor="background1"/>
              </w:rPr>
            </w:pPr>
            <w:r w:rsidRPr="00DA3C6E">
              <w:rPr>
                <w:szCs w:val="20"/>
              </w:rPr>
              <w:t>11/16 (68.8)</w:t>
            </w:r>
            <w:r w:rsidRPr="00DA3C6E">
              <w:rPr>
                <w:szCs w:val="20"/>
                <w:vertAlign w:val="superscript"/>
              </w:rPr>
              <w:t>a</w:t>
            </w:r>
          </w:p>
        </w:tc>
        <w:tc>
          <w:tcPr>
            <w:tcW w:w="767" w:type="pct"/>
            <w:gridSpan w:val="2"/>
            <w:shd w:val="clear" w:color="auto" w:fill="auto"/>
          </w:tcPr>
          <w:p w14:paraId="01454696" w14:textId="77777777" w:rsidR="00067458" w:rsidRPr="00DA3C6E" w:rsidRDefault="00067458" w:rsidP="0047278C">
            <w:pPr>
              <w:pStyle w:val="TableText"/>
              <w:ind w:left="77" w:right="117"/>
              <w:jc w:val="center"/>
              <w:rPr>
                <w:snapToGrid w:val="0"/>
                <w:color w:val="FFFFFF" w:themeColor="background1"/>
              </w:rPr>
            </w:pPr>
            <w:r w:rsidRPr="00DA3C6E">
              <w:rPr>
                <w:szCs w:val="20"/>
              </w:rPr>
              <w:t>0/16 (0)</w:t>
            </w:r>
            <w:r w:rsidRPr="00DA3C6E">
              <w:rPr>
                <w:szCs w:val="20"/>
                <w:vertAlign w:val="superscript"/>
              </w:rPr>
              <w:t>a</w:t>
            </w:r>
          </w:p>
        </w:tc>
        <w:tc>
          <w:tcPr>
            <w:tcW w:w="810" w:type="pct"/>
            <w:shd w:val="clear" w:color="auto" w:fill="auto"/>
            <w:vAlign w:val="center"/>
          </w:tcPr>
          <w:p w14:paraId="59B19047" w14:textId="77777777" w:rsidR="00067458" w:rsidRPr="00DA3C6E" w:rsidRDefault="00067458" w:rsidP="0047278C">
            <w:pPr>
              <w:pStyle w:val="TableText"/>
              <w:ind w:left="41" w:right="117"/>
              <w:jc w:val="center"/>
              <w:rPr>
                <w:i/>
                <w:snapToGrid w:val="0"/>
              </w:rPr>
            </w:pPr>
            <w:r w:rsidRPr="00DA3C6E">
              <w:rPr>
                <w:i/>
                <w:snapToGrid w:val="0"/>
              </w:rPr>
              <w:t>NE</w:t>
            </w:r>
          </w:p>
        </w:tc>
        <w:tc>
          <w:tcPr>
            <w:tcW w:w="1101" w:type="pct"/>
            <w:shd w:val="clear" w:color="auto" w:fill="auto"/>
            <w:vAlign w:val="center"/>
          </w:tcPr>
          <w:p w14:paraId="0BF8DEF2" w14:textId="77777777" w:rsidR="00067458" w:rsidRPr="00DA3C6E" w:rsidRDefault="00067458" w:rsidP="0047278C">
            <w:pPr>
              <w:pStyle w:val="TableText"/>
              <w:ind w:right="117"/>
              <w:jc w:val="center"/>
              <w:rPr>
                <w:i/>
                <w:snapToGrid w:val="0"/>
              </w:rPr>
            </w:pPr>
            <w:r w:rsidRPr="00DA3C6E">
              <w:rPr>
                <w:i/>
                <w:snapToGrid w:val="0"/>
              </w:rPr>
              <w:t>0.67 (0.46, 0.92)</w:t>
            </w:r>
          </w:p>
        </w:tc>
      </w:tr>
      <w:tr w:rsidR="00067458" w:rsidRPr="00DA3C6E" w14:paraId="56887BD7" w14:textId="77777777" w:rsidTr="0047278C">
        <w:tc>
          <w:tcPr>
            <w:tcW w:w="782" w:type="pct"/>
            <w:shd w:val="clear" w:color="auto" w:fill="auto"/>
          </w:tcPr>
          <w:p w14:paraId="051DF408" w14:textId="77777777" w:rsidR="00067458" w:rsidRPr="00DA3C6E" w:rsidRDefault="00067458" w:rsidP="0047278C">
            <w:pPr>
              <w:pStyle w:val="TableText"/>
              <w:rPr>
                <w:snapToGrid w:val="0"/>
              </w:rPr>
            </w:pPr>
            <w:r w:rsidRPr="00DA3C6E">
              <w:t>Leger et al. 2001</w:t>
            </w:r>
            <w:r>
              <w:t xml:space="preserve"> </w: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 </w:instrTex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EN.CITE.DATA </w:instrText>
            </w:r>
            <w:r w:rsidRPr="00DA3C6E">
              <w:fldChar w:fldCharType="end"/>
            </w:r>
            <w:r w:rsidRPr="00DA3C6E">
              <w:fldChar w:fldCharType="separate"/>
            </w:r>
            <w:r w:rsidRPr="00DA3C6E">
              <w:rPr>
                <w:noProof/>
              </w:rPr>
              <w:t>(</w:t>
            </w:r>
            <w:hyperlink w:anchor="_ENREF_27" w:tooltip="Leger, 2001 #39" w:history="1">
              <w:r w:rsidRPr="00DA3C6E">
                <w:rPr>
                  <w:noProof/>
                </w:rPr>
                <w:t>27</w:t>
              </w:r>
            </w:hyperlink>
            <w:r w:rsidRPr="00DA3C6E">
              <w:rPr>
                <w:noProof/>
              </w:rPr>
              <w:t>)</w:t>
            </w:r>
            <w:r w:rsidRPr="00DA3C6E">
              <w:fldChar w:fldCharType="end"/>
            </w:r>
          </w:p>
        </w:tc>
        <w:tc>
          <w:tcPr>
            <w:tcW w:w="774" w:type="pct"/>
            <w:vAlign w:val="center"/>
          </w:tcPr>
          <w:p w14:paraId="692777DF" w14:textId="77777777" w:rsidR="00067458" w:rsidRPr="00DA3C6E" w:rsidRDefault="00067458" w:rsidP="0047278C">
            <w:pPr>
              <w:pStyle w:val="TableText"/>
              <w:ind w:left="16" w:right="117"/>
              <w:jc w:val="center"/>
              <w:rPr>
                <w:snapToGrid w:val="0"/>
                <w:color w:val="FFFFFF" w:themeColor="background1"/>
              </w:rPr>
            </w:pPr>
          </w:p>
        </w:tc>
        <w:tc>
          <w:tcPr>
            <w:tcW w:w="766" w:type="pct"/>
            <w:shd w:val="clear" w:color="auto" w:fill="auto"/>
          </w:tcPr>
          <w:p w14:paraId="2A2EA338" w14:textId="77777777" w:rsidR="00067458" w:rsidRPr="00DA3C6E" w:rsidRDefault="00067458" w:rsidP="0047278C">
            <w:pPr>
              <w:pStyle w:val="TableText"/>
              <w:ind w:left="111" w:right="117"/>
              <w:jc w:val="center"/>
              <w:rPr>
                <w:snapToGrid w:val="0"/>
                <w:color w:val="FFFFFF" w:themeColor="background1"/>
              </w:rPr>
            </w:pPr>
          </w:p>
        </w:tc>
        <w:tc>
          <w:tcPr>
            <w:tcW w:w="767" w:type="pct"/>
            <w:gridSpan w:val="2"/>
            <w:shd w:val="clear" w:color="auto" w:fill="auto"/>
          </w:tcPr>
          <w:p w14:paraId="5A3862D3" w14:textId="77777777" w:rsidR="00067458" w:rsidRPr="00DA3C6E" w:rsidRDefault="00067458" w:rsidP="0047278C">
            <w:pPr>
              <w:pStyle w:val="TableText"/>
              <w:ind w:left="77" w:right="117"/>
              <w:jc w:val="center"/>
              <w:rPr>
                <w:snapToGrid w:val="0"/>
                <w:color w:val="FFFFFF" w:themeColor="background1"/>
              </w:rPr>
            </w:pPr>
          </w:p>
        </w:tc>
        <w:tc>
          <w:tcPr>
            <w:tcW w:w="810" w:type="pct"/>
            <w:shd w:val="clear" w:color="auto" w:fill="auto"/>
            <w:vAlign w:val="center"/>
          </w:tcPr>
          <w:p w14:paraId="40341D6E" w14:textId="77777777" w:rsidR="00067458" w:rsidRPr="00DA3C6E" w:rsidRDefault="00067458" w:rsidP="0047278C">
            <w:pPr>
              <w:pStyle w:val="TableText"/>
              <w:ind w:left="41" w:right="117"/>
              <w:jc w:val="center"/>
              <w:rPr>
                <w:i/>
                <w:snapToGrid w:val="0"/>
              </w:rPr>
            </w:pPr>
          </w:p>
        </w:tc>
        <w:tc>
          <w:tcPr>
            <w:tcW w:w="1101" w:type="pct"/>
            <w:shd w:val="clear" w:color="auto" w:fill="auto"/>
            <w:vAlign w:val="center"/>
          </w:tcPr>
          <w:p w14:paraId="2A59EA91" w14:textId="77777777" w:rsidR="00067458" w:rsidRPr="00DA3C6E" w:rsidRDefault="00067458" w:rsidP="0047278C">
            <w:pPr>
              <w:pStyle w:val="TableText"/>
              <w:ind w:right="117"/>
              <w:jc w:val="center"/>
              <w:rPr>
                <w:i/>
                <w:snapToGrid w:val="0"/>
              </w:rPr>
            </w:pPr>
          </w:p>
        </w:tc>
      </w:tr>
      <w:tr w:rsidR="00067458" w:rsidRPr="00DA3C6E" w14:paraId="1DD0896E" w14:textId="77777777" w:rsidTr="0047278C">
        <w:tc>
          <w:tcPr>
            <w:tcW w:w="782" w:type="pct"/>
            <w:shd w:val="clear" w:color="auto" w:fill="auto"/>
          </w:tcPr>
          <w:p w14:paraId="4D03C5AA" w14:textId="77777777" w:rsidR="00067458" w:rsidRPr="00DA3C6E" w:rsidRDefault="00067458" w:rsidP="0047278C">
            <w:pPr>
              <w:pStyle w:val="TableText"/>
            </w:pPr>
            <w:r w:rsidRPr="00DA3C6E">
              <w:t>All patients</w:t>
            </w:r>
          </w:p>
        </w:tc>
        <w:tc>
          <w:tcPr>
            <w:tcW w:w="774" w:type="pct"/>
            <w:vMerge w:val="restart"/>
            <w:vAlign w:val="center"/>
          </w:tcPr>
          <w:p w14:paraId="24C2ED71" w14:textId="77777777" w:rsidR="00067458" w:rsidRPr="00DA3C6E" w:rsidRDefault="00067458" w:rsidP="0047278C">
            <w:pPr>
              <w:pStyle w:val="TableText"/>
              <w:ind w:left="16" w:right="117"/>
              <w:jc w:val="center"/>
              <w:rPr>
                <w:snapToGrid w:val="0"/>
              </w:rPr>
            </w:pPr>
            <w:r w:rsidRPr="00DA3C6E">
              <w:rPr>
                <w:snapToGrid w:val="0"/>
              </w:rPr>
              <w:t>Low</w:t>
            </w:r>
          </w:p>
        </w:tc>
        <w:tc>
          <w:tcPr>
            <w:tcW w:w="766" w:type="pct"/>
            <w:shd w:val="clear" w:color="auto" w:fill="auto"/>
            <w:vAlign w:val="center"/>
          </w:tcPr>
          <w:p w14:paraId="651BC3FE" w14:textId="77777777" w:rsidR="00067458" w:rsidRPr="00DA3C6E" w:rsidRDefault="00067458" w:rsidP="0047278C">
            <w:pPr>
              <w:pStyle w:val="TableText"/>
              <w:ind w:left="111" w:right="117"/>
              <w:jc w:val="center"/>
              <w:rPr>
                <w:szCs w:val="20"/>
              </w:rPr>
            </w:pPr>
            <w:r w:rsidRPr="00DA3C6E">
              <w:rPr>
                <w:szCs w:val="20"/>
              </w:rPr>
              <w:t>7/9 (77.8)</w:t>
            </w:r>
            <w:r w:rsidRPr="00DA3C6E">
              <w:rPr>
                <w:szCs w:val="20"/>
                <w:vertAlign w:val="superscript"/>
              </w:rPr>
              <w:t>b</w:t>
            </w:r>
          </w:p>
        </w:tc>
        <w:tc>
          <w:tcPr>
            <w:tcW w:w="767" w:type="pct"/>
            <w:gridSpan w:val="2"/>
            <w:shd w:val="clear" w:color="auto" w:fill="auto"/>
            <w:vAlign w:val="center"/>
          </w:tcPr>
          <w:p w14:paraId="753ACD19" w14:textId="77777777" w:rsidR="00067458" w:rsidRPr="00DA3C6E" w:rsidRDefault="00067458" w:rsidP="0047278C">
            <w:pPr>
              <w:pStyle w:val="TableText"/>
              <w:ind w:left="77" w:right="117"/>
              <w:jc w:val="center"/>
              <w:rPr>
                <w:szCs w:val="20"/>
              </w:rPr>
            </w:pPr>
            <w:r w:rsidRPr="00DA3C6E">
              <w:rPr>
                <w:szCs w:val="20"/>
              </w:rPr>
              <w:t>2/9(22.2)</w:t>
            </w:r>
            <w:r w:rsidRPr="00DA3C6E">
              <w:rPr>
                <w:szCs w:val="20"/>
                <w:vertAlign w:val="superscript"/>
              </w:rPr>
              <w:t>b</w:t>
            </w:r>
          </w:p>
        </w:tc>
        <w:tc>
          <w:tcPr>
            <w:tcW w:w="810" w:type="pct"/>
            <w:shd w:val="clear" w:color="auto" w:fill="auto"/>
            <w:vAlign w:val="center"/>
          </w:tcPr>
          <w:p w14:paraId="6BDB3283" w14:textId="77777777" w:rsidR="00067458" w:rsidRPr="00DA3C6E" w:rsidRDefault="00067458" w:rsidP="0047278C">
            <w:pPr>
              <w:pStyle w:val="TableText"/>
              <w:ind w:left="41" w:right="117"/>
              <w:jc w:val="center"/>
              <w:rPr>
                <w:i/>
                <w:snapToGrid w:val="0"/>
              </w:rPr>
            </w:pPr>
            <w:r w:rsidRPr="00DA3C6E">
              <w:rPr>
                <w:i/>
                <w:snapToGrid w:val="0"/>
              </w:rPr>
              <w:t>3.5 (0.98, 12.48)</w:t>
            </w:r>
          </w:p>
        </w:tc>
        <w:tc>
          <w:tcPr>
            <w:tcW w:w="1101" w:type="pct"/>
            <w:shd w:val="clear" w:color="auto" w:fill="auto"/>
            <w:vAlign w:val="center"/>
          </w:tcPr>
          <w:p w14:paraId="532DC44C" w14:textId="77777777" w:rsidR="00067458" w:rsidRPr="00DA3C6E" w:rsidRDefault="00067458" w:rsidP="0047278C">
            <w:pPr>
              <w:pStyle w:val="TableText"/>
              <w:ind w:right="117"/>
              <w:jc w:val="center"/>
              <w:rPr>
                <w:i/>
                <w:snapToGrid w:val="0"/>
              </w:rPr>
            </w:pPr>
            <w:r w:rsidRPr="00DA3C6E">
              <w:rPr>
                <w:i/>
                <w:snapToGrid w:val="0"/>
              </w:rPr>
              <w:t>0.56 (0.17, 0.94)</w:t>
            </w:r>
          </w:p>
        </w:tc>
      </w:tr>
      <w:tr w:rsidR="00067458" w:rsidRPr="00DA3C6E" w14:paraId="1724203C" w14:textId="77777777" w:rsidTr="0047278C">
        <w:tc>
          <w:tcPr>
            <w:tcW w:w="782" w:type="pct"/>
            <w:shd w:val="clear" w:color="auto" w:fill="auto"/>
          </w:tcPr>
          <w:p w14:paraId="6434F110" w14:textId="77777777" w:rsidR="00067458" w:rsidRPr="00DA3C6E" w:rsidRDefault="00067458" w:rsidP="0047278C">
            <w:pPr>
              <w:pStyle w:val="TableText"/>
              <w:jc w:val="left"/>
            </w:pPr>
            <w:r w:rsidRPr="00DA3C6E">
              <w:t>Treatment-naïve patients)</w:t>
            </w:r>
          </w:p>
        </w:tc>
        <w:tc>
          <w:tcPr>
            <w:tcW w:w="774" w:type="pct"/>
            <w:vMerge/>
            <w:vAlign w:val="center"/>
          </w:tcPr>
          <w:p w14:paraId="5E10E42D" w14:textId="77777777" w:rsidR="00067458" w:rsidRPr="00DA3C6E" w:rsidRDefault="00067458" w:rsidP="0047278C">
            <w:pPr>
              <w:pStyle w:val="TableText"/>
              <w:ind w:left="16" w:right="117"/>
              <w:jc w:val="center"/>
              <w:rPr>
                <w:snapToGrid w:val="0"/>
              </w:rPr>
            </w:pPr>
          </w:p>
        </w:tc>
        <w:tc>
          <w:tcPr>
            <w:tcW w:w="766" w:type="pct"/>
            <w:shd w:val="clear" w:color="auto" w:fill="auto"/>
            <w:vAlign w:val="center"/>
          </w:tcPr>
          <w:p w14:paraId="490E8BBB" w14:textId="77777777" w:rsidR="00067458" w:rsidRPr="00DA3C6E" w:rsidRDefault="00067458" w:rsidP="0047278C">
            <w:pPr>
              <w:pStyle w:val="TableText"/>
              <w:ind w:left="111" w:right="117"/>
              <w:jc w:val="center"/>
              <w:rPr>
                <w:snapToGrid w:val="0"/>
                <w:color w:val="FFFFFF" w:themeColor="background1"/>
              </w:rPr>
            </w:pPr>
            <w:r w:rsidRPr="00DA3C6E">
              <w:rPr>
                <w:szCs w:val="20"/>
              </w:rPr>
              <w:t>2/4 (50)</w:t>
            </w:r>
            <w:r w:rsidRPr="00DA3C6E">
              <w:rPr>
                <w:szCs w:val="20"/>
                <w:vertAlign w:val="superscript"/>
              </w:rPr>
              <w:t>c</w:t>
            </w:r>
          </w:p>
        </w:tc>
        <w:tc>
          <w:tcPr>
            <w:tcW w:w="767" w:type="pct"/>
            <w:gridSpan w:val="2"/>
            <w:shd w:val="clear" w:color="auto" w:fill="auto"/>
            <w:vAlign w:val="center"/>
          </w:tcPr>
          <w:p w14:paraId="4E1368AA" w14:textId="77777777" w:rsidR="00067458" w:rsidRPr="00DA3C6E" w:rsidRDefault="00067458" w:rsidP="0047278C">
            <w:pPr>
              <w:pStyle w:val="TableText"/>
              <w:ind w:left="77" w:right="117"/>
              <w:jc w:val="center"/>
              <w:rPr>
                <w:snapToGrid w:val="0"/>
                <w:color w:val="FFFFFF" w:themeColor="background1"/>
              </w:rPr>
            </w:pPr>
            <w:r w:rsidRPr="00DA3C6E">
              <w:rPr>
                <w:szCs w:val="20"/>
              </w:rPr>
              <w:t>2/5(40)</w:t>
            </w:r>
            <w:r w:rsidRPr="00DA3C6E">
              <w:rPr>
                <w:szCs w:val="20"/>
                <w:vertAlign w:val="superscript"/>
              </w:rPr>
              <w:t>c</w:t>
            </w:r>
          </w:p>
        </w:tc>
        <w:tc>
          <w:tcPr>
            <w:tcW w:w="810" w:type="pct"/>
            <w:shd w:val="clear" w:color="auto" w:fill="auto"/>
            <w:vAlign w:val="center"/>
          </w:tcPr>
          <w:p w14:paraId="59A31287" w14:textId="77777777" w:rsidR="00067458" w:rsidRPr="00DA3C6E" w:rsidRDefault="00067458" w:rsidP="0047278C">
            <w:pPr>
              <w:pStyle w:val="TableText"/>
              <w:ind w:left="41" w:right="117"/>
              <w:jc w:val="center"/>
              <w:rPr>
                <w:i/>
                <w:snapToGrid w:val="0"/>
              </w:rPr>
            </w:pPr>
            <w:r w:rsidRPr="00DA3C6E">
              <w:rPr>
                <w:i/>
                <w:snapToGrid w:val="0"/>
              </w:rPr>
              <w:t>1.25 (0.29, 5.34)</w:t>
            </w:r>
          </w:p>
        </w:tc>
        <w:tc>
          <w:tcPr>
            <w:tcW w:w="1101" w:type="pct"/>
            <w:shd w:val="clear" w:color="auto" w:fill="auto"/>
            <w:vAlign w:val="center"/>
          </w:tcPr>
          <w:p w14:paraId="600ABDE7" w14:textId="77777777" w:rsidR="00067458" w:rsidRPr="00DA3C6E" w:rsidRDefault="00067458" w:rsidP="0047278C">
            <w:pPr>
              <w:pStyle w:val="TableText"/>
              <w:ind w:right="117"/>
              <w:jc w:val="center"/>
              <w:rPr>
                <w:i/>
                <w:snapToGrid w:val="0"/>
              </w:rPr>
            </w:pPr>
            <w:r w:rsidRPr="00DA3C6E">
              <w:rPr>
                <w:i/>
                <w:snapToGrid w:val="0"/>
              </w:rPr>
              <w:t>0.10 (-0.55, 0.75)</w:t>
            </w:r>
          </w:p>
        </w:tc>
      </w:tr>
      <w:tr w:rsidR="00067458" w:rsidRPr="00DA3C6E" w14:paraId="4B9500DC" w14:textId="77777777" w:rsidTr="0047278C">
        <w:tc>
          <w:tcPr>
            <w:tcW w:w="782" w:type="pct"/>
            <w:shd w:val="clear" w:color="auto" w:fill="auto"/>
          </w:tcPr>
          <w:p w14:paraId="5FF5650D" w14:textId="77777777" w:rsidR="00067458" w:rsidRPr="00DA3C6E" w:rsidRDefault="00067458" w:rsidP="0047278C">
            <w:pPr>
              <w:pStyle w:val="TableText"/>
              <w:jc w:val="left"/>
            </w:pPr>
            <w:r w:rsidRPr="00DA3C6E">
              <w:t>Pre-treated patients)</w:t>
            </w:r>
          </w:p>
        </w:tc>
        <w:tc>
          <w:tcPr>
            <w:tcW w:w="774" w:type="pct"/>
            <w:vMerge/>
            <w:vAlign w:val="center"/>
          </w:tcPr>
          <w:p w14:paraId="643299F5" w14:textId="77777777" w:rsidR="00067458" w:rsidRPr="00DA3C6E" w:rsidRDefault="00067458" w:rsidP="0047278C">
            <w:pPr>
              <w:pStyle w:val="TableText"/>
              <w:ind w:left="16" w:right="117"/>
              <w:jc w:val="center"/>
              <w:rPr>
                <w:snapToGrid w:val="0"/>
              </w:rPr>
            </w:pPr>
          </w:p>
        </w:tc>
        <w:tc>
          <w:tcPr>
            <w:tcW w:w="766" w:type="pct"/>
            <w:shd w:val="clear" w:color="auto" w:fill="auto"/>
            <w:vAlign w:val="center"/>
          </w:tcPr>
          <w:p w14:paraId="04493DF9" w14:textId="77777777" w:rsidR="00067458" w:rsidRPr="00DA3C6E" w:rsidRDefault="00067458" w:rsidP="0047278C">
            <w:pPr>
              <w:pStyle w:val="TableText"/>
              <w:ind w:left="111" w:right="117"/>
              <w:jc w:val="center"/>
              <w:rPr>
                <w:snapToGrid w:val="0"/>
                <w:color w:val="FFFFFF" w:themeColor="background1"/>
              </w:rPr>
            </w:pPr>
            <w:r w:rsidRPr="00DA3C6E">
              <w:rPr>
                <w:szCs w:val="20"/>
              </w:rPr>
              <w:t>5/5 (100)</w:t>
            </w:r>
            <w:r w:rsidRPr="00DA3C6E">
              <w:rPr>
                <w:szCs w:val="20"/>
                <w:vertAlign w:val="superscript"/>
              </w:rPr>
              <w:t>d</w:t>
            </w:r>
          </w:p>
        </w:tc>
        <w:tc>
          <w:tcPr>
            <w:tcW w:w="767" w:type="pct"/>
            <w:gridSpan w:val="2"/>
            <w:shd w:val="clear" w:color="auto" w:fill="auto"/>
            <w:vAlign w:val="center"/>
          </w:tcPr>
          <w:p w14:paraId="08DB3780" w14:textId="77777777" w:rsidR="00067458" w:rsidRPr="00DA3C6E" w:rsidRDefault="00067458" w:rsidP="0047278C">
            <w:pPr>
              <w:pStyle w:val="TableText"/>
              <w:ind w:left="77" w:right="117"/>
              <w:jc w:val="center"/>
              <w:rPr>
                <w:snapToGrid w:val="0"/>
                <w:color w:val="FFFFFF" w:themeColor="background1"/>
              </w:rPr>
            </w:pPr>
            <w:r w:rsidRPr="00DA3C6E">
              <w:rPr>
                <w:szCs w:val="20"/>
              </w:rPr>
              <w:t>0/4 (0)</w:t>
            </w:r>
            <w:r w:rsidRPr="00DA3C6E">
              <w:rPr>
                <w:szCs w:val="20"/>
                <w:vertAlign w:val="superscript"/>
              </w:rPr>
              <w:t>d</w:t>
            </w:r>
          </w:p>
        </w:tc>
        <w:tc>
          <w:tcPr>
            <w:tcW w:w="810" w:type="pct"/>
            <w:shd w:val="clear" w:color="auto" w:fill="auto"/>
            <w:vAlign w:val="center"/>
          </w:tcPr>
          <w:p w14:paraId="5CECEC42" w14:textId="77777777" w:rsidR="00067458" w:rsidRPr="00DA3C6E" w:rsidRDefault="00067458" w:rsidP="0047278C">
            <w:pPr>
              <w:pStyle w:val="TableText"/>
              <w:ind w:left="41" w:right="117"/>
              <w:jc w:val="center"/>
              <w:rPr>
                <w:i/>
                <w:snapToGrid w:val="0"/>
              </w:rPr>
            </w:pPr>
            <w:r w:rsidRPr="00DA3C6E">
              <w:rPr>
                <w:i/>
                <w:snapToGrid w:val="0"/>
              </w:rPr>
              <w:t>NE</w:t>
            </w:r>
          </w:p>
        </w:tc>
        <w:tc>
          <w:tcPr>
            <w:tcW w:w="1101" w:type="pct"/>
            <w:shd w:val="clear" w:color="auto" w:fill="auto"/>
            <w:vAlign w:val="center"/>
          </w:tcPr>
          <w:p w14:paraId="08309A1D" w14:textId="77777777" w:rsidR="00067458" w:rsidRPr="00DA3C6E" w:rsidRDefault="00067458" w:rsidP="0047278C">
            <w:pPr>
              <w:pStyle w:val="TableText"/>
              <w:ind w:right="117"/>
              <w:jc w:val="center"/>
              <w:rPr>
                <w:i/>
                <w:snapToGrid w:val="0"/>
              </w:rPr>
            </w:pPr>
            <w:r w:rsidRPr="00DA3C6E">
              <w:rPr>
                <w:i/>
                <w:snapToGrid w:val="0"/>
              </w:rPr>
              <w:t>1 (1, 1)</w:t>
            </w:r>
          </w:p>
        </w:tc>
      </w:tr>
      <w:tr w:rsidR="00067458" w:rsidRPr="00DA3C6E" w14:paraId="285F9BBB" w14:textId="77777777" w:rsidTr="0047278C">
        <w:tc>
          <w:tcPr>
            <w:tcW w:w="782" w:type="pct"/>
            <w:shd w:val="clear" w:color="auto" w:fill="auto"/>
            <w:vAlign w:val="center"/>
          </w:tcPr>
          <w:p w14:paraId="2E4EC5D9" w14:textId="77777777" w:rsidR="00067458" w:rsidRPr="00DA3C6E" w:rsidRDefault="00067458" w:rsidP="0047278C">
            <w:pPr>
              <w:pStyle w:val="TableText"/>
              <w:rPr>
                <w:snapToGrid w:val="0"/>
              </w:rPr>
            </w:pPr>
            <w:r w:rsidRPr="00DA3C6E">
              <w:t>Hahn et al. 2013</w:t>
            </w:r>
            <w:r>
              <w:t xml:space="preserve"> </w: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 </w:instrTex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EN.CITE.DATA </w:instrText>
            </w:r>
            <w:r w:rsidRPr="00DA3C6E">
              <w:fldChar w:fldCharType="end"/>
            </w:r>
            <w:r w:rsidRPr="00DA3C6E">
              <w:fldChar w:fldCharType="separate"/>
            </w:r>
            <w:r w:rsidRPr="00DA3C6E">
              <w:rPr>
                <w:noProof/>
              </w:rPr>
              <w:t>(</w:t>
            </w:r>
            <w:hyperlink w:anchor="_ENREF_28" w:tooltip="Hahn, 2013 #26" w:history="1">
              <w:r w:rsidRPr="00DA3C6E">
                <w:rPr>
                  <w:noProof/>
                </w:rPr>
                <w:t>28</w:t>
              </w:r>
            </w:hyperlink>
            <w:r w:rsidRPr="00DA3C6E">
              <w:rPr>
                <w:noProof/>
              </w:rPr>
              <w:t>)</w:t>
            </w:r>
            <w:r w:rsidRPr="00DA3C6E">
              <w:fldChar w:fldCharType="end"/>
            </w:r>
          </w:p>
        </w:tc>
        <w:tc>
          <w:tcPr>
            <w:tcW w:w="774" w:type="pct"/>
            <w:vAlign w:val="center"/>
          </w:tcPr>
          <w:p w14:paraId="1F08EC14" w14:textId="77777777" w:rsidR="00067458" w:rsidRPr="00DA3C6E" w:rsidRDefault="00067458" w:rsidP="0047278C">
            <w:pPr>
              <w:pStyle w:val="TableText"/>
              <w:ind w:left="16" w:right="117"/>
              <w:jc w:val="center"/>
              <w:rPr>
                <w:snapToGrid w:val="0"/>
                <w:color w:val="FFFFFF" w:themeColor="background1"/>
              </w:rPr>
            </w:pPr>
            <w:r w:rsidRPr="00DA3C6E">
              <w:rPr>
                <w:snapToGrid w:val="0"/>
              </w:rPr>
              <w:t>Low</w:t>
            </w:r>
          </w:p>
        </w:tc>
        <w:tc>
          <w:tcPr>
            <w:tcW w:w="766" w:type="pct"/>
            <w:shd w:val="clear" w:color="auto" w:fill="auto"/>
          </w:tcPr>
          <w:p w14:paraId="3455715D" w14:textId="77777777" w:rsidR="00067458" w:rsidRPr="00DA3C6E" w:rsidRDefault="00067458" w:rsidP="0047278C">
            <w:pPr>
              <w:pStyle w:val="TableText"/>
              <w:ind w:left="111" w:right="117"/>
              <w:jc w:val="center"/>
              <w:rPr>
                <w:snapToGrid w:val="0"/>
                <w:color w:val="FFFFFF" w:themeColor="background1"/>
                <w:vertAlign w:val="superscript"/>
              </w:rPr>
            </w:pPr>
            <w:r w:rsidRPr="00DA3C6E">
              <w:rPr>
                <w:szCs w:val="20"/>
              </w:rPr>
              <w:t>40/42 (95.2)</w:t>
            </w:r>
            <w:r w:rsidRPr="00DA3C6E">
              <w:rPr>
                <w:szCs w:val="20"/>
                <w:vertAlign w:val="superscript"/>
              </w:rPr>
              <w:t>e</w:t>
            </w:r>
          </w:p>
        </w:tc>
        <w:tc>
          <w:tcPr>
            <w:tcW w:w="767" w:type="pct"/>
            <w:gridSpan w:val="2"/>
            <w:shd w:val="clear" w:color="auto" w:fill="auto"/>
          </w:tcPr>
          <w:p w14:paraId="4CEADC2B" w14:textId="77777777" w:rsidR="00067458" w:rsidRPr="00DA3C6E" w:rsidRDefault="00067458" w:rsidP="0047278C">
            <w:pPr>
              <w:pStyle w:val="TableText"/>
              <w:ind w:left="77" w:right="117"/>
              <w:jc w:val="center"/>
              <w:rPr>
                <w:snapToGrid w:val="0"/>
                <w:color w:val="FFFFFF" w:themeColor="background1"/>
                <w:vertAlign w:val="superscript"/>
              </w:rPr>
            </w:pPr>
            <w:r w:rsidRPr="00DA3C6E">
              <w:rPr>
                <w:szCs w:val="20"/>
              </w:rPr>
              <w:t>24/42 (57.1)</w:t>
            </w:r>
            <w:r w:rsidRPr="00DA3C6E">
              <w:rPr>
                <w:szCs w:val="20"/>
                <w:vertAlign w:val="superscript"/>
              </w:rPr>
              <w:t>e</w:t>
            </w:r>
          </w:p>
        </w:tc>
        <w:tc>
          <w:tcPr>
            <w:tcW w:w="810" w:type="pct"/>
            <w:shd w:val="clear" w:color="auto" w:fill="auto"/>
            <w:vAlign w:val="center"/>
          </w:tcPr>
          <w:p w14:paraId="690D4039" w14:textId="77777777" w:rsidR="00067458" w:rsidRPr="00DA3C6E" w:rsidRDefault="00067458" w:rsidP="0047278C">
            <w:pPr>
              <w:pStyle w:val="TableText"/>
              <w:ind w:left="41" w:right="117"/>
              <w:jc w:val="center"/>
              <w:rPr>
                <w:b/>
                <w:i/>
                <w:snapToGrid w:val="0"/>
              </w:rPr>
            </w:pPr>
            <w:r w:rsidRPr="00DA3C6E">
              <w:rPr>
                <w:b/>
                <w:i/>
                <w:snapToGrid w:val="0"/>
              </w:rPr>
              <w:t>1.67 (1.27, 2.18)</w:t>
            </w:r>
          </w:p>
        </w:tc>
        <w:tc>
          <w:tcPr>
            <w:tcW w:w="1101" w:type="pct"/>
            <w:shd w:val="clear" w:color="auto" w:fill="auto"/>
            <w:vAlign w:val="center"/>
          </w:tcPr>
          <w:p w14:paraId="3C65CC69" w14:textId="77777777" w:rsidR="00067458" w:rsidRPr="00DA3C6E" w:rsidRDefault="00067458" w:rsidP="0047278C">
            <w:pPr>
              <w:pStyle w:val="TableText"/>
              <w:ind w:right="117"/>
              <w:jc w:val="center"/>
              <w:rPr>
                <w:i/>
                <w:snapToGrid w:val="0"/>
              </w:rPr>
            </w:pPr>
            <w:r w:rsidRPr="00DA3C6E">
              <w:rPr>
                <w:i/>
                <w:snapToGrid w:val="0"/>
              </w:rPr>
              <w:t>0.38 (0.22, 0.54)</w:t>
            </w:r>
          </w:p>
        </w:tc>
      </w:tr>
      <w:tr w:rsidR="00067458" w:rsidRPr="00DA3C6E" w14:paraId="1243894E" w14:textId="77777777" w:rsidTr="0047278C">
        <w:tc>
          <w:tcPr>
            <w:tcW w:w="782" w:type="pct"/>
            <w:shd w:val="clear" w:color="auto" w:fill="auto"/>
            <w:vAlign w:val="center"/>
          </w:tcPr>
          <w:p w14:paraId="76E628A0" w14:textId="77777777" w:rsidR="00067458" w:rsidRPr="00DA3C6E" w:rsidRDefault="00067458" w:rsidP="0047278C">
            <w:pPr>
              <w:pStyle w:val="TableText"/>
              <w:rPr>
                <w:snapToGrid w:val="0"/>
              </w:rPr>
            </w:pPr>
            <w:r w:rsidRPr="00DA3C6E">
              <w:rPr>
                <w:snapToGrid w:val="0"/>
              </w:rPr>
              <w:t>Pooled result</w:t>
            </w:r>
          </w:p>
        </w:tc>
        <w:tc>
          <w:tcPr>
            <w:tcW w:w="4218" w:type="pct"/>
            <w:gridSpan w:val="6"/>
            <w:vAlign w:val="center"/>
          </w:tcPr>
          <w:p w14:paraId="76B17E34" w14:textId="77777777" w:rsidR="00067458" w:rsidRPr="00DA3C6E" w:rsidRDefault="00067458" w:rsidP="0047278C">
            <w:pPr>
              <w:pStyle w:val="TableText"/>
              <w:ind w:right="117"/>
              <w:jc w:val="center"/>
              <w:rPr>
                <w:b/>
                <w:i/>
                <w:snapToGrid w:val="0"/>
              </w:rPr>
            </w:pPr>
            <w:r w:rsidRPr="00DA3C6E">
              <w:rPr>
                <w:b/>
                <w:i/>
                <w:snapToGrid w:val="0"/>
              </w:rPr>
              <w:t>RR = 3.51 (95% CI 1.12, 11.05: p value = 0.03)</w:t>
            </w:r>
          </w:p>
        </w:tc>
      </w:tr>
      <w:tr w:rsidR="00067458" w:rsidRPr="00DA3C6E" w14:paraId="7B500BF5" w14:textId="77777777" w:rsidTr="0047278C">
        <w:tc>
          <w:tcPr>
            <w:tcW w:w="5000" w:type="pct"/>
            <w:gridSpan w:val="7"/>
            <w:shd w:val="clear" w:color="auto" w:fill="auto"/>
            <w:vAlign w:val="center"/>
          </w:tcPr>
          <w:p w14:paraId="43F724EA" w14:textId="77777777" w:rsidR="00067458" w:rsidRPr="00DA3C6E" w:rsidRDefault="00067458" w:rsidP="0047278C">
            <w:pPr>
              <w:pStyle w:val="TableText"/>
              <w:ind w:right="117"/>
              <w:rPr>
                <w:b/>
                <w:snapToGrid w:val="0"/>
              </w:rPr>
            </w:pPr>
            <w:r w:rsidRPr="00DA3C6E">
              <w:rPr>
                <w:b/>
                <w:snapToGrid w:val="0"/>
              </w:rPr>
              <w:t>Mean change in muscle strength or grip</w:t>
            </w:r>
          </w:p>
        </w:tc>
      </w:tr>
      <w:tr w:rsidR="00067458" w:rsidRPr="00DA3C6E" w14:paraId="6CC284A7" w14:textId="77777777" w:rsidTr="0047278C">
        <w:tc>
          <w:tcPr>
            <w:tcW w:w="782" w:type="pct"/>
            <w:shd w:val="clear" w:color="auto" w:fill="auto"/>
          </w:tcPr>
          <w:p w14:paraId="48E7A5DF" w14:textId="77777777" w:rsidR="00067458" w:rsidRPr="00DA3C6E" w:rsidRDefault="00067458" w:rsidP="0047278C">
            <w:pPr>
              <w:pStyle w:val="TableText"/>
              <w:rPr>
                <w:snapToGrid w:val="0"/>
              </w:rPr>
            </w:pPr>
            <w:proofErr w:type="spellStart"/>
            <w:r w:rsidRPr="00DA3C6E">
              <w:t>Azulay</w:t>
            </w:r>
            <w:proofErr w:type="spellEnd"/>
            <w:r w:rsidRPr="00DA3C6E">
              <w:t xml:space="preserve"> et al. 1994</w:t>
            </w:r>
            <w:r>
              <w:t xml:space="preserve"> </w:t>
            </w:r>
            <w:r w:rsidRPr="00DA3C6E">
              <w:fldChar w:fldCharType="begin"/>
            </w:r>
            <w:r w:rsidRPr="00DA3C6E">
              <w:instrText xml:space="preserve"> ADDIN EN.CITE &lt;EndNote&gt;&lt;Cite&gt;&lt;Author&gt;Azulay&lt;/Author&gt;&lt;Year&gt;1994&lt;/Year&gt;&lt;RecNum&gt;4&lt;/RecNum&gt;&lt;DisplayText&gt;(24)&lt;/DisplayText&gt;&lt;record&gt;&lt;rec-number&gt;4&lt;/rec-number&gt;&lt;foreign-keys&gt;&lt;key app="EN" db-id="0992p2ztn5fez9e2wvnpw2xstd20f9w2dezz" timestamp="1586818281"&gt;4&lt;/key&gt;&lt;/foreign-keys&gt;&lt;ref-type name="Journal Article"&gt;17&lt;/ref-type&gt;&lt;contributors&gt;&lt;authors&gt;&lt;author&gt;Azulay, J. P.&lt;/author&gt;&lt;author&gt;Blin, O.&lt;/author&gt;&lt;author&gt;Pouget, J.&lt;/author&gt;&lt;author&gt;Boucraut, J.&lt;/author&gt;&lt;author&gt;Bille-Turc, F.&lt;/author&gt;&lt;author&gt;Carles, G.&lt;/author&gt;&lt;author&gt;Serratrice, G.&lt;/author&gt;&lt;/authors&gt;&lt;/contributors&gt;&lt;auth-address&gt;Department of Neurology, University Hospital Timone, Marseilles, France.&lt;/auth-address&gt;&lt;titles&gt;&lt;title&gt;Intravenous immunoglobulin treatment in patients with motor neuron syndromes associated with anti-GM1 antibodies: a double-blind, placebo-controlled study&lt;/title&gt;&lt;secondary-title&gt;Neurology&lt;/secondary-title&gt;&lt;alt-title&gt;Neurology&lt;/alt-title&gt;&lt;/titles&gt;&lt;periodical&gt;&lt;full-title&gt;Neurology&lt;/full-title&gt;&lt;/periodical&gt;&lt;alt-periodical&gt;&lt;full-title&gt;Neurology&lt;/full-title&gt;&lt;/alt-periodical&gt;&lt;pages&gt;429-32&lt;/pages&gt;&lt;volume&gt;44&lt;/volume&gt;&lt;number&gt;3 Pt 1&lt;/number&gt;&lt;edition&gt;1994/03/01&lt;/edition&gt;&lt;keywords&gt;&lt;keyword&gt;Adult&lt;/keyword&gt;&lt;keyword&gt;Autoantibodies/*blood&lt;/keyword&gt;&lt;keyword&gt;Double-Blind Method&lt;/keyword&gt;&lt;keyword&gt;Female&lt;/keyword&gt;&lt;keyword&gt;G(M1) Ganglioside/*immunology&lt;/keyword&gt;&lt;keyword&gt;Humans&lt;/keyword&gt;&lt;keyword&gt;Immunoglobulins, Intravenous/*therapeutic use&lt;/keyword&gt;&lt;keyword&gt;Isometric Contraction/physiology&lt;/keyword&gt;&lt;keyword&gt;Male&lt;/keyword&gt;&lt;keyword&gt;Middle Aged&lt;/keyword&gt;&lt;keyword&gt;Motor Neuron Disease/immunology/physiopathology/*therapy&lt;/keyword&gt;&lt;/keywords&gt;&lt;dates&gt;&lt;year&gt;1994&lt;/year&gt;&lt;pub-dates&gt;&lt;date&gt;Mar&lt;/date&gt;&lt;/pub-dates&gt;&lt;/dates&gt;&lt;isbn&gt;0028-3878 (Print)&amp;#xD;0028-3878&lt;/isbn&gt;&lt;accession-num&gt;8145910&lt;/accession-num&gt;&lt;urls&gt;&lt;/urls&gt;&lt;electronic-resource-num&gt;10.1212/wnl.44.3_part_1.429&lt;/electronic-resource-num&gt;&lt;remote-database-provider&gt;NLM&lt;/remote-database-provider&gt;&lt;research-notes&gt;Included. Need to find full text&lt;/research-notes&gt;&lt;language&gt;eng&lt;/language&gt;&lt;/record&gt;&lt;/Cite&gt;&lt;/EndNote&gt;</w:instrText>
            </w:r>
            <w:r w:rsidRPr="00DA3C6E">
              <w:fldChar w:fldCharType="separate"/>
            </w:r>
            <w:r w:rsidRPr="00DA3C6E">
              <w:rPr>
                <w:noProof/>
              </w:rPr>
              <w:t>(</w:t>
            </w:r>
            <w:hyperlink w:anchor="_ENREF_24" w:tooltip="Azulay, 1994 #4" w:history="1">
              <w:r w:rsidRPr="00DA3C6E">
                <w:rPr>
                  <w:noProof/>
                </w:rPr>
                <w:t>24</w:t>
              </w:r>
            </w:hyperlink>
            <w:r w:rsidRPr="00DA3C6E">
              <w:rPr>
                <w:noProof/>
              </w:rPr>
              <w:t>)</w:t>
            </w:r>
            <w:r w:rsidRPr="00DA3C6E">
              <w:fldChar w:fldCharType="end"/>
            </w:r>
          </w:p>
        </w:tc>
        <w:tc>
          <w:tcPr>
            <w:tcW w:w="774" w:type="pct"/>
            <w:vAlign w:val="center"/>
          </w:tcPr>
          <w:p w14:paraId="79D33D31" w14:textId="77777777" w:rsidR="00067458" w:rsidRPr="00DA3C6E" w:rsidRDefault="00067458" w:rsidP="0047278C">
            <w:pPr>
              <w:pStyle w:val="TableText"/>
              <w:ind w:left="16" w:right="117"/>
              <w:jc w:val="center"/>
              <w:rPr>
                <w:snapToGrid w:val="0"/>
                <w:color w:val="FFFFFF" w:themeColor="background1"/>
              </w:rPr>
            </w:pPr>
            <w:r w:rsidRPr="00DA3C6E">
              <w:rPr>
                <w:snapToGrid w:val="0"/>
              </w:rPr>
              <w:t>Some concern</w:t>
            </w:r>
          </w:p>
        </w:tc>
        <w:tc>
          <w:tcPr>
            <w:tcW w:w="766" w:type="pct"/>
            <w:shd w:val="clear" w:color="auto" w:fill="auto"/>
          </w:tcPr>
          <w:p w14:paraId="37DF7132" w14:textId="77777777" w:rsidR="00067458" w:rsidRPr="00DA3C6E" w:rsidRDefault="00067458" w:rsidP="0047278C">
            <w:pPr>
              <w:pStyle w:val="TableText"/>
              <w:ind w:left="111" w:right="117"/>
              <w:jc w:val="center"/>
              <w:rPr>
                <w:snapToGrid w:val="0"/>
                <w:color w:val="FFFFFF" w:themeColor="background1"/>
                <w:vertAlign w:val="superscript"/>
              </w:rPr>
            </w:pPr>
            <w:r w:rsidRPr="00DA3C6E">
              <w:rPr>
                <w:szCs w:val="20"/>
              </w:rPr>
              <w:t>103.2</w:t>
            </w:r>
            <w:r w:rsidRPr="00DA3C6E">
              <w:rPr>
                <w:szCs w:val="20"/>
                <w:vertAlign w:val="superscript"/>
              </w:rPr>
              <w:t>f</w:t>
            </w:r>
          </w:p>
        </w:tc>
        <w:tc>
          <w:tcPr>
            <w:tcW w:w="767" w:type="pct"/>
            <w:gridSpan w:val="2"/>
            <w:shd w:val="clear" w:color="auto" w:fill="auto"/>
          </w:tcPr>
          <w:p w14:paraId="12065053" w14:textId="77777777" w:rsidR="00067458" w:rsidRPr="00DA3C6E" w:rsidRDefault="00067458" w:rsidP="0047278C">
            <w:pPr>
              <w:pStyle w:val="TableText"/>
              <w:ind w:left="77" w:right="117"/>
              <w:jc w:val="center"/>
              <w:rPr>
                <w:snapToGrid w:val="0"/>
                <w:color w:val="FFFFFF" w:themeColor="background1"/>
                <w:vertAlign w:val="superscript"/>
              </w:rPr>
            </w:pPr>
            <w:r w:rsidRPr="00DA3C6E">
              <w:rPr>
                <w:szCs w:val="20"/>
              </w:rPr>
              <w:t>-1.6</w:t>
            </w:r>
            <w:r w:rsidRPr="00DA3C6E">
              <w:rPr>
                <w:szCs w:val="20"/>
                <w:vertAlign w:val="superscript"/>
              </w:rPr>
              <w:t>f</w:t>
            </w:r>
          </w:p>
        </w:tc>
        <w:tc>
          <w:tcPr>
            <w:tcW w:w="810" w:type="pct"/>
            <w:shd w:val="clear" w:color="auto" w:fill="auto"/>
          </w:tcPr>
          <w:p w14:paraId="17444CBB" w14:textId="77777777" w:rsidR="00067458" w:rsidRPr="00DA3C6E" w:rsidRDefault="00067458" w:rsidP="0047278C">
            <w:pPr>
              <w:pStyle w:val="TableText"/>
              <w:ind w:left="41" w:right="117"/>
              <w:jc w:val="center"/>
              <w:rPr>
                <w:snapToGrid w:val="0"/>
              </w:rPr>
            </w:pPr>
            <w:r w:rsidRPr="00DA3C6E">
              <w:rPr>
                <w:snapToGrid w:val="0"/>
              </w:rPr>
              <w:t>NE</w:t>
            </w:r>
          </w:p>
        </w:tc>
        <w:tc>
          <w:tcPr>
            <w:tcW w:w="1101" w:type="pct"/>
            <w:shd w:val="clear" w:color="auto" w:fill="auto"/>
          </w:tcPr>
          <w:p w14:paraId="32406DD6" w14:textId="77777777" w:rsidR="00067458" w:rsidRPr="00DA3C6E" w:rsidRDefault="00067458" w:rsidP="0047278C">
            <w:pPr>
              <w:pStyle w:val="TableText"/>
              <w:ind w:right="117"/>
              <w:jc w:val="center"/>
              <w:rPr>
                <w:snapToGrid w:val="0"/>
              </w:rPr>
            </w:pPr>
            <w:r w:rsidRPr="00DA3C6E">
              <w:rPr>
                <w:snapToGrid w:val="0"/>
              </w:rPr>
              <w:t>NE</w:t>
            </w:r>
          </w:p>
        </w:tc>
      </w:tr>
      <w:tr w:rsidR="00067458" w:rsidRPr="00DA3C6E" w14:paraId="0E68AFB3" w14:textId="77777777" w:rsidTr="0047278C">
        <w:tc>
          <w:tcPr>
            <w:tcW w:w="782" w:type="pct"/>
            <w:shd w:val="clear" w:color="auto" w:fill="auto"/>
          </w:tcPr>
          <w:p w14:paraId="7D67F9AB" w14:textId="77777777" w:rsidR="00067458" w:rsidRPr="00DA3C6E" w:rsidRDefault="00067458" w:rsidP="0047278C">
            <w:pPr>
              <w:pStyle w:val="TableText"/>
              <w:rPr>
                <w:snapToGrid w:val="0"/>
              </w:rPr>
            </w:pPr>
            <w:r w:rsidRPr="00DA3C6E">
              <w:rPr>
                <w:lang w:val="es-CL"/>
              </w:rPr>
              <w:t xml:space="preserve">Van den </w:t>
            </w:r>
            <w:proofErr w:type="spellStart"/>
            <w:r w:rsidRPr="00DA3C6E">
              <w:rPr>
                <w:lang w:val="es-CL"/>
              </w:rPr>
              <w:t>Berg</w:t>
            </w:r>
            <w:proofErr w:type="spellEnd"/>
            <w:r w:rsidRPr="00DA3C6E">
              <w:rPr>
                <w:lang w:val="es-CL"/>
              </w:rPr>
              <w:t xml:space="preserve"> et al.  </w:t>
            </w:r>
            <w:r w:rsidRPr="00DA3C6E">
              <w:t>1995</w:t>
            </w:r>
            <w:r>
              <w:t xml:space="preserve"> </w:t>
            </w:r>
            <w:r w:rsidRPr="00DA3C6E">
              <w:fldChar w:fldCharType="begin"/>
            </w:r>
            <w:r w:rsidRPr="00DA3C6E">
              <w:instrText xml:space="preserve"> ADDIN EN.CITE &lt;EndNote&gt;&lt;Cite&gt;&lt;Author&gt;Van den Berg&lt;/Author&gt;&lt;Year&gt;1995&lt;/Year&gt;&lt;RecNum&gt;77&lt;/RecNum&gt;&lt;DisplayText&gt;(25)&lt;/DisplayText&gt;&lt;record&gt;&lt;rec-number&gt;77&lt;/rec-number&gt;&lt;foreign-keys&gt;&lt;key app="EN" db-id="0992p2ztn5fez9e2wvnpw2xstd20f9w2dezz" timestamp="1586863422"&gt;77&lt;/key&gt;&lt;/foreign-keys&gt;&lt;ref-type name="Journal Article"&gt;17&lt;/ref-type&gt;&lt;contributors&gt;&lt;authors&gt;&lt;author&gt;Van den Berg, L. H.&lt;/author&gt;&lt;author&gt;Kerkhoff, H.&lt;/author&gt;&lt;author&gt;Oey, P. L.&lt;/author&gt;&lt;author&gt;Franssen, H.&lt;/author&gt;&lt;author&gt;Mollee, I.&lt;/author&gt;&lt;author&gt;Vermeulen, M.&lt;/author&gt;&lt;author&gt;Jennekens, F. G.&lt;/author&gt;&lt;author&gt;Wokke, J. H.&lt;/author&gt;&lt;/authors&gt;&lt;/contributors&gt;&lt;auth-address&gt;Rudolf Magnus Research School in the Neurosciences, Department of Neurology, University Hospital Utrecht, The Netherlands.&lt;/auth-address&gt;&lt;titles&gt;&lt;title&gt;Treatment of multifocal motor neuropathy with high dose intravenous immunoglobulins: a double blind, placebo controlled study&lt;/title&gt;&lt;secondary-title&gt;J Neurol Neurosurg Psychiatry&lt;/secondary-title&gt;&lt;alt-title&gt;Journal of neurology, neurosurgery, and psychiatry&lt;/alt-title&gt;&lt;/titles&gt;&lt;alt-periodical&gt;&lt;full-title&gt;Journal of neurology, neurosurgery, and psychiatry&lt;/full-title&gt;&lt;/alt-periodical&gt;&lt;pages&gt;248-52&lt;/pages&gt;&lt;volume&gt;59&lt;/volume&gt;&lt;number&gt;3&lt;/number&gt;&lt;edition&gt;1995/09/01&lt;/edition&gt;&lt;keywords&gt;&lt;keyword&gt;Adult&lt;/keyword&gt;&lt;keyword&gt;Double-Blind Method&lt;/keyword&gt;&lt;keyword&gt;Female&lt;/keyword&gt;&lt;keyword&gt;Humans&lt;/keyword&gt;&lt;keyword&gt;Immunoglobulins, Intravenous/*administration &amp;amp; dosage/therapeutic use&lt;/keyword&gt;&lt;keyword&gt;Male&lt;/keyword&gt;&lt;keyword&gt;Middle Aged&lt;/keyword&gt;&lt;keyword&gt;Motor Neuron Disease/physiopathology/*therapy&lt;/keyword&gt;&lt;keyword&gt;Muscles/physiopathology&lt;/keyword&gt;&lt;/keywords&gt;&lt;dates&gt;&lt;year&gt;1995&lt;/year&gt;&lt;pub-dates&gt;&lt;date&gt;Sep&lt;/date&gt;&lt;/pub-dates&gt;&lt;/dates&gt;&lt;isbn&gt;0022-3050 (Print)&amp;#xD;0022-3050&lt;/isbn&gt;&lt;accession-num&gt;7673950&lt;/accession-num&gt;&lt;urls&gt;&lt;/urls&gt;&lt;custom2&gt;PMC486021&lt;/custom2&gt;&lt;electronic-resource-num&gt;10.1136/jnnp.59.3.248&lt;/electronic-resource-num&gt;&lt;remote-database-provider&gt;NLM&lt;/remote-database-provider&gt;&lt;language&gt;eng&lt;/language&gt;&lt;/record&gt;&lt;/Cite&gt;&lt;/EndNote&gt;</w:instrText>
            </w:r>
            <w:r w:rsidRPr="00DA3C6E">
              <w:fldChar w:fldCharType="separate"/>
            </w:r>
            <w:r w:rsidRPr="00DA3C6E">
              <w:rPr>
                <w:noProof/>
              </w:rPr>
              <w:t>(</w:t>
            </w:r>
            <w:hyperlink w:anchor="_ENREF_25" w:tooltip="Van den Berg, 1995 #77" w:history="1">
              <w:r w:rsidRPr="00DA3C6E">
                <w:rPr>
                  <w:noProof/>
                </w:rPr>
                <w:t>25</w:t>
              </w:r>
            </w:hyperlink>
            <w:r w:rsidRPr="00DA3C6E">
              <w:rPr>
                <w:noProof/>
              </w:rPr>
              <w:t>)</w:t>
            </w:r>
            <w:r w:rsidRPr="00DA3C6E">
              <w:fldChar w:fldCharType="end"/>
            </w:r>
          </w:p>
        </w:tc>
        <w:tc>
          <w:tcPr>
            <w:tcW w:w="774" w:type="pct"/>
            <w:vAlign w:val="center"/>
          </w:tcPr>
          <w:p w14:paraId="18E210D5" w14:textId="77777777" w:rsidR="00067458" w:rsidRPr="00DA3C6E" w:rsidRDefault="00067458" w:rsidP="0047278C">
            <w:pPr>
              <w:pStyle w:val="TableText"/>
              <w:ind w:left="16" w:right="117"/>
              <w:jc w:val="center"/>
              <w:rPr>
                <w:snapToGrid w:val="0"/>
                <w:color w:val="FFFFFF" w:themeColor="background1"/>
              </w:rPr>
            </w:pPr>
            <w:r w:rsidRPr="00DA3C6E">
              <w:rPr>
                <w:snapToGrid w:val="0"/>
              </w:rPr>
              <w:t>Low</w:t>
            </w:r>
          </w:p>
        </w:tc>
        <w:tc>
          <w:tcPr>
            <w:tcW w:w="766" w:type="pct"/>
            <w:shd w:val="clear" w:color="auto" w:fill="auto"/>
            <w:vAlign w:val="center"/>
          </w:tcPr>
          <w:p w14:paraId="33AC6AA9" w14:textId="77777777" w:rsidR="00067458" w:rsidRPr="00DA3C6E" w:rsidRDefault="00067458" w:rsidP="0047278C">
            <w:pPr>
              <w:pStyle w:val="TableText"/>
              <w:ind w:left="111" w:right="117"/>
              <w:jc w:val="center"/>
              <w:rPr>
                <w:snapToGrid w:val="0"/>
                <w:color w:val="FFFFFF" w:themeColor="background1"/>
              </w:rPr>
            </w:pPr>
            <w:r w:rsidRPr="00DA3C6E">
              <w:rPr>
                <w:szCs w:val="20"/>
              </w:rPr>
              <w:t>NR</w:t>
            </w:r>
          </w:p>
        </w:tc>
        <w:tc>
          <w:tcPr>
            <w:tcW w:w="767" w:type="pct"/>
            <w:gridSpan w:val="2"/>
            <w:shd w:val="clear" w:color="auto" w:fill="auto"/>
            <w:vAlign w:val="center"/>
          </w:tcPr>
          <w:p w14:paraId="7884A078" w14:textId="77777777" w:rsidR="00067458" w:rsidRPr="00DA3C6E" w:rsidRDefault="00067458" w:rsidP="0047278C">
            <w:pPr>
              <w:pStyle w:val="TableText"/>
              <w:ind w:left="77" w:right="117"/>
              <w:jc w:val="center"/>
              <w:rPr>
                <w:snapToGrid w:val="0"/>
                <w:color w:val="FFFFFF" w:themeColor="background1"/>
              </w:rPr>
            </w:pPr>
            <w:r w:rsidRPr="00DA3C6E">
              <w:rPr>
                <w:szCs w:val="20"/>
              </w:rPr>
              <w:t>NR</w:t>
            </w:r>
          </w:p>
        </w:tc>
        <w:tc>
          <w:tcPr>
            <w:tcW w:w="810" w:type="pct"/>
            <w:shd w:val="clear" w:color="auto" w:fill="auto"/>
            <w:vAlign w:val="center"/>
          </w:tcPr>
          <w:p w14:paraId="130D1BF3" w14:textId="77777777" w:rsidR="00067458" w:rsidRPr="00DA3C6E" w:rsidRDefault="00067458" w:rsidP="0047278C">
            <w:pPr>
              <w:pStyle w:val="TableText"/>
              <w:ind w:left="41" w:right="117"/>
              <w:jc w:val="center"/>
              <w:rPr>
                <w:snapToGrid w:val="0"/>
              </w:rPr>
            </w:pPr>
            <w:r w:rsidRPr="00DA3C6E">
              <w:rPr>
                <w:snapToGrid w:val="0"/>
              </w:rPr>
              <w:t>NE</w:t>
            </w:r>
          </w:p>
        </w:tc>
        <w:tc>
          <w:tcPr>
            <w:tcW w:w="1101" w:type="pct"/>
            <w:shd w:val="clear" w:color="auto" w:fill="auto"/>
            <w:vAlign w:val="center"/>
          </w:tcPr>
          <w:p w14:paraId="78F5F298" w14:textId="77777777" w:rsidR="00067458" w:rsidRPr="00DA3C6E" w:rsidRDefault="00067458" w:rsidP="0047278C">
            <w:pPr>
              <w:pStyle w:val="TableText"/>
              <w:ind w:right="117"/>
              <w:jc w:val="center"/>
              <w:rPr>
                <w:snapToGrid w:val="0"/>
              </w:rPr>
            </w:pPr>
            <w:r w:rsidRPr="00DA3C6E">
              <w:rPr>
                <w:snapToGrid w:val="0"/>
              </w:rPr>
              <w:t>NE</w:t>
            </w:r>
          </w:p>
        </w:tc>
      </w:tr>
      <w:tr w:rsidR="00067458" w:rsidRPr="00DA3C6E" w14:paraId="1AE165E8" w14:textId="77777777" w:rsidTr="0047278C">
        <w:tc>
          <w:tcPr>
            <w:tcW w:w="782" w:type="pct"/>
            <w:shd w:val="clear" w:color="auto" w:fill="auto"/>
          </w:tcPr>
          <w:p w14:paraId="612930E1" w14:textId="77777777" w:rsidR="00067458" w:rsidRPr="00DA3C6E" w:rsidRDefault="00067458" w:rsidP="0047278C">
            <w:pPr>
              <w:pStyle w:val="TableText"/>
              <w:rPr>
                <w:snapToGrid w:val="0"/>
              </w:rPr>
            </w:pPr>
            <w:r w:rsidRPr="00DA3C6E">
              <w:t>Federico et al. 2000</w:t>
            </w:r>
            <w:r>
              <w:t xml:space="preserve"> </w: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 </w:instrText>
            </w:r>
            <w:r w:rsidRPr="00DA3C6E">
              <w:fldChar w:fldCharType="begin">
                <w:fldData xml:space="preserve">PEVuZE5vdGU+PENpdGU+PEF1dGhvcj5GZWRlcmljbzwvQXV0aG9yPjxZZWFyPjIwMDA8L1llYXI+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</w:fldData>
              </w:fldChar>
            </w:r>
            <w:r w:rsidRPr="00DA3C6E">
              <w:instrText xml:space="preserve"> ADDIN EN.CITE.DATA </w:instrText>
            </w:r>
            <w:r w:rsidRPr="00DA3C6E">
              <w:fldChar w:fldCharType="end"/>
            </w:r>
            <w:r w:rsidRPr="00DA3C6E">
              <w:fldChar w:fldCharType="separate"/>
            </w:r>
            <w:r w:rsidRPr="00DA3C6E">
              <w:rPr>
                <w:noProof/>
              </w:rPr>
              <w:t>(</w:t>
            </w:r>
            <w:hyperlink w:anchor="_ENREF_26" w:tooltip="Federico, 2000 #20" w:history="1">
              <w:r w:rsidRPr="00DA3C6E">
                <w:rPr>
                  <w:noProof/>
                </w:rPr>
                <w:t>26</w:t>
              </w:r>
            </w:hyperlink>
            <w:r w:rsidRPr="00DA3C6E">
              <w:rPr>
                <w:noProof/>
              </w:rPr>
              <w:t>)</w:t>
            </w:r>
            <w:r w:rsidRPr="00DA3C6E">
              <w:fldChar w:fldCharType="end"/>
            </w:r>
          </w:p>
        </w:tc>
        <w:tc>
          <w:tcPr>
            <w:tcW w:w="774" w:type="pct"/>
            <w:vAlign w:val="center"/>
          </w:tcPr>
          <w:p w14:paraId="04451330" w14:textId="77777777" w:rsidR="00067458" w:rsidRPr="00DA3C6E" w:rsidRDefault="00067458" w:rsidP="0047278C">
            <w:pPr>
              <w:pStyle w:val="TableText"/>
              <w:ind w:left="16" w:right="117"/>
              <w:jc w:val="center"/>
              <w:rPr>
                <w:snapToGrid w:val="0"/>
                <w:color w:val="FFFFFF" w:themeColor="background1"/>
              </w:rPr>
            </w:pPr>
            <w:r w:rsidRPr="00DA3C6E">
              <w:rPr>
                <w:snapToGrid w:val="0"/>
              </w:rPr>
              <w:t>Low</w:t>
            </w:r>
          </w:p>
        </w:tc>
        <w:tc>
          <w:tcPr>
            <w:tcW w:w="766" w:type="pct"/>
            <w:shd w:val="clear" w:color="auto" w:fill="auto"/>
          </w:tcPr>
          <w:p w14:paraId="68FDDE0B" w14:textId="77777777" w:rsidR="00067458" w:rsidRPr="00DA3C6E" w:rsidRDefault="00067458" w:rsidP="0047278C">
            <w:pPr>
              <w:pStyle w:val="TableText"/>
              <w:ind w:left="111" w:right="117"/>
              <w:jc w:val="center"/>
              <w:rPr>
                <w:snapToGrid w:val="0"/>
                <w:color w:val="FFFFFF" w:themeColor="background1"/>
                <w:vertAlign w:val="superscript"/>
              </w:rPr>
            </w:pPr>
            <w:r w:rsidRPr="00DA3C6E">
              <w:rPr>
                <w:szCs w:val="20"/>
              </w:rPr>
              <w:t>6.4 (1.9)</w:t>
            </w:r>
          </w:p>
        </w:tc>
        <w:tc>
          <w:tcPr>
            <w:tcW w:w="767" w:type="pct"/>
            <w:gridSpan w:val="2"/>
            <w:shd w:val="clear" w:color="auto" w:fill="auto"/>
          </w:tcPr>
          <w:p w14:paraId="6E3C4261" w14:textId="77777777" w:rsidR="00067458" w:rsidRPr="00DA3C6E" w:rsidRDefault="00067458" w:rsidP="0047278C">
            <w:pPr>
              <w:pStyle w:val="TableText"/>
              <w:ind w:left="77" w:right="117"/>
              <w:jc w:val="center"/>
              <w:rPr>
                <w:snapToGrid w:val="0"/>
                <w:color w:val="FFFFFF" w:themeColor="background1"/>
              </w:rPr>
            </w:pPr>
            <w:r w:rsidRPr="00DA3C6E">
              <w:rPr>
                <w:szCs w:val="20"/>
              </w:rPr>
              <w:t>-1 (0.8)</w:t>
            </w:r>
          </w:p>
        </w:tc>
        <w:tc>
          <w:tcPr>
            <w:tcW w:w="810" w:type="pct"/>
            <w:shd w:val="clear" w:color="auto" w:fill="auto"/>
          </w:tcPr>
          <w:p w14:paraId="18CB8325" w14:textId="77777777" w:rsidR="00067458" w:rsidRPr="00DA3C6E" w:rsidRDefault="00067458" w:rsidP="0047278C">
            <w:pPr>
              <w:pStyle w:val="TableText"/>
              <w:ind w:left="41" w:right="117"/>
              <w:jc w:val="center"/>
              <w:rPr>
                <w:snapToGrid w:val="0"/>
              </w:rPr>
            </w:pPr>
            <w:r w:rsidRPr="00DA3C6E">
              <w:rPr>
                <w:snapToGrid w:val="0"/>
              </w:rPr>
              <w:t>NE</w:t>
            </w:r>
          </w:p>
        </w:tc>
        <w:tc>
          <w:tcPr>
            <w:tcW w:w="1101" w:type="pct"/>
            <w:shd w:val="clear" w:color="auto" w:fill="auto"/>
          </w:tcPr>
          <w:p w14:paraId="5272D850" w14:textId="77777777" w:rsidR="00067458" w:rsidRPr="00DA3C6E" w:rsidRDefault="00067458" w:rsidP="0047278C">
            <w:pPr>
              <w:pStyle w:val="TableText"/>
              <w:ind w:right="117"/>
              <w:jc w:val="center"/>
              <w:rPr>
                <w:snapToGrid w:val="0"/>
              </w:rPr>
            </w:pPr>
            <w:r w:rsidRPr="00DA3C6E">
              <w:rPr>
                <w:snapToGrid w:val="0"/>
              </w:rPr>
              <w:t>NE</w:t>
            </w:r>
          </w:p>
        </w:tc>
      </w:tr>
      <w:tr w:rsidR="00067458" w:rsidRPr="00DA3C6E" w14:paraId="0C114EC0" w14:textId="77777777" w:rsidTr="0047278C">
        <w:tc>
          <w:tcPr>
            <w:tcW w:w="782" w:type="pct"/>
            <w:shd w:val="clear" w:color="auto" w:fill="auto"/>
          </w:tcPr>
          <w:p w14:paraId="540F3DE3" w14:textId="77777777" w:rsidR="00067458" w:rsidRPr="00DA3C6E" w:rsidRDefault="00067458" w:rsidP="0047278C">
            <w:pPr>
              <w:pStyle w:val="TableText"/>
              <w:rPr>
                <w:snapToGrid w:val="0"/>
              </w:rPr>
            </w:pPr>
            <w:r w:rsidRPr="00DA3C6E">
              <w:t>Leger et al. 2001</w:t>
            </w:r>
            <w:r>
              <w:t xml:space="preserve"> </w: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 </w:instrTex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EN.CITE.DATA </w:instrText>
            </w:r>
            <w:r w:rsidRPr="00DA3C6E">
              <w:fldChar w:fldCharType="end"/>
            </w:r>
            <w:r w:rsidRPr="00DA3C6E">
              <w:fldChar w:fldCharType="separate"/>
            </w:r>
            <w:r w:rsidRPr="00DA3C6E">
              <w:rPr>
                <w:noProof/>
              </w:rPr>
              <w:t>(</w:t>
            </w:r>
            <w:hyperlink w:anchor="_ENREF_27" w:tooltip="Leger, 2001 #39" w:history="1">
              <w:r w:rsidRPr="00DA3C6E">
                <w:rPr>
                  <w:noProof/>
                </w:rPr>
                <w:t>27</w:t>
              </w:r>
            </w:hyperlink>
            <w:r w:rsidRPr="00DA3C6E">
              <w:rPr>
                <w:noProof/>
              </w:rPr>
              <w:t>)</w:t>
            </w:r>
            <w:r w:rsidRPr="00DA3C6E">
              <w:fldChar w:fldCharType="end"/>
            </w:r>
          </w:p>
        </w:tc>
        <w:tc>
          <w:tcPr>
            <w:tcW w:w="774" w:type="pct"/>
            <w:vAlign w:val="center"/>
          </w:tcPr>
          <w:p w14:paraId="67C607AD" w14:textId="77777777" w:rsidR="00067458" w:rsidRPr="00DA3C6E" w:rsidRDefault="00067458" w:rsidP="0047278C">
            <w:pPr>
              <w:pStyle w:val="TableText"/>
              <w:ind w:left="16" w:right="117"/>
              <w:jc w:val="center"/>
              <w:rPr>
                <w:snapToGrid w:val="0"/>
                <w:color w:val="FFFFFF" w:themeColor="background1"/>
              </w:rPr>
            </w:pPr>
            <w:r w:rsidRPr="00DA3C6E">
              <w:rPr>
                <w:snapToGrid w:val="0"/>
              </w:rPr>
              <w:t>Low</w:t>
            </w:r>
          </w:p>
        </w:tc>
        <w:tc>
          <w:tcPr>
            <w:tcW w:w="766" w:type="pct"/>
            <w:shd w:val="clear" w:color="auto" w:fill="auto"/>
          </w:tcPr>
          <w:p w14:paraId="33216C5D" w14:textId="77777777" w:rsidR="00067458" w:rsidRPr="00DA3C6E" w:rsidRDefault="00067458" w:rsidP="0047278C">
            <w:pPr>
              <w:pStyle w:val="TableText"/>
              <w:ind w:left="111" w:right="117"/>
              <w:jc w:val="center"/>
              <w:rPr>
                <w:snapToGrid w:val="0"/>
                <w:color w:val="FFFFFF" w:themeColor="background1"/>
                <w:vertAlign w:val="superscript"/>
              </w:rPr>
            </w:pPr>
            <w:r w:rsidRPr="00DA3C6E">
              <w:rPr>
                <w:szCs w:val="20"/>
              </w:rPr>
              <w:t>3</w:t>
            </w:r>
            <w:r w:rsidRPr="00DA3C6E">
              <w:rPr>
                <w:szCs w:val="20"/>
                <w:vertAlign w:val="superscript"/>
              </w:rPr>
              <w:t>g</w:t>
            </w:r>
          </w:p>
        </w:tc>
        <w:tc>
          <w:tcPr>
            <w:tcW w:w="767" w:type="pct"/>
            <w:gridSpan w:val="2"/>
            <w:shd w:val="clear" w:color="auto" w:fill="auto"/>
          </w:tcPr>
          <w:p w14:paraId="2446F092" w14:textId="77777777" w:rsidR="00067458" w:rsidRPr="00DA3C6E" w:rsidRDefault="00067458" w:rsidP="0047278C">
            <w:pPr>
              <w:pStyle w:val="TableText"/>
              <w:ind w:left="77" w:right="117"/>
              <w:jc w:val="center"/>
              <w:rPr>
                <w:snapToGrid w:val="0"/>
                <w:color w:val="FFFFFF" w:themeColor="background1"/>
              </w:rPr>
            </w:pPr>
            <w:r w:rsidRPr="00DA3C6E">
              <w:rPr>
                <w:i/>
                <w:szCs w:val="20"/>
              </w:rPr>
              <w:t>3</w:t>
            </w:r>
            <w:r w:rsidRPr="00DA3C6E">
              <w:rPr>
                <w:i/>
                <w:szCs w:val="20"/>
                <w:vertAlign w:val="superscript"/>
              </w:rPr>
              <w:t xml:space="preserve">h </w:t>
            </w:r>
          </w:p>
        </w:tc>
        <w:tc>
          <w:tcPr>
            <w:tcW w:w="810" w:type="pct"/>
            <w:shd w:val="clear" w:color="auto" w:fill="auto"/>
          </w:tcPr>
          <w:p w14:paraId="5087E123" w14:textId="77777777" w:rsidR="00067458" w:rsidRPr="00DA3C6E" w:rsidRDefault="00067458" w:rsidP="0047278C">
            <w:pPr>
              <w:pStyle w:val="TableText"/>
              <w:ind w:left="41" w:right="117"/>
              <w:jc w:val="center"/>
              <w:rPr>
                <w:snapToGrid w:val="0"/>
              </w:rPr>
            </w:pPr>
            <w:r w:rsidRPr="00DA3C6E">
              <w:rPr>
                <w:snapToGrid w:val="0"/>
              </w:rPr>
              <w:t>NE</w:t>
            </w:r>
          </w:p>
        </w:tc>
        <w:tc>
          <w:tcPr>
            <w:tcW w:w="1101" w:type="pct"/>
            <w:shd w:val="clear" w:color="auto" w:fill="auto"/>
          </w:tcPr>
          <w:p w14:paraId="07D4DC3A" w14:textId="77777777" w:rsidR="00067458" w:rsidRPr="00DA3C6E" w:rsidRDefault="00067458" w:rsidP="0047278C">
            <w:pPr>
              <w:pStyle w:val="TableText"/>
              <w:ind w:right="117"/>
              <w:jc w:val="center"/>
              <w:rPr>
                <w:snapToGrid w:val="0"/>
              </w:rPr>
            </w:pPr>
            <w:r w:rsidRPr="00DA3C6E">
              <w:rPr>
                <w:snapToGrid w:val="0"/>
              </w:rPr>
              <w:t>NE</w:t>
            </w:r>
          </w:p>
        </w:tc>
      </w:tr>
      <w:tr w:rsidR="00067458" w:rsidRPr="00DA3C6E" w14:paraId="57BEC6BC" w14:textId="77777777" w:rsidTr="0047278C">
        <w:tc>
          <w:tcPr>
            <w:tcW w:w="782" w:type="pct"/>
            <w:tcBorders>
              <w:bottom w:val="single" w:sz="4" w:space="0" w:color="auto"/>
            </w:tcBorders>
            <w:shd w:val="clear" w:color="auto" w:fill="auto"/>
            <w:vAlign w:val="center"/>
          </w:tcPr>
          <w:p w14:paraId="0F06DFA3" w14:textId="77777777" w:rsidR="00067458" w:rsidRPr="00DA3C6E" w:rsidRDefault="00067458" w:rsidP="0047278C">
            <w:pPr>
              <w:pStyle w:val="TableText"/>
              <w:rPr>
                <w:snapToGrid w:val="0"/>
              </w:rPr>
            </w:pPr>
            <w:r w:rsidRPr="00DA3C6E">
              <w:t>Hahn et al. 2013</w:t>
            </w:r>
            <w:r>
              <w:t xml:space="preserve"> </w: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 </w:instrText>
            </w:r>
            <w:r w:rsidRPr="00DA3C6E">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instrText xml:space="preserve"> ADDIN EN.CITE.DATA </w:instrText>
            </w:r>
            <w:r w:rsidRPr="00DA3C6E">
              <w:fldChar w:fldCharType="end"/>
            </w:r>
            <w:r w:rsidRPr="00DA3C6E">
              <w:fldChar w:fldCharType="separate"/>
            </w:r>
            <w:r w:rsidRPr="00DA3C6E">
              <w:rPr>
                <w:noProof/>
              </w:rPr>
              <w:t>(</w:t>
            </w:r>
            <w:hyperlink w:anchor="_ENREF_28" w:tooltip="Hahn, 2013 #26" w:history="1">
              <w:r w:rsidRPr="00DA3C6E">
                <w:rPr>
                  <w:noProof/>
                </w:rPr>
                <w:t>28</w:t>
              </w:r>
            </w:hyperlink>
            <w:r w:rsidRPr="00DA3C6E">
              <w:rPr>
                <w:noProof/>
              </w:rPr>
              <w:t>)</w:t>
            </w:r>
            <w:r w:rsidRPr="00DA3C6E">
              <w:fldChar w:fldCharType="end"/>
            </w:r>
          </w:p>
        </w:tc>
        <w:tc>
          <w:tcPr>
            <w:tcW w:w="774" w:type="pct"/>
            <w:tcBorders>
              <w:bottom w:val="single" w:sz="4" w:space="0" w:color="auto"/>
            </w:tcBorders>
            <w:vAlign w:val="center"/>
          </w:tcPr>
          <w:p w14:paraId="15BE396C" w14:textId="77777777" w:rsidR="00067458" w:rsidRPr="00DA3C6E" w:rsidRDefault="00067458" w:rsidP="0047278C">
            <w:pPr>
              <w:pStyle w:val="TableText"/>
              <w:ind w:left="16" w:right="117"/>
              <w:jc w:val="center"/>
              <w:rPr>
                <w:snapToGrid w:val="0"/>
                <w:color w:val="FFFFFF" w:themeColor="background1"/>
              </w:rPr>
            </w:pPr>
            <w:r w:rsidRPr="00DA3C6E">
              <w:rPr>
                <w:snapToGrid w:val="0"/>
              </w:rPr>
              <w:t>Low</w:t>
            </w:r>
          </w:p>
        </w:tc>
        <w:tc>
          <w:tcPr>
            <w:tcW w:w="766" w:type="pct"/>
            <w:tcBorders>
              <w:bottom w:val="single" w:sz="4" w:space="0" w:color="auto"/>
            </w:tcBorders>
            <w:shd w:val="clear" w:color="auto" w:fill="auto"/>
          </w:tcPr>
          <w:p w14:paraId="3DADA978" w14:textId="77777777" w:rsidR="00067458" w:rsidRPr="00DA3C6E" w:rsidRDefault="00067458" w:rsidP="0047278C">
            <w:pPr>
              <w:pStyle w:val="TableText"/>
              <w:ind w:left="111" w:right="117"/>
              <w:jc w:val="center"/>
              <w:rPr>
                <w:snapToGrid w:val="0"/>
                <w:color w:val="FFFFFF" w:themeColor="background1"/>
              </w:rPr>
            </w:pPr>
            <w:r w:rsidRPr="00DA3C6E">
              <w:rPr>
                <w:szCs w:val="20"/>
              </w:rPr>
              <w:t>3.75 (9.09)</w:t>
            </w:r>
          </w:p>
        </w:tc>
        <w:tc>
          <w:tcPr>
            <w:tcW w:w="767" w:type="pct"/>
            <w:gridSpan w:val="2"/>
            <w:tcBorders>
              <w:bottom w:val="single" w:sz="4" w:space="0" w:color="auto"/>
            </w:tcBorders>
            <w:shd w:val="clear" w:color="auto" w:fill="auto"/>
          </w:tcPr>
          <w:p w14:paraId="4A4B3423" w14:textId="77777777" w:rsidR="00067458" w:rsidRPr="00DA3C6E" w:rsidRDefault="00067458" w:rsidP="0047278C">
            <w:pPr>
              <w:pStyle w:val="TableText"/>
              <w:ind w:left="77" w:right="117"/>
              <w:jc w:val="center"/>
              <w:rPr>
                <w:snapToGrid w:val="0"/>
                <w:color w:val="FFFFFF" w:themeColor="background1"/>
              </w:rPr>
            </w:pPr>
            <w:r w:rsidRPr="00DA3C6E">
              <w:rPr>
                <w:szCs w:val="20"/>
              </w:rPr>
              <w:t>-31.38 (9.32)</w:t>
            </w:r>
          </w:p>
        </w:tc>
        <w:tc>
          <w:tcPr>
            <w:tcW w:w="810" w:type="pct"/>
            <w:tcBorders>
              <w:bottom w:val="single" w:sz="4" w:space="0" w:color="auto"/>
            </w:tcBorders>
            <w:shd w:val="clear" w:color="auto" w:fill="auto"/>
          </w:tcPr>
          <w:p w14:paraId="421C10DC" w14:textId="77777777" w:rsidR="00067458" w:rsidRPr="00DA3C6E" w:rsidRDefault="00067458" w:rsidP="0047278C">
            <w:pPr>
              <w:pStyle w:val="TableText"/>
              <w:ind w:left="41" w:right="117"/>
              <w:jc w:val="center"/>
              <w:rPr>
                <w:snapToGrid w:val="0"/>
              </w:rPr>
            </w:pPr>
            <w:r w:rsidRPr="00DA3C6E">
              <w:rPr>
                <w:snapToGrid w:val="0"/>
              </w:rPr>
              <w:t>NE</w:t>
            </w:r>
          </w:p>
        </w:tc>
        <w:tc>
          <w:tcPr>
            <w:tcW w:w="1101" w:type="pct"/>
            <w:tcBorders>
              <w:bottom w:val="single" w:sz="4" w:space="0" w:color="auto"/>
            </w:tcBorders>
            <w:shd w:val="clear" w:color="auto" w:fill="auto"/>
          </w:tcPr>
          <w:p w14:paraId="49BFA236" w14:textId="77777777" w:rsidR="00067458" w:rsidRPr="00DA3C6E" w:rsidRDefault="00067458" w:rsidP="0047278C">
            <w:pPr>
              <w:pStyle w:val="TableText"/>
              <w:ind w:right="117"/>
              <w:jc w:val="center"/>
              <w:rPr>
                <w:snapToGrid w:val="0"/>
              </w:rPr>
            </w:pPr>
            <w:r w:rsidRPr="00DA3C6E">
              <w:rPr>
                <w:snapToGrid w:val="0"/>
              </w:rPr>
              <w:t>NE</w:t>
            </w:r>
          </w:p>
        </w:tc>
      </w:tr>
    </w:tbl>
    <w:p w14:paraId="4CDB0153" w14:textId="0CB5A307" w:rsidR="00067458" w:rsidRDefault="00067458" w:rsidP="00067458">
      <w:pPr>
        <w:widowControl w:val="0"/>
        <w:rPr>
          <w:rFonts w:ascii="Arial Narrow" w:hAnsi="Arial Narrow" w:cs="Arial"/>
          <w:snapToGrid w:val="0"/>
          <w:sz w:val="18"/>
          <w:lang w:eastAsia="en-US"/>
        </w:rPr>
      </w:pPr>
      <w:r w:rsidRPr="004449D1">
        <w:rPr>
          <w:rFonts w:ascii="Arial Narrow" w:hAnsi="Arial Narrow" w:cs="Arial"/>
          <w:b/>
          <w:snapToGrid w:val="0"/>
          <w:sz w:val="18"/>
          <w:lang w:eastAsia="en-US"/>
        </w:rPr>
        <w:t>Source</w:t>
      </w:r>
      <w:r>
        <w:rPr>
          <w:rFonts w:ascii="Arial Narrow" w:hAnsi="Arial Narrow" w:cs="Arial"/>
          <w:snapToGrid w:val="0"/>
          <w:sz w:val="18"/>
          <w:lang w:eastAsia="en-US"/>
        </w:rPr>
        <w:t xml:space="preserve">: </w:t>
      </w:r>
      <w:r w:rsidR="000A12A3">
        <w:rPr>
          <w:rFonts w:ascii="Arial Narrow" w:hAnsi="Arial Narrow" w:cs="Arial"/>
          <w:snapToGrid w:val="0"/>
          <w:sz w:val="18"/>
          <w:lang w:eastAsia="en-US"/>
        </w:rPr>
        <w:t>1590 DCAR</w:t>
      </w:r>
      <w:r>
        <w:rPr>
          <w:rFonts w:ascii="Arial Narrow" w:hAnsi="Arial Narrow" w:cs="Arial"/>
          <w:snapToGrid w:val="0"/>
          <w:sz w:val="18"/>
          <w:lang w:eastAsia="en-US"/>
        </w:rPr>
        <w:t>, Table 17</w:t>
      </w:r>
    </w:p>
    <w:p w14:paraId="08CE9DA1" w14:textId="77777777" w:rsidR="00067458" w:rsidRPr="00DA3C6E" w:rsidRDefault="00067458" w:rsidP="00067458">
      <w:pPr>
        <w:widowControl w:val="0"/>
        <w:rPr>
          <w:rFonts w:ascii="Arial Narrow" w:hAnsi="Arial Narrow" w:cs="Arial"/>
          <w:snapToGrid w:val="0"/>
          <w:sz w:val="18"/>
          <w:lang w:eastAsia="en-US"/>
        </w:rPr>
      </w:pPr>
      <w:r w:rsidRPr="00DA3C6E">
        <w:rPr>
          <w:rFonts w:ascii="Arial Narrow" w:hAnsi="Arial Narrow" w:cs="Arial"/>
          <w:snapToGrid w:val="0"/>
          <w:sz w:val="18"/>
          <w:lang w:eastAsia="en-US"/>
        </w:rPr>
        <w:t xml:space="preserve">Abbreviations: CI = confidence interval; NE = not estimable; NR = not reported; RR = risk ratio; SD = standard deviation; SEM = standard error of mean. </w:t>
      </w:r>
    </w:p>
    <w:p w14:paraId="7981E01C" w14:textId="77777777" w:rsidR="00067458" w:rsidRPr="00DA3C6E" w:rsidRDefault="00067458" w:rsidP="00067458">
      <w:pPr>
        <w:rPr>
          <w:rFonts w:ascii="Arial Narrow" w:hAnsi="Arial Narrow"/>
          <w:sz w:val="18"/>
        </w:rPr>
      </w:pPr>
      <w:r w:rsidRPr="00DA3C6E">
        <w:rPr>
          <w:rFonts w:ascii="Arial Narrow" w:hAnsi="Arial Narrow" w:cs="Arial"/>
          <w:snapToGrid w:val="0"/>
          <w:sz w:val="18"/>
          <w:lang w:eastAsia="en-US"/>
        </w:rPr>
        <w:t>Notes: Relative risk, risk difference and pooled risk ratios were calculated during the evaluation (italics); bold text indicates statistically significant differences.</w:t>
      </w:r>
      <w:r w:rsidRPr="00DA3C6E">
        <w:rPr>
          <w:rFonts w:ascii="Arial Narrow" w:hAnsi="Arial Narrow"/>
          <w:sz w:val="18"/>
        </w:rPr>
        <w:t xml:space="preserve"> </w:t>
      </w:r>
    </w:p>
    <w:p w14:paraId="067F7BF9" w14:textId="77777777" w:rsidR="00067458" w:rsidRPr="00DA3C6E" w:rsidRDefault="00067458" w:rsidP="00067458">
      <w:pPr>
        <w:rPr>
          <w:rFonts w:ascii="Arial Narrow" w:hAnsi="Arial Narrow"/>
          <w:sz w:val="18"/>
        </w:rPr>
      </w:pPr>
      <w:proofErr w:type="spellStart"/>
      <w:proofErr w:type="gramStart"/>
      <w:r w:rsidRPr="00DA3C6E">
        <w:rPr>
          <w:rFonts w:ascii="Arial Narrow" w:hAnsi="Arial Narrow"/>
          <w:sz w:val="18"/>
          <w:vertAlign w:val="superscript"/>
        </w:rPr>
        <w:t>a</w:t>
      </w:r>
      <w:r>
        <w:rPr>
          <w:rFonts w:ascii="Arial Narrow" w:hAnsi="Arial Narrow"/>
          <w:sz w:val="18"/>
        </w:rPr>
        <w:t>Subjective</w:t>
      </w:r>
      <w:proofErr w:type="spellEnd"/>
      <w:proofErr w:type="gramEnd"/>
      <w:r>
        <w:rPr>
          <w:rFonts w:ascii="Arial Narrow" w:hAnsi="Arial Narrow"/>
          <w:sz w:val="18"/>
        </w:rPr>
        <w:t xml:space="preserve"> rating of patients; </w:t>
      </w:r>
      <w:r w:rsidRPr="00DA3C6E">
        <w:rPr>
          <w:rFonts w:ascii="Arial Narrow" w:hAnsi="Arial Narrow"/>
          <w:sz w:val="18"/>
          <w:vertAlign w:val="superscript"/>
        </w:rPr>
        <w:t>b</w:t>
      </w:r>
      <w:r w:rsidRPr="00DA3C6E">
        <w:rPr>
          <w:rFonts w:ascii="Arial Narrow" w:hAnsi="Arial Narrow"/>
          <w:sz w:val="18"/>
        </w:rPr>
        <w:t>all patients in the trial. One patient in the intravenous Ig treatment was lost to follow-up before the evaluation period. T</w:t>
      </w:r>
      <w:r>
        <w:rPr>
          <w:rFonts w:ascii="Arial Narrow" w:hAnsi="Arial Narrow"/>
          <w:sz w:val="18"/>
        </w:rPr>
        <w:t xml:space="preserve">his patient was treatment naïve; </w:t>
      </w:r>
      <w:proofErr w:type="spellStart"/>
      <w:r w:rsidRPr="00DA3C6E">
        <w:rPr>
          <w:rFonts w:ascii="Arial Narrow" w:hAnsi="Arial Narrow"/>
          <w:sz w:val="18"/>
          <w:vertAlign w:val="superscript"/>
        </w:rPr>
        <w:t>c</w:t>
      </w:r>
      <w:r w:rsidRPr="00DA3C6E">
        <w:rPr>
          <w:rFonts w:ascii="Arial Narrow" w:hAnsi="Arial Narrow"/>
          <w:sz w:val="18"/>
        </w:rPr>
        <w:t>treatment</w:t>
      </w:r>
      <w:proofErr w:type="spellEnd"/>
      <w:r w:rsidRPr="00DA3C6E">
        <w:rPr>
          <w:rFonts w:ascii="Arial Narrow" w:hAnsi="Arial Narrow"/>
          <w:sz w:val="18"/>
        </w:rPr>
        <w:t xml:space="preserve"> naïve patients</w:t>
      </w:r>
      <w:r>
        <w:rPr>
          <w:rFonts w:ascii="Arial Narrow" w:hAnsi="Arial Narrow"/>
          <w:sz w:val="18"/>
        </w:rPr>
        <w:t xml:space="preserve">; </w:t>
      </w:r>
      <w:proofErr w:type="spellStart"/>
      <w:r w:rsidRPr="00DA3C6E">
        <w:rPr>
          <w:rFonts w:ascii="Arial Narrow" w:hAnsi="Arial Narrow"/>
          <w:sz w:val="18"/>
          <w:vertAlign w:val="superscript"/>
        </w:rPr>
        <w:t>d</w:t>
      </w:r>
      <w:r w:rsidRPr="00DA3C6E">
        <w:rPr>
          <w:rFonts w:ascii="Arial Narrow" w:hAnsi="Arial Narrow"/>
          <w:sz w:val="18"/>
        </w:rPr>
        <w:t>pre</w:t>
      </w:r>
      <w:proofErr w:type="spellEnd"/>
      <w:r w:rsidRPr="00DA3C6E">
        <w:rPr>
          <w:rFonts w:ascii="Arial Narrow" w:hAnsi="Arial Narrow"/>
          <w:sz w:val="18"/>
        </w:rPr>
        <w:t>-treatment patients</w:t>
      </w:r>
    </w:p>
    <w:p w14:paraId="63C3C537" w14:textId="77777777" w:rsidR="00067458" w:rsidRPr="00DA3C6E" w:rsidRDefault="00067458" w:rsidP="00067458">
      <w:pPr>
        <w:rPr>
          <w:rFonts w:ascii="Arial Narrow" w:hAnsi="Arial Narrow"/>
          <w:sz w:val="18"/>
        </w:rPr>
      </w:pPr>
      <w:proofErr w:type="spellStart"/>
      <w:proofErr w:type="gramStart"/>
      <w:r w:rsidRPr="00DA3C6E">
        <w:rPr>
          <w:rFonts w:ascii="Arial Narrow" w:hAnsi="Arial Narrow"/>
          <w:sz w:val="18"/>
          <w:vertAlign w:val="superscript"/>
        </w:rPr>
        <w:t>e</w:t>
      </w:r>
      <w:r w:rsidRPr="00DA3C6E">
        <w:rPr>
          <w:rFonts w:ascii="Arial Narrow" w:hAnsi="Arial Narrow"/>
          <w:sz w:val="18"/>
        </w:rPr>
        <w:t>this</w:t>
      </w:r>
      <w:proofErr w:type="spellEnd"/>
      <w:proofErr w:type="gramEnd"/>
      <w:r w:rsidRPr="00DA3C6E">
        <w:rPr>
          <w:rFonts w:ascii="Arial Narrow" w:hAnsi="Arial Narrow"/>
          <w:sz w:val="18"/>
        </w:rPr>
        <w:t xml:space="preserve"> represent the number of patients who remained stable or improved</w:t>
      </w:r>
    </w:p>
    <w:p w14:paraId="6871ACF0" w14:textId="77777777" w:rsidR="00067458" w:rsidRPr="00DA3C6E" w:rsidRDefault="00067458" w:rsidP="00067458">
      <w:pPr>
        <w:rPr>
          <w:rFonts w:ascii="Arial Narrow" w:hAnsi="Arial Narrow"/>
          <w:sz w:val="18"/>
        </w:rPr>
      </w:pPr>
      <w:proofErr w:type="spellStart"/>
      <w:proofErr w:type="gramStart"/>
      <w:r w:rsidRPr="00DA3C6E">
        <w:rPr>
          <w:rFonts w:ascii="Arial Narrow" w:hAnsi="Arial Narrow"/>
          <w:sz w:val="18"/>
          <w:vertAlign w:val="superscript"/>
        </w:rPr>
        <w:t>f</w:t>
      </w:r>
      <w:r w:rsidRPr="00DA3C6E">
        <w:rPr>
          <w:rFonts w:ascii="Arial Narrow" w:hAnsi="Arial Narrow"/>
          <w:sz w:val="18"/>
        </w:rPr>
        <w:t>Estimate</w:t>
      </w:r>
      <w:proofErr w:type="spellEnd"/>
      <w:proofErr w:type="gramEnd"/>
      <w:r w:rsidRPr="00DA3C6E">
        <w:rPr>
          <w:rFonts w:ascii="Arial Narrow" w:hAnsi="Arial Narrow"/>
          <w:sz w:val="18"/>
        </w:rPr>
        <w:t xml:space="preserve"> (mean change in muscle strength) reported was calculated during the evaluation for day 28 after treatment. Mean change in muscle strength on day 56 was 60.7 N for intravenous Ig treatment and -7.2 for placebo treatment.</w:t>
      </w:r>
    </w:p>
    <w:p w14:paraId="6C046AD8" w14:textId="77777777" w:rsidR="00067458" w:rsidRPr="00DA3C6E" w:rsidRDefault="00067458" w:rsidP="00067458">
      <w:pPr>
        <w:rPr>
          <w:rFonts w:ascii="Arial Narrow" w:hAnsi="Arial Narrow"/>
          <w:sz w:val="18"/>
        </w:rPr>
      </w:pPr>
      <w:proofErr w:type="spellStart"/>
      <w:proofErr w:type="gramStart"/>
      <w:r w:rsidRPr="00DA3C6E">
        <w:rPr>
          <w:rFonts w:ascii="Arial Narrow" w:hAnsi="Arial Narrow"/>
          <w:sz w:val="18"/>
          <w:vertAlign w:val="superscript"/>
        </w:rPr>
        <w:t>g</w:t>
      </w:r>
      <w:r w:rsidRPr="00DA3C6E">
        <w:rPr>
          <w:rFonts w:ascii="Arial Narrow" w:hAnsi="Arial Narrow"/>
          <w:sz w:val="18"/>
        </w:rPr>
        <w:t>reported</w:t>
      </w:r>
      <w:proofErr w:type="spellEnd"/>
      <w:proofErr w:type="gramEnd"/>
      <w:r w:rsidRPr="00DA3C6E">
        <w:rPr>
          <w:rFonts w:ascii="Arial Narrow" w:hAnsi="Arial Narrow"/>
          <w:sz w:val="18"/>
        </w:rPr>
        <w:t xml:space="preserve"> a median change between baseline score and score at month 4.</w:t>
      </w:r>
    </w:p>
    <w:p w14:paraId="5CED5B3A" w14:textId="77AF961F" w:rsidR="00DD06C6" w:rsidRDefault="00067458" w:rsidP="00DD06C6">
      <w:pPr>
        <w:spacing w:after="240"/>
        <w:rPr>
          <w:rFonts w:ascii="Arial Narrow" w:hAnsi="Arial Narrow"/>
          <w:sz w:val="18"/>
        </w:rPr>
      </w:pPr>
      <w:proofErr w:type="spellStart"/>
      <w:proofErr w:type="gramStart"/>
      <w:r w:rsidRPr="00DA3C6E">
        <w:rPr>
          <w:rFonts w:ascii="Arial Narrow" w:hAnsi="Arial Narrow"/>
          <w:sz w:val="18"/>
          <w:vertAlign w:val="superscript"/>
        </w:rPr>
        <w:t>h</w:t>
      </w:r>
      <w:r w:rsidRPr="00DA3C6E">
        <w:rPr>
          <w:rFonts w:ascii="Arial Narrow" w:hAnsi="Arial Narrow"/>
          <w:sz w:val="18"/>
        </w:rPr>
        <w:t>reported</w:t>
      </w:r>
      <w:proofErr w:type="spellEnd"/>
      <w:proofErr w:type="gramEnd"/>
      <w:r w:rsidRPr="00DA3C6E">
        <w:rPr>
          <w:rFonts w:ascii="Arial Narrow" w:hAnsi="Arial Narrow"/>
          <w:sz w:val="18"/>
        </w:rPr>
        <w:t xml:space="preserve"> a median change between baseline score and score at month 4. This estimate was reported as 1 in the previ</w:t>
      </w:r>
      <w:r w:rsidR="00B7509C">
        <w:rPr>
          <w:rFonts w:ascii="Arial Narrow" w:hAnsi="Arial Narrow"/>
          <w:sz w:val="18"/>
        </w:rPr>
        <w:t>ously published meta-analys</w:t>
      </w:r>
      <w:r w:rsidR="00DD06C6">
        <w:rPr>
          <w:rFonts w:ascii="Arial Narrow" w:hAnsi="Arial Narrow"/>
          <w:sz w:val="18"/>
        </w:rPr>
        <w:t>is.</w:t>
      </w:r>
      <w:r w:rsidR="00DD06C6">
        <w:rPr>
          <w:rFonts w:ascii="Arial Narrow" w:hAnsi="Arial Narrow"/>
          <w:sz w:val="18"/>
        </w:rPr>
        <w:br w:type="page"/>
      </w:r>
    </w:p>
    <w:p w14:paraId="5EC4D2DA" w14:textId="0DD4B6CB" w:rsidR="00067458" w:rsidRPr="004E5E27" w:rsidRDefault="00067458" w:rsidP="00067458">
      <w:pPr>
        <w:tabs>
          <w:tab w:val="left" w:pos="720"/>
          <w:tab w:val="left" w:pos="1140"/>
        </w:tabs>
        <w:rPr>
          <w:szCs w:val="24"/>
          <w:u w:val="single"/>
        </w:rPr>
      </w:pPr>
      <w:r w:rsidRPr="004E5E27">
        <w:rPr>
          <w:szCs w:val="24"/>
          <w:u w:val="single"/>
        </w:rPr>
        <w:lastRenderedPageBreak/>
        <w:t>Quality of life</w:t>
      </w:r>
    </w:p>
    <w:p w14:paraId="2543E2BD" w14:textId="1AA3FF58" w:rsidR="00067458" w:rsidRDefault="00067458" w:rsidP="00067458">
      <w:pPr>
        <w:tabs>
          <w:tab w:val="left" w:pos="720"/>
          <w:tab w:val="left" w:pos="1140"/>
        </w:tabs>
        <w:rPr>
          <w:szCs w:val="24"/>
        </w:rPr>
      </w:pPr>
      <w:proofErr w:type="spellStart"/>
      <w:r>
        <w:rPr>
          <w:szCs w:val="24"/>
        </w:rPr>
        <w:t>QoL</w:t>
      </w:r>
      <w:proofErr w:type="spellEnd"/>
      <w:r>
        <w:rPr>
          <w:szCs w:val="24"/>
        </w:rPr>
        <w:t xml:space="preserve"> was not reported in the RCTs</w:t>
      </w:r>
      <w:r w:rsidRPr="005409D6">
        <w:t xml:space="preserve"> </w:t>
      </w:r>
      <w:r>
        <w:rPr>
          <w:szCs w:val="24"/>
        </w:rPr>
        <w:t>and the</w:t>
      </w:r>
      <w:r w:rsidRPr="005409D6">
        <w:rPr>
          <w:szCs w:val="24"/>
        </w:rPr>
        <w:t xml:space="preserve"> studies fail</w:t>
      </w:r>
      <w:r>
        <w:rPr>
          <w:szCs w:val="24"/>
        </w:rPr>
        <w:t>ed to capture how</w:t>
      </w:r>
      <w:r w:rsidRPr="005409D6">
        <w:rPr>
          <w:szCs w:val="24"/>
        </w:rPr>
        <w:t xml:space="preserve"> outcomes </w:t>
      </w:r>
      <w:r>
        <w:rPr>
          <w:szCs w:val="24"/>
        </w:rPr>
        <w:t xml:space="preserve">of change in muscle strength and disability </w:t>
      </w:r>
      <w:r w:rsidRPr="005409D6">
        <w:rPr>
          <w:szCs w:val="24"/>
        </w:rPr>
        <w:t xml:space="preserve">translate into an improvement in the </w:t>
      </w:r>
      <w:proofErr w:type="spellStart"/>
      <w:r w:rsidRPr="005409D6">
        <w:rPr>
          <w:szCs w:val="24"/>
        </w:rPr>
        <w:t>QoL</w:t>
      </w:r>
      <w:proofErr w:type="spellEnd"/>
      <w:r w:rsidRPr="005409D6">
        <w:rPr>
          <w:szCs w:val="24"/>
        </w:rPr>
        <w:t xml:space="preserve"> for patients with MMN</w:t>
      </w:r>
      <w:r>
        <w:rPr>
          <w:szCs w:val="24"/>
        </w:rPr>
        <w:t xml:space="preserve">. Of the single arm studies that did report </w:t>
      </w:r>
      <w:proofErr w:type="spellStart"/>
      <w:r>
        <w:rPr>
          <w:szCs w:val="24"/>
        </w:rPr>
        <w:t>QoL</w:t>
      </w:r>
      <w:proofErr w:type="spellEnd"/>
      <w:r>
        <w:rPr>
          <w:szCs w:val="24"/>
        </w:rPr>
        <w:t xml:space="preserve">, </w:t>
      </w:r>
      <w:r w:rsidRPr="007570AC">
        <w:rPr>
          <w:szCs w:val="24"/>
        </w:rPr>
        <w:t xml:space="preserve">the baseline pre-treatment and after treatment </w:t>
      </w:r>
      <w:proofErr w:type="spellStart"/>
      <w:r w:rsidRPr="007570AC">
        <w:rPr>
          <w:szCs w:val="24"/>
        </w:rPr>
        <w:t>QoL</w:t>
      </w:r>
      <w:proofErr w:type="spellEnd"/>
      <w:r>
        <w:rPr>
          <w:szCs w:val="24"/>
        </w:rPr>
        <w:t xml:space="preserve"> was not reported. </w:t>
      </w:r>
      <w:r w:rsidRPr="00CF5D6A">
        <w:rPr>
          <w:szCs w:val="24"/>
        </w:rPr>
        <w:t xml:space="preserve">In order to assess the potential impact in </w:t>
      </w:r>
      <w:proofErr w:type="spellStart"/>
      <w:r w:rsidRPr="00CF5D6A">
        <w:rPr>
          <w:szCs w:val="24"/>
        </w:rPr>
        <w:t>QoL</w:t>
      </w:r>
      <w:proofErr w:type="spellEnd"/>
      <w:r w:rsidRPr="00CF5D6A">
        <w:rPr>
          <w:szCs w:val="24"/>
        </w:rPr>
        <w:t>, the primary literature search was extended in order to also take into a</w:t>
      </w:r>
      <w:r>
        <w:rPr>
          <w:szCs w:val="24"/>
        </w:rPr>
        <w:t>ccount studies that compared</w:t>
      </w:r>
      <w:r w:rsidRPr="00CF5D6A">
        <w:rPr>
          <w:szCs w:val="24"/>
        </w:rPr>
        <w:t xml:space="preserve"> </w:t>
      </w:r>
      <w:proofErr w:type="spellStart"/>
      <w:r w:rsidRPr="00CF5D6A">
        <w:rPr>
          <w:szCs w:val="24"/>
        </w:rPr>
        <w:t>SCIg</w:t>
      </w:r>
      <w:proofErr w:type="spellEnd"/>
      <w:r w:rsidRPr="00CF5D6A">
        <w:rPr>
          <w:szCs w:val="24"/>
        </w:rPr>
        <w:t xml:space="preserve"> versus intravenous Ig and had assessed patient’s </w:t>
      </w:r>
      <w:proofErr w:type="spellStart"/>
      <w:r w:rsidRPr="00CF5D6A">
        <w:rPr>
          <w:szCs w:val="24"/>
        </w:rPr>
        <w:t>QoL</w:t>
      </w:r>
      <w:proofErr w:type="spellEnd"/>
      <w:r w:rsidRPr="00CF5D6A">
        <w:rPr>
          <w:szCs w:val="24"/>
        </w:rPr>
        <w:t xml:space="preserve">. </w:t>
      </w:r>
      <w:r w:rsidRPr="00D6305F">
        <w:rPr>
          <w:szCs w:val="24"/>
        </w:rPr>
        <w:t xml:space="preserve">These studies aimed to find potential differences between the two forms of administration rather than capturing any potential difference between patients without treatment and patients receiving intravenous Ig. </w:t>
      </w:r>
      <w:r>
        <w:rPr>
          <w:szCs w:val="24"/>
        </w:rPr>
        <w:t>However, the</w:t>
      </w:r>
      <w:r w:rsidRPr="00480AAF">
        <w:rPr>
          <w:szCs w:val="24"/>
        </w:rPr>
        <w:t xml:space="preserve"> additional information </w:t>
      </w:r>
      <w:r>
        <w:rPr>
          <w:szCs w:val="24"/>
        </w:rPr>
        <w:t>was used to better understand</w:t>
      </w:r>
      <w:r w:rsidRPr="00480AAF">
        <w:rPr>
          <w:szCs w:val="24"/>
        </w:rPr>
        <w:t xml:space="preserve"> the tools that have been used in the past to assess the </w:t>
      </w:r>
      <w:proofErr w:type="spellStart"/>
      <w:r w:rsidRPr="00480AAF">
        <w:rPr>
          <w:szCs w:val="24"/>
        </w:rPr>
        <w:t>QoL</w:t>
      </w:r>
      <w:proofErr w:type="spellEnd"/>
      <w:r w:rsidRPr="00480AAF">
        <w:rPr>
          <w:szCs w:val="24"/>
        </w:rPr>
        <w:t xml:space="preserve"> of patients with MMN, capture the absolute outcome measure for patients receiving intravenous Ig and ultimately assess all potential sources for </w:t>
      </w:r>
      <w:proofErr w:type="spellStart"/>
      <w:r w:rsidRPr="00480AAF">
        <w:rPr>
          <w:szCs w:val="24"/>
        </w:rPr>
        <w:t>QoL</w:t>
      </w:r>
      <w:proofErr w:type="spellEnd"/>
      <w:r w:rsidRPr="00480AAF">
        <w:rPr>
          <w:szCs w:val="24"/>
        </w:rPr>
        <w:t xml:space="preserve"> in MMN patients at different stages of their disease.</w:t>
      </w:r>
    </w:p>
    <w:p w14:paraId="385E3976" w14:textId="40D44C2D" w:rsidR="00067458" w:rsidRDefault="00067458" w:rsidP="00B7509C">
      <w:pPr>
        <w:tabs>
          <w:tab w:val="left" w:pos="720"/>
          <w:tab w:val="left" w:pos="1140"/>
        </w:tabs>
        <w:spacing w:before="240"/>
        <w:rPr>
          <w:szCs w:val="24"/>
        </w:rPr>
      </w:pPr>
      <w:r w:rsidRPr="00B52981">
        <w:rPr>
          <w:szCs w:val="24"/>
        </w:rPr>
        <w:t>Overall, on the basis of the clinical evidence, intravenous Ig was superior to No Ig with BSC in terms of improvements in muscle strength and disability.</w:t>
      </w:r>
    </w:p>
    <w:p w14:paraId="11CF44AD" w14:textId="77777777" w:rsidR="00BC1364" w:rsidRPr="00F715D1" w:rsidRDefault="00BC1364" w:rsidP="00F715D1">
      <w:pPr>
        <w:pStyle w:val="Heading1"/>
      </w:pPr>
      <w:r w:rsidRPr="00F715D1">
        <w:t>Economic evaluation</w:t>
      </w:r>
    </w:p>
    <w:p w14:paraId="74BA18D1" w14:textId="0156B0EF" w:rsidR="00067458" w:rsidRDefault="00067458" w:rsidP="00067458">
      <w:pPr>
        <w:tabs>
          <w:tab w:val="left" w:pos="720"/>
        </w:tabs>
        <w:rPr>
          <w:szCs w:val="24"/>
        </w:rPr>
      </w:pPr>
      <w:r>
        <w:rPr>
          <w:szCs w:val="24"/>
        </w:rPr>
        <w:t xml:space="preserve">Based on the claim that </w:t>
      </w:r>
      <w:r w:rsidRPr="00123989">
        <w:rPr>
          <w:szCs w:val="24"/>
        </w:rPr>
        <w:t>intravenous Ig has superior effectiveness and inferior safety compared to ‘No Ig with BSC’ in patients with MMN</w:t>
      </w:r>
      <w:r>
        <w:rPr>
          <w:szCs w:val="24"/>
        </w:rPr>
        <w:t xml:space="preserve">, the DCAR presents a cost-utility </w:t>
      </w:r>
      <w:r w:rsidR="00B7509C">
        <w:rPr>
          <w:szCs w:val="24"/>
        </w:rPr>
        <w:t>analysis (CUA).</w:t>
      </w:r>
    </w:p>
    <w:p w14:paraId="7DE7BFDB" w14:textId="29536E34" w:rsidR="00067458" w:rsidRDefault="00067458" w:rsidP="00B7509C">
      <w:pPr>
        <w:spacing w:before="240"/>
      </w:pPr>
      <w:r>
        <w:t xml:space="preserve">The CUA uses </w:t>
      </w:r>
      <w:r w:rsidRPr="00DA3C6E">
        <w:t>data from Leger et al. 2001 as the main source of treatment effect</w:t>
      </w:r>
      <w:r>
        <w:t xml:space="preserve"> as it was the</w:t>
      </w:r>
      <w:r w:rsidRPr="0087296E">
        <w:t xml:space="preserve"> only study that considered re</w:t>
      </w:r>
      <w:r>
        <w:t>sponders as a composite outcome</w:t>
      </w:r>
      <w:r w:rsidRPr="0087296E">
        <w:t xml:space="preserve"> </w:t>
      </w:r>
      <w:r>
        <w:t>of both improvement in</w:t>
      </w:r>
      <w:r w:rsidRPr="0087296E">
        <w:t xml:space="preserve"> muscle strength and reduced disability</w:t>
      </w:r>
      <w:r>
        <w:t xml:space="preserve"> as it would in Australia</w:t>
      </w:r>
      <w:r w:rsidRPr="0087296E">
        <w:t xml:space="preserve">. Although this study used a different tool to measure disability, it was considered the evidence that best captured that clinical response to treatment </w:t>
      </w:r>
      <w:r>
        <w:t>should consider both</w:t>
      </w:r>
      <w:r w:rsidRPr="0087296E">
        <w:t xml:space="preserve"> </w:t>
      </w:r>
      <w:r>
        <w:t>d</w:t>
      </w:r>
      <w:r w:rsidR="00B7509C">
        <w:t>isability and muscle strength.</w:t>
      </w:r>
    </w:p>
    <w:p w14:paraId="3B0C572D" w14:textId="4EC36A73" w:rsidR="00067458" w:rsidRPr="00BA153F" w:rsidRDefault="00067458" w:rsidP="00B7509C">
      <w:pPr>
        <w:spacing w:before="240"/>
      </w:pPr>
      <w:r w:rsidRPr="00DA3C6E">
        <w:t xml:space="preserve">Where data was not available and/or not reported by Leger et al. 2001, the model relied on data from Hahn et al. 2013 and other non-randomised </w:t>
      </w:r>
      <w:r w:rsidRPr="00BA153F">
        <w:t>single arm studies. The base case (Step</w:t>
      </w:r>
      <w:r w:rsidR="000957C2">
        <w:t> </w:t>
      </w:r>
      <w:r w:rsidRPr="00BA153F">
        <w:t>2) was generated using a modelled step</w:t>
      </w:r>
      <w:r w:rsidR="00B7509C">
        <w:t>ped evaluation detailed below.</w:t>
      </w:r>
    </w:p>
    <w:p w14:paraId="63793A4E" w14:textId="1B847CC6" w:rsidR="00067458" w:rsidRPr="009027FE" w:rsidRDefault="000957C2" w:rsidP="009027FE">
      <w:pPr>
        <w:spacing w:before="240"/>
        <w:rPr>
          <w:rFonts w:ascii="Arial Narrow" w:hAnsi="Arial Narrow"/>
          <w:b/>
          <w:sz w:val="20"/>
        </w:rPr>
      </w:pPr>
      <w:bookmarkStart w:id="22" w:name="_Ref29205008"/>
      <w:bookmarkStart w:id="23" w:name="_Toc30497475"/>
      <w:bookmarkStart w:id="24" w:name="_Toc33449606"/>
      <w:bookmarkStart w:id="25" w:name="_Toc37845831"/>
      <w:r w:rsidRPr="009027FE">
        <w:rPr>
          <w:rFonts w:ascii="Arial Narrow" w:hAnsi="Arial Narrow"/>
          <w:b/>
          <w:sz w:val="20"/>
        </w:rPr>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5</w:t>
      </w:r>
      <w:r w:rsidR="003F56BF" w:rsidRPr="009027FE">
        <w:rPr>
          <w:rFonts w:ascii="Arial Narrow" w:hAnsi="Arial Narrow"/>
          <w:b/>
          <w:sz w:val="20"/>
        </w:rPr>
        <w:fldChar w:fldCharType="end"/>
      </w:r>
      <w:bookmarkEnd w:id="22"/>
      <w:r w:rsidRPr="009027FE">
        <w:rPr>
          <w:rFonts w:ascii="Arial Narrow" w:hAnsi="Arial Narrow"/>
          <w:b/>
          <w:sz w:val="20"/>
        </w:rPr>
        <w:t>:</w:t>
      </w:r>
      <w:r w:rsidR="00067458" w:rsidRPr="009027FE">
        <w:rPr>
          <w:rFonts w:ascii="Arial Narrow" w:hAnsi="Arial Narrow"/>
          <w:b/>
          <w:sz w:val="20"/>
        </w:rPr>
        <w:t xml:space="preserve"> Stepped economic evaluation</w:t>
      </w:r>
      <w:bookmarkEnd w:id="23"/>
      <w:bookmarkEnd w:id="24"/>
      <w:bookmarkEnd w:id="25"/>
    </w:p>
    <w:tbl>
      <w:tblPr>
        <w:tblStyle w:val="TableGrid"/>
        <w:tblW w:w="0" w:type="auto"/>
        <w:tblLook w:val="04A0" w:firstRow="1" w:lastRow="0" w:firstColumn="1" w:lastColumn="0" w:noHBand="0" w:noVBand="1"/>
        <w:tblCaption w:val="Table 28. Stepped economic evaluation"/>
      </w:tblPr>
      <w:tblGrid>
        <w:gridCol w:w="1129"/>
        <w:gridCol w:w="7887"/>
      </w:tblGrid>
      <w:tr w:rsidR="00067458" w:rsidRPr="00DA3C6E" w14:paraId="216A7ECD" w14:textId="77777777" w:rsidTr="0047278C">
        <w:trPr>
          <w:tblHeader/>
        </w:trPr>
        <w:tc>
          <w:tcPr>
            <w:tcW w:w="1129" w:type="dxa"/>
            <w:vAlign w:val="center"/>
          </w:tcPr>
          <w:p w14:paraId="3CBE9DD3" w14:textId="77777777" w:rsidR="00067458" w:rsidRPr="00BA153F" w:rsidRDefault="00067458" w:rsidP="0047278C">
            <w:pPr>
              <w:pStyle w:val="Tabletext0"/>
              <w:keepNext/>
              <w:keepLines/>
              <w:rPr>
                <w:b/>
              </w:rPr>
            </w:pPr>
            <w:r w:rsidRPr="00BA153F">
              <w:rPr>
                <w:b/>
              </w:rPr>
              <w:t>Steps</w:t>
            </w:r>
          </w:p>
        </w:tc>
        <w:tc>
          <w:tcPr>
            <w:tcW w:w="7887" w:type="dxa"/>
            <w:vAlign w:val="center"/>
          </w:tcPr>
          <w:p w14:paraId="77B9792C" w14:textId="77777777" w:rsidR="00067458" w:rsidRPr="00DA3C6E" w:rsidRDefault="00067458" w:rsidP="0047278C">
            <w:pPr>
              <w:pStyle w:val="Tabletext0"/>
              <w:keepNext/>
              <w:keepLines/>
              <w:rPr>
                <w:b/>
              </w:rPr>
            </w:pPr>
            <w:r w:rsidRPr="00BA153F">
              <w:rPr>
                <w:b/>
              </w:rPr>
              <w:t>Description</w:t>
            </w:r>
          </w:p>
        </w:tc>
      </w:tr>
      <w:tr w:rsidR="00067458" w:rsidRPr="00DA3C6E" w14:paraId="4F29C07F" w14:textId="77777777" w:rsidTr="0047278C">
        <w:tc>
          <w:tcPr>
            <w:tcW w:w="1129" w:type="dxa"/>
            <w:vAlign w:val="center"/>
          </w:tcPr>
          <w:p w14:paraId="0D8F5505" w14:textId="77777777" w:rsidR="00067458" w:rsidRPr="00DA3C6E" w:rsidRDefault="00067458" w:rsidP="0047278C">
            <w:pPr>
              <w:pStyle w:val="Tabletext0"/>
              <w:keepNext/>
              <w:keepLines/>
            </w:pPr>
            <w:r w:rsidRPr="00DA3C6E">
              <w:t>Step 1</w:t>
            </w:r>
          </w:p>
        </w:tc>
        <w:tc>
          <w:tcPr>
            <w:tcW w:w="7887" w:type="dxa"/>
            <w:vAlign w:val="center"/>
          </w:tcPr>
          <w:p w14:paraId="4EBD4C6D" w14:textId="77777777" w:rsidR="00067458" w:rsidRPr="00DA3C6E" w:rsidRDefault="00067458" w:rsidP="0047278C">
            <w:pPr>
              <w:pStyle w:val="Tabletext0"/>
              <w:keepNext/>
              <w:keepLines/>
            </w:pPr>
            <w:r w:rsidRPr="00DA3C6E">
              <w:t>Presents a trial-based economic evaluation which spanned the randomised trial time horizon of 4 months (Leger et al. 2001</w: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 </w:instrText>
            </w:r>
            <w:r w:rsidRPr="00DA3C6E">
              <w:fldChar w:fldCharType="begin">
                <w:fldData xml:space="preserve">PEVuZE5vdGU+PENpdGU+PEF1dGhvcj5MZWdlcjwvQXV0aG9yPjxZZWFyPjIwMDE8L1llYXI+PFJl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</w:fldData>
              </w:fldChar>
            </w:r>
            <w:r w:rsidRPr="00DA3C6E">
              <w:instrText xml:space="preserve"> ADDIN EN.CITE.DATA </w:instrText>
            </w:r>
            <w:r w:rsidRPr="00DA3C6E">
              <w:fldChar w:fldCharType="end"/>
            </w:r>
            <w:r w:rsidRPr="00DA3C6E">
              <w:fldChar w:fldCharType="separate"/>
            </w:r>
            <w:r w:rsidRPr="00DA3C6E">
              <w:rPr>
                <w:noProof/>
              </w:rPr>
              <w:t>(</w:t>
            </w:r>
            <w:hyperlink w:anchor="_ENREF_27" w:tooltip="Leger, 2001 #39" w:history="1">
              <w:r w:rsidRPr="00DA3C6E">
                <w:rPr>
                  <w:noProof/>
                </w:rPr>
                <w:t>27</w:t>
              </w:r>
            </w:hyperlink>
            <w:r w:rsidRPr="00DA3C6E">
              <w:rPr>
                <w:noProof/>
              </w:rPr>
              <w:t>)</w:t>
            </w:r>
            <w:r w:rsidRPr="00DA3C6E">
              <w:fldChar w:fldCharType="end"/>
            </w:r>
            <w:r w:rsidRPr="00DA3C6E">
              <w:t>): outcome reported as the incremental cost per QALY.</w:t>
            </w:r>
          </w:p>
        </w:tc>
      </w:tr>
      <w:tr w:rsidR="00067458" w:rsidRPr="00DA3C6E" w14:paraId="7092A169" w14:textId="77777777" w:rsidTr="0047278C">
        <w:tc>
          <w:tcPr>
            <w:tcW w:w="1129" w:type="dxa"/>
            <w:vAlign w:val="center"/>
          </w:tcPr>
          <w:p w14:paraId="0FCAAC3F" w14:textId="77777777" w:rsidR="00067458" w:rsidRDefault="00067458" w:rsidP="0047278C">
            <w:pPr>
              <w:pStyle w:val="Tabletext0"/>
              <w:keepNext/>
              <w:keepLines/>
            </w:pPr>
            <w:r w:rsidRPr="00DA3C6E">
              <w:t>Step 2</w:t>
            </w:r>
            <w:r>
              <w:t xml:space="preserve"> </w:t>
            </w:r>
          </w:p>
          <w:p w14:paraId="6D3E93C6" w14:textId="77777777" w:rsidR="00067458" w:rsidRPr="00DA3C6E" w:rsidRDefault="00067458" w:rsidP="0047278C">
            <w:pPr>
              <w:pStyle w:val="Tabletext0"/>
              <w:keepNext/>
              <w:keepLines/>
            </w:pPr>
            <w:r>
              <w:t>(base case)</w:t>
            </w:r>
          </w:p>
        </w:tc>
        <w:tc>
          <w:tcPr>
            <w:tcW w:w="7887" w:type="dxa"/>
            <w:vAlign w:val="center"/>
          </w:tcPr>
          <w:p w14:paraId="14B7F730" w14:textId="77777777" w:rsidR="00067458" w:rsidRPr="00DA3C6E" w:rsidRDefault="00067458" w:rsidP="0047278C">
            <w:pPr>
              <w:pStyle w:val="Tabletext0"/>
              <w:keepNext/>
              <w:keepLines/>
            </w:pPr>
            <w:r w:rsidRPr="00DA3C6E">
              <w:t>Presents a modelled economic evaluation over a 15 years’ time horizon (extrapolated to 15 years) and estimates the incremental cost per QALY gained.</w:t>
            </w:r>
          </w:p>
        </w:tc>
      </w:tr>
      <w:tr w:rsidR="00067458" w:rsidRPr="00DA3C6E" w14:paraId="1DD32EF8" w14:textId="77777777" w:rsidTr="0047278C">
        <w:tc>
          <w:tcPr>
            <w:tcW w:w="1129" w:type="dxa"/>
            <w:vAlign w:val="center"/>
          </w:tcPr>
          <w:p w14:paraId="44472318" w14:textId="77777777" w:rsidR="00067458" w:rsidRPr="00DA3C6E" w:rsidRDefault="00067458" w:rsidP="0047278C">
            <w:pPr>
              <w:pStyle w:val="Tabletext0"/>
              <w:keepNext/>
              <w:keepLines/>
            </w:pPr>
            <w:r w:rsidRPr="00DA3C6E">
              <w:t xml:space="preserve">Step 3 </w:t>
            </w:r>
          </w:p>
        </w:tc>
        <w:tc>
          <w:tcPr>
            <w:tcW w:w="7887" w:type="dxa"/>
            <w:vAlign w:val="center"/>
          </w:tcPr>
          <w:p w14:paraId="781A238F" w14:textId="77777777" w:rsidR="00067458" w:rsidRPr="00DA3C6E" w:rsidRDefault="00067458" w:rsidP="0047278C">
            <w:pPr>
              <w:pStyle w:val="Tabletext0"/>
              <w:keepNext/>
              <w:keepLines/>
            </w:pPr>
            <w:r w:rsidRPr="00DA3C6E">
              <w:t>Presents a modelled economic evaluation over a lifetime time horizon and estimates the incremental cost per QALY gained.</w:t>
            </w:r>
          </w:p>
        </w:tc>
      </w:tr>
    </w:tbl>
    <w:p w14:paraId="49BDAA0C" w14:textId="2F84A52C" w:rsidR="00067458" w:rsidRDefault="00067458" w:rsidP="00067458">
      <w:pPr>
        <w:rPr>
          <w:rFonts w:ascii="Arial Narrow" w:hAnsi="Arial Narrow"/>
          <w:sz w:val="18"/>
        </w:rPr>
      </w:pPr>
      <w:r w:rsidRPr="00123989">
        <w:rPr>
          <w:rFonts w:ascii="Arial Narrow" w:hAnsi="Arial Narrow"/>
          <w:b/>
          <w:sz w:val="18"/>
        </w:rPr>
        <w:t>Source</w:t>
      </w:r>
      <w:r>
        <w:rPr>
          <w:rFonts w:ascii="Arial Narrow" w:hAnsi="Arial Narrow"/>
          <w:sz w:val="18"/>
        </w:rPr>
        <w:t xml:space="preserve">: </w:t>
      </w:r>
      <w:r w:rsidR="000A12A3">
        <w:rPr>
          <w:rFonts w:ascii="Arial Narrow" w:hAnsi="Arial Narrow"/>
          <w:sz w:val="18"/>
        </w:rPr>
        <w:t>1590 DCAR</w:t>
      </w:r>
      <w:r>
        <w:rPr>
          <w:rFonts w:ascii="Arial Narrow" w:hAnsi="Arial Narrow"/>
          <w:sz w:val="18"/>
        </w:rPr>
        <w:t>, Table 28</w:t>
      </w:r>
    </w:p>
    <w:p w14:paraId="0C3172EB" w14:textId="77777777" w:rsidR="00067458" w:rsidRPr="00DA3C6E" w:rsidRDefault="00067458" w:rsidP="00067458">
      <w:pPr>
        <w:rPr>
          <w:rFonts w:ascii="Arial Narrow" w:hAnsi="Arial Narrow"/>
          <w:sz w:val="18"/>
        </w:rPr>
      </w:pPr>
      <w:r w:rsidRPr="00DA3C6E">
        <w:rPr>
          <w:rFonts w:ascii="Arial Narrow" w:hAnsi="Arial Narrow"/>
          <w:sz w:val="18"/>
        </w:rPr>
        <w:t>Abbreviations: QALY = quality adjusted life years.</w:t>
      </w:r>
    </w:p>
    <w:p w14:paraId="4BA7B196" w14:textId="24567324" w:rsidR="00067458" w:rsidRPr="00B7509C" w:rsidRDefault="00067458" w:rsidP="00B7509C">
      <w:pPr>
        <w:rPr>
          <w:rFonts w:ascii="Arial Narrow" w:hAnsi="Arial Narrow"/>
          <w:sz w:val="18"/>
        </w:rPr>
      </w:pPr>
      <w:r w:rsidRPr="00DA3C6E">
        <w:rPr>
          <w:rFonts w:ascii="Arial Narrow" w:hAnsi="Arial Narrow"/>
          <w:sz w:val="18"/>
        </w:rPr>
        <w:t>Note: The stepped evaluation does not include steps that evaluated incremental cost per life years because the results are not informative as both treatment arms experience the same rate of death (i.e. death due to all causes usi</w:t>
      </w:r>
      <w:r w:rsidR="00B7509C">
        <w:rPr>
          <w:rFonts w:ascii="Arial Narrow" w:hAnsi="Arial Narrow"/>
          <w:sz w:val="18"/>
        </w:rPr>
        <w:t>ng the Australian life tables).</w:t>
      </w:r>
    </w:p>
    <w:p w14:paraId="05F055E5" w14:textId="1CE8D601" w:rsidR="000957C2" w:rsidRPr="00B7509C" w:rsidRDefault="00067458" w:rsidP="00B7509C">
      <w:pPr>
        <w:spacing w:before="240"/>
      </w:pPr>
      <w:r w:rsidRPr="00DA3C6E">
        <w:t xml:space="preserve">A summary of the key characteristics of the economic evaluation is given in </w:t>
      </w:r>
      <w:bookmarkStart w:id="26" w:name="_Ref29218242"/>
      <w:bookmarkStart w:id="27" w:name="_Toc30497476"/>
      <w:bookmarkStart w:id="28" w:name="_Toc33449607"/>
      <w:bookmarkStart w:id="29" w:name="_Toc37845832"/>
      <w:r w:rsidR="00DD06C6" w:rsidRPr="00DD06C6">
        <w:rPr>
          <w:szCs w:val="24"/>
        </w:rPr>
        <w:fldChar w:fldCharType="begin"/>
      </w:r>
      <w:r w:rsidR="00DD06C6" w:rsidRPr="00DD06C6">
        <w:rPr>
          <w:szCs w:val="24"/>
        </w:rPr>
        <w:instrText xml:space="preserve"> REF _Ref50556475 \h  \* MERGEFORMAT </w:instrText>
      </w:r>
      <w:r w:rsidR="00DD06C6" w:rsidRPr="00DD06C6">
        <w:rPr>
          <w:szCs w:val="24"/>
        </w:rPr>
      </w:r>
      <w:r w:rsidR="00DD06C6" w:rsidRPr="00DD06C6">
        <w:rPr>
          <w:szCs w:val="24"/>
        </w:rPr>
        <w:fldChar w:fldCharType="separate"/>
      </w:r>
      <w:r w:rsidR="00123232" w:rsidRPr="00123232">
        <w:rPr>
          <w:szCs w:val="24"/>
        </w:rPr>
        <w:t>Table 6</w:t>
      </w:r>
      <w:r w:rsidR="00DD06C6" w:rsidRPr="00DD06C6">
        <w:rPr>
          <w:szCs w:val="24"/>
        </w:rPr>
        <w:fldChar w:fldCharType="end"/>
      </w:r>
      <w:r w:rsidR="00B7509C">
        <w:t>.</w:t>
      </w:r>
      <w:r w:rsidR="000957C2">
        <w:br w:type="page"/>
      </w:r>
    </w:p>
    <w:p w14:paraId="7C11A816" w14:textId="11CA9813" w:rsidR="00067458" w:rsidRPr="009027FE" w:rsidRDefault="000957C2" w:rsidP="009027FE">
      <w:pPr>
        <w:rPr>
          <w:rFonts w:ascii="Arial Narrow" w:hAnsi="Arial Narrow"/>
          <w:b/>
          <w:sz w:val="20"/>
        </w:rPr>
      </w:pPr>
      <w:bookmarkStart w:id="30" w:name="_Ref50556475"/>
      <w:r w:rsidRPr="009027FE">
        <w:rPr>
          <w:rFonts w:ascii="Arial Narrow" w:hAnsi="Arial Narrow"/>
          <w:b/>
          <w:sz w:val="20"/>
        </w:rPr>
        <w:lastRenderedPageBreak/>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6</w:t>
      </w:r>
      <w:r w:rsidR="003F56BF" w:rsidRPr="009027FE">
        <w:rPr>
          <w:rFonts w:ascii="Arial Narrow" w:hAnsi="Arial Narrow"/>
          <w:b/>
          <w:sz w:val="20"/>
        </w:rPr>
        <w:fldChar w:fldCharType="end"/>
      </w:r>
      <w:bookmarkEnd w:id="26"/>
      <w:bookmarkEnd w:id="30"/>
      <w:r w:rsidRPr="009027FE">
        <w:rPr>
          <w:rFonts w:ascii="Arial Narrow" w:hAnsi="Arial Narrow"/>
          <w:b/>
          <w:sz w:val="20"/>
        </w:rPr>
        <w:t>:</w:t>
      </w:r>
      <w:r w:rsidR="00067458" w:rsidRPr="009027FE">
        <w:rPr>
          <w:rFonts w:ascii="Arial Narrow" w:hAnsi="Arial Narrow"/>
          <w:b/>
          <w:sz w:val="20"/>
        </w:rPr>
        <w:t xml:space="preserve"> Summary of the economic evaluation</w:t>
      </w:r>
      <w:bookmarkEnd w:id="27"/>
      <w:bookmarkEnd w:id="28"/>
      <w:bookmarkEnd w:id="29"/>
      <w:r w:rsidR="00067458" w:rsidRPr="009027FE">
        <w:rPr>
          <w:rFonts w:ascii="Arial Narrow" w:hAnsi="Arial Narrow"/>
          <w:b/>
          <w:sz w:val="20"/>
        </w:rPr>
        <w:t xml:space="preserve"> </w:t>
      </w:r>
    </w:p>
    <w:tbl>
      <w:tblPr>
        <w:tblStyle w:val="TableGrid2"/>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88"/>
        <w:gridCol w:w="5828"/>
      </w:tblGrid>
      <w:tr w:rsidR="00067458" w:rsidRPr="00DA3C6E" w14:paraId="38199732" w14:textId="77777777" w:rsidTr="00FF12D5">
        <w:trPr>
          <w:cnfStyle w:val="100000000000" w:firstRow="1" w:lastRow="0" w:firstColumn="0" w:lastColumn="0" w:oddVBand="0" w:evenVBand="0" w:oddHBand="0" w:evenHBand="0" w:firstRowFirstColumn="0" w:firstRowLastColumn="0" w:lastRowFirstColumn="0" w:lastRowLastColumn="0"/>
          <w:trHeight w:val="20"/>
          <w:tblHeader/>
        </w:trPr>
        <w:tc>
          <w:tcPr>
            <w:tcW w:w="3189" w:type="dxa"/>
          </w:tcPr>
          <w:p w14:paraId="4C6A6115" w14:textId="77777777" w:rsidR="00067458" w:rsidRPr="00DA3C6E" w:rsidRDefault="00067458" w:rsidP="0047278C">
            <w:pPr>
              <w:pStyle w:val="Tabletext0"/>
              <w:rPr>
                <w:b/>
              </w:rPr>
            </w:pPr>
            <w:r w:rsidRPr="00DA3C6E">
              <w:rPr>
                <w:b/>
              </w:rPr>
              <w:t>Model characteristics</w:t>
            </w:r>
          </w:p>
        </w:tc>
        <w:tc>
          <w:tcPr>
            <w:tcW w:w="5832" w:type="dxa"/>
          </w:tcPr>
          <w:p w14:paraId="281B3DAB" w14:textId="77777777" w:rsidR="00067458" w:rsidRPr="00DA3C6E" w:rsidRDefault="00067458" w:rsidP="0047278C">
            <w:pPr>
              <w:pStyle w:val="Tabletext0"/>
              <w:rPr>
                <w:b/>
              </w:rPr>
            </w:pPr>
            <w:r w:rsidRPr="00DA3C6E">
              <w:rPr>
                <w:b/>
              </w:rPr>
              <w:t>Inputs used in the base case model</w:t>
            </w:r>
          </w:p>
        </w:tc>
      </w:tr>
      <w:tr w:rsidR="00067458" w:rsidRPr="00DA3C6E" w14:paraId="48F26A92" w14:textId="77777777" w:rsidTr="00FF12D5">
        <w:trPr>
          <w:trHeight w:val="20"/>
        </w:trPr>
        <w:tc>
          <w:tcPr>
            <w:tcW w:w="3189" w:type="dxa"/>
          </w:tcPr>
          <w:p w14:paraId="48CA3D58" w14:textId="77777777" w:rsidR="00067458" w:rsidRPr="00DA3C6E" w:rsidRDefault="00067458" w:rsidP="0047278C">
            <w:pPr>
              <w:pStyle w:val="Tabletext0"/>
              <w:rPr>
                <w:b/>
              </w:rPr>
            </w:pPr>
            <w:r w:rsidRPr="00DA3C6E">
              <w:rPr>
                <w:b/>
              </w:rPr>
              <w:t>Perspective</w:t>
            </w:r>
          </w:p>
        </w:tc>
        <w:tc>
          <w:tcPr>
            <w:tcW w:w="5832" w:type="dxa"/>
          </w:tcPr>
          <w:p w14:paraId="11A02D31" w14:textId="77777777" w:rsidR="00067458" w:rsidRPr="00DA3C6E" w:rsidRDefault="00067458" w:rsidP="0047278C">
            <w:pPr>
              <w:rPr>
                <w:sz w:val="20"/>
              </w:rPr>
            </w:pPr>
            <w:r w:rsidRPr="00DA3C6E">
              <w:rPr>
                <w:sz w:val="20"/>
              </w:rPr>
              <w:t>Australian health care system</w:t>
            </w:r>
          </w:p>
        </w:tc>
      </w:tr>
      <w:tr w:rsidR="00067458" w:rsidRPr="00DA3C6E" w14:paraId="30CFFA05" w14:textId="77777777" w:rsidTr="00FF12D5">
        <w:trPr>
          <w:trHeight w:val="20"/>
        </w:trPr>
        <w:tc>
          <w:tcPr>
            <w:tcW w:w="3189" w:type="dxa"/>
          </w:tcPr>
          <w:p w14:paraId="16EF3E9B" w14:textId="77777777" w:rsidR="00067458" w:rsidRPr="00DA3C6E" w:rsidRDefault="00067458" w:rsidP="0047278C">
            <w:pPr>
              <w:pStyle w:val="Tabletext0"/>
              <w:rPr>
                <w:b/>
              </w:rPr>
            </w:pPr>
            <w:r w:rsidRPr="00DA3C6E">
              <w:rPr>
                <w:b/>
              </w:rPr>
              <w:t>Comparator</w:t>
            </w:r>
          </w:p>
        </w:tc>
        <w:tc>
          <w:tcPr>
            <w:tcW w:w="5832" w:type="dxa"/>
          </w:tcPr>
          <w:p w14:paraId="7341726F" w14:textId="77777777" w:rsidR="00067458" w:rsidRPr="00DA3C6E" w:rsidRDefault="00067458" w:rsidP="0047278C">
            <w:pPr>
              <w:rPr>
                <w:sz w:val="20"/>
              </w:rPr>
            </w:pPr>
            <w:r w:rsidRPr="00DA3C6E">
              <w:rPr>
                <w:sz w:val="20"/>
              </w:rPr>
              <w:t>No Ig with BSC</w:t>
            </w:r>
          </w:p>
        </w:tc>
      </w:tr>
      <w:tr w:rsidR="00067458" w:rsidRPr="00DA3C6E" w14:paraId="4CAA9027" w14:textId="77777777" w:rsidTr="00FF12D5">
        <w:trPr>
          <w:trHeight w:val="20"/>
        </w:trPr>
        <w:tc>
          <w:tcPr>
            <w:tcW w:w="3189" w:type="dxa"/>
          </w:tcPr>
          <w:p w14:paraId="35B768A9" w14:textId="77777777" w:rsidR="00067458" w:rsidRPr="00DA3C6E" w:rsidRDefault="00067458" w:rsidP="0047278C">
            <w:pPr>
              <w:pStyle w:val="Tabletext0"/>
              <w:rPr>
                <w:b/>
              </w:rPr>
            </w:pPr>
            <w:r w:rsidRPr="00DA3C6E">
              <w:rPr>
                <w:b/>
              </w:rPr>
              <w:t>Type of economic evaluation</w:t>
            </w:r>
          </w:p>
        </w:tc>
        <w:tc>
          <w:tcPr>
            <w:tcW w:w="5832" w:type="dxa"/>
          </w:tcPr>
          <w:p w14:paraId="5836E2E0" w14:textId="77777777" w:rsidR="00067458" w:rsidRPr="00DA3C6E" w:rsidRDefault="00067458" w:rsidP="0047278C">
            <w:pPr>
              <w:rPr>
                <w:sz w:val="20"/>
              </w:rPr>
            </w:pPr>
            <w:r w:rsidRPr="00DA3C6E">
              <w:rPr>
                <w:sz w:val="20"/>
              </w:rPr>
              <w:t>Cost utility analysis</w:t>
            </w:r>
          </w:p>
        </w:tc>
      </w:tr>
      <w:tr w:rsidR="00067458" w:rsidRPr="00DA3C6E" w14:paraId="4F6F8B47" w14:textId="77777777" w:rsidTr="00FF12D5">
        <w:trPr>
          <w:trHeight w:val="20"/>
        </w:trPr>
        <w:tc>
          <w:tcPr>
            <w:tcW w:w="3189" w:type="dxa"/>
          </w:tcPr>
          <w:p w14:paraId="46690DC5" w14:textId="77777777" w:rsidR="00067458" w:rsidRPr="00DA3C6E" w:rsidRDefault="00067458" w:rsidP="0047278C">
            <w:pPr>
              <w:pStyle w:val="Tabletext0"/>
              <w:rPr>
                <w:b/>
              </w:rPr>
            </w:pPr>
            <w:r w:rsidRPr="00DA3C6E">
              <w:rPr>
                <w:b/>
              </w:rPr>
              <w:t>Sources of evidence</w:t>
            </w:r>
          </w:p>
        </w:tc>
        <w:tc>
          <w:tcPr>
            <w:tcW w:w="5832" w:type="dxa"/>
          </w:tcPr>
          <w:p w14:paraId="47422418" w14:textId="77777777" w:rsidR="00067458" w:rsidRPr="00DA3C6E" w:rsidRDefault="00067458" w:rsidP="0047278C">
            <w:pPr>
              <w:rPr>
                <w:sz w:val="20"/>
              </w:rPr>
            </w:pPr>
            <w:r w:rsidRPr="00DA3C6E">
              <w:rPr>
                <w:sz w:val="20"/>
              </w:rPr>
              <w:t>Systematic review, expert opinion (Ig review reference group), NBA.</w:t>
            </w:r>
          </w:p>
        </w:tc>
      </w:tr>
      <w:tr w:rsidR="00067458" w:rsidRPr="00DA3C6E" w14:paraId="701F512A" w14:textId="77777777" w:rsidTr="00FF12D5">
        <w:trPr>
          <w:trHeight w:val="20"/>
        </w:trPr>
        <w:tc>
          <w:tcPr>
            <w:tcW w:w="3189" w:type="dxa"/>
            <w:hideMark/>
          </w:tcPr>
          <w:p w14:paraId="053F057A" w14:textId="77777777" w:rsidR="00067458" w:rsidRPr="00DA3C6E" w:rsidRDefault="00067458" w:rsidP="0047278C">
            <w:pPr>
              <w:pStyle w:val="Tabletext0"/>
              <w:rPr>
                <w:b/>
              </w:rPr>
            </w:pPr>
            <w:r w:rsidRPr="00DA3C6E">
              <w:rPr>
                <w:b/>
              </w:rPr>
              <w:t>Time horizon</w:t>
            </w:r>
          </w:p>
        </w:tc>
        <w:tc>
          <w:tcPr>
            <w:tcW w:w="5832" w:type="dxa"/>
            <w:hideMark/>
          </w:tcPr>
          <w:p w14:paraId="5DC1D543" w14:textId="77777777" w:rsidR="00067458" w:rsidRPr="00DA3C6E" w:rsidRDefault="00067458" w:rsidP="0047278C">
            <w:pPr>
              <w:rPr>
                <w:sz w:val="20"/>
              </w:rPr>
            </w:pPr>
            <w:r w:rsidRPr="00DA3C6E">
              <w:rPr>
                <w:sz w:val="20"/>
              </w:rPr>
              <w:t xml:space="preserve">15 years </w:t>
            </w:r>
          </w:p>
        </w:tc>
      </w:tr>
      <w:tr w:rsidR="00067458" w:rsidRPr="00DA3C6E" w14:paraId="317765C2" w14:textId="77777777" w:rsidTr="00FF12D5">
        <w:trPr>
          <w:trHeight w:val="20"/>
        </w:trPr>
        <w:tc>
          <w:tcPr>
            <w:tcW w:w="3189" w:type="dxa"/>
            <w:hideMark/>
          </w:tcPr>
          <w:p w14:paraId="7C79B2B0" w14:textId="77777777" w:rsidR="00067458" w:rsidRPr="00DA3C6E" w:rsidRDefault="00067458" w:rsidP="0047278C">
            <w:pPr>
              <w:pStyle w:val="Tabletext0"/>
              <w:rPr>
                <w:b/>
              </w:rPr>
            </w:pPr>
            <w:r w:rsidRPr="00DA3C6E">
              <w:rPr>
                <w:b/>
              </w:rPr>
              <w:t>Outcomes</w:t>
            </w:r>
          </w:p>
        </w:tc>
        <w:tc>
          <w:tcPr>
            <w:tcW w:w="5832" w:type="dxa"/>
          </w:tcPr>
          <w:p w14:paraId="63C902A5" w14:textId="77777777" w:rsidR="00067458" w:rsidRPr="00DA3C6E" w:rsidRDefault="00067458" w:rsidP="0047278C">
            <w:pPr>
              <w:rPr>
                <w:sz w:val="20"/>
              </w:rPr>
            </w:pPr>
            <w:r w:rsidRPr="00DA3C6E">
              <w:rPr>
                <w:sz w:val="20"/>
              </w:rPr>
              <w:t>Cost per QALY gained</w:t>
            </w:r>
          </w:p>
        </w:tc>
      </w:tr>
      <w:tr w:rsidR="00067458" w:rsidRPr="00DA3C6E" w14:paraId="1D824165" w14:textId="77777777" w:rsidTr="00FF12D5">
        <w:trPr>
          <w:trHeight w:val="20"/>
        </w:trPr>
        <w:tc>
          <w:tcPr>
            <w:tcW w:w="3189" w:type="dxa"/>
            <w:hideMark/>
          </w:tcPr>
          <w:p w14:paraId="4C8799F2" w14:textId="77777777" w:rsidR="00067458" w:rsidRPr="00DA3C6E" w:rsidRDefault="00067458" w:rsidP="0047278C">
            <w:pPr>
              <w:pStyle w:val="Tabletext0"/>
              <w:rPr>
                <w:b/>
              </w:rPr>
            </w:pPr>
            <w:r w:rsidRPr="00DA3C6E">
              <w:rPr>
                <w:b/>
              </w:rPr>
              <w:t>Methods used to generate results</w:t>
            </w:r>
          </w:p>
        </w:tc>
        <w:tc>
          <w:tcPr>
            <w:tcW w:w="5832" w:type="dxa"/>
          </w:tcPr>
          <w:p w14:paraId="0929A3EC" w14:textId="77777777" w:rsidR="00067458" w:rsidRPr="00DA3C6E" w:rsidRDefault="00067458" w:rsidP="0047278C">
            <w:pPr>
              <w:rPr>
                <w:sz w:val="20"/>
              </w:rPr>
            </w:pPr>
            <w:r w:rsidRPr="00DA3C6E">
              <w:rPr>
                <w:sz w:val="20"/>
              </w:rPr>
              <w:t>Markov model</w:t>
            </w:r>
          </w:p>
        </w:tc>
      </w:tr>
      <w:tr w:rsidR="00067458" w:rsidRPr="00DA3C6E" w14:paraId="0FA29C0A" w14:textId="77777777" w:rsidTr="00FF12D5">
        <w:trPr>
          <w:trHeight w:val="20"/>
        </w:trPr>
        <w:tc>
          <w:tcPr>
            <w:tcW w:w="3189" w:type="dxa"/>
          </w:tcPr>
          <w:p w14:paraId="29137D0F" w14:textId="77777777" w:rsidR="00067458" w:rsidRPr="00DA3C6E" w:rsidRDefault="00067458" w:rsidP="0047278C">
            <w:pPr>
              <w:pStyle w:val="Tabletext0"/>
              <w:rPr>
                <w:b/>
              </w:rPr>
            </w:pPr>
            <w:r w:rsidRPr="00DA3C6E">
              <w:rPr>
                <w:b/>
              </w:rPr>
              <w:t>Health states</w:t>
            </w:r>
          </w:p>
        </w:tc>
        <w:tc>
          <w:tcPr>
            <w:tcW w:w="5832" w:type="dxa"/>
          </w:tcPr>
          <w:p w14:paraId="6BB17938" w14:textId="77777777" w:rsidR="00067458" w:rsidRPr="00DA3C6E" w:rsidRDefault="00067458" w:rsidP="0047278C">
            <w:pPr>
              <w:rPr>
                <w:sz w:val="20"/>
              </w:rPr>
            </w:pPr>
            <w:r w:rsidRPr="00DA3C6E">
              <w:rPr>
                <w:sz w:val="20"/>
              </w:rPr>
              <w:t>Initial treatment</w:t>
            </w:r>
          </w:p>
          <w:p w14:paraId="12845235" w14:textId="77777777" w:rsidR="00067458" w:rsidRPr="00DA3C6E" w:rsidRDefault="00067458" w:rsidP="0047278C">
            <w:pPr>
              <w:rPr>
                <w:sz w:val="20"/>
              </w:rPr>
            </w:pPr>
            <w:r w:rsidRPr="00DA3C6E">
              <w:rPr>
                <w:sz w:val="20"/>
              </w:rPr>
              <w:t>Responder</w:t>
            </w:r>
          </w:p>
          <w:p w14:paraId="79526E47" w14:textId="77777777" w:rsidR="00067458" w:rsidRPr="00DA3C6E" w:rsidRDefault="00067458" w:rsidP="0047278C">
            <w:pPr>
              <w:rPr>
                <w:sz w:val="20"/>
              </w:rPr>
            </w:pPr>
            <w:r w:rsidRPr="00DA3C6E">
              <w:rPr>
                <w:sz w:val="20"/>
              </w:rPr>
              <w:t>Responder off treatment</w:t>
            </w:r>
          </w:p>
          <w:p w14:paraId="6A5D8E61" w14:textId="77777777" w:rsidR="00067458" w:rsidRPr="00DA3C6E" w:rsidRDefault="00067458" w:rsidP="0047278C">
            <w:pPr>
              <w:rPr>
                <w:sz w:val="20"/>
              </w:rPr>
            </w:pPr>
            <w:r w:rsidRPr="00DA3C6E">
              <w:rPr>
                <w:sz w:val="20"/>
              </w:rPr>
              <w:t>Best supportive care</w:t>
            </w:r>
          </w:p>
          <w:p w14:paraId="222C115B" w14:textId="77777777" w:rsidR="00067458" w:rsidRPr="00DA3C6E" w:rsidRDefault="00067458" w:rsidP="0047278C">
            <w:pPr>
              <w:rPr>
                <w:sz w:val="20"/>
              </w:rPr>
            </w:pPr>
            <w:r w:rsidRPr="00DA3C6E">
              <w:rPr>
                <w:sz w:val="20"/>
              </w:rPr>
              <w:t>Death</w:t>
            </w:r>
          </w:p>
        </w:tc>
      </w:tr>
      <w:tr w:rsidR="00067458" w:rsidRPr="00DA3C6E" w14:paraId="27824795" w14:textId="77777777" w:rsidTr="00FF12D5">
        <w:trPr>
          <w:trHeight w:val="20"/>
        </w:trPr>
        <w:tc>
          <w:tcPr>
            <w:tcW w:w="3189" w:type="dxa"/>
            <w:hideMark/>
          </w:tcPr>
          <w:p w14:paraId="6C48E626" w14:textId="77777777" w:rsidR="00067458" w:rsidRPr="00DA3C6E" w:rsidRDefault="00067458" w:rsidP="0047278C">
            <w:pPr>
              <w:pStyle w:val="Tabletext0"/>
              <w:rPr>
                <w:b/>
              </w:rPr>
            </w:pPr>
            <w:r w:rsidRPr="00DA3C6E">
              <w:rPr>
                <w:b/>
              </w:rPr>
              <w:t>Cycle length</w:t>
            </w:r>
          </w:p>
        </w:tc>
        <w:tc>
          <w:tcPr>
            <w:tcW w:w="5832" w:type="dxa"/>
          </w:tcPr>
          <w:p w14:paraId="43B23AB0" w14:textId="77777777" w:rsidR="00067458" w:rsidRPr="00DA3C6E" w:rsidRDefault="00067458" w:rsidP="0047278C">
            <w:pPr>
              <w:rPr>
                <w:sz w:val="20"/>
              </w:rPr>
            </w:pPr>
            <w:r w:rsidRPr="00DA3C6E">
              <w:rPr>
                <w:sz w:val="20"/>
              </w:rPr>
              <w:t>6 months</w:t>
            </w:r>
          </w:p>
        </w:tc>
      </w:tr>
      <w:tr w:rsidR="00067458" w:rsidRPr="00DA3C6E" w14:paraId="773FA321" w14:textId="77777777" w:rsidTr="00FF12D5">
        <w:trPr>
          <w:trHeight w:val="20"/>
        </w:trPr>
        <w:tc>
          <w:tcPr>
            <w:tcW w:w="3189" w:type="dxa"/>
            <w:hideMark/>
          </w:tcPr>
          <w:p w14:paraId="4C00EA35" w14:textId="77777777" w:rsidR="00067458" w:rsidRPr="00DA3C6E" w:rsidRDefault="00067458" w:rsidP="0047278C">
            <w:pPr>
              <w:pStyle w:val="Tabletext0"/>
              <w:rPr>
                <w:b/>
              </w:rPr>
            </w:pPr>
            <w:r w:rsidRPr="00DA3C6E">
              <w:rPr>
                <w:b/>
              </w:rPr>
              <w:t>Discount rate</w:t>
            </w:r>
          </w:p>
        </w:tc>
        <w:tc>
          <w:tcPr>
            <w:tcW w:w="5832" w:type="dxa"/>
          </w:tcPr>
          <w:p w14:paraId="5A25CD3E" w14:textId="77777777" w:rsidR="00067458" w:rsidRPr="00DA3C6E" w:rsidRDefault="00067458" w:rsidP="0047278C">
            <w:pPr>
              <w:rPr>
                <w:sz w:val="20"/>
              </w:rPr>
            </w:pPr>
            <w:r w:rsidRPr="00DA3C6E">
              <w:rPr>
                <w:sz w:val="20"/>
              </w:rPr>
              <w:t>5%</w:t>
            </w:r>
          </w:p>
        </w:tc>
      </w:tr>
      <w:tr w:rsidR="00067458" w:rsidRPr="00DA3C6E" w14:paraId="6AF9F5E6" w14:textId="77777777" w:rsidTr="00FF12D5">
        <w:trPr>
          <w:trHeight w:val="20"/>
        </w:trPr>
        <w:tc>
          <w:tcPr>
            <w:tcW w:w="3189" w:type="dxa"/>
            <w:hideMark/>
          </w:tcPr>
          <w:p w14:paraId="5F62207F" w14:textId="77777777" w:rsidR="00067458" w:rsidRPr="00DA3C6E" w:rsidRDefault="00067458" w:rsidP="0047278C">
            <w:pPr>
              <w:pStyle w:val="Tabletext0"/>
              <w:rPr>
                <w:b/>
              </w:rPr>
            </w:pPr>
            <w:r w:rsidRPr="00DA3C6E">
              <w:rPr>
                <w:b/>
              </w:rPr>
              <w:t>Software packages used</w:t>
            </w:r>
          </w:p>
        </w:tc>
        <w:tc>
          <w:tcPr>
            <w:tcW w:w="5832" w:type="dxa"/>
          </w:tcPr>
          <w:p w14:paraId="52859D8C" w14:textId="77777777" w:rsidR="00067458" w:rsidRPr="00DA3C6E" w:rsidRDefault="00067458" w:rsidP="0047278C">
            <w:pPr>
              <w:rPr>
                <w:sz w:val="20"/>
              </w:rPr>
            </w:pPr>
            <w:proofErr w:type="spellStart"/>
            <w:r w:rsidRPr="00DA3C6E">
              <w:rPr>
                <w:sz w:val="20"/>
              </w:rPr>
              <w:t>TreeAge</w:t>
            </w:r>
            <w:proofErr w:type="spellEnd"/>
            <w:r w:rsidRPr="00DA3C6E">
              <w:rPr>
                <w:sz w:val="20"/>
              </w:rPr>
              <w:t xml:space="preserve"> Pro®</w:t>
            </w:r>
          </w:p>
        </w:tc>
      </w:tr>
    </w:tbl>
    <w:p w14:paraId="125B63EE" w14:textId="729DB2C5" w:rsidR="00067458" w:rsidRDefault="00067458" w:rsidP="00067458">
      <w:pPr>
        <w:rPr>
          <w:rFonts w:ascii="Arial Narrow" w:hAnsi="Arial Narrow"/>
          <w:sz w:val="18"/>
        </w:rPr>
      </w:pPr>
      <w:r w:rsidRPr="00BA153F">
        <w:rPr>
          <w:rFonts w:ascii="Arial Narrow" w:hAnsi="Arial Narrow"/>
          <w:b/>
          <w:sz w:val="18"/>
        </w:rPr>
        <w:t>Source</w:t>
      </w:r>
      <w:r>
        <w:rPr>
          <w:rFonts w:ascii="Arial Narrow" w:hAnsi="Arial Narrow"/>
          <w:sz w:val="18"/>
        </w:rPr>
        <w:t xml:space="preserve">: </w:t>
      </w:r>
      <w:r w:rsidR="000A12A3">
        <w:rPr>
          <w:rFonts w:ascii="Arial Narrow" w:hAnsi="Arial Narrow"/>
          <w:sz w:val="18"/>
        </w:rPr>
        <w:t>1590 DCAR</w:t>
      </w:r>
      <w:r>
        <w:rPr>
          <w:rFonts w:ascii="Arial Narrow" w:hAnsi="Arial Narrow"/>
          <w:sz w:val="18"/>
        </w:rPr>
        <w:t>, Table 29</w:t>
      </w:r>
    </w:p>
    <w:p w14:paraId="6A177975" w14:textId="31D0CE64" w:rsidR="00067458" w:rsidRPr="00B7509C" w:rsidRDefault="00067458" w:rsidP="00B7509C">
      <w:pPr>
        <w:rPr>
          <w:rFonts w:ascii="Arial Narrow" w:hAnsi="Arial Narrow"/>
          <w:sz w:val="18"/>
        </w:rPr>
      </w:pPr>
      <w:r w:rsidRPr="00DA3C6E">
        <w:rPr>
          <w:rFonts w:ascii="Arial Narrow" w:hAnsi="Arial Narrow"/>
          <w:sz w:val="18"/>
        </w:rPr>
        <w:t>Abbreviations: BSC = best supportive care; Ig = immunoglobulin; QALYs = quality adjusted life years; NBA = National Blood Autho</w:t>
      </w:r>
      <w:r w:rsidR="00B7509C">
        <w:rPr>
          <w:rFonts w:ascii="Arial Narrow" w:hAnsi="Arial Narrow"/>
          <w:sz w:val="18"/>
        </w:rPr>
        <w:t xml:space="preserve">rity. SA=sensitivity analysis. </w:t>
      </w:r>
    </w:p>
    <w:p w14:paraId="647A62B3" w14:textId="3D81E807" w:rsidR="00067458" w:rsidRPr="00C73536" w:rsidRDefault="00067458" w:rsidP="00B7509C">
      <w:pPr>
        <w:spacing w:before="240"/>
      </w:pPr>
      <w:r w:rsidRPr="00DA3C6E">
        <w:t xml:space="preserve">The information provided in The Criteria V3 was used to inform the </w:t>
      </w:r>
      <w:r w:rsidRPr="00C73536">
        <w:t xml:space="preserve">structure of the </w:t>
      </w:r>
      <w:r w:rsidR="00B7509C">
        <w:t>Markov model, presented below.</w:t>
      </w:r>
    </w:p>
    <w:p w14:paraId="462967FC" w14:textId="512E1080" w:rsidR="00067458" w:rsidRPr="009027FE" w:rsidRDefault="000957C2" w:rsidP="009027FE">
      <w:pPr>
        <w:spacing w:before="240" w:after="240"/>
        <w:rPr>
          <w:rFonts w:ascii="Arial Narrow" w:hAnsi="Arial Narrow"/>
          <w:b/>
          <w:sz w:val="20"/>
        </w:rPr>
      </w:pPr>
      <w:bookmarkStart w:id="31" w:name="_Ref29219491"/>
      <w:bookmarkStart w:id="32" w:name="_Toc30497518"/>
      <w:bookmarkStart w:id="33" w:name="_Toc33449645"/>
      <w:bookmarkStart w:id="34" w:name="_Toc37845871"/>
      <w:r w:rsidRPr="009027FE">
        <w:rPr>
          <w:rFonts w:ascii="Arial Narrow" w:hAnsi="Arial Narrow"/>
          <w:b/>
          <w:sz w:val="20"/>
        </w:rPr>
        <w:t xml:space="preserve">Figure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Figure \* ARABIC </w:instrText>
      </w:r>
      <w:r w:rsidR="003F56BF" w:rsidRPr="009027FE">
        <w:rPr>
          <w:rFonts w:ascii="Arial Narrow" w:hAnsi="Arial Narrow"/>
          <w:b/>
          <w:sz w:val="20"/>
        </w:rPr>
        <w:fldChar w:fldCharType="separate"/>
      </w:r>
      <w:r w:rsidR="00123232">
        <w:rPr>
          <w:rFonts w:ascii="Arial Narrow" w:hAnsi="Arial Narrow"/>
          <w:b/>
          <w:noProof/>
          <w:sz w:val="20"/>
        </w:rPr>
        <w:t>3</w:t>
      </w:r>
      <w:r w:rsidR="003F56BF" w:rsidRPr="009027FE">
        <w:rPr>
          <w:rFonts w:ascii="Arial Narrow" w:hAnsi="Arial Narrow"/>
          <w:b/>
          <w:sz w:val="20"/>
        </w:rPr>
        <w:fldChar w:fldCharType="end"/>
      </w:r>
      <w:bookmarkEnd w:id="31"/>
      <w:r w:rsidRPr="009027FE">
        <w:rPr>
          <w:rFonts w:ascii="Arial Narrow" w:hAnsi="Arial Narrow"/>
          <w:b/>
          <w:sz w:val="20"/>
        </w:rPr>
        <w:t>:</w:t>
      </w:r>
      <w:r w:rsidR="00067458" w:rsidRPr="009027FE">
        <w:rPr>
          <w:rFonts w:ascii="Arial Narrow" w:hAnsi="Arial Narrow"/>
          <w:b/>
          <w:sz w:val="20"/>
        </w:rPr>
        <w:t xml:space="preserve"> Decision analytic structure of the economic evaluation.</w:t>
      </w:r>
      <w:bookmarkEnd w:id="32"/>
      <w:bookmarkEnd w:id="33"/>
      <w:bookmarkEnd w:id="34"/>
    </w:p>
    <w:p w14:paraId="3D870B29" w14:textId="77777777" w:rsidR="00067458" w:rsidRPr="00DA3C6E" w:rsidRDefault="00067458" w:rsidP="00067458">
      <w:pPr>
        <w:keepNext/>
        <w:keepLines/>
      </w:pPr>
      <w:r w:rsidRPr="00DA3C6E">
        <w:rPr>
          <w:noProof/>
        </w:rPr>
        <w:drawing>
          <wp:inline distT="0" distB="0" distL="0" distR="0" wp14:anchorId="3152EAE6" wp14:editId="550A5318">
            <wp:extent cx="5703266" cy="2959100"/>
            <wp:effectExtent l="0" t="0" r="0" b="0"/>
            <wp:docPr id="39" name="Picture 39" title="Figure 11. Decision analytic structure of the economic eval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3325" cy="2974696"/>
                    </a:xfrm>
                    <a:prstGeom prst="rect">
                      <a:avLst/>
                    </a:prstGeom>
                    <a:noFill/>
                  </pic:spPr>
                </pic:pic>
              </a:graphicData>
            </a:graphic>
          </wp:inline>
        </w:drawing>
      </w:r>
      <w:r w:rsidRPr="00DA3C6E">
        <w:t xml:space="preserve"> </w:t>
      </w:r>
    </w:p>
    <w:p w14:paraId="00C3EADB" w14:textId="6D306FB9" w:rsidR="00067458" w:rsidRDefault="00067458" w:rsidP="00067458">
      <w:pPr>
        <w:keepNext/>
        <w:rPr>
          <w:rFonts w:ascii="Arial Narrow" w:hAnsi="Arial Narrow"/>
          <w:sz w:val="18"/>
          <w:szCs w:val="18"/>
        </w:rPr>
      </w:pPr>
      <w:r w:rsidRPr="00C20ECB">
        <w:rPr>
          <w:rFonts w:ascii="Arial Narrow" w:hAnsi="Arial Narrow"/>
          <w:b/>
          <w:sz w:val="18"/>
          <w:szCs w:val="18"/>
        </w:rPr>
        <w:t>Source</w:t>
      </w:r>
      <w:r>
        <w:rPr>
          <w:rFonts w:ascii="Arial Narrow" w:hAnsi="Arial Narrow"/>
          <w:sz w:val="18"/>
          <w:szCs w:val="18"/>
        </w:rPr>
        <w:t xml:space="preserve">: </w:t>
      </w:r>
      <w:r w:rsidR="000A12A3">
        <w:rPr>
          <w:rFonts w:ascii="Arial Narrow" w:hAnsi="Arial Narrow"/>
          <w:sz w:val="18"/>
          <w:szCs w:val="18"/>
        </w:rPr>
        <w:t>1590 DCAR</w:t>
      </w:r>
      <w:r>
        <w:rPr>
          <w:rFonts w:ascii="Arial Narrow" w:hAnsi="Arial Narrow"/>
          <w:sz w:val="18"/>
          <w:szCs w:val="18"/>
        </w:rPr>
        <w:t>, Figure 11</w:t>
      </w:r>
    </w:p>
    <w:p w14:paraId="0FFE550A" w14:textId="5ADA9A0E" w:rsidR="00067458" w:rsidRPr="00B7509C" w:rsidRDefault="00067458" w:rsidP="00B7509C">
      <w:pPr>
        <w:keepNext/>
        <w:rPr>
          <w:rFonts w:ascii="Arial Narrow" w:hAnsi="Arial Narrow"/>
          <w:sz w:val="18"/>
          <w:szCs w:val="18"/>
        </w:rPr>
      </w:pPr>
      <w:r w:rsidRPr="00DA3C6E">
        <w:rPr>
          <w:rFonts w:ascii="Arial Narrow" w:hAnsi="Arial Narrow"/>
          <w:sz w:val="18"/>
          <w:szCs w:val="18"/>
        </w:rPr>
        <w:t xml:space="preserve">Notes: arrows represent the direction </w:t>
      </w:r>
      <w:r w:rsidR="00B7509C">
        <w:rPr>
          <w:rFonts w:ascii="Arial Narrow" w:hAnsi="Arial Narrow"/>
          <w:sz w:val="18"/>
          <w:szCs w:val="18"/>
        </w:rPr>
        <w:t>of each transition probability.</w:t>
      </w:r>
    </w:p>
    <w:p w14:paraId="1E519857" w14:textId="0780752B" w:rsidR="0087110A" w:rsidRDefault="00067458" w:rsidP="00B7509C">
      <w:pPr>
        <w:spacing w:before="240"/>
      </w:pPr>
      <w:r>
        <w:t xml:space="preserve">The base case model uses a cost of Ig of $60.41 per gram, based on the domestic unit cost of </w:t>
      </w:r>
      <w:proofErr w:type="spellStart"/>
      <w:r>
        <w:t>IVIg</w:t>
      </w:r>
      <w:proofErr w:type="spellEnd"/>
      <w:r>
        <w:t xml:space="preserve"> excluding plasma</w:t>
      </w:r>
      <w:r w:rsidR="00F61670">
        <w:t xml:space="preserve"> collection and fractionation costs</w:t>
      </w:r>
      <w:r>
        <w:t xml:space="preserve">, and is the cost agreed by the Ig Review Reference Group to be used as the base case </w:t>
      </w:r>
      <w:r w:rsidR="0087110A">
        <w:t xml:space="preserve">for consistency </w:t>
      </w:r>
      <w:r>
        <w:t>across all of the Immunoglobulin Reviews.</w:t>
      </w:r>
      <w:r w:rsidRPr="004D70F1">
        <w:t xml:space="preserve"> </w:t>
      </w:r>
      <w:r w:rsidR="0087110A" w:rsidRPr="007E21FA">
        <w:t xml:space="preserve">This cost was provided by the Applicant to inform the economic and financial analyses and had been estimated retrospectively based on the reported total domestic product cost in 2017/18 ($195 million) minus domestic </w:t>
      </w:r>
      <w:proofErr w:type="spellStart"/>
      <w:r w:rsidR="0087110A" w:rsidRPr="007E21FA">
        <w:t>SCIg</w:t>
      </w:r>
      <w:proofErr w:type="spellEnd"/>
      <w:r w:rsidR="0087110A" w:rsidRPr="007E21FA">
        <w:t xml:space="preserve"> product costs ($4 </w:t>
      </w:r>
      <w:r w:rsidR="0087110A" w:rsidRPr="007E21FA">
        <w:lastRenderedPageBreak/>
        <w:t xml:space="preserve">million) in that same year, divided by the number of </w:t>
      </w:r>
      <w:proofErr w:type="spellStart"/>
      <w:r w:rsidR="0087110A" w:rsidRPr="007E21FA">
        <w:t>IVIg</w:t>
      </w:r>
      <w:proofErr w:type="spellEnd"/>
      <w:r w:rsidR="0087110A" w:rsidRPr="007E21FA">
        <w:t xml:space="preserve"> domestic grams issued (3,161,673) as published in the National Report on the Issues and Use of Ig in 2017/18 (NBA 2019b).</w:t>
      </w:r>
      <w:r w:rsidR="0087110A" w:rsidRPr="00CD5EAC">
        <w:t xml:space="preserve"> </w:t>
      </w:r>
      <w:r w:rsidR="0087110A">
        <w:t>The</w:t>
      </w:r>
      <w:r w:rsidR="00EE4210">
        <w:t xml:space="preserve"> Applicant </w:t>
      </w:r>
      <w:r w:rsidR="0087110A">
        <w:t xml:space="preserve">provided </w:t>
      </w:r>
      <w:r w:rsidR="00EE4210">
        <w:t>a</w:t>
      </w:r>
      <w:r w:rsidR="0087110A">
        <w:t xml:space="preserve"> range of</w:t>
      </w:r>
      <w:r w:rsidR="00EE4210">
        <w:t xml:space="preserve"> Ig c</w:t>
      </w:r>
      <w:r w:rsidR="0087110A">
        <w:t xml:space="preserve">osts </w:t>
      </w:r>
      <w:r w:rsidR="0087110A" w:rsidRPr="00CD5EAC">
        <w:t>derived from the 2017/18 National Report on the issue and use of Ig in Australia</w:t>
      </w:r>
      <w:r w:rsidR="0087110A">
        <w:t>.</w:t>
      </w:r>
      <w:r w:rsidR="0087110A" w:rsidRPr="00CD5EAC">
        <w:t xml:space="preserve"> </w:t>
      </w:r>
      <w:r w:rsidR="0087110A">
        <w:t>The DCAR presents these a</w:t>
      </w:r>
      <w:r w:rsidR="0087110A" w:rsidRPr="00CD5EAC">
        <w:t xml:space="preserve">dditional estimates </w:t>
      </w:r>
      <w:r w:rsidR="0087110A">
        <w:t>assuming:</w:t>
      </w:r>
    </w:p>
    <w:p w14:paraId="3B4E0DE2" w14:textId="77777777" w:rsidR="0087110A" w:rsidRDefault="0087110A" w:rsidP="0087110A">
      <w:pPr>
        <w:pStyle w:val="ListParagraph"/>
        <w:numPr>
          <w:ilvl w:val="1"/>
          <w:numId w:val="34"/>
        </w:numPr>
        <w:ind w:left="709"/>
      </w:pPr>
      <w:r>
        <w:t xml:space="preserve">The highest cost of Ig (i.e. domestic </w:t>
      </w:r>
      <w:proofErr w:type="spellStart"/>
      <w:r>
        <w:t>IVIg</w:t>
      </w:r>
      <w:proofErr w:type="spellEnd"/>
      <w:r>
        <w:t>, including the cost of plasma fractionation), $140.18</w:t>
      </w:r>
    </w:p>
    <w:p w14:paraId="5B53DE50" w14:textId="77777777" w:rsidR="0087110A" w:rsidRDefault="0087110A" w:rsidP="00B9583F">
      <w:pPr>
        <w:pStyle w:val="ListParagraph"/>
        <w:numPr>
          <w:ilvl w:val="1"/>
          <w:numId w:val="34"/>
        </w:numPr>
        <w:ind w:left="709"/>
      </w:pPr>
      <w:r>
        <w:t xml:space="preserve">The lowest cost of Ig (i.e. imported </w:t>
      </w:r>
      <w:proofErr w:type="spellStart"/>
      <w:r>
        <w:t>IVIg</w:t>
      </w:r>
      <w:proofErr w:type="spellEnd"/>
      <w:r>
        <w:t>), $44.94</w:t>
      </w:r>
    </w:p>
    <w:p w14:paraId="7113F5E8" w14:textId="4294ED55" w:rsidR="0087110A" w:rsidRDefault="0087110A" w:rsidP="0087110A">
      <w:pPr>
        <w:pStyle w:val="ListParagraph"/>
        <w:numPr>
          <w:ilvl w:val="1"/>
          <w:numId w:val="34"/>
        </w:numPr>
        <w:ind w:left="709"/>
      </w:pPr>
      <w:r>
        <w:t>The weighted average cost of Ig across all indications, $94.51</w:t>
      </w:r>
      <w:r w:rsidR="00B7509C">
        <w:t>.</w:t>
      </w:r>
    </w:p>
    <w:p w14:paraId="4C56A426" w14:textId="27A9C3C4" w:rsidR="00067458" w:rsidRDefault="00067458" w:rsidP="00B7509C">
      <w:pPr>
        <w:spacing w:before="240"/>
      </w:pPr>
      <w:r>
        <w:t>The</w:t>
      </w:r>
      <w:r w:rsidRPr="000D5BD3">
        <w:t xml:space="preserve"> annual dose per patient was estimated to be 626 grams per patient</w:t>
      </w:r>
      <w:r>
        <w:t>, and</w:t>
      </w:r>
      <w:r w:rsidRPr="000D5BD3">
        <w:t xml:space="preserve"> </w:t>
      </w:r>
      <w:r w:rsidRPr="004D70F1">
        <w:t>patients are assumed to enter the model at age 59</w:t>
      </w:r>
      <w:r>
        <w:t>,</w:t>
      </w:r>
      <w:r w:rsidRPr="004D70F1">
        <w:t xml:space="preserve"> </w:t>
      </w:r>
      <w:r>
        <w:t>based on NBA data for</w:t>
      </w:r>
      <w:r w:rsidR="001E719E">
        <w:t xml:space="preserve"> the average age of</w:t>
      </w:r>
      <w:r>
        <w:t xml:space="preserve"> patients receiving Ig for MMN. </w:t>
      </w:r>
      <w:r w:rsidRPr="004D70F1">
        <w:t>The cycle length for the model was established as 6 months to reflect the time point at which Australian MMN patients would have their usual follow-up visits.</w:t>
      </w:r>
    </w:p>
    <w:p w14:paraId="32E42CAF" w14:textId="77777777" w:rsidR="00067458" w:rsidRDefault="00067458" w:rsidP="00B7509C">
      <w:pPr>
        <w:spacing w:before="240"/>
      </w:pPr>
      <w:r>
        <w:t>Given the lack of available data, several assumptions to the economic model were made, including:</w:t>
      </w:r>
    </w:p>
    <w:p w14:paraId="7692F81C" w14:textId="77777777" w:rsidR="00067458" w:rsidRDefault="00067458" w:rsidP="00067458">
      <w:pPr>
        <w:pStyle w:val="ListParagraph"/>
        <w:numPr>
          <w:ilvl w:val="0"/>
          <w:numId w:val="30"/>
        </w:numPr>
      </w:pPr>
      <w:r>
        <w:t xml:space="preserve">Limited follow-up data available from the RCTs meant that data from single arm studies had to be used to populate the model and the effectiveness of Ig had to be extrapolated to reflect the long-term duration of treatment, from 4 months to a life-time horizon. </w:t>
      </w:r>
    </w:p>
    <w:p w14:paraId="7F452F65" w14:textId="77777777" w:rsidR="00067458" w:rsidRDefault="00067458" w:rsidP="00067458">
      <w:pPr>
        <w:pStyle w:val="ListParagraph"/>
        <w:numPr>
          <w:ilvl w:val="0"/>
          <w:numId w:val="30"/>
        </w:numPr>
      </w:pPr>
      <w:r>
        <w:t xml:space="preserve">No utility values were available for patients with MMN, therefore the utility values used in the model were derived from a published study of patients with chronic inflammatory demyelinating polyneuropathy (CIDP), a similar condition. </w:t>
      </w:r>
    </w:p>
    <w:p w14:paraId="35C2C98F" w14:textId="47D8C93C" w:rsidR="00067458" w:rsidRDefault="00067458" w:rsidP="00067458">
      <w:pPr>
        <w:pStyle w:val="ListParagraph"/>
        <w:numPr>
          <w:ilvl w:val="0"/>
          <w:numId w:val="30"/>
        </w:numPr>
      </w:pPr>
      <w:r>
        <w:t>The utility data could not be adjusted for age. Therefore, it was assumed that MMN patients that transit to the ‘best supportive care’ health state had a constant utility value.</w:t>
      </w:r>
    </w:p>
    <w:p w14:paraId="04368455" w14:textId="0B0B0B4A" w:rsidR="00067458" w:rsidRDefault="00067458" w:rsidP="00B7509C">
      <w:pPr>
        <w:spacing w:before="240"/>
      </w:pPr>
      <w:r w:rsidRPr="00DA3C6E">
        <w:t xml:space="preserve">The model does not capture the fact that patients </w:t>
      </w:r>
      <w:r>
        <w:t xml:space="preserve">with MMN </w:t>
      </w:r>
      <w:r w:rsidRPr="00DA3C6E">
        <w:t>slowly deteriorate over</w:t>
      </w:r>
      <w:r>
        <w:t xml:space="preserve"> </w:t>
      </w:r>
      <w:r w:rsidRPr="00DA3C6E">
        <w:t>time</w:t>
      </w:r>
      <w:r>
        <w:t>, and patients who re-initiate (pre-treated patients) were assumed to have the same chance of not responding to treatment as would treatment naïve patients. Some transitional probabilities (e.g. probability of weaning, and probability of relapse/re-initiation of treatment) are based on advice from the Ig Review Reference Group. Assumptions to the model are discussed furt</w:t>
      </w:r>
      <w:r w:rsidR="00B7509C">
        <w:t>her in Section D.3 of the DCAR.</w:t>
      </w:r>
    </w:p>
    <w:p w14:paraId="43BE2E4B" w14:textId="677BBA12" w:rsidR="00067458" w:rsidRPr="00B7509C" w:rsidRDefault="00067458" w:rsidP="00B7509C">
      <w:pPr>
        <w:spacing w:before="240"/>
      </w:pPr>
      <w:r w:rsidRPr="00DA3C6E">
        <w:t xml:space="preserve">The </w:t>
      </w:r>
      <w:r>
        <w:t>results of the stepped economic evaluation</w:t>
      </w:r>
      <w:r w:rsidRPr="00DA3C6E">
        <w:t xml:space="preserve"> are shown in </w:t>
      </w:r>
      <w:r w:rsidR="000957C2" w:rsidRPr="006D4C3D">
        <w:rPr>
          <w:szCs w:val="24"/>
        </w:rPr>
        <w:fldChar w:fldCharType="begin"/>
      </w:r>
      <w:r w:rsidR="000957C2" w:rsidRPr="006D4C3D">
        <w:rPr>
          <w:szCs w:val="24"/>
        </w:rPr>
        <w:instrText xml:space="preserve"> REF _Ref31201603 \h </w:instrText>
      </w:r>
      <w:r w:rsidR="000957C2" w:rsidRPr="006D4C3D">
        <w:rPr>
          <w:szCs w:val="24"/>
        </w:rPr>
      </w:r>
      <w:r w:rsidR="006D4C3D" w:rsidRPr="006D4C3D">
        <w:rPr>
          <w:szCs w:val="24"/>
        </w:rPr>
        <w:instrText xml:space="preserve"> \* MERGEFORMAT </w:instrText>
      </w:r>
      <w:r w:rsidR="000957C2" w:rsidRPr="006D4C3D">
        <w:rPr>
          <w:szCs w:val="24"/>
        </w:rPr>
        <w:fldChar w:fldCharType="separate"/>
      </w:r>
      <w:r w:rsidR="00123232" w:rsidRPr="006D4C3D">
        <w:rPr>
          <w:szCs w:val="24"/>
        </w:rPr>
        <w:t xml:space="preserve">Table </w:t>
      </w:r>
      <w:r w:rsidR="00123232" w:rsidRPr="006D4C3D">
        <w:rPr>
          <w:noProof/>
          <w:szCs w:val="24"/>
        </w:rPr>
        <w:t>7</w:t>
      </w:r>
      <w:r w:rsidR="000957C2" w:rsidRPr="006D4C3D">
        <w:rPr>
          <w:szCs w:val="24"/>
        </w:rPr>
        <w:fldChar w:fldCharType="end"/>
      </w:r>
      <w:r>
        <w:t>.</w:t>
      </w:r>
      <w:r w:rsidRPr="00DA3C6E">
        <w:t xml:space="preserve"> Step 2 represents the base case </w:t>
      </w:r>
      <w:r>
        <w:t>with an incremental cost-effectiveness ra</w:t>
      </w:r>
      <w:bookmarkStart w:id="35" w:name="_GoBack"/>
      <w:bookmarkEnd w:id="35"/>
      <w:r>
        <w:t>tio</w:t>
      </w:r>
      <w:r w:rsidRPr="00DA3C6E">
        <w:t xml:space="preserve"> </w:t>
      </w:r>
      <w:r>
        <w:t>(</w:t>
      </w:r>
      <w:r w:rsidRPr="00DA3C6E">
        <w:t>ICER</w:t>
      </w:r>
      <w:r>
        <w:t>)</w:t>
      </w:r>
      <w:r w:rsidRPr="00DA3C6E">
        <w:t xml:space="preserve"> </w:t>
      </w:r>
      <w:r w:rsidRPr="0073182D">
        <w:t>of $317,552</w:t>
      </w:r>
      <w:r w:rsidRPr="0073182D">
        <w:rPr>
          <w:rFonts w:cs="Calibri"/>
          <w:color w:val="000000"/>
        </w:rPr>
        <w:t>/QALY</w:t>
      </w:r>
      <w:r w:rsidRPr="00DA3C6E">
        <w:rPr>
          <w:rFonts w:cs="Calibri"/>
          <w:color w:val="000000"/>
        </w:rPr>
        <w:t xml:space="preserve"> gained</w:t>
      </w:r>
      <w:r>
        <w:rPr>
          <w:rFonts w:cs="Calibri"/>
          <w:color w:val="000000"/>
        </w:rPr>
        <w:t xml:space="preserve"> </w:t>
      </w:r>
      <w:r>
        <w:t>for Ig versus No Ig</w:t>
      </w:r>
      <w:r w:rsidRPr="00DA3C6E">
        <w:rPr>
          <w:rFonts w:cs="Calibri"/>
          <w:color w:val="000000"/>
        </w:rPr>
        <w:t xml:space="preserve">. </w:t>
      </w:r>
      <w:r>
        <w:rPr>
          <w:rFonts w:cs="Calibri"/>
          <w:color w:val="000000"/>
        </w:rPr>
        <w:t>When a</w:t>
      </w:r>
      <w:r w:rsidRPr="00DA3C6E">
        <w:rPr>
          <w:rFonts w:cs="Calibri"/>
          <w:color w:val="000000"/>
        </w:rPr>
        <w:t xml:space="preserve"> lifetime horizon (Step 3)</w:t>
      </w:r>
      <w:r>
        <w:rPr>
          <w:rFonts w:cs="Calibri"/>
          <w:color w:val="000000"/>
        </w:rPr>
        <w:t xml:space="preserve"> is modelled, </w:t>
      </w:r>
      <w:r>
        <w:t>the resulting ICER is similar, at</w:t>
      </w:r>
      <w:r w:rsidRPr="0073182D">
        <w:t xml:space="preserve"> $315,258 /QALY gained. As</w:t>
      </w:r>
      <w:r w:rsidRPr="00DA3C6E">
        <w:t xml:space="preserve"> a result, the ICER is somewhat independent of the</w:t>
      </w:r>
      <w:r w:rsidR="00B7509C">
        <w:t xml:space="preserve"> time horizon.</w:t>
      </w:r>
    </w:p>
    <w:p w14:paraId="7202BE06" w14:textId="01E2E491" w:rsidR="00067458" w:rsidRPr="009027FE" w:rsidRDefault="000957C2" w:rsidP="009027FE">
      <w:pPr>
        <w:keepNext/>
        <w:keepLines/>
        <w:rPr>
          <w:rFonts w:ascii="Arial Narrow" w:hAnsi="Arial Narrow"/>
          <w:b/>
          <w:sz w:val="20"/>
        </w:rPr>
      </w:pPr>
      <w:bookmarkStart w:id="36" w:name="_Ref31201603"/>
      <w:bookmarkStart w:id="37" w:name="_Toc33449610"/>
      <w:bookmarkStart w:id="38" w:name="_Toc37845835"/>
      <w:r w:rsidRPr="009027FE">
        <w:rPr>
          <w:rFonts w:ascii="Arial Narrow" w:hAnsi="Arial Narrow"/>
          <w:b/>
          <w:sz w:val="20"/>
        </w:rPr>
        <w:lastRenderedPageBreak/>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7</w:t>
      </w:r>
      <w:r w:rsidR="003F56BF" w:rsidRPr="009027FE">
        <w:rPr>
          <w:rFonts w:ascii="Arial Narrow" w:hAnsi="Arial Narrow"/>
          <w:b/>
          <w:sz w:val="20"/>
        </w:rPr>
        <w:fldChar w:fldCharType="end"/>
      </w:r>
      <w:bookmarkEnd w:id="36"/>
      <w:r w:rsidR="00067458" w:rsidRPr="009027FE">
        <w:rPr>
          <w:rFonts w:ascii="Arial Narrow" w:hAnsi="Arial Narrow"/>
          <w:b/>
          <w:sz w:val="20"/>
        </w:rPr>
        <w:t>: Results of stepped economic evaluation</w:t>
      </w:r>
      <w:bookmarkEnd w:id="37"/>
      <w:bookmarkEnd w:id="38"/>
    </w:p>
    <w:tbl>
      <w:tblPr>
        <w:tblStyle w:val="TableGrid2"/>
        <w:tblW w:w="9185" w:type="dxa"/>
        <w:tblInd w:w="-5" w:type="dxa"/>
        <w:tblLayout w:type="fixed"/>
        <w:tblLook w:val="04A0" w:firstRow="1" w:lastRow="0" w:firstColumn="1" w:lastColumn="0" w:noHBand="0" w:noVBand="1"/>
        <w:tblCaption w:val="Table 22 Implications for the base case economic evaluation of applying the results of the clinical evaluation (Step 1 then Step 2)"/>
        <w:tblDescription w:val="This table provides information on the incremental costs and incremental effectiveness at each of Steps 1 and 2, when describing the stepped economic model."/>
      </w:tblPr>
      <w:tblGrid>
        <w:gridCol w:w="1701"/>
        <w:gridCol w:w="1560"/>
        <w:gridCol w:w="1559"/>
        <w:gridCol w:w="1678"/>
        <w:gridCol w:w="1440"/>
        <w:gridCol w:w="1247"/>
      </w:tblGrid>
      <w:tr w:rsidR="00067458" w:rsidRPr="00AF4A08" w14:paraId="1808E4F6" w14:textId="77777777" w:rsidTr="00814455">
        <w:trPr>
          <w:cnfStyle w:val="100000000000" w:firstRow="1" w:lastRow="0" w:firstColumn="0" w:lastColumn="0" w:oddVBand="0" w:evenVBand="0" w:oddHBand="0" w:evenHBand="0" w:firstRowFirstColumn="0" w:firstRowLastColumn="0" w:lastRowFirstColumn="0" w:lastRowLastColumn="0"/>
          <w:tblHeader/>
        </w:trPr>
        <w:tc>
          <w:tcPr>
            <w:tcW w:w="1701" w:type="dxa"/>
            <w:tcBorders>
              <w:bottom w:val="single" w:sz="4" w:space="0" w:color="auto"/>
            </w:tcBorders>
            <w:shd w:val="clear" w:color="auto" w:fill="auto"/>
          </w:tcPr>
          <w:p w14:paraId="6E40D0A8" w14:textId="77777777" w:rsidR="00067458" w:rsidRPr="00B9583F" w:rsidRDefault="00067458" w:rsidP="009027FE">
            <w:pPr>
              <w:keepNext/>
              <w:keepLines/>
              <w:rPr>
                <w:rFonts w:ascii="Arial Narrow" w:hAnsi="Arial Narrow"/>
                <w:b/>
                <w:sz w:val="22"/>
                <w:szCs w:val="22"/>
              </w:rPr>
            </w:pPr>
          </w:p>
        </w:tc>
        <w:tc>
          <w:tcPr>
            <w:tcW w:w="1560" w:type="dxa"/>
            <w:tcBorders>
              <w:bottom w:val="single" w:sz="4" w:space="0" w:color="auto"/>
            </w:tcBorders>
            <w:shd w:val="clear" w:color="auto" w:fill="auto"/>
          </w:tcPr>
          <w:p w14:paraId="4791AD33" w14:textId="77777777" w:rsidR="00067458" w:rsidRPr="00B9583F" w:rsidRDefault="00067458" w:rsidP="009027FE">
            <w:pPr>
              <w:keepNext/>
              <w:keepLines/>
              <w:rPr>
                <w:rFonts w:ascii="Arial Narrow" w:hAnsi="Arial Narrow"/>
                <w:b/>
                <w:sz w:val="22"/>
                <w:szCs w:val="22"/>
              </w:rPr>
            </w:pPr>
            <w:r w:rsidRPr="00B9583F">
              <w:rPr>
                <w:rFonts w:ascii="Arial Narrow" w:hAnsi="Arial Narrow"/>
                <w:b/>
                <w:sz w:val="22"/>
                <w:szCs w:val="22"/>
              </w:rPr>
              <w:t>Total costs</w:t>
            </w:r>
          </w:p>
        </w:tc>
        <w:tc>
          <w:tcPr>
            <w:tcW w:w="1559" w:type="dxa"/>
            <w:tcBorders>
              <w:bottom w:val="single" w:sz="4" w:space="0" w:color="auto"/>
            </w:tcBorders>
            <w:shd w:val="clear" w:color="auto" w:fill="auto"/>
          </w:tcPr>
          <w:p w14:paraId="3AAE5438" w14:textId="77777777" w:rsidR="00067458" w:rsidRPr="00B9583F" w:rsidRDefault="00067458" w:rsidP="009027FE">
            <w:pPr>
              <w:keepNext/>
              <w:keepLines/>
              <w:rPr>
                <w:rFonts w:ascii="Arial Narrow" w:hAnsi="Arial Narrow"/>
                <w:b/>
                <w:sz w:val="22"/>
                <w:szCs w:val="22"/>
              </w:rPr>
            </w:pPr>
            <w:r w:rsidRPr="00B9583F">
              <w:rPr>
                <w:rFonts w:ascii="Arial Narrow" w:hAnsi="Arial Narrow"/>
                <w:b/>
                <w:sz w:val="22"/>
                <w:szCs w:val="22"/>
              </w:rPr>
              <w:t>Incremental cost</w:t>
            </w:r>
          </w:p>
        </w:tc>
        <w:tc>
          <w:tcPr>
            <w:tcW w:w="1678" w:type="dxa"/>
            <w:tcBorders>
              <w:bottom w:val="single" w:sz="4" w:space="0" w:color="auto"/>
            </w:tcBorders>
            <w:shd w:val="clear" w:color="auto" w:fill="auto"/>
          </w:tcPr>
          <w:p w14:paraId="4CE1C840" w14:textId="77777777" w:rsidR="00067458" w:rsidRPr="00B9583F" w:rsidRDefault="00067458" w:rsidP="009027FE">
            <w:pPr>
              <w:keepNext/>
              <w:keepLines/>
              <w:rPr>
                <w:rFonts w:ascii="Arial Narrow" w:hAnsi="Arial Narrow"/>
                <w:b/>
                <w:sz w:val="22"/>
                <w:szCs w:val="22"/>
              </w:rPr>
            </w:pPr>
            <w:r w:rsidRPr="00B9583F">
              <w:rPr>
                <w:rFonts w:ascii="Arial Narrow" w:hAnsi="Arial Narrow"/>
                <w:b/>
                <w:sz w:val="22"/>
                <w:szCs w:val="22"/>
              </w:rPr>
              <w:t>Total Effectiveness</w:t>
            </w:r>
          </w:p>
        </w:tc>
        <w:tc>
          <w:tcPr>
            <w:tcW w:w="1440" w:type="dxa"/>
            <w:tcBorders>
              <w:bottom w:val="single" w:sz="4" w:space="0" w:color="auto"/>
            </w:tcBorders>
            <w:shd w:val="clear" w:color="auto" w:fill="auto"/>
          </w:tcPr>
          <w:p w14:paraId="0CCC2C46" w14:textId="77777777" w:rsidR="00067458" w:rsidRPr="00B9583F" w:rsidRDefault="00067458" w:rsidP="009027FE">
            <w:pPr>
              <w:keepNext/>
              <w:keepLines/>
              <w:rPr>
                <w:rFonts w:ascii="Arial Narrow" w:hAnsi="Arial Narrow"/>
                <w:b/>
                <w:sz w:val="22"/>
                <w:szCs w:val="22"/>
              </w:rPr>
            </w:pPr>
            <w:r w:rsidRPr="00B9583F">
              <w:rPr>
                <w:rFonts w:ascii="Arial Narrow" w:hAnsi="Arial Narrow"/>
                <w:b/>
                <w:sz w:val="22"/>
                <w:szCs w:val="22"/>
              </w:rPr>
              <w:t>Incremental effectiveness</w:t>
            </w:r>
          </w:p>
        </w:tc>
        <w:tc>
          <w:tcPr>
            <w:tcW w:w="1247" w:type="dxa"/>
            <w:tcBorders>
              <w:bottom w:val="single" w:sz="4" w:space="0" w:color="auto"/>
            </w:tcBorders>
            <w:shd w:val="clear" w:color="auto" w:fill="auto"/>
          </w:tcPr>
          <w:p w14:paraId="0FCB37EC" w14:textId="77777777" w:rsidR="00067458" w:rsidRPr="00B9583F" w:rsidRDefault="00067458" w:rsidP="009027FE">
            <w:pPr>
              <w:keepNext/>
              <w:keepLines/>
              <w:rPr>
                <w:rFonts w:ascii="Arial Narrow" w:hAnsi="Arial Narrow"/>
                <w:b/>
                <w:sz w:val="22"/>
                <w:szCs w:val="22"/>
              </w:rPr>
            </w:pPr>
            <w:r w:rsidRPr="00B9583F">
              <w:rPr>
                <w:rFonts w:ascii="Arial Narrow" w:hAnsi="Arial Narrow"/>
                <w:b/>
                <w:sz w:val="22"/>
                <w:szCs w:val="22"/>
              </w:rPr>
              <w:t xml:space="preserve">ICER </w:t>
            </w:r>
          </w:p>
          <w:p w14:paraId="022D1EF2" w14:textId="77777777" w:rsidR="00067458" w:rsidRPr="00B9583F" w:rsidRDefault="00067458" w:rsidP="009027FE">
            <w:pPr>
              <w:keepNext/>
              <w:keepLines/>
              <w:rPr>
                <w:rFonts w:ascii="Arial Narrow" w:hAnsi="Arial Narrow"/>
                <w:b/>
                <w:sz w:val="22"/>
                <w:szCs w:val="22"/>
              </w:rPr>
            </w:pPr>
            <w:r w:rsidRPr="00B9583F">
              <w:rPr>
                <w:rFonts w:ascii="Arial Narrow" w:hAnsi="Arial Narrow"/>
                <w:b/>
                <w:sz w:val="22"/>
                <w:szCs w:val="22"/>
              </w:rPr>
              <w:t>($/QALY)</w:t>
            </w:r>
          </w:p>
        </w:tc>
      </w:tr>
      <w:tr w:rsidR="00067458" w:rsidRPr="00AF4A08" w14:paraId="63A11259" w14:textId="77777777" w:rsidTr="0047278C">
        <w:tc>
          <w:tcPr>
            <w:tcW w:w="9185" w:type="dxa"/>
            <w:gridSpan w:val="6"/>
            <w:shd w:val="clear" w:color="auto" w:fill="auto"/>
          </w:tcPr>
          <w:p w14:paraId="284469F1" w14:textId="77777777" w:rsidR="00067458" w:rsidRPr="00B9583F" w:rsidRDefault="00067458" w:rsidP="0047278C">
            <w:pPr>
              <w:keepNext/>
              <w:keepLines/>
              <w:rPr>
                <w:sz w:val="22"/>
                <w:szCs w:val="22"/>
              </w:rPr>
            </w:pPr>
            <w:r w:rsidRPr="00B9583F">
              <w:rPr>
                <w:b/>
                <w:sz w:val="22"/>
                <w:szCs w:val="22"/>
              </w:rPr>
              <w:t>Step 1</w:t>
            </w:r>
            <w:r w:rsidRPr="00B9583F">
              <w:rPr>
                <w:sz w:val="22"/>
                <w:szCs w:val="22"/>
              </w:rPr>
              <w:t>: trial-based evaluation, 7 months’ time horizon</w:t>
            </w:r>
          </w:p>
        </w:tc>
      </w:tr>
      <w:tr w:rsidR="00067458" w:rsidRPr="00AF4A08" w14:paraId="33C3D27D" w14:textId="77777777" w:rsidTr="00B9583F">
        <w:tc>
          <w:tcPr>
            <w:tcW w:w="1701" w:type="dxa"/>
            <w:shd w:val="clear" w:color="auto" w:fill="auto"/>
          </w:tcPr>
          <w:p w14:paraId="3549CB55" w14:textId="77777777" w:rsidR="00067458" w:rsidRPr="00B9583F" w:rsidRDefault="00067458" w:rsidP="0047278C">
            <w:pPr>
              <w:keepNext/>
              <w:keepLines/>
              <w:rPr>
                <w:sz w:val="22"/>
                <w:szCs w:val="22"/>
              </w:rPr>
            </w:pPr>
            <w:r w:rsidRPr="00B9583F">
              <w:rPr>
                <w:sz w:val="22"/>
                <w:szCs w:val="22"/>
              </w:rPr>
              <w:t>Intravenous Ig</w:t>
            </w:r>
          </w:p>
        </w:tc>
        <w:tc>
          <w:tcPr>
            <w:tcW w:w="1560" w:type="dxa"/>
            <w:shd w:val="clear" w:color="auto" w:fill="auto"/>
          </w:tcPr>
          <w:p w14:paraId="6B0A3E0A" w14:textId="77777777" w:rsidR="00067458" w:rsidRPr="00B9583F" w:rsidRDefault="00067458" w:rsidP="0047278C">
            <w:pPr>
              <w:keepNext/>
              <w:keepLines/>
              <w:rPr>
                <w:sz w:val="22"/>
                <w:szCs w:val="22"/>
              </w:rPr>
            </w:pPr>
            <w:r w:rsidRPr="00B9583F">
              <w:rPr>
                <w:sz w:val="22"/>
                <w:szCs w:val="22"/>
              </w:rPr>
              <w:t>$15,560.31</w:t>
            </w:r>
          </w:p>
        </w:tc>
        <w:tc>
          <w:tcPr>
            <w:tcW w:w="1559" w:type="dxa"/>
            <w:shd w:val="clear" w:color="auto" w:fill="auto"/>
          </w:tcPr>
          <w:p w14:paraId="02FAEE63" w14:textId="77777777" w:rsidR="00067458" w:rsidRPr="00B9583F" w:rsidRDefault="00067458" w:rsidP="0047278C">
            <w:pPr>
              <w:keepNext/>
              <w:keepLines/>
              <w:rPr>
                <w:sz w:val="22"/>
                <w:szCs w:val="22"/>
              </w:rPr>
            </w:pPr>
            <w:r w:rsidRPr="00B9583F">
              <w:rPr>
                <w:sz w:val="22"/>
                <w:szCs w:val="22"/>
              </w:rPr>
              <w:t>$14,278</w:t>
            </w:r>
          </w:p>
        </w:tc>
        <w:tc>
          <w:tcPr>
            <w:tcW w:w="1678" w:type="dxa"/>
            <w:shd w:val="clear" w:color="auto" w:fill="auto"/>
          </w:tcPr>
          <w:p w14:paraId="6F97FD0A" w14:textId="77777777" w:rsidR="00067458" w:rsidRPr="00B9583F" w:rsidRDefault="00067458" w:rsidP="0047278C">
            <w:pPr>
              <w:keepNext/>
              <w:keepLines/>
              <w:rPr>
                <w:sz w:val="22"/>
                <w:szCs w:val="22"/>
              </w:rPr>
            </w:pPr>
            <w:r w:rsidRPr="00B9583F">
              <w:rPr>
                <w:sz w:val="22"/>
                <w:szCs w:val="22"/>
              </w:rPr>
              <w:t>0.32</w:t>
            </w:r>
          </w:p>
        </w:tc>
        <w:tc>
          <w:tcPr>
            <w:tcW w:w="1440" w:type="dxa"/>
            <w:shd w:val="clear" w:color="auto" w:fill="auto"/>
          </w:tcPr>
          <w:p w14:paraId="34D367DD" w14:textId="77777777" w:rsidR="00067458" w:rsidRPr="00B9583F" w:rsidRDefault="00067458" w:rsidP="0047278C">
            <w:pPr>
              <w:keepNext/>
              <w:keepLines/>
              <w:rPr>
                <w:sz w:val="22"/>
                <w:szCs w:val="22"/>
              </w:rPr>
            </w:pPr>
            <w:r w:rsidRPr="00B9583F">
              <w:rPr>
                <w:sz w:val="22"/>
                <w:szCs w:val="22"/>
              </w:rPr>
              <w:t>0.02</w:t>
            </w:r>
          </w:p>
        </w:tc>
        <w:tc>
          <w:tcPr>
            <w:tcW w:w="1247" w:type="dxa"/>
            <w:shd w:val="clear" w:color="auto" w:fill="auto"/>
          </w:tcPr>
          <w:p w14:paraId="2D44642D" w14:textId="77777777" w:rsidR="00067458" w:rsidRPr="00B9583F" w:rsidRDefault="00067458" w:rsidP="0047278C">
            <w:pPr>
              <w:keepNext/>
              <w:keepLines/>
              <w:rPr>
                <w:sz w:val="22"/>
                <w:szCs w:val="22"/>
              </w:rPr>
            </w:pPr>
            <w:r w:rsidRPr="00B9583F">
              <w:rPr>
                <w:sz w:val="22"/>
                <w:szCs w:val="22"/>
              </w:rPr>
              <w:t>740,635</w:t>
            </w:r>
          </w:p>
        </w:tc>
      </w:tr>
      <w:tr w:rsidR="00067458" w:rsidRPr="00AF4A08" w14:paraId="52293B54" w14:textId="77777777" w:rsidTr="00B9583F">
        <w:tc>
          <w:tcPr>
            <w:tcW w:w="1701" w:type="dxa"/>
            <w:shd w:val="clear" w:color="auto" w:fill="auto"/>
          </w:tcPr>
          <w:p w14:paraId="7A6ECB77" w14:textId="77777777" w:rsidR="00067458" w:rsidRPr="00B9583F" w:rsidRDefault="00067458" w:rsidP="0047278C">
            <w:pPr>
              <w:keepNext/>
              <w:keepLines/>
              <w:rPr>
                <w:sz w:val="22"/>
                <w:szCs w:val="22"/>
              </w:rPr>
            </w:pPr>
            <w:r w:rsidRPr="00B9583F">
              <w:rPr>
                <w:sz w:val="22"/>
                <w:szCs w:val="22"/>
              </w:rPr>
              <w:t>No Ig with BSC</w:t>
            </w:r>
          </w:p>
        </w:tc>
        <w:tc>
          <w:tcPr>
            <w:tcW w:w="1560" w:type="dxa"/>
            <w:shd w:val="clear" w:color="auto" w:fill="auto"/>
          </w:tcPr>
          <w:p w14:paraId="07808E11" w14:textId="77777777" w:rsidR="00067458" w:rsidRPr="00B9583F" w:rsidRDefault="00067458" w:rsidP="0047278C">
            <w:pPr>
              <w:keepNext/>
              <w:keepLines/>
              <w:rPr>
                <w:sz w:val="22"/>
                <w:szCs w:val="22"/>
              </w:rPr>
            </w:pPr>
            <w:r w:rsidRPr="00B9583F">
              <w:rPr>
                <w:sz w:val="22"/>
                <w:szCs w:val="22"/>
              </w:rPr>
              <w:t>$1,282.71</w:t>
            </w:r>
          </w:p>
        </w:tc>
        <w:tc>
          <w:tcPr>
            <w:tcW w:w="1559" w:type="dxa"/>
            <w:shd w:val="clear" w:color="auto" w:fill="auto"/>
          </w:tcPr>
          <w:p w14:paraId="69D6E323" w14:textId="77777777" w:rsidR="00067458" w:rsidRPr="00B9583F" w:rsidRDefault="00067458" w:rsidP="0047278C">
            <w:pPr>
              <w:keepNext/>
              <w:keepLines/>
              <w:rPr>
                <w:sz w:val="22"/>
                <w:szCs w:val="22"/>
              </w:rPr>
            </w:pPr>
            <w:r w:rsidRPr="00B9583F">
              <w:rPr>
                <w:sz w:val="22"/>
                <w:szCs w:val="22"/>
              </w:rPr>
              <w:t>-</w:t>
            </w:r>
          </w:p>
        </w:tc>
        <w:tc>
          <w:tcPr>
            <w:tcW w:w="1678" w:type="dxa"/>
            <w:shd w:val="clear" w:color="auto" w:fill="auto"/>
          </w:tcPr>
          <w:p w14:paraId="73D4A20F" w14:textId="77777777" w:rsidR="00067458" w:rsidRPr="00B9583F" w:rsidRDefault="00067458" w:rsidP="0047278C">
            <w:pPr>
              <w:keepNext/>
              <w:keepLines/>
              <w:rPr>
                <w:sz w:val="22"/>
                <w:szCs w:val="22"/>
              </w:rPr>
            </w:pPr>
            <w:r w:rsidRPr="00B9583F">
              <w:rPr>
                <w:sz w:val="22"/>
                <w:szCs w:val="22"/>
              </w:rPr>
              <w:t>0.30</w:t>
            </w:r>
          </w:p>
        </w:tc>
        <w:tc>
          <w:tcPr>
            <w:tcW w:w="1440" w:type="dxa"/>
            <w:shd w:val="clear" w:color="auto" w:fill="auto"/>
          </w:tcPr>
          <w:p w14:paraId="3F5A0C51" w14:textId="77777777" w:rsidR="00067458" w:rsidRPr="00B9583F" w:rsidRDefault="00067458" w:rsidP="0047278C">
            <w:pPr>
              <w:keepNext/>
              <w:keepLines/>
              <w:rPr>
                <w:sz w:val="22"/>
                <w:szCs w:val="22"/>
              </w:rPr>
            </w:pPr>
            <w:r w:rsidRPr="00B9583F">
              <w:rPr>
                <w:sz w:val="22"/>
                <w:szCs w:val="22"/>
              </w:rPr>
              <w:t>-</w:t>
            </w:r>
          </w:p>
        </w:tc>
        <w:tc>
          <w:tcPr>
            <w:tcW w:w="1247" w:type="dxa"/>
            <w:shd w:val="clear" w:color="auto" w:fill="auto"/>
          </w:tcPr>
          <w:p w14:paraId="7C97446E" w14:textId="77777777" w:rsidR="00067458" w:rsidRPr="00B9583F" w:rsidRDefault="00067458" w:rsidP="0047278C">
            <w:pPr>
              <w:keepNext/>
              <w:keepLines/>
              <w:rPr>
                <w:sz w:val="22"/>
                <w:szCs w:val="22"/>
              </w:rPr>
            </w:pPr>
          </w:p>
        </w:tc>
      </w:tr>
      <w:tr w:rsidR="00067458" w:rsidRPr="00AF4A08" w14:paraId="310C018F" w14:textId="77777777" w:rsidTr="0047278C">
        <w:tc>
          <w:tcPr>
            <w:tcW w:w="9185" w:type="dxa"/>
            <w:gridSpan w:val="6"/>
            <w:shd w:val="clear" w:color="auto" w:fill="auto"/>
          </w:tcPr>
          <w:p w14:paraId="12D5D9AA" w14:textId="77777777" w:rsidR="00067458" w:rsidRPr="00B9583F" w:rsidRDefault="00067458" w:rsidP="0047278C">
            <w:pPr>
              <w:keepNext/>
              <w:keepLines/>
              <w:rPr>
                <w:sz w:val="22"/>
                <w:szCs w:val="22"/>
              </w:rPr>
            </w:pPr>
            <w:r w:rsidRPr="00B9583F">
              <w:rPr>
                <w:b/>
                <w:sz w:val="22"/>
                <w:szCs w:val="22"/>
              </w:rPr>
              <w:t>Step 2</w:t>
            </w:r>
            <w:r w:rsidRPr="00B9583F">
              <w:rPr>
                <w:sz w:val="22"/>
                <w:szCs w:val="22"/>
              </w:rPr>
              <w:t>: modelled evaluation, 15 years’ time horizon (Base case).</w:t>
            </w:r>
          </w:p>
        </w:tc>
      </w:tr>
      <w:tr w:rsidR="00067458" w:rsidRPr="00AF4A08" w14:paraId="2B0FCC05" w14:textId="77777777" w:rsidTr="00B9583F">
        <w:tc>
          <w:tcPr>
            <w:tcW w:w="1701" w:type="dxa"/>
            <w:shd w:val="clear" w:color="auto" w:fill="auto"/>
          </w:tcPr>
          <w:p w14:paraId="34A4AAA2" w14:textId="77777777" w:rsidR="00067458" w:rsidRPr="00B9583F" w:rsidRDefault="00067458" w:rsidP="0047278C">
            <w:pPr>
              <w:keepNext/>
              <w:keepLines/>
              <w:rPr>
                <w:sz w:val="22"/>
                <w:szCs w:val="22"/>
              </w:rPr>
            </w:pPr>
            <w:r w:rsidRPr="00B9583F">
              <w:rPr>
                <w:sz w:val="22"/>
                <w:szCs w:val="22"/>
              </w:rPr>
              <w:t>Intravenous Ig</w:t>
            </w:r>
          </w:p>
        </w:tc>
        <w:tc>
          <w:tcPr>
            <w:tcW w:w="1560" w:type="dxa"/>
            <w:shd w:val="clear" w:color="auto" w:fill="auto"/>
          </w:tcPr>
          <w:p w14:paraId="2C32E0F8" w14:textId="77777777" w:rsidR="00067458" w:rsidRPr="00B9583F" w:rsidRDefault="00067458" w:rsidP="0047278C">
            <w:pPr>
              <w:keepNext/>
              <w:keepLines/>
              <w:rPr>
                <w:sz w:val="22"/>
                <w:szCs w:val="22"/>
              </w:rPr>
            </w:pPr>
            <w:r w:rsidRPr="00B9583F">
              <w:rPr>
                <w:sz w:val="22"/>
                <w:szCs w:val="22"/>
              </w:rPr>
              <w:t xml:space="preserve"> $275,853 </w:t>
            </w:r>
          </w:p>
        </w:tc>
        <w:tc>
          <w:tcPr>
            <w:tcW w:w="1559" w:type="dxa"/>
            <w:shd w:val="clear" w:color="auto" w:fill="auto"/>
          </w:tcPr>
          <w:p w14:paraId="36ED54F3" w14:textId="77777777" w:rsidR="00067458" w:rsidRPr="00B9583F" w:rsidRDefault="00067458" w:rsidP="0047278C">
            <w:pPr>
              <w:keepNext/>
              <w:keepLines/>
              <w:rPr>
                <w:sz w:val="22"/>
                <w:szCs w:val="22"/>
              </w:rPr>
            </w:pPr>
            <w:r w:rsidRPr="00B9583F">
              <w:rPr>
                <w:sz w:val="22"/>
                <w:szCs w:val="22"/>
              </w:rPr>
              <w:t xml:space="preserve"> $249,662 </w:t>
            </w:r>
          </w:p>
        </w:tc>
        <w:tc>
          <w:tcPr>
            <w:tcW w:w="1678" w:type="dxa"/>
            <w:shd w:val="clear" w:color="auto" w:fill="auto"/>
          </w:tcPr>
          <w:p w14:paraId="49E0B35C" w14:textId="77777777" w:rsidR="00067458" w:rsidRPr="00B9583F" w:rsidRDefault="00067458" w:rsidP="0047278C">
            <w:pPr>
              <w:keepNext/>
              <w:keepLines/>
              <w:rPr>
                <w:sz w:val="22"/>
                <w:szCs w:val="22"/>
              </w:rPr>
            </w:pPr>
            <w:r w:rsidRPr="00B9583F">
              <w:rPr>
                <w:sz w:val="22"/>
                <w:szCs w:val="22"/>
              </w:rPr>
              <w:t xml:space="preserve"> 6.83 </w:t>
            </w:r>
          </w:p>
        </w:tc>
        <w:tc>
          <w:tcPr>
            <w:tcW w:w="1440" w:type="dxa"/>
            <w:shd w:val="clear" w:color="auto" w:fill="auto"/>
          </w:tcPr>
          <w:p w14:paraId="4C4DBC65" w14:textId="77777777" w:rsidR="00067458" w:rsidRPr="00B9583F" w:rsidRDefault="00067458" w:rsidP="0047278C">
            <w:pPr>
              <w:keepNext/>
              <w:keepLines/>
              <w:rPr>
                <w:sz w:val="22"/>
                <w:szCs w:val="22"/>
              </w:rPr>
            </w:pPr>
            <w:r w:rsidRPr="00B9583F">
              <w:rPr>
                <w:sz w:val="22"/>
                <w:szCs w:val="22"/>
              </w:rPr>
              <w:t xml:space="preserve"> 0.79 </w:t>
            </w:r>
          </w:p>
        </w:tc>
        <w:tc>
          <w:tcPr>
            <w:tcW w:w="1247" w:type="dxa"/>
            <w:shd w:val="clear" w:color="auto" w:fill="auto"/>
          </w:tcPr>
          <w:p w14:paraId="5D413EB7" w14:textId="77777777" w:rsidR="00067458" w:rsidRPr="00B9583F" w:rsidRDefault="00067458" w:rsidP="0047278C">
            <w:pPr>
              <w:keepNext/>
              <w:keepLines/>
              <w:rPr>
                <w:sz w:val="22"/>
                <w:szCs w:val="22"/>
              </w:rPr>
            </w:pPr>
            <w:r w:rsidRPr="00B9583F">
              <w:rPr>
                <w:sz w:val="22"/>
                <w:szCs w:val="22"/>
              </w:rPr>
              <w:t xml:space="preserve"> 317,552 </w:t>
            </w:r>
          </w:p>
        </w:tc>
      </w:tr>
      <w:tr w:rsidR="00067458" w:rsidRPr="00AF4A08" w14:paraId="61104A2E" w14:textId="77777777" w:rsidTr="00B9583F">
        <w:tc>
          <w:tcPr>
            <w:tcW w:w="1701" w:type="dxa"/>
            <w:shd w:val="clear" w:color="auto" w:fill="auto"/>
          </w:tcPr>
          <w:p w14:paraId="1812B7FB" w14:textId="77777777" w:rsidR="00067458" w:rsidRPr="00B9583F" w:rsidRDefault="00067458" w:rsidP="0047278C">
            <w:pPr>
              <w:keepNext/>
              <w:keepLines/>
              <w:rPr>
                <w:sz w:val="22"/>
                <w:szCs w:val="22"/>
              </w:rPr>
            </w:pPr>
            <w:r w:rsidRPr="00B9583F">
              <w:rPr>
                <w:sz w:val="22"/>
                <w:szCs w:val="22"/>
              </w:rPr>
              <w:t>No Intravenous Ig</w:t>
            </w:r>
          </w:p>
        </w:tc>
        <w:tc>
          <w:tcPr>
            <w:tcW w:w="1560" w:type="dxa"/>
            <w:shd w:val="clear" w:color="auto" w:fill="auto"/>
          </w:tcPr>
          <w:p w14:paraId="2128DBB2" w14:textId="77777777" w:rsidR="00067458" w:rsidRPr="00B9583F" w:rsidRDefault="00067458" w:rsidP="0047278C">
            <w:pPr>
              <w:keepNext/>
              <w:keepLines/>
              <w:rPr>
                <w:sz w:val="22"/>
                <w:szCs w:val="22"/>
              </w:rPr>
            </w:pPr>
            <w:r w:rsidRPr="00B9583F">
              <w:rPr>
                <w:sz w:val="22"/>
                <w:szCs w:val="22"/>
              </w:rPr>
              <w:t xml:space="preserve"> $26,191 </w:t>
            </w:r>
          </w:p>
        </w:tc>
        <w:tc>
          <w:tcPr>
            <w:tcW w:w="1559" w:type="dxa"/>
            <w:shd w:val="clear" w:color="auto" w:fill="auto"/>
          </w:tcPr>
          <w:p w14:paraId="37810864" w14:textId="79EB3075" w:rsidR="00067458" w:rsidRPr="00B9583F" w:rsidRDefault="00DD06C6" w:rsidP="0047278C">
            <w:pPr>
              <w:keepNext/>
              <w:keepLines/>
              <w:rPr>
                <w:sz w:val="22"/>
                <w:szCs w:val="22"/>
              </w:rPr>
            </w:pPr>
            <w:r>
              <w:rPr>
                <w:sz w:val="22"/>
                <w:szCs w:val="22"/>
              </w:rPr>
              <w:t xml:space="preserve"> - </w:t>
            </w:r>
          </w:p>
        </w:tc>
        <w:tc>
          <w:tcPr>
            <w:tcW w:w="1678" w:type="dxa"/>
            <w:shd w:val="clear" w:color="auto" w:fill="auto"/>
          </w:tcPr>
          <w:p w14:paraId="6C2BBE2A" w14:textId="77777777" w:rsidR="00067458" w:rsidRPr="00B9583F" w:rsidRDefault="00067458" w:rsidP="0047278C">
            <w:pPr>
              <w:keepNext/>
              <w:keepLines/>
              <w:rPr>
                <w:sz w:val="22"/>
                <w:szCs w:val="22"/>
              </w:rPr>
            </w:pPr>
            <w:r w:rsidRPr="00B9583F">
              <w:rPr>
                <w:sz w:val="22"/>
                <w:szCs w:val="22"/>
              </w:rPr>
              <w:t xml:space="preserve"> 6.04 </w:t>
            </w:r>
          </w:p>
        </w:tc>
        <w:tc>
          <w:tcPr>
            <w:tcW w:w="1440" w:type="dxa"/>
            <w:shd w:val="clear" w:color="auto" w:fill="auto"/>
          </w:tcPr>
          <w:p w14:paraId="652B494A" w14:textId="1B32B240" w:rsidR="00067458" w:rsidRPr="00B9583F" w:rsidRDefault="00DD06C6" w:rsidP="0047278C">
            <w:pPr>
              <w:keepNext/>
              <w:keepLines/>
              <w:rPr>
                <w:sz w:val="22"/>
                <w:szCs w:val="22"/>
              </w:rPr>
            </w:pPr>
            <w:r>
              <w:rPr>
                <w:sz w:val="22"/>
                <w:szCs w:val="22"/>
              </w:rPr>
              <w:t xml:space="preserve"> - </w:t>
            </w:r>
          </w:p>
        </w:tc>
        <w:tc>
          <w:tcPr>
            <w:tcW w:w="1247" w:type="dxa"/>
            <w:shd w:val="clear" w:color="auto" w:fill="auto"/>
          </w:tcPr>
          <w:p w14:paraId="48A79BC9" w14:textId="77777777" w:rsidR="00067458" w:rsidRPr="00B9583F" w:rsidRDefault="00067458" w:rsidP="0047278C">
            <w:pPr>
              <w:keepNext/>
              <w:keepLines/>
              <w:rPr>
                <w:sz w:val="22"/>
                <w:szCs w:val="22"/>
              </w:rPr>
            </w:pPr>
            <w:r w:rsidRPr="00B9583F">
              <w:rPr>
                <w:sz w:val="22"/>
                <w:szCs w:val="22"/>
              </w:rPr>
              <w:t>-</w:t>
            </w:r>
          </w:p>
        </w:tc>
      </w:tr>
      <w:tr w:rsidR="00067458" w:rsidRPr="00AF4A08" w14:paraId="54553738" w14:textId="77777777" w:rsidTr="0047278C">
        <w:tc>
          <w:tcPr>
            <w:tcW w:w="9185" w:type="dxa"/>
            <w:gridSpan w:val="6"/>
            <w:shd w:val="clear" w:color="auto" w:fill="auto"/>
          </w:tcPr>
          <w:p w14:paraId="48FAB096" w14:textId="77777777" w:rsidR="00067458" w:rsidRPr="00B9583F" w:rsidRDefault="00067458" w:rsidP="0047278C">
            <w:pPr>
              <w:keepNext/>
              <w:keepLines/>
              <w:rPr>
                <w:sz w:val="22"/>
                <w:szCs w:val="22"/>
              </w:rPr>
            </w:pPr>
            <w:r w:rsidRPr="00B9583F">
              <w:rPr>
                <w:b/>
                <w:sz w:val="22"/>
                <w:szCs w:val="22"/>
              </w:rPr>
              <w:t>Step 3</w:t>
            </w:r>
            <w:r w:rsidRPr="00B9583F">
              <w:rPr>
                <w:sz w:val="22"/>
                <w:szCs w:val="22"/>
              </w:rPr>
              <w:t>: modelled evaluation, lifetime time horizon.</w:t>
            </w:r>
          </w:p>
        </w:tc>
      </w:tr>
      <w:tr w:rsidR="00067458" w:rsidRPr="00AF4A08" w14:paraId="0CD0ADB6" w14:textId="77777777" w:rsidTr="00B9583F">
        <w:tc>
          <w:tcPr>
            <w:tcW w:w="1701" w:type="dxa"/>
            <w:shd w:val="clear" w:color="auto" w:fill="auto"/>
          </w:tcPr>
          <w:p w14:paraId="6434392E" w14:textId="77777777" w:rsidR="00067458" w:rsidRPr="00B9583F" w:rsidRDefault="00067458" w:rsidP="0047278C">
            <w:pPr>
              <w:keepNext/>
              <w:keepLines/>
              <w:rPr>
                <w:sz w:val="22"/>
                <w:szCs w:val="22"/>
              </w:rPr>
            </w:pPr>
            <w:r w:rsidRPr="00B9583F">
              <w:rPr>
                <w:sz w:val="22"/>
                <w:szCs w:val="22"/>
              </w:rPr>
              <w:t>Intravenous Ig</w:t>
            </w:r>
          </w:p>
        </w:tc>
        <w:tc>
          <w:tcPr>
            <w:tcW w:w="1560" w:type="dxa"/>
            <w:shd w:val="clear" w:color="auto" w:fill="auto"/>
          </w:tcPr>
          <w:p w14:paraId="428291BF" w14:textId="77777777" w:rsidR="00067458" w:rsidRPr="00B9583F" w:rsidRDefault="00067458" w:rsidP="0047278C">
            <w:pPr>
              <w:keepNext/>
              <w:keepLines/>
              <w:rPr>
                <w:sz w:val="22"/>
                <w:szCs w:val="22"/>
              </w:rPr>
            </w:pPr>
            <w:r w:rsidRPr="00B9583F">
              <w:rPr>
                <w:sz w:val="22"/>
                <w:szCs w:val="22"/>
              </w:rPr>
              <w:t xml:space="preserve"> $350,387 </w:t>
            </w:r>
          </w:p>
        </w:tc>
        <w:tc>
          <w:tcPr>
            <w:tcW w:w="1559" w:type="dxa"/>
            <w:shd w:val="clear" w:color="auto" w:fill="auto"/>
          </w:tcPr>
          <w:p w14:paraId="261E25C7" w14:textId="77777777" w:rsidR="00067458" w:rsidRPr="00B9583F" w:rsidRDefault="00067458" w:rsidP="0047278C">
            <w:pPr>
              <w:keepNext/>
              <w:keepLines/>
              <w:rPr>
                <w:sz w:val="22"/>
                <w:szCs w:val="22"/>
              </w:rPr>
            </w:pPr>
            <w:r w:rsidRPr="00B9583F">
              <w:rPr>
                <w:sz w:val="22"/>
                <w:szCs w:val="22"/>
              </w:rPr>
              <w:t xml:space="preserve"> $314,506</w:t>
            </w:r>
          </w:p>
        </w:tc>
        <w:tc>
          <w:tcPr>
            <w:tcW w:w="1678" w:type="dxa"/>
            <w:shd w:val="clear" w:color="auto" w:fill="auto"/>
          </w:tcPr>
          <w:p w14:paraId="6D9C1184" w14:textId="77777777" w:rsidR="00067458" w:rsidRPr="00B9583F" w:rsidRDefault="00067458" w:rsidP="0047278C">
            <w:pPr>
              <w:keepNext/>
              <w:keepLines/>
              <w:rPr>
                <w:sz w:val="22"/>
                <w:szCs w:val="22"/>
              </w:rPr>
            </w:pPr>
            <w:r w:rsidRPr="00B9583F">
              <w:rPr>
                <w:sz w:val="22"/>
                <w:szCs w:val="22"/>
              </w:rPr>
              <w:t xml:space="preserve"> 9.28 </w:t>
            </w:r>
          </w:p>
        </w:tc>
        <w:tc>
          <w:tcPr>
            <w:tcW w:w="1440" w:type="dxa"/>
            <w:shd w:val="clear" w:color="auto" w:fill="auto"/>
          </w:tcPr>
          <w:p w14:paraId="1758E712" w14:textId="77777777" w:rsidR="00067458" w:rsidRPr="00B9583F" w:rsidRDefault="00067458" w:rsidP="0047278C">
            <w:pPr>
              <w:keepNext/>
              <w:keepLines/>
              <w:rPr>
                <w:sz w:val="22"/>
                <w:szCs w:val="22"/>
              </w:rPr>
            </w:pPr>
            <w:r w:rsidRPr="00B9583F">
              <w:rPr>
                <w:sz w:val="22"/>
                <w:szCs w:val="22"/>
              </w:rPr>
              <w:t xml:space="preserve"> 1.00 </w:t>
            </w:r>
          </w:p>
        </w:tc>
        <w:tc>
          <w:tcPr>
            <w:tcW w:w="1247" w:type="dxa"/>
            <w:shd w:val="clear" w:color="auto" w:fill="auto"/>
          </w:tcPr>
          <w:p w14:paraId="48A56997" w14:textId="77777777" w:rsidR="00067458" w:rsidRPr="00B9583F" w:rsidRDefault="00067458" w:rsidP="0047278C">
            <w:pPr>
              <w:keepNext/>
              <w:keepLines/>
              <w:rPr>
                <w:sz w:val="22"/>
                <w:szCs w:val="22"/>
              </w:rPr>
            </w:pPr>
            <w:r w:rsidRPr="00B9583F">
              <w:rPr>
                <w:sz w:val="22"/>
                <w:szCs w:val="22"/>
              </w:rPr>
              <w:t xml:space="preserve"> 315,258 </w:t>
            </w:r>
          </w:p>
        </w:tc>
      </w:tr>
      <w:tr w:rsidR="00067458" w:rsidRPr="00AF4A08" w14:paraId="54555968" w14:textId="77777777" w:rsidTr="00B9583F">
        <w:tc>
          <w:tcPr>
            <w:tcW w:w="1701" w:type="dxa"/>
            <w:shd w:val="clear" w:color="auto" w:fill="auto"/>
          </w:tcPr>
          <w:p w14:paraId="3CA4C927" w14:textId="77777777" w:rsidR="00067458" w:rsidRPr="00B9583F" w:rsidRDefault="00067458" w:rsidP="0047278C">
            <w:pPr>
              <w:keepNext/>
              <w:keepLines/>
              <w:rPr>
                <w:sz w:val="22"/>
                <w:szCs w:val="22"/>
              </w:rPr>
            </w:pPr>
            <w:r w:rsidRPr="00B9583F">
              <w:rPr>
                <w:sz w:val="22"/>
                <w:szCs w:val="22"/>
              </w:rPr>
              <w:t>No Intravenous Ig</w:t>
            </w:r>
          </w:p>
        </w:tc>
        <w:tc>
          <w:tcPr>
            <w:tcW w:w="1560" w:type="dxa"/>
            <w:shd w:val="clear" w:color="auto" w:fill="auto"/>
          </w:tcPr>
          <w:p w14:paraId="18C5B330" w14:textId="77777777" w:rsidR="00067458" w:rsidRPr="00B9583F" w:rsidRDefault="00067458" w:rsidP="0047278C">
            <w:pPr>
              <w:keepNext/>
              <w:keepLines/>
              <w:rPr>
                <w:sz w:val="22"/>
                <w:szCs w:val="22"/>
              </w:rPr>
            </w:pPr>
            <w:r w:rsidRPr="00B9583F">
              <w:rPr>
                <w:sz w:val="22"/>
                <w:szCs w:val="22"/>
              </w:rPr>
              <w:t xml:space="preserve"> $35,881 </w:t>
            </w:r>
          </w:p>
        </w:tc>
        <w:tc>
          <w:tcPr>
            <w:tcW w:w="1559" w:type="dxa"/>
            <w:shd w:val="clear" w:color="auto" w:fill="auto"/>
          </w:tcPr>
          <w:p w14:paraId="7377FFFE" w14:textId="77777777" w:rsidR="00067458" w:rsidRPr="00B9583F" w:rsidRDefault="00067458" w:rsidP="0047278C">
            <w:pPr>
              <w:keepNext/>
              <w:keepLines/>
              <w:rPr>
                <w:sz w:val="22"/>
                <w:szCs w:val="22"/>
              </w:rPr>
            </w:pPr>
            <w:r w:rsidRPr="00B9583F">
              <w:rPr>
                <w:sz w:val="22"/>
                <w:szCs w:val="22"/>
              </w:rPr>
              <w:t>-</w:t>
            </w:r>
          </w:p>
        </w:tc>
        <w:tc>
          <w:tcPr>
            <w:tcW w:w="1678" w:type="dxa"/>
            <w:shd w:val="clear" w:color="auto" w:fill="auto"/>
          </w:tcPr>
          <w:p w14:paraId="5DA49F05" w14:textId="77777777" w:rsidR="00067458" w:rsidRPr="00B9583F" w:rsidRDefault="00067458" w:rsidP="0047278C">
            <w:pPr>
              <w:keepNext/>
              <w:keepLines/>
              <w:rPr>
                <w:sz w:val="22"/>
                <w:szCs w:val="22"/>
              </w:rPr>
            </w:pPr>
            <w:r w:rsidRPr="00B9583F">
              <w:rPr>
                <w:sz w:val="22"/>
                <w:szCs w:val="22"/>
              </w:rPr>
              <w:t xml:space="preserve"> 8.28 </w:t>
            </w:r>
          </w:p>
        </w:tc>
        <w:tc>
          <w:tcPr>
            <w:tcW w:w="1440" w:type="dxa"/>
            <w:shd w:val="clear" w:color="auto" w:fill="auto"/>
          </w:tcPr>
          <w:p w14:paraId="0F756474" w14:textId="77777777" w:rsidR="00067458" w:rsidRPr="00B9583F" w:rsidRDefault="00067458" w:rsidP="0047278C">
            <w:pPr>
              <w:keepNext/>
              <w:keepLines/>
              <w:rPr>
                <w:sz w:val="22"/>
                <w:szCs w:val="22"/>
              </w:rPr>
            </w:pPr>
          </w:p>
        </w:tc>
        <w:tc>
          <w:tcPr>
            <w:tcW w:w="1247" w:type="dxa"/>
            <w:shd w:val="clear" w:color="auto" w:fill="auto"/>
          </w:tcPr>
          <w:p w14:paraId="259B5D41" w14:textId="77777777" w:rsidR="00067458" w:rsidRPr="00B9583F" w:rsidRDefault="00067458" w:rsidP="0047278C">
            <w:pPr>
              <w:keepNext/>
              <w:keepLines/>
              <w:rPr>
                <w:sz w:val="22"/>
                <w:szCs w:val="22"/>
              </w:rPr>
            </w:pPr>
            <w:r w:rsidRPr="00B9583F">
              <w:rPr>
                <w:sz w:val="22"/>
                <w:szCs w:val="22"/>
              </w:rPr>
              <w:t>-</w:t>
            </w:r>
          </w:p>
        </w:tc>
      </w:tr>
    </w:tbl>
    <w:p w14:paraId="6953DFF8" w14:textId="1B8358C2" w:rsidR="00067458" w:rsidRDefault="00067458" w:rsidP="00067458">
      <w:pPr>
        <w:pStyle w:val="Tablenotes"/>
        <w:spacing w:after="240"/>
      </w:pPr>
      <w:r w:rsidRPr="003C7A0B">
        <w:rPr>
          <w:b/>
        </w:rPr>
        <w:t>Source</w:t>
      </w:r>
      <w:r>
        <w:t xml:space="preserve">: </w:t>
      </w:r>
      <w:r w:rsidR="000A12A3">
        <w:t>1590 DCAR</w:t>
      </w:r>
      <w:r>
        <w:t>, Table 32</w:t>
      </w:r>
    </w:p>
    <w:p w14:paraId="51C40A3B" w14:textId="77777777" w:rsidR="00067458" w:rsidRPr="00DA3C6E" w:rsidRDefault="00067458" w:rsidP="00067458">
      <w:pPr>
        <w:pStyle w:val="Tablenotes"/>
        <w:spacing w:after="240"/>
      </w:pPr>
      <w:r w:rsidRPr="00DA3C6E">
        <w:t>Abbreviations: ICER= incremental cost effectiveness ratio; Ig = immunoglobulin; QALY= quality adjusted life years</w:t>
      </w:r>
    </w:p>
    <w:p w14:paraId="0D47A4B8" w14:textId="23C6CB89" w:rsidR="00067458" w:rsidRDefault="00067458" w:rsidP="00067458">
      <w:pPr>
        <w:tabs>
          <w:tab w:val="left" w:pos="720"/>
        </w:tabs>
        <w:rPr>
          <w:szCs w:val="24"/>
        </w:rPr>
      </w:pPr>
      <w:r>
        <w:t>The ICER i</w:t>
      </w:r>
      <w:r w:rsidRPr="00DA3C6E">
        <w:t xml:space="preserve">s most sensitive to the utility weights and to the price of intravenous Ig. </w:t>
      </w:r>
      <w:r>
        <w:t>A</w:t>
      </w:r>
      <w:r w:rsidRPr="00DA3C6E">
        <w:t xml:space="preserve">ssuming a deterioration in </w:t>
      </w:r>
      <w:proofErr w:type="spellStart"/>
      <w:r w:rsidRPr="00DA3C6E">
        <w:t>QoL</w:t>
      </w:r>
      <w:proofErr w:type="spellEnd"/>
      <w:r w:rsidRPr="00DA3C6E">
        <w:t xml:space="preserve"> of MMN patients over time had </w:t>
      </w:r>
      <w:r>
        <w:t>a significant</w:t>
      </w:r>
      <w:r w:rsidRPr="00DA3C6E">
        <w:t xml:space="preserve"> impact on the</w:t>
      </w:r>
      <w:r>
        <w:t xml:space="preserve"> ICER;</w:t>
      </w:r>
      <w:r w:rsidRPr="00DA3C6E">
        <w:t xml:space="preserve"> however, this result should be considered with caution </w:t>
      </w:r>
      <w:r>
        <w:t>due to</w:t>
      </w:r>
      <w:r w:rsidRPr="00DA3C6E">
        <w:t xml:space="preserve"> uncertainty around the source used to capture this </w:t>
      </w:r>
      <w:r>
        <w:t xml:space="preserve">decline in </w:t>
      </w:r>
      <w:proofErr w:type="spellStart"/>
      <w:r>
        <w:t>QoL</w:t>
      </w:r>
      <w:proofErr w:type="spellEnd"/>
      <w:r>
        <w:t xml:space="preserve"> over time. A summary of key drivers of the economic model are presented below.</w:t>
      </w:r>
    </w:p>
    <w:p w14:paraId="1086DF31" w14:textId="697C8EC2" w:rsidR="00067458" w:rsidRPr="009027FE" w:rsidRDefault="000957C2" w:rsidP="009027FE">
      <w:pPr>
        <w:spacing w:before="240"/>
        <w:rPr>
          <w:rFonts w:ascii="Arial Narrow" w:hAnsi="Arial Narrow"/>
          <w:b/>
          <w:sz w:val="20"/>
        </w:rPr>
      </w:pPr>
      <w:bookmarkStart w:id="39" w:name="_Ref31201677"/>
      <w:bookmarkStart w:id="40" w:name="_Toc30497484"/>
      <w:bookmarkStart w:id="41" w:name="_Toc33449612"/>
      <w:bookmarkStart w:id="42" w:name="_Toc37845837"/>
      <w:r w:rsidRPr="009027FE">
        <w:rPr>
          <w:rFonts w:ascii="Arial Narrow" w:hAnsi="Arial Narrow"/>
          <w:b/>
          <w:sz w:val="20"/>
        </w:rPr>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8</w:t>
      </w:r>
      <w:r w:rsidR="003F56BF" w:rsidRPr="009027FE">
        <w:rPr>
          <w:rFonts w:ascii="Arial Narrow" w:hAnsi="Arial Narrow"/>
          <w:b/>
          <w:sz w:val="20"/>
        </w:rPr>
        <w:fldChar w:fldCharType="end"/>
      </w:r>
      <w:bookmarkEnd w:id="39"/>
      <w:r w:rsidR="00067458" w:rsidRPr="009027FE">
        <w:rPr>
          <w:rFonts w:ascii="Arial Narrow" w:hAnsi="Arial Narrow"/>
          <w:b/>
          <w:sz w:val="20"/>
        </w:rPr>
        <w:t>: Key drivers of the economic model</w:t>
      </w:r>
      <w:bookmarkEnd w:id="40"/>
      <w:bookmarkEnd w:id="41"/>
      <w:bookmarkEnd w:id="42"/>
    </w:p>
    <w:tbl>
      <w:tblPr>
        <w:tblStyle w:val="TableGrid"/>
        <w:tblW w:w="5000" w:type="pct"/>
        <w:tblLayout w:type="fixed"/>
        <w:tblLook w:val="04A0" w:firstRow="1" w:lastRow="0" w:firstColumn="1" w:lastColumn="0" w:noHBand="0" w:noVBand="1"/>
        <w:tblDescription w:val="Key drivers of the economic model"/>
      </w:tblPr>
      <w:tblGrid>
        <w:gridCol w:w="2842"/>
        <w:gridCol w:w="1071"/>
        <w:gridCol w:w="903"/>
        <w:gridCol w:w="1248"/>
        <w:gridCol w:w="1421"/>
        <w:gridCol w:w="1531"/>
      </w:tblGrid>
      <w:tr w:rsidR="00067458" w:rsidRPr="003C7A0B" w14:paraId="4A3B47D6" w14:textId="77777777" w:rsidTr="009027FE">
        <w:trPr>
          <w:trHeight w:val="335"/>
          <w:tblHeader/>
        </w:trPr>
        <w:tc>
          <w:tcPr>
            <w:tcW w:w="1576" w:type="pct"/>
            <w:vMerge w:val="restart"/>
            <w:noWrap/>
            <w:vAlign w:val="center"/>
            <w:hideMark/>
          </w:tcPr>
          <w:p w14:paraId="212D250F" w14:textId="77777777" w:rsidR="00067458" w:rsidRPr="003C7A0B" w:rsidRDefault="00067458" w:rsidP="0047278C">
            <w:pPr>
              <w:rPr>
                <w:rFonts w:ascii="Arial Narrow" w:hAnsi="Arial Narrow"/>
                <w:b/>
                <w:bCs/>
                <w:sz w:val="20"/>
              </w:rPr>
            </w:pPr>
            <w:r w:rsidRPr="003C7A0B">
              <w:rPr>
                <w:rFonts w:ascii="Arial Narrow" w:hAnsi="Arial Narrow"/>
                <w:b/>
                <w:bCs/>
                <w:sz w:val="20"/>
              </w:rPr>
              <w:t>Variable Description</w:t>
            </w:r>
          </w:p>
        </w:tc>
        <w:tc>
          <w:tcPr>
            <w:tcW w:w="1095" w:type="pct"/>
            <w:gridSpan w:val="2"/>
            <w:noWrap/>
            <w:hideMark/>
          </w:tcPr>
          <w:p w14:paraId="5BF36426" w14:textId="77777777" w:rsidR="00067458" w:rsidRPr="003C7A0B" w:rsidRDefault="00067458" w:rsidP="0047278C">
            <w:pPr>
              <w:rPr>
                <w:rFonts w:ascii="Arial Narrow" w:hAnsi="Arial Narrow"/>
                <w:b/>
                <w:bCs/>
                <w:sz w:val="20"/>
              </w:rPr>
            </w:pPr>
            <w:r w:rsidRPr="003C7A0B">
              <w:rPr>
                <w:rFonts w:ascii="Arial Narrow" w:hAnsi="Arial Narrow"/>
                <w:b/>
                <w:bCs/>
                <w:sz w:val="20"/>
              </w:rPr>
              <w:t xml:space="preserve">SA </w:t>
            </w:r>
          </w:p>
        </w:tc>
        <w:tc>
          <w:tcPr>
            <w:tcW w:w="1480" w:type="pct"/>
            <w:gridSpan w:val="2"/>
          </w:tcPr>
          <w:p w14:paraId="2355EC62" w14:textId="77777777" w:rsidR="00067458" w:rsidRPr="003C7A0B" w:rsidRDefault="00067458" w:rsidP="0047278C">
            <w:pPr>
              <w:rPr>
                <w:rFonts w:ascii="Arial Narrow" w:hAnsi="Arial Narrow"/>
                <w:b/>
                <w:bCs/>
                <w:sz w:val="20"/>
              </w:rPr>
            </w:pPr>
            <w:r w:rsidRPr="003C7A0B">
              <w:rPr>
                <w:rFonts w:ascii="Arial Narrow" w:hAnsi="Arial Narrow"/>
                <w:b/>
                <w:bCs/>
                <w:sz w:val="20"/>
              </w:rPr>
              <w:t xml:space="preserve"> ICER ($/QALY)</w:t>
            </w:r>
          </w:p>
        </w:tc>
        <w:tc>
          <w:tcPr>
            <w:tcW w:w="849" w:type="pct"/>
            <w:vAlign w:val="center"/>
          </w:tcPr>
          <w:p w14:paraId="325A38A1" w14:textId="77777777" w:rsidR="00067458" w:rsidRPr="003C7A0B" w:rsidRDefault="00067458" w:rsidP="0047278C">
            <w:pPr>
              <w:rPr>
                <w:rFonts w:ascii="Arial Narrow" w:hAnsi="Arial Narrow"/>
                <w:b/>
                <w:bCs/>
                <w:sz w:val="20"/>
              </w:rPr>
            </w:pPr>
            <w:r w:rsidRPr="003C7A0B">
              <w:rPr>
                <w:rFonts w:ascii="Arial Narrow" w:hAnsi="Arial Narrow"/>
                <w:b/>
                <w:bCs/>
                <w:sz w:val="20"/>
              </w:rPr>
              <w:t>Impact</w:t>
            </w:r>
          </w:p>
        </w:tc>
      </w:tr>
      <w:tr w:rsidR="00067458" w:rsidRPr="003C7A0B" w14:paraId="50A34910" w14:textId="77777777" w:rsidTr="009027FE">
        <w:trPr>
          <w:trHeight w:val="335"/>
          <w:tblHeader/>
        </w:trPr>
        <w:tc>
          <w:tcPr>
            <w:tcW w:w="1576" w:type="pct"/>
            <w:vMerge/>
            <w:noWrap/>
            <w:vAlign w:val="center"/>
          </w:tcPr>
          <w:p w14:paraId="5F3FC44B" w14:textId="77777777" w:rsidR="00067458" w:rsidRPr="003C7A0B" w:rsidRDefault="00067458" w:rsidP="0047278C">
            <w:pPr>
              <w:rPr>
                <w:rFonts w:ascii="Arial Narrow" w:hAnsi="Arial Narrow"/>
                <w:b/>
                <w:bCs/>
                <w:sz w:val="20"/>
              </w:rPr>
            </w:pPr>
          </w:p>
        </w:tc>
        <w:tc>
          <w:tcPr>
            <w:tcW w:w="594" w:type="pct"/>
            <w:noWrap/>
          </w:tcPr>
          <w:p w14:paraId="2C5A4C23" w14:textId="77777777" w:rsidR="00067458" w:rsidRPr="003C7A0B" w:rsidRDefault="00067458" w:rsidP="0047278C">
            <w:pPr>
              <w:rPr>
                <w:rFonts w:ascii="Arial Narrow" w:hAnsi="Arial Narrow"/>
                <w:b/>
                <w:bCs/>
                <w:sz w:val="20"/>
              </w:rPr>
            </w:pPr>
            <w:r w:rsidRPr="003C7A0B">
              <w:rPr>
                <w:rFonts w:ascii="Arial Narrow" w:hAnsi="Arial Narrow"/>
                <w:b/>
                <w:bCs/>
                <w:sz w:val="20"/>
              </w:rPr>
              <w:t>Low</w:t>
            </w:r>
          </w:p>
        </w:tc>
        <w:tc>
          <w:tcPr>
            <w:tcW w:w="501" w:type="pct"/>
            <w:noWrap/>
          </w:tcPr>
          <w:p w14:paraId="1F279ADB" w14:textId="77777777" w:rsidR="00067458" w:rsidRPr="003C7A0B" w:rsidRDefault="00067458" w:rsidP="0047278C">
            <w:pPr>
              <w:rPr>
                <w:rFonts w:ascii="Arial Narrow" w:hAnsi="Arial Narrow"/>
                <w:b/>
                <w:bCs/>
                <w:sz w:val="20"/>
              </w:rPr>
            </w:pPr>
            <w:r w:rsidRPr="003C7A0B">
              <w:rPr>
                <w:rFonts w:ascii="Arial Narrow" w:hAnsi="Arial Narrow"/>
                <w:b/>
                <w:bCs/>
                <w:sz w:val="20"/>
              </w:rPr>
              <w:t>High</w:t>
            </w:r>
          </w:p>
        </w:tc>
        <w:tc>
          <w:tcPr>
            <w:tcW w:w="692" w:type="pct"/>
          </w:tcPr>
          <w:p w14:paraId="4D6C899E" w14:textId="77777777" w:rsidR="00067458" w:rsidRPr="003C7A0B" w:rsidRDefault="00067458" w:rsidP="0047278C">
            <w:pPr>
              <w:rPr>
                <w:rFonts w:ascii="Arial Narrow" w:hAnsi="Arial Narrow"/>
                <w:b/>
                <w:bCs/>
                <w:sz w:val="20"/>
              </w:rPr>
            </w:pPr>
            <w:r w:rsidRPr="003C7A0B">
              <w:rPr>
                <w:rFonts w:ascii="Arial Narrow" w:hAnsi="Arial Narrow"/>
                <w:b/>
                <w:bCs/>
                <w:sz w:val="20"/>
              </w:rPr>
              <w:t xml:space="preserve">Low </w:t>
            </w:r>
          </w:p>
        </w:tc>
        <w:tc>
          <w:tcPr>
            <w:tcW w:w="788" w:type="pct"/>
          </w:tcPr>
          <w:p w14:paraId="57E845DE" w14:textId="77777777" w:rsidR="00067458" w:rsidRPr="003C7A0B" w:rsidRDefault="00067458" w:rsidP="0047278C">
            <w:pPr>
              <w:rPr>
                <w:rFonts w:ascii="Arial Narrow" w:hAnsi="Arial Narrow"/>
                <w:b/>
                <w:bCs/>
                <w:sz w:val="20"/>
              </w:rPr>
            </w:pPr>
            <w:r w:rsidRPr="003C7A0B">
              <w:rPr>
                <w:rFonts w:ascii="Arial Narrow" w:hAnsi="Arial Narrow"/>
                <w:b/>
                <w:bCs/>
                <w:sz w:val="20"/>
              </w:rPr>
              <w:t xml:space="preserve">High </w:t>
            </w:r>
          </w:p>
        </w:tc>
        <w:tc>
          <w:tcPr>
            <w:tcW w:w="849" w:type="pct"/>
            <w:vAlign w:val="center"/>
          </w:tcPr>
          <w:p w14:paraId="04CD3CD4" w14:textId="77777777" w:rsidR="00067458" w:rsidRPr="003C7A0B" w:rsidRDefault="00067458" w:rsidP="0047278C">
            <w:pPr>
              <w:rPr>
                <w:rFonts w:ascii="Arial Narrow" w:hAnsi="Arial Narrow"/>
                <w:b/>
                <w:bCs/>
                <w:sz w:val="20"/>
              </w:rPr>
            </w:pPr>
          </w:p>
        </w:tc>
      </w:tr>
      <w:tr w:rsidR="00067458" w:rsidRPr="003C7A0B" w14:paraId="36D0D6F2" w14:textId="77777777" w:rsidTr="0047278C">
        <w:trPr>
          <w:trHeight w:val="335"/>
        </w:trPr>
        <w:tc>
          <w:tcPr>
            <w:tcW w:w="1576" w:type="pct"/>
            <w:noWrap/>
            <w:vAlign w:val="center"/>
          </w:tcPr>
          <w:p w14:paraId="2336BF8F" w14:textId="77777777" w:rsidR="00067458" w:rsidRPr="003C7A0B" w:rsidRDefault="00067458" w:rsidP="0047278C">
            <w:pPr>
              <w:rPr>
                <w:rFonts w:ascii="Arial Narrow" w:hAnsi="Arial Narrow"/>
                <w:b/>
                <w:bCs/>
                <w:sz w:val="20"/>
              </w:rPr>
            </w:pPr>
            <w:r w:rsidRPr="003C7A0B">
              <w:rPr>
                <w:rFonts w:ascii="Arial Narrow" w:hAnsi="Arial Narrow"/>
                <w:b/>
                <w:bCs/>
                <w:sz w:val="20"/>
              </w:rPr>
              <w:t>Base case</w:t>
            </w:r>
          </w:p>
        </w:tc>
        <w:tc>
          <w:tcPr>
            <w:tcW w:w="1095" w:type="pct"/>
            <w:gridSpan w:val="2"/>
            <w:noWrap/>
            <w:vAlign w:val="center"/>
          </w:tcPr>
          <w:p w14:paraId="065F9523" w14:textId="77777777" w:rsidR="00067458" w:rsidRPr="003C7A0B" w:rsidRDefault="00067458" w:rsidP="0047278C">
            <w:pPr>
              <w:rPr>
                <w:rFonts w:ascii="Arial Narrow" w:hAnsi="Arial Narrow"/>
                <w:b/>
                <w:bCs/>
                <w:sz w:val="20"/>
              </w:rPr>
            </w:pPr>
            <w:r w:rsidRPr="003C7A0B">
              <w:rPr>
                <w:rFonts w:ascii="Arial Narrow" w:hAnsi="Arial Narrow"/>
                <w:b/>
                <w:bCs/>
                <w:sz w:val="20"/>
              </w:rPr>
              <w:t>NA</w:t>
            </w:r>
          </w:p>
        </w:tc>
        <w:tc>
          <w:tcPr>
            <w:tcW w:w="1480" w:type="pct"/>
            <w:gridSpan w:val="2"/>
            <w:vAlign w:val="center"/>
          </w:tcPr>
          <w:p w14:paraId="1BE91E6F" w14:textId="77777777" w:rsidR="00067458" w:rsidRPr="003C7A0B" w:rsidRDefault="00067458" w:rsidP="0047278C">
            <w:pPr>
              <w:rPr>
                <w:rFonts w:ascii="Arial Narrow" w:hAnsi="Arial Narrow"/>
                <w:b/>
                <w:bCs/>
                <w:sz w:val="20"/>
              </w:rPr>
            </w:pPr>
            <w:r w:rsidRPr="003C7A0B">
              <w:rPr>
                <w:rFonts w:ascii="Arial Narrow" w:hAnsi="Arial Narrow"/>
                <w:b/>
                <w:bCs/>
                <w:sz w:val="20"/>
              </w:rPr>
              <w:t>317,552</w:t>
            </w:r>
          </w:p>
        </w:tc>
        <w:tc>
          <w:tcPr>
            <w:tcW w:w="849" w:type="pct"/>
            <w:vAlign w:val="center"/>
          </w:tcPr>
          <w:p w14:paraId="59413D13" w14:textId="77777777" w:rsidR="00067458" w:rsidRPr="003C7A0B" w:rsidRDefault="00067458" w:rsidP="0047278C">
            <w:pPr>
              <w:rPr>
                <w:rFonts w:ascii="Arial Narrow" w:hAnsi="Arial Narrow"/>
                <w:b/>
                <w:bCs/>
                <w:sz w:val="20"/>
              </w:rPr>
            </w:pPr>
            <w:r w:rsidRPr="003C7A0B">
              <w:rPr>
                <w:rFonts w:ascii="Arial Narrow" w:hAnsi="Arial Narrow"/>
                <w:b/>
                <w:bCs/>
                <w:sz w:val="20"/>
              </w:rPr>
              <w:t>NA</w:t>
            </w:r>
          </w:p>
        </w:tc>
      </w:tr>
      <w:tr w:rsidR="00067458" w:rsidRPr="003C7A0B" w14:paraId="7DAA31E3" w14:textId="77777777" w:rsidTr="0047278C">
        <w:trPr>
          <w:trHeight w:val="335"/>
        </w:trPr>
        <w:tc>
          <w:tcPr>
            <w:tcW w:w="1576" w:type="pct"/>
            <w:noWrap/>
            <w:vAlign w:val="center"/>
          </w:tcPr>
          <w:p w14:paraId="04D2E1FA" w14:textId="77777777" w:rsidR="00067458" w:rsidRPr="003C7A0B" w:rsidRDefault="00067458" w:rsidP="0047278C">
            <w:pPr>
              <w:rPr>
                <w:rFonts w:ascii="Arial Narrow" w:hAnsi="Arial Narrow"/>
                <w:sz w:val="20"/>
              </w:rPr>
            </w:pPr>
            <w:r w:rsidRPr="003C7A0B">
              <w:rPr>
                <w:rFonts w:ascii="Arial Narrow" w:hAnsi="Arial Narrow"/>
                <w:sz w:val="20"/>
              </w:rPr>
              <w:t xml:space="preserve">Utility: assuming deterioration in </w:t>
            </w:r>
            <w:proofErr w:type="spellStart"/>
            <w:r w:rsidRPr="003C7A0B">
              <w:rPr>
                <w:rFonts w:ascii="Arial Narrow" w:hAnsi="Arial Narrow"/>
                <w:sz w:val="20"/>
              </w:rPr>
              <w:t>QoL</w:t>
            </w:r>
            <w:proofErr w:type="spellEnd"/>
            <w:r w:rsidRPr="003C7A0B">
              <w:rPr>
                <w:rFonts w:ascii="Arial Narrow" w:hAnsi="Arial Narrow"/>
                <w:sz w:val="20"/>
              </w:rPr>
              <w:t xml:space="preserve"> over time</w:t>
            </w:r>
          </w:p>
        </w:tc>
        <w:tc>
          <w:tcPr>
            <w:tcW w:w="1095" w:type="pct"/>
            <w:gridSpan w:val="2"/>
            <w:noWrap/>
            <w:vAlign w:val="center"/>
          </w:tcPr>
          <w:p w14:paraId="2933E20E" w14:textId="77777777" w:rsidR="00067458" w:rsidRPr="003C7A0B" w:rsidRDefault="00067458" w:rsidP="0047278C">
            <w:pPr>
              <w:rPr>
                <w:rFonts w:ascii="Arial Narrow" w:hAnsi="Arial Narrow"/>
                <w:sz w:val="20"/>
              </w:rPr>
            </w:pPr>
            <w:r w:rsidRPr="003C7A0B">
              <w:rPr>
                <w:rFonts w:ascii="Arial Narrow" w:hAnsi="Arial Narrow"/>
                <w:sz w:val="20"/>
              </w:rPr>
              <w:t>NA</w:t>
            </w:r>
          </w:p>
        </w:tc>
        <w:tc>
          <w:tcPr>
            <w:tcW w:w="1480" w:type="pct"/>
            <w:gridSpan w:val="2"/>
            <w:vAlign w:val="center"/>
          </w:tcPr>
          <w:p w14:paraId="4673E955" w14:textId="77777777" w:rsidR="00067458" w:rsidRPr="003C7A0B" w:rsidRDefault="00067458" w:rsidP="0047278C">
            <w:pPr>
              <w:rPr>
                <w:rFonts w:ascii="Arial Narrow" w:hAnsi="Arial Narrow"/>
                <w:sz w:val="20"/>
              </w:rPr>
            </w:pPr>
            <w:r w:rsidRPr="003C7A0B">
              <w:rPr>
                <w:rFonts w:ascii="Arial Narrow" w:hAnsi="Arial Narrow"/>
                <w:sz w:val="20"/>
              </w:rPr>
              <w:t>98,559</w:t>
            </w:r>
          </w:p>
        </w:tc>
        <w:tc>
          <w:tcPr>
            <w:tcW w:w="849" w:type="pct"/>
            <w:vAlign w:val="center"/>
          </w:tcPr>
          <w:p w14:paraId="67CB4F32" w14:textId="77777777" w:rsidR="00067458" w:rsidRPr="003C7A0B" w:rsidRDefault="00067458" w:rsidP="0047278C">
            <w:pPr>
              <w:rPr>
                <w:rFonts w:ascii="Arial Narrow" w:hAnsi="Arial Narrow"/>
                <w:sz w:val="20"/>
              </w:rPr>
            </w:pPr>
            <w:r w:rsidRPr="003C7A0B">
              <w:rPr>
                <w:rFonts w:ascii="Arial Narrow" w:hAnsi="Arial Narrow"/>
                <w:sz w:val="20"/>
              </w:rPr>
              <w:t>High</w:t>
            </w:r>
          </w:p>
        </w:tc>
      </w:tr>
      <w:tr w:rsidR="00067458" w:rsidRPr="003C7A0B" w14:paraId="2F3F833F" w14:textId="77777777" w:rsidTr="0047278C">
        <w:trPr>
          <w:trHeight w:val="335"/>
        </w:trPr>
        <w:tc>
          <w:tcPr>
            <w:tcW w:w="1576" w:type="pct"/>
            <w:noWrap/>
            <w:vAlign w:val="center"/>
            <w:hideMark/>
          </w:tcPr>
          <w:p w14:paraId="0548D3EB" w14:textId="77777777" w:rsidR="00067458" w:rsidRPr="003C7A0B" w:rsidRDefault="00067458" w:rsidP="0047278C">
            <w:pPr>
              <w:rPr>
                <w:rFonts w:ascii="Arial Narrow" w:hAnsi="Arial Narrow"/>
                <w:sz w:val="20"/>
              </w:rPr>
            </w:pPr>
            <w:r w:rsidRPr="003C7A0B">
              <w:rPr>
                <w:rFonts w:ascii="Arial Narrow" w:hAnsi="Arial Narrow"/>
                <w:sz w:val="20"/>
              </w:rPr>
              <w:t>Utility of BSC</w:t>
            </w:r>
          </w:p>
        </w:tc>
        <w:tc>
          <w:tcPr>
            <w:tcW w:w="594" w:type="pct"/>
            <w:noWrap/>
            <w:vAlign w:val="center"/>
            <w:hideMark/>
          </w:tcPr>
          <w:p w14:paraId="55F69AFD" w14:textId="77777777" w:rsidR="00067458" w:rsidRPr="003C7A0B" w:rsidRDefault="00067458" w:rsidP="0047278C">
            <w:pPr>
              <w:jc w:val="center"/>
              <w:rPr>
                <w:rFonts w:ascii="Arial Narrow" w:hAnsi="Arial Narrow"/>
                <w:sz w:val="20"/>
              </w:rPr>
            </w:pPr>
            <w:r w:rsidRPr="003C7A0B">
              <w:rPr>
                <w:rFonts w:ascii="Arial Narrow" w:hAnsi="Arial Narrow"/>
                <w:sz w:val="20"/>
              </w:rPr>
              <w:t>0.27</w:t>
            </w:r>
          </w:p>
        </w:tc>
        <w:tc>
          <w:tcPr>
            <w:tcW w:w="501" w:type="pct"/>
            <w:noWrap/>
            <w:vAlign w:val="center"/>
            <w:hideMark/>
          </w:tcPr>
          <w:p w14:paraId="70A4B3B9" w14:textId="77777777" w:rsidR="00067458" w:rsidRPr="003C7A0B" w:rsidRDefault="00067458" w:rsidP="0047278C">
            <w:pPr>
              <w:jc w:val="center"/>
              <w:rPr>
                <w:rFonts w:ascii="Arial Narrow" w:hAnsi="Arial Narrow"/>
                <w:sz w:val="20"/>
              </w:rPr>
            </w:pPr>
            <w:r w:rsidRPr="003C7A0B">
              <w:rPr>
                <w:rFonts w:ascii="Arial Narrow" w:hAnsi="Arial Narrow"/>
                <w:sz w:val="20"/>
              </w:rPr>
              <w:t>0.33</w:t>
            </w:r>
          </w:p>
        </w:tc>
        <w:tc>
          <w:tcPr>
            <w:tcW w:w="692" w:type="pct"/>
            <w:vAlign w:val="center"/>
          </w:tcPr>
          <w:p w14:paraId="798FBBE9" w14:textId="77777777" w:rsidR="00067458" w:rsidRPr="003C7A0B" w:rsidRDefault="00067458" w:rsidP="0047278C">
            <w:pPr>
              <w:jc w:val="center"/>
              <w:rPr>
                <w:rFonts w:ascii="Arial Narrow" w:hAnsi="Arial Narrow"/>
                <w:sz w:val="20"/>
              </w:rPr>
            </w:pPr>
            <w:r w:rsidRPr="003C7A0B">
              <w:rPr>
                <w:rFonts w:ascii="Arial Narrow" w:hAnsi="Arial Narrow"/>
                <w:sz w:val="20"/>
              </w:rPr>
              <w:t>209,740</w:t>
            </w:r>
          </w:p>
        </w:tc>
        <w:tc>
          <w:tcPr>
            <w:tcW w:w="788" w:type="pct"/>
            <w:vAlign w:val="center"/>
          </w:tcPr>
          <w:p w14:paraId="1A28D5A7" w14:textId="77777777" w:rsidR="00067458" w:rsidRPr="003C7A0B" w:rsidRDefault="00067458" w:rsidP="0047278C">
            <w:pPr>
              <w:jc w:val="center"/>
              <w:rPr>
                <w:rFonts w:ascii="Arial Narrow" w:hAnsi="Arial Narrow"/>
                <w:sz w:val="20"/>
              </w:rPr>
            </w:pPr>
            <w:r w:rsidRPr="003C7A0B">
              <w:rPr>
                <w:rFonts w:ascii="Arial Narrow" w:hAnsi="Arial Narrow"/>
                <w:sz w:val="20"/>
              </w:rPr>
              <w:t>653,441</w:t>
            </w:r>
          </w:p>
        </w:tc>
        <w:tc>
          <w:tcPr>
            <w:tcW w:w="849" w:type="pct"/>
            <w:vAlign w:val="center"/>
          </w:tcPr>
          <w:p w14:paraId="2B9932D3" w14:textId="77777777" w:rsidR="00067458" w:rsidRPr="003C7A0B" w:rsidRDefault="00067458" w:rsidP="0047278C">
            <w:pPr>
              <w:rPr>
                <w:rFonts w:ascii="Arial Narrow" w:hAnsi="Arial Narrow"/>
                <w:sz w:val="20"/>
              </w:rPr>
            </w:pPr>
            <w:r w:rsidRPr="003C7A0B">
              <w:rPr>
                <w:rFonts w:ascii="Arial Narrow" w:hAnsi="Arial Narrow"/>
                <w:sz w:val="20"/>
              </w:rPr>
              <w:t>High</w:t>
            </w:r>
          </w:p>
        </w:tc>
      </w:tr>
      <w:tr w:rsidR="00067458" w:rsidRPr="003C7A0B" w14:paraId="775770E6" w14:textId="77777777" w:rsidTr="0047278C">
        <w:trPr>
          <w:trHeight w:val="335"/>
        </w:trPr>
        <w:tc>
          <w:tcPr>
            <w:tcW w:w="1576" w:type="pct"/>
            <w:noWrap/>
            <w:vAlign w:val="center"/>
            <w:hideMark/>
          </w:tcPr>
          <w:p w14:paraId="329AE360" w14:textId="77777777" w:rsidR="00067458" w:rsidRPr="003C7A0B" w:rsidRDefault="00067458" w:rsidP="0047278C">
            <w:pPr>
              <w:rPr>
                <w:rFonts w:ascii="Arial Narrow" w:hAnsi="Arial Narrow"/>
                <w:sz w:val="20"/>
              </w:rPr>
            </w:pPr>
            <w:r w:rsidRPr="003C7A0B">
              <w:rPr>
                <w:rFonts w:ascii="Arial Narrow" w:hAnsi="Arial Narrow"/>
                <w:sz w:val="20"/>
              </w:rPr>
              <w:t>Utility of ‘Responder’</w:t>
            </w:r>
          </w:p>
        </w:tc>
        <w:tc>
          <w:tcPr>
            <w:tcW w:w="594" w:type="pct"/>
            <w:noWrap/>
            <w:vAlign w:val="center"/>
            <w:hideMark/>
          </w:tcPr>
          <w:p w14:paraId="7B11AB65" w14:textId="77777777" w:rsidR="00067458" w:rsidRPr="003C7A0B" w:rsidRDefault="00067458" w:rsidP="0047278C">
            <w:pPr>
              <w:jc w:val="center"/>
              <w:rPr>
                <w:rFonts w:ascii="Arial Narrow" w:hAnsi="Arial Narrow"/>
                <w:sz w:val="20"/>
              </w:rPr>
            </w:pPr>
            <w:r w:rsidRPr="003C7A0B">
              <w:rPr>
                <w:rFonts w:ascii="Arial Narrow" w:hAnsi="Arial Narrow"/>
                <w:sz w:val="20"/>
              </w:rPr>
              <w:t>0.33</w:t>
            </w:r>
          </w:p>
        </w:tc>
        <w:tc>
          <w:tcPr>
            <w:tcW w:w="501" w:type="pct"/>
            <w:noWrap/>
            <w:vAlign w:val="center"/>
            <w:hideMark/>
          </w:tcPr>
          <w:p w14:paraId="6FE93381" w14:textId="77777777" w:rsidR="00067458" w:rsidRPr="003C7A0B" w:rsidRDefault="00067458" w:rsidP="0047278C">
            <w:pPr>
              <w:jc w:val="center"/>
              <w:rPr>
                <w:rFonts w:ascii="Arial Narrow" w:hAnsi="Arial Narrow"/>
                <w:sz w:val="20"/>
              </w:rPr>
            </w:pPr>
            <w:r w:rsidRPr="003C7A0B">
              <w:rPr>
                <w:rFonts w:ascii="Arial Narrow" w:hAnsi="Arial Narrow"/>
                <w:sz w:val="20"/>
              </w:rPr>
              <w:t>0.39</w:t>
            </w:r>
          </w:p>
        </w:tc>
        <w:tc>
          <w:tcPr>
            <w:tcW w:w="692" w:type="pct"/>
            <w:vAlign w:val="center"/>
          </w:tcPr>
          <w:p w14:paraId="6069D8C4" w14:textId="77777777" w:rsidR="00067458" w:rsidRPr="003C7A0B" w:rsidRDefault="00067458" w:rsidP="0047278C">
            <w:pPr>
              <w:jc w:val="center"/>
              <w:rPr>
                <w:rFonts w:ascii="Arial Narrow" w:hAnsi="Arial Narrow"/>
                <w:sz w:val="20"/>
              </w:rPr>
            </w:pPr>
            <w:r w:rsidRPr="003C7A0B">
              <w:rPr>
                <w:rFonts w:ascii="Arial Narrow" w:hAnsi="Arial Narrow"/>
                <w:sz w:val="20"/>
              </w:rPr>
              <w:t>211,388</w:t>
            </w:r>
          </w:p>
        </w:tc>
        <w:tc>
          <w:tcPr>
            <w:tcW w:w="788" w:type="pct"/>
            <w:vAlign w:val="center"/>
          </w:tcPr>
          <w:p w14:paraId="57ADCF9D" w14:textId="77777777" w:rsidR="00067458" w:rsidRPr="003C7A0B" w:rsidRDefault="00067458" w:rsidP="0047278C">
            <w:pPr>
              <w:jc w:val="center"/>
              <w:rPr>
                <w:rFonts w:ascii="Arial Narrow" w:hAnsi="Arial Narrow"/>
                <w:sz w:val="20"/>
              </w:rPr>
            </w:pPr>
            <w:r w:rsidRPr="003C7A0B">
              <w:rPr>
                <w:rFonts w:ascii="Arial Narrow" w:hAnsi="Arial Narrow"/>
                <w:sz w:val="20"/>
              </w:rPr>
              <w:t>$637,945</w:t>
            </w:r>
          </w:p>
        </w:tc>
        <w:tc>
          <w:tcPr>
            <w:tcW w:w="849" w:type="pct"/>
            <w:vAlign w:val="center"/>
          </w:tcPr>
          <w:p w14:paraId="42028FE7" w14:textId="77777777" w:rsidR="00067458" w:rsidRPr="003C7A0B" w:rsidRDefault="00067458" w:rsidP="0047278C">
            <w:pPr>
              <w:rPr>
                <w:rFonts w:ascii="Arial Narrow" w:hAnsi="Arial Narrow"/>
                <w:sz w:val="20"/>
              </w:rPr>
            </w:pPr>
            <w:r w:rsidRPr="003C7A0B">
              <w:rPr>
                <w:rFonts w:ascii="Arial Narrow" w:hAnsi="Arial Narrow"/>
                <w:sz w:val="20"/>
              </w:rPr>
              <w:t>High</w:t>
            </w:r>
          </w:p>
        </w:tc>
      </w:tr>
      <w:tr w:rsidR="00067458" w:rsidRPr="003C7A0B" w14:paraId="22B40863" w14:textId="77777777" w:rsidTr="0047278C">
        <w:trPr>
          <w:trHeight w:val="335"/>
        </w:trPr>
        <w:tc>
          <w:tcPr>
            <w:tcW w:w="1576" w:type="pct"/>
            <w:noWrap/>
            <w:vAlign w:val="center"/>
            <w:hideMark/>
          </w:tcPr>
          <w:p w14:paraId="70931B8B" w14:textId="77777777" w:rsidR="00067458" w:rsidRPr="003C7A0B" w:rsidRDefault="00067458" w:rsidP="0047278C">
            <w:pPr>
              <w:rPr>
                <w:rFonts w:ascii="Arial Narrow" w:hAnsi="Arial Narrow"/>
                <w:sz w:val="20"/>
              </w:rPr>
            </w:pPr>
            <w:r w:rsidRPr="003C7A0B">
              <w:rPr>
                <w:rFonts w:ascii="Arial Narrow" w:hAnsi="Arial Narrow"/>
                <w:sz w:val="20"/>
              </w:rPr>
              <w:t>Cost of Ig per gram</w:t>
            </w:r>
          </w:p>
        </w:tc>
        <w:tc>
          <w:tcPr>
            <w:tcW w:w="594" w:type="pct"/>
            <w:noWrap/>
            <w:vAlign w:val="center"/>
            <w:hideMark/>
          </w:tcPr>
          <w:p w14:paraId="5694843A" w14:textId="77777777" w:rsidR="00067458" w:rsidRPr="003C7A0B" w:rsidRDefault="00067458" w:rsidP="0047278C">
            <w:pPr>
              <w:jc w:val="center"/>
              <w:rPr>
                <w:rFonts w:ascii="Arial Narrow" w:hAnsi="Arial Narrow"/>
                <w:sz w:val="20"/>
              </w:rPr>
            </w:pPr>
            <w:r w:rsidRPr="003C7A0B">
              <w:rPr>
                <w:rFonts w:ascii="Arial Narrow" w:hAnsi="Arial Narrow"/>
                <w:sz w:val="20"/>
              </w:rPr>
              <w:t>$44.94</w:t>
            </w:r>
          </w:p>
        </w:tc>
        <w:tc>
          <w:tcPr>
            <w:tcW w:w="501" w:type="pct"/>
            <w:noWrap/>
            <w:vAlign w:val="center"/>
            <w:hideMark/>
          </w:tcPr>
          <w:p w14:paraId="1AA19218" w14:textId="77777777" w:rsidR="00067458" w:rsidRPr="003C7A0B" w:rsidRDefault="00067458" w:rsidP="0047278C">
            <w:pPr>
              <w:jc w:val="center"/>
              <w:rPr>
                <w:rFonts w:ascii="Arial Narrow" w:hAnsi="Arial Narrow"/>
                <w:sz w:val="20"/>
              </w:rPr>
            </w:pPr>
            <w:r w:rsidRPr="003C7A0B">
              <w:rPr>
                <w:rFonts w:ascii="Arial Narrow" w:hAnsi="Arial Narrow"/>
                <w:sz w:val="20"/>
              </w:rPr>
              <w:t>$140.18</w:t>
            </w:r>
          </w:p>
        </w:tc>
        <w:tc>
          <w:tcPr>
            <w:tcW w:w="692" w:type="pct"/>
            <w:vAlign w:val="center"/>
          </w:tcPr>
          <w:p w14:paraId="436E6136" w14:textId="77777777" w:rsidR="00067458" w:rsidRPr="003C7A0B" w:rsidRDefault="00067458" w:rsidP="0047278C">
            <w:pPr>
              <w:jc w:val="center"/>
              <w:rPr>
                <w:rFonts w:ascii="Arial Narrow" w:hAnsi="Arial Narrow"/>
                <w:sz w:val="20"/>
              </w:rPr>
            </w:pPr>
            <w:r w:rsidRPr="003C7A0B">
              <w:rPr>
                <w:rFonts w:ascii="Arial Narrow" w:hAnsi="Arial Narrow"/>
                <w:sz w:val="20"/>
              </w:rPr>
              <w:t>257,765</w:t>
            </w:r>
          </w:p>
        </w:tc>
        <w:tc>
          <w:tcPr>
            <w:tcW w:w="788" w:type="pct"/>
            <w:vAlign w:val="center"/>
          </w:tcPr>
          <w:p w14:paraId="7C941AD2" w14:textId="77777777" w:rsidR="00067458" w:rsidRPr="003C7A0B" w:rsidRDefault="00067458" w:rsidP="0047278C">
            <w:pPr>
              <w:jc w:val="center"/>
              <w:rPr>
                <w:rFonts w:ascii="Arial Narrow" w:hAnsi="Arial Narrow"/>
                <w:sz w:val="20"/>
              </w:rPr>
            </w:pPr>
            <w:r w:rsidRPr="003C7A0B">
              <w:rPr>
                <w:rFonts w:ascii="Arial Narrow" w:hAnsi="Arial Narrow"/>
                <w:sz w:val="20"/>
              </w:rPr>
              <w:t>625,839</w:t>
            </w:r>
          </w:p>
        </w:tc>
        <w:tc>
          <w:tcPr>
            <w:tcW w:w="849" w:type="pct"/>
            <w:vAlign w:val="center"/>
          </w:tcPr>
          <w:p w14:paraId="58D5F20F" w14:textId="77777777" w:rsidR="00067458" w:rsidRPr="003C7A0B" w:rsidRDefault="00067458" w:rsidP="0047278C">
            <w:pPr>
              <w:rPr>
                <w:rFonts w:ascii="Arial Narrow" w:hAnsi="Arial Narrow"/>
                <w:sz w:val="20"/>
              </w:rPr>
            </w:pPr>
            <w:r w:rsidRPr="003C7A0B">
              <w:rPr>
                <w:rFonts w:ascii="Arial Narrow" w:hAnsi="Arial Narrow"/>
                <w:sz w:val="20"/>
              </w:rPr>
              <w:t>High</w:t>
            </w:r>
          </w:p>
        </w:tc>
      </w:tr>
      <w:tr w:rsidR="00067458" w:rsidRPr="003C7A0B" w14:paraId="35830E9E" w14:textId="77777777" w:rsidTr="0047278C">
        <w:trPr>
          <w:trHeight w:val="335"/>
        </w:trPr>
        <w:tc>
          <w:tcPr>
            <w:tcW w:w="1576" w:type="pct"/>
            <w:noWrap/>
            <w:vAlign w:val="center"/>
            <w:hideMark/>
          </w:tcPr>
          <w:p w14:paraId="6FB276C2" w14:textId="77777777" w:rsidR="00067458" w:rsidRPr="003C7A0B" w:rsidRDefault="00067458" w:rsidP="0047278C">
            <w:pPr>
              <w:rPr>
                <w:rFonts w:ascii="Arial Narrow" w:hAnsi="Arial Narrow"/>
                <w:sz w:val="20"/>
              </w:rPr>
            </w:pPr>
            <w:r w:rsidRPr="003C7A0B">
              <w:rPr>
                <w:rFonts w:ascii="Arial Narrow" w:hAnsi="Arial Narrow"/>
                <w:sz w:val="20"/>
              </w:rPr>
              <w:t xml:space="preserve">Transition probability from ‘Responder’ to ‘Responder off- treatment (i.e. probability of weaning) intravenous Ig arm. </w:t>
            </w:r>
          </w:p>
        </w:tc>
        <w:tc>
          <w:tcPr>
            <w:tcW w:w="594" w:type="pct"/>
            <w:noWrap/>
            <w:vAlign w:val="center"/>
            <w:hideMark/>
          </w:tcPr>
          <w:p w14:paraId="2C82E48B" w14:textId="77777777" w:rsidR="00067458" w:rsidRPr="003C7A0B" w:rsidRDefault="00067458" w:rsidP="0047278C">
            <w:pPr>
              <w:jc w:val="center"/>
              <w:rPr>
                <w:rFonts w:ascii="Arial Narrow" w:hAnsi="Arial Narrow"/>
                <w:sz w:val="20"/>
              </w:rPr>
            </w:pPr>
            <w:r w:rsidRPr="003C7A0B">
              <w:rPr>
                <w:rFonts w:ascii="Arial Narrow" w:hAnsi="Arial Narrow"/>
                <w:sz w:val="20"/>
              </w:rPr>
              <w:t>0.00</w:t>
            </w:r>
          </w:p>
        </w:tc>
        <w:tc>
          <w:tcPr>
            <w:tcW w:w="501" w:type="pct"/>
            <w:noWrap/>
            <w:vAlign w:val="center"/>
            <w:hideMark/>
          </w:tcPr>
          <w:p w14:paraId="348669E9" w14:textId="77777777" w:rsidR="00067458" w:rsidRPr="003C7A0B" w:rsidRDefault="00067458" w:rsidP="0047278C">
            <w:pPr>
              <w:jc w:val="center"/>
              <w:rPr>
                <w:rFonts w:ascii="Arial Narrow" w:hAnsi="Arial Narrow"/>
                <w:sz w:val="20"/>
              </w:rPr>
            </w:pPr>
            <w:r w:rsidRPr="003C7A0B">
              <w:rPr>
                <w:rFonts w:ascii="Arial Narrow" w:hAnsi="Arial Narrow"/>
                <w:sz w:val="20"/>
              </w:rPr>
              <w:t>0.25</w:t>
            </w:r>
          </w:p>
        </w:tc>
        <w:tc>
          <w:tcPr>
            <w:tcW w:w="692" w:type="pct"/>
            <w:vAlign w:val="center"/>
          </w:tcPr>
          <w:p w14:paraId="2399D914" w14:textId="77777777" w:rsidR="00067458" w:rsidRPr="003C7A0B" w:rsidRDefault="00067458" w:rsidP="0047278C">
            <w:pPr>
              <w:jc w:val="center"/>
              <w:rPr>
                <w:rFonts w:ascii="Arial Narrow" w:hAnsi="Arial Narrow"/>
                <w:sz w:val="20"/>
              </w:rPr>
            </w:pPr>
            <w:r w:rsidRPr="003C7A0B">
              <w:rPr>
                <w:rFonts w:ascii="Arial Narrow" w:hAnsi="Arial Narrow"/>
                <w:sz w:val="20"/>
              </w:rPr>
              <w:t xml:space="preserve">290,746 </w:t>
            </w:r>
          </w:p>
        </w:tc>
        <w:tc>
          <w:tcPr>
            <w:tcW w:w="788" w:type="pct"/>
            <w:vAlign w:val="center"/>
          </w:tcPr>
          <w:p w14:paraId="6029880A" w14:textId="77777777" w:rsidR="00067458" w:rsidRPr="003C7A0B" w:rsidRDefault="00067458" w:rsidP="0047278C">
            <w:pPr>
              <w:jc w:val="center"/>
              <w:rPr>
                <w:rFonts w:ascii="Arial Narrow" w:hAnsi="Arial Narrow"/>
                <w:sz w:val="20"/>
              </w:rPr>
            </w:pPr>
            <w:r w:rsidRPr="003C7A0B">
              <w:rPr>
                <w:rFonts w:ascii="Arial Narrow" w:hAnsi="Arial Narrow"/>
                <w:sz w:val="20"/>
              </w:rPr>
              <w:t xml:space="preserve">327,375 </w:t>
            </w:r>
          </w:p>
        </w:tc>
        <w:tc>
          <w:tcPr>
            <w:tcW w:w="849" w:type="pct"/>
            <w:vAlign w:val="center"/>
          </w:tcPr>
          <w:p w14:paraId="3454D52E" w14:textId="77777777" w:rsidR="00067458" w:rsidRPr="003C7A0B" w:rsidRDefault="00067458" w:rsidP="0047278C">
            <w:pPr>
              <w:rPr>
                <w:rFonts w:ascii="Arial Narrow" w:hAnsi="Arial Narrow"/>
                <w:sz w:val="20"/>
              </w:rPr>
            </w:pPr>
            <w:r w:rsidRPr="003C7A0B">
              <w:rPr>
                <w:rFonts w:ascii="Arial Narrow" w:hAnsi="Arial Narrow"/>
                <w:sz w:val="20"/>
              </w:rPr>
              <w:t xml:space="preserve">Medium </w:t>
            </w:r>
          </w:p>
        </w:tc>
      </w:tr>
      <w:tr w:rsidR="00067458" w:rsidRPr="00DA3C6E" w14:paraId="52B875B8" w14:textId="77777777" w:rsidTr="0047278C">
        <w:trPr>
          <w:trHeight w:val="335"/>
        </w:trPr>
        <w:tc>
          <w:tcPr>
            <w:tcW w:w="1576" w:type="pct"/>
            <w:noWrap/>
            <w:vAlign w:val="center"/>
            <w:hideMark/>
          </w:tcPr>
          <w:p w14:paraId="7FD4931E" w14:textId="77777777" w:rsidR="00067458" w:rsidRPr="003C7A0B" w:rsidRDefault="00067458" w:rsidP="0047278C">
            <w:pPr>
              <w:rPr>
                <w:rFonts w:ascii="Arial Narrow" w:hAnsi="Arial Narrow"/>
                <w:sz w:val="20"/>
              </w:rPr>
            </w:pPr>
            <w:r w:rsidRPr="003C7A0B">
              <w:rPr>
                <w:rFonts w:ascii="Arial Narrow" w:hAnsi="Arial Narrow"/>
                <w:sz w:val="20"/>
              </w:rPr>
              <w:t xml:space="preserve">Transition probability of ‘Responder off-treatment to ‘Initial treatment’ (probability of relapsing). </w:t>
            </w:r>
          </w:p>
        </w:tc>
        <w:tc>
          <w:tcPr>
            <w:tcW w:w="594" w:type="pct"/>
            <w:noWrap/>
            <w:vAlign w:val="center"/>
            <w:hideMark/>
          </w:tcPr>
          <w:p w14:paraId="191CF04B" w14:textId="77777777" w:rsidR="00067458" w:rsidRPr="003C7A0B" w:rsidRDefault="00067458" w:rsidP="0047278C">
            <w:pPr>
              <w:jc w:val="center"/>
              <w:rPr>
                <w:rFonts w:ascii="Arial Narrow" w:hAnsi="Arial Narrow"/>
                <w:sz w:val="20"/>
              </w:rPr>
            </w:pPr>
            <w:r w:rsidRPr="003C7A0B">
              <w:rPr>
                <w:rFonts w:ascii="Arial Narrow" w:hAnsi="Arial Narrow"/>
                <w:sz w:val="20"/>
              </w:rPr>
              <w:t>0.3</w:t>
            </w:r>
          </w:p>
        </w:tc>
        <w:tc>
          <w:tcPr>
            <w:tcW w:w="501" w:type="pct"/>
            <w:noWrap/>
            <w:vAlign w:val="center"/>
            <w:hideMark/>
          </w:tcPr>
          <w:p w14:paraId="063B339C" w14:textId="77777777" w:rsidR="00067458" w:rsidRPr="003C7A0B" w:rsidRDefault="00067458" w:rsidP="0047278C">
            <w:pPr>
              <w:jc w:val="center"/>
              <w:rPr>
                <w:rFonts w:ascii="Arial Narrow" w:hAnsi="Arial Narrow"/>
                <w:sz w:val="20"/>
              </w:rPr>
            </w:pPr>
            <w:r w:rsidRPr="003C7A0B">
              <w:rPr>
                <w:rFonts w:ascii="Arial Narrow" w:hAnsi="Arial Narrow"/>
                <w:sz w:val="20"/>
              </w:rPr>
              <w:t>0.7</w:t>
            </w:r>
          </w:p>
        </w:tc>
        <w:tc>
          <w:tcPr>
            <w:tcW w:w="692" w:type="pct"/>
            <w:vAlign w:val="center"/>
          </w:tcPr>
          <w:p w14:paraId="28378A4A" w14:textId="77777777" w:rsidR="00067458" w:rsidRPr="003C7A0B" w:rsidRDefault="00067458" w:rsidP="0047278C">
            <w:pPr>
              <w:jc w:val="center"/>
              <w:rPr>
                <w:rFonts w:ascii="Arial Narrow" w:hAnsi="Arial Narrow"/>
                <w:sz w:val="20"/>
              </w:rPr>
            </w:pPr>
            <w:r w:rsidRPr="003C7A0B">
              <w:rPr>
                <w:rFonts w:ascii="Arial Narrow" w:hAnsi="Arial Narrow"/>
                <w:sz w:val="20"/>
              </w:rPr>
              <w:t xml:space="preserve">306,535 </w:t>
            </w:r>
          </w:p>
        </w:tc>
        <w:tc>
          <w:tcPr>
            <w:tcW w:w="788" w:type="pct"/>
            <w:vAlign w:val="center"/>
          </w:tcPr>
          <w:p w14:paraId="75C10F92" w14:textId="77777777" w:rsidR="00067458" w:rsidRPr="003C7A0B" w:rsidRDefault="00067458" w:rsidP="0047278C">
            <w:pPr>
              <w:jc w:val="center"/>
              <w:rPr>
                <w:rFonts w:ascii="Arial Narrow" w:hAnsi="Arial Narrow"/>
                <w:sz w:val="20"/>
              </w:rPr>
            </w:pPr>
            <w:r w:rsidRPr="003C7A0B">
              <w:rPr>
                <w:rFonts w:ascii="Arial Narrow" w:hAnsi="Arial Narrow"/>
                <w:sz w:val="20"/>
              </w:rPr>
              <w:t xml:space="preserve">323,091 </w:t>
            </w:r>
          </w:p>
        </w:tc>
        <w:tc>
          <w:tcPr>
            <w:tcW w:w="849" w:type="pct"/>
            <w:vAlign w:val="center"/>
          </w:tcPr>
          <w:p w14:paraId="0A7F5A50" w14:textId="77777777" w:rsidR="00067458" w:rsidRPr="00DA3C6E" w:rsidRDefault="00067458" w:rsidP="0047278C">
            <w:pPr>
              <w:rPr>
                <w:rFonts w:ascii="Arial Narrow" w:hAnsi="Arial Narrow"/>
                <w:sz w:val="20"/>
              </w:rPr>
            </w:pPr>
            <w:r w:rsidRPr="003C7A0B">
              <w:rPr>
                <w:rFonts w:ascii="Arial Narrow" w:hAnsi="Arial Narrow"/>
                <w:sz w:val="20"/>
              </w:rPr>
              <w:t>Medium</w:t>
            </w:r>
          </w:p>
        </w:tc>
      </w:tr>
    </w:tbl>
    <w:p w14:paraId="0988F8B3" w14:textId="7B819693" w:rsidR="00067458" w:rsidRDefault="00067458" w:rsidP="00067458">
      <w:pPr>
        <w:rPr>
          <w:rFonts w:ascii="Arial Narrow" w:hAnsi="Arial Narrow"/>
          <w:sz w:val="18"/>
          <w:szCs w:val="18"/>
        </w:rPr>
      </w:pPr>
      <w:r w:rsidRPr="003C7A0B">
        <w:rPr>
          <w:rFonts w:ascii="Arial Narrow" w:hAnsi="Arial Narrow"/>
          <w:b/>
          <w:sz w:val="18"/>
          <w:szCs w:val="18"/>
        </w:rPr>
        <w:t>Source</w:t>
      </w:r>
      <w:r>
        <w:rPr>
          <w:rFonts w:ascii="Arial Narrow" w:hAnsi="Arial Narrow"/>
          <w:sz w:val="18"/>
          <w:szCs w:val="18"/>
        </w:rPr>
        <w:t xml:space="preserve">: </w:t>
      </w:r>
      <w:r w:rsidR="000A12A3">
        <w:rPr>
          <w:rFonts w:ascii="Arial Narrow" w:hAnsi="Arial Narrow"/>
          <w:sz w:val="18"/>
          <w:szCs w:val="18"/>
        </w:rPr>
        <w:t>1590 DCAR</w:t>
      </w:r>
      <w:r>
        <w:rPr>
          <w:rFonts w:ascii="Arial Narrow" w:hAnsi="Arial Narrow"/>
          <w:sz w:val="18"/>
          <w:szCs w:val="18"/>
        </w:rPr>
        <w:t>, Table 34</w:t>
      </w:r>
    </w:p>
    <w:p w14:paraId="66B9B13C" w14:textId="77777777" w:rsidR="00067458" w:rsidRPr="00DA3C6E" w:rsidRDefault="00067458" w:rsidP="00067458">
      <w:pPr>
        <w:rPr>
          <w:rFonts w:ascii="Arial Narrow" w:hAnsi="Arial Narrow"/>
          <w:sz w:val="18"/>
          <w:szCs w:val="18"/>
        </w:rPr>
      </w:pPr>
      <w:r w:rsidRPr="00DA3C6E">
        <w:rPr>
          <w:rFonts w:ascii="Arial Narrow" w:hAnsi="Arial Narrow"/>
          <w:sz w:val="18"/>
          <w:szCs w:val="18"/>
        </w:rPr>
        <w:t xml:space="preserve">Abbreviations: AE = adverse event; BSC = best supportive care; ICER = incremental cost-effectiveness ratio; Ig= immunoglobulin. </w:t>
      </w:r>
    </w:p>
    <w:p w14:paraId="7F99A5D2" w14:textId="702310BC" w:rsidR="00BC1364" w:rsidRPr="000957C2" w:rsidRDefault="00067458" w:rsidP="000957C2">
      <w:pPr>
        <w:rPr>
          <w:rFonts w:ascii="Arial Narrow" w:hAnsi="Arial Narrow"/>
          <w:sz w:val="18"/>
          <w:szCs w:val="18"/>
        </w:rPr>
      </w:pPr>
      <w:r w:rsidRPr="00DA3C6E">
        <w:rPr>
          <w:rFonts w:ascii="Arial Narrow" w:hAnsi="Arial Narrow"/>
          <w:sz w:val="18"/>
          <w:szCs w:val="18"/>
        </w:rPr>
        <w:t xml:space="preserve">Notes: High impact was considered if the ICER varied more than 10% and medium impact if the ICER varied between 1% and 9.9%. </w:t>
      </w:r>
    </w:p>
    <w:p w14:paraId="447B6EE3" w14:textId="77777777" w:rsidR="00BC1364" w:rsidRPr="00F715D1" w:rsidRDefault="00BC1364" w:rsidP="00F715D1">
      <w:pPr>
        <w:pStyle w:val="Heading1"/>
      </w:pPr>
      <w:r w:rsidRPr="00F715D1">
        <w:t>Financial/budgetary impacts</w:t>
      </w:r>
    </w:p>
    <w:p w14:paraId="666F0ECD" w14:textId="32BC38ED" w:rsidR="00067458" w:rsidRDefault="00067458" w:rsidP="00067458">
      <w:pPr>
        <w:tabs>
          <w:tab w:val="left" w:pos="720"/>
          <w:tab w:val="left" w:pos="1140"/>
        </w:tabs>
      </w:pPr>
      <w:r w:rsidRPr="00DA3C6E">
        <w:t xml:space="preserve">The financial implications and predicted use of intravenous Ig in patients with MMN were estimated for a 5-year period </w:t>
      </w:r>
      <w:r>
        <w:t>from</w:t>
      </w:r>
      <w:r w:rsidRPr="00DA3C6E">
        <w:t xml:space="preserve"> 2019 to 2024.</w:t>
      </w:r>
      <w:r>
        <w:t xml:space="preserve"> </w:t>
      </w:r>
      <w:r w:rsidRPr="00DA3C6E">
        <w:t xml:space="preserve">A market-based approach based on current utilisation of data of intravenous Ig use in patients with MMN was used to estimate the financial implications of its current use. Most of the available data reflect The Criteria </w:t>
      </w:r>
      <w:r>
        <w:t>V2 except for the period 2018-</w:t>
      </w:r>
      <w:r w:rsidRPr="00DA3C6E">
        <w:t xml:space="preserve">19, </w:t>
      </w:r>
      <w:r>
        <w:t xml:space="preserve">which </w:t>
      </w:r>
      <w:r w:rsidRPr="00DA3C6E">
        <w:t xml:space="preserve">captures </w:t>
      </w:r>
      <w:r>
        <w:t xml:space="preserve">both </w:t>
      </w:r>
      <w:r w:rsidRPr="00DA3C6E">
        <w:t xml:space="preserve">V2 and </w:t>
      </w:r>
      <w:r>
        <w:t>V3 (from</w:t>
      </w:r>
      <w:r w:rsidRPr="00DA3C6E">
        <w:t xml:space="preserve"> October 201</w:t>
      </w:r>
      <w:r>
        <w:t>8)</w:t>
      </w:r>
      <w:r w:rsidRPr="00DA3C6E">
        <w:t>.</w:t>
      </w:r>
      <w:r>
        <w:t xml:space="preserve"> </w:t>
      </w:r>
      <w:r w:rsidRPr="00DA3C6E">
        <w:t xml:space="preserve">Therefore, there is some uncertainty </w:t>
      </w:r>
      <w:r>
        <w:t>regarding</w:t>
      </w:r>
      <w:r w:rsidRPr="00DA3C6E">
        <w:t xml:space="preserve"> how trends observed in previous years would represent the expected use of intravenous Ig for the treatment of MMN patients in Australia.</w:t>
      </w:r>
    </w:p>
    <w:p w14:paraId="4FD00356" w14:textId="6F76D133" w:rsidR="00067458" w:rsidRPr="00BA153F" w:rsidRDefault="00067458" w:rsidP="00067458">
      <w:pPr>
        <w:tabs>
          <w:tab w:val="left" w:pos="720"/>
          <w:tab w:val="left" w:pos="1140"/>
        </w:tabs>
      </w:pPr>
      <w:r w:rsidRPr="00DA3C6E">
        <w:lastRenderedPageBreak/>
        <w:t xml:space="preserve">A summary of the </w:t>
      </w:r>
      <w:r w:rsidRPr="00BA153F">
        <w:t>variables with their corresponding source and assumption is presented below.</w:t>
      </w:r>
    </w:p>
    <w:p w14:paraId="7A1CCF48" w14:textId="22548C91" w:rsidR="00067458" w:rsidRPr="009027FE" w:rsidRDefault="000957C2" w:rsidP="009027FE">
      <w:pPr>
        <w:spacing w:before="240"/>
        <w:rPr>
          <w:rFonts w:ascii="Arial Narrow" w:hAnsi="Arial Narrow"/>
          <w:b/>
          <w:sz w:val="20"/>
        </w:rPr>
      </w:pPr>
      <w:bookmarkStart w:id="43" w:name="_Ref29801824"/>
      <w:bookmarkStart w:id="44" w:name="_Toc37845838"/>
      <w:r w:rsidRPr="009027FE">
        <w:rPr>
          <w:rFonts w:ascii="Arial Narrow" w:hAnsi="Arial Narrow"/>
          <w:b/>
          <w:sz w:val="20"/>
        </w:rPr>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9</w:t>
      </w:r>
      <w:r w:rsidR="003F56BF" w:rsidRPr="009027FE">
        <w:rPr>
          <w:rFonts w:ascii="Arial Narrow" w:hAnsi="Arial Narrow"/>
          <w:b/>
          <w:sz w:val="20"/>
        </w:rPr>
        <w:fldChar w:fldCharType="end"/>
      </w:r>
      <w:bookmarkEnd w:id="43"/>
      <w:r w:rsidRPr="009027FE">
        <w:rPr>
          <w:rFonts w:ascii="Arial Narrow" w:hAnsi="Arial Narrow"/>
          <w:b/>
          <w:sz w:val="20"/>
        </w:rPr>
        <w:t>:</w:t>
      </w:r>
      <w:r w:rsidR="00067458" w:rsidRPr="009027FE">
        <w:rPr>
          <w:rFonts w:ascii="Arial Narrow" w:hAnsi="Arial Narrow"/>
          <w:b/>
          <w:sz w:val="20"/>
        </w:rPr>
        <w:t xml:space="preserve"> Variables and data sources used in the analysis</w:t>
      </w:r>
      <w:bookmarkEnd w:id="44"/>
    </w:p>
    <w:tbl>
      <w:tblPr>
        <w:tblStyle w:val="TableGrid"/>
        <w:tblW w:w="0" w:type="auto"/>
        <w:tblLook w:val="04A0" w:firstRow="1" w:lastRow="0" w:firstColumn="1" w:lastColumn="0" w:noHBand="0" w:noVBand="1"/>
        <w:tblCaption w:val="Table 35. Variables and data sources used in the analysis"/>
      </w:tblPr>
      <w:tblGrid>
        <w:gridCol w:w="3115"/>
        <w:gridCol w:w="2125"/>
        <w:gridCol w:w="3776"/>
      </w:tblGrid>
      <w:tr w:rsidR="00067458" w:rsidRPr="00DA3C6E" w14:paraId="24A8E303" w14:textId="77777777" w:rsidTr="0047278C">
        <w:trPr>
          <w:tblHeader/>
        </w:trPr>
        <w:tc>
          <w:tcPr>
            <w:tcW w:w="3115" w:type="dxa"/>
            <w:vAlign w:val="center"/>
          </w:tcPr>
          <w:p w14:paraId="3E490394" w14:textId="77777777" w:rsidR="00067458" w:rsidRPr="00DA3C6E" w:rsidRDefault="00067458" w:rsidP="0047278C">
            <w:pPr>
              <w:rPr>
                <w:rFonts w:ascii="Arial Narrow" w:hAnsi="Arial Narrow"/>
                <w:b/>
                <w:sz w:val="20"/>
              </w:rPr>
            </w:pPr>
            <w:r w:rsidRPr="00DA3C6E">
              <w:rPr>
                <w:rFonts w:ascii="Arial Narrow" w:hAnsi="Arial Narrow"/>
                <w:b/>
                <w:sz w:val="20"/>
              </w:rPr>
              <w:t xml:space="preserve">Variable </w:t>
            </w:r>
          </w:p>
        </w:tc>
        <w:tc>
          <w:tcPr>
            <w:tcW w:w="2125" w:type="dxa"/>
            <w:vAlign w:val="center"/>
          </w:tcPr>
          <w:p w14:paraId="121B1983" w14:textId="77777777" w:rsidR="00067458" w:rsidRPr="00DA3C6E" w:rsidRDefault="00067458" w:rsidP="0047278C">
            <w:pPr>
              <w:rPr>
                <w:rFonts w:ascii="Arial Narrow" w:hAnsi="Arial Narrow"/>
                <w:b/>
                <w:sz w:val="20"/>
              </w:rPr>
            </w:pPr>
            <w:r w:rsidRPr="00DA3C6E">
              <w:rPr>
                <w:rFonts w:ascii="Arial Narrow" w:hAnsi="Arial Narrow"/>
                <w:b/>
                <w:sz w:val="20"/>
              </w:rPr>
              <w:t>Data source</w:t>
            </w:r>
          </w:p>
        </w:tc>
        <w:tc>
          <w:tcPr>
            <w:tcW w:w="3776" w:type="dxa"/>
          </w:tcPr>
          <w:p w14:paraId="34AE7AC7" w14:textId="77777777" w:rsidR="00067458" w:rsidRPr="00DA3C6E" w:rsidRDefault="00067458" w:rsidP="0047278C">
            <w:pPr>
              <w:rPr>
                <w:rFonts w:ascii="Arial Narrow" w:hAnsi="Arial Narrow"/>
                <w:b/>
                <w:sz w:val="20"/>
              </w:rPr>
            </w:pPr>
            <w:r w:rsidRPr="00DA3C6E">
              <w:rPr>
                <w:rFonts w:ascii="Arial Narrow" w:hAnsi="Arial Narrow"/>
                <w:b/>
                <w:sz w:val="20"/>
              </w:rPr>
              <w:t>Assumption</w:t>
            </w:r>
          </w:p>
        </w:tc>
      </w:tr>
      <w:tr w:rsidR="00067458" w:rsidRPr="00DA3C6E" w14:paraId="325DCAC0" w14:textId="77777777" w:rsidTr="0047278C">
        <w:tc>
          <w:tcPr>
            <w:tcW w:w="3115" w:type="dxa"/>
            <w:vAlign w:val="center"/>
          </w:tcPr>
          <w:p w14:paraId="7E199ED6" w14:textId="77777777" w:rsidR="00067458" w:rsidRPr="00DA3C6E" w:rsidRDefault="00067458" w:rsidP="0047278C">
            <w:pPr>
              <w:rPr>
                <w:rFonts w:ascii="Arial Narrow" w:hAnsi="Arial Narrow"/>
                <w:sz w:val="20"/>
              </w:rPr>
            </w:pPr>
            <w:r w:rsidRPr="00DA3C6E">
              <w:rPr>
                <w:rFonts w:ascii="Arial Narrow" w:hAnsi="Arial Narrow"/>
                <w:sz w:val="20"/>
              </w:rPr>
              <w:t>MMN prevalent cases</w:t>
            </w:r>
          </w:p>
        </w:tc>
        <w:tc>
          <w:tcPr>
            <w:tcW w:w="2125" w:type="dxa"/>
            <w:vAlign w:val="center"/>
          </w:tcPr>
          <w:p w14:paraId="37EF7326" w14:textId="77777777" w:rsidR="00067458" w:rsidRPr="00DA3C6E" w:rsidRDefault="00067458" w:rsidP="0047278C">
            <w:pPr>
              <w:rPr>
                <w:rFonts w:ascii="Arial Narrow" w:hAnsi="Arial Narrow"/>
                <w:sz w:val="20"/>
              </w:rPr>
            </w:pPr>
            <w:r w:rsidRPr="00DA3C6E">
              <w:rPr>
                <w:rFonts w:ascii="Arial Narrow" w:hAnsi="Arial Narrow"/>
                <w:sz w:val="20"/>
              </w:rPr>
              <w:t>HTA Conditions Report 2018-2019, NBA</w:t>
            </w:r>
          </w:p>
        </w:tc>
        <w:tc>
          <w:tcPr>
            <w:tcW w:w="3776" w:type="dxa"/>
          </w:tcPr>
          <w:p w14:paraId="782158EF" w14:textId="77777777" w:rsidR="00067458" w:rsidRPr="00DA3C6E" w:rsidRDefault="00067458" w:rsidP="0047278C">
            <w:pPr>
              <w:rPr>
                <w:rFonts w:ascii="Arial Narrow" w:hAnsi="Arial Narrow"/>
                <w:sz w:val="20"/>
              </w:rPr>
            </w:pPr>
            <w:r w:rsidRPr="00DA3C6E">
              <w:rPr>
                <w:rFonts w:ascii="Arial Narrow" w:hAnsi="Arial Narrow"/>
                <w:sz w:val="20"/>
              </w:rPr>
              <w:t xml:space="preserve">5-year linear projection using data from 2013-2019. </w:t>
            </w:r>
          </w:p>
        </w:tc>
      </w:tr>
      <w:tr w:rsidR="00067458" w:rsidRPr="00DA3C6E" w14:paraId="6633384E" w14:textId="77777777" w:rsidTr="0047278C">
        <w:tc>
          <w:tcPr>
            <w:tcW w:w="3115" w:type="dxa"/>
            <w:vAlign w:val="center"/>
          </w:tcPr>
          <w:p w14:paraId="53380064" w14:textId="77777777" w:rsidR="00067458" w:rsidRPr="00DA3C6E" w:rsidRDefault="00067458" w:rsidP="0047278C">
            <w:pPr>
              <w:rPr>
                <w:rFonts w:ascii="Arial Narrow" w:hAnsi="Arial Narrow"/>
                <w:sz w:val="20"/>
              </w:rPr>
            </w:pPr>
            <w:r w:rsidRPr="00DA3C6E">
              <w:rPr>
                <w:rFonts w:ascii="Arial Narrow" w:hAnsi="Arial Narrow"/>
                <w:sz w:val="20"/>
              </w:rPr>
              <w:t>Average grams per patients</w:t>
            </w:r>
          </w:p>
        </w:tc>
        <w:tc>
          <w:tcPr>
            <w:tcW w:w="2125" w:type="dxa"/>
            <w:vAlign w:val="center"/>
          </w:tcPr>
          <w:p w14:paraId="2673D199" w14:textId="77777777" w:rsidR="00067458" w:rsidRPr="00DA3C6E" w:rsidRDefault="00067458" w:rsidP="0047278C">
            <w:pPr>
              <w:rPr>
                <w:rFonts w:ascii="Arial Narrow" w:hAnsi="Arial Narrow"/>
                <w:sz w:val="20"/>
              </w:rPr>
            </w:pPr>
            <w:r w:rsidRPr="00DA3C6E">
              <w:rPr>
                <w:rFonts w:ascii="Arial Narrow" w:hAnsi="Arial Narrow"/>
                <w:sz w:val="20"/>
              </w:rPr>
              <w:t>HTA Conditions Report 2018-2019, NBA</w:t>
            </w:r>
          </w:p>
        </w:tc>
        <w:tc>
          <w:tcPr>
            <w:tcW w:w="3776" w:type="dxa"/>
          </w:tcPr>
          <w:p w14:paraId="443CA92F" w14:textId="77777777" w:rsidR="00067458" w:rsidRPr="00DA3C6E" w:rsidRDefault="00067458" w:rsidP="0047278C">
            <w:pPr>
              <w:rPr>
                <w:rFonts w:ascii="Arial Narrow" w:hAnsi="Arial Narrow"/>
                <w:sz w:val="20"/>
              </w:rPr>
            </w:pPr>
            <w:r w:rsidRPr="00DA3C6E">
              <w:rPr>
                <w:rFonts w:ascii="Arial Narrow" w:hAnsi="Arial Narrow"/>
                <w:sz w:val="20"/>
              </w:rPr>
              <w:t xml:space="preserve">Assumed constant as per data from the period 2018-2019. Projecting usage was considered inappropriate because changes from The Criteria V3 will likely reduce the dose/frequency of administration.  </w:t>
            </w:r>
          </w:p>
        </w:tc>
      </w:tr>
      <w:tr w:rsidR="00067458" w:rsidRPr="00DA3C6E" w14:paraId="564EAF7E" w14:textId="77777777" w:rsidTr="0047278C">
        <w:tc>
          <w:tcPr>
            <w:tcW w:w="3115" w:type="dxa"/>
            <w:vAlign w:val="center"/>
          </w:tcPr>
          <w:p w14:paraId="5603E612" w14:textId="77777777" w:rsidR="00067458" w:rsidRPr="00DA3C6E" w:rsidRDefault="00067458" w:rsidP="0047278C">
            <w:pPr>
              <w:rPr>
                <w:rFonts w:ascii="Arial Narrow" w:hAnsi="Arial Narrow"/>
                <w:sz w:val="20"/>
              </w:rPr>
            </w:pPr>
            <w:r w:rsidRPr="00DA3C6E">
              <w:rPr>
                <w:rFonts w:ascii="Arial Narrow" w:hAnsi="Arial Narrow"/>
                <w:sz w:val="20"/>
              </w:rPr>
              <w:t>Cost per intravenous Ig gram</w:t>
            </w:r>
          </w:p>
        </w:tc>
        <w:tc>
          <w:tcPr>
            <w:tcW w:w="2125" w:type="dxa"/>
            <w:vAlign w:val="center"/>
          </w:tcPr>
          <w:p w14:paraId="6E9E234B" w14:textId="77777777" w:rsidR="00067458" w:rsidRPr="00DA3C6E" w:rsidRDefault="00067458" w:rsidP="0047278C">
            <w:pPr>
              <w:rPr>
                <w:rFonts w:ascii="Arial Narrow" w:hAnsi="Arial Narrow"/>
                <w:sz w:val="20"/>
              </w:rPr>
            </w:pPr>
            <w:r w:rsidRPr="00DA3C6E">
              <w:rPr>
                <w:rFonts w:ascii="Arial Narrow" w:hAnsi="Arial Narrow"/>
                <w:sz w:val="20"/>
              </w:rPr>
              <w:t xml:space="preserve">Provided by the </w:t>
            </w:r>
            <w:proofErr w:type="spellStart"/>
            <w:r w:rsidRPr="00DA3C6E">
              <w:rPr>
                <w:rFonts w:ascii="Arial Narrow" w:hAnsi="Arial Narrow"/>
                <w:sz w:val="20"/>
              </w:rPr>
              <w:t>DoH</w:t>
            </w:r>
            <w:proofErr w:type="spellEnd"/>
            <w:r w:rsidRPr="00DA3C6E">
              <w:rPr>
                <w:rFonts w:ascii="Arial Narrow" w:hAnsi="Arial Narrow"/>
                <w:sz w:val="20"/>
              </w:rPr>
              <w:t xml:space="preserve">. </w:t>
            </w:r>
          </w:p>
        </w:tc>
        <w:tc>
          <w:tcPr>
            <w:tcW w:w="3776" w:type="dxa"/>
            <w:vAlign w:val="center"/>
          </w:tcPr>
          <w:p w14:paraId="43BCDD85" w14:textId="77777777" w:rsidR="00067458" w:rsidRPr="00DA3C6E" w:rsidRDefault="00067458" w:rsidP="0047278C">
            <w:pPr>
              <w:rPr>
                <w:rFonts w:ascii="Arial Narrow" w:hAnsi="Arial Narrow"/>
                <w:sz w:val="20"/>
              </w:rPr>
            </w:pPr>
            <w:r w:rsidRPr="00DA3C6E">
              <w:rPr>
                <w:rFonts w:ascii="Arial Narrow" w:hAnsi="Arial Narrow"/>
                <w:sz w:val="20"/>
              </w:rPr>
              <w:t xml:space="preserve">Base case price corresponds to domestic price not including plasma fractioning. </w:t>
            </w:r>
          </w:p>
          <w:p w14:paraId="3F8B1919" w14:textId="77777777" w:rsidR="00067458" w:rsidRPr="00DA3C6E" w:rsidRDefault="00067458" w:rsidP="0047278C">
            <w:pPr>
              <w:rPr>
                <w:rFonts w:ascii="Arial Narrow" w:hAnsi="Arial Narrow"/>
                <w:sz w:val="20"/>
              </w:rPr>
            </w:pPr>
            <w:r w:rsidRPr="00DA3C6E">
              <w:rPr>
                <w:rFonts w:ascii="Arial Narrow" w:hAnsi="Arial Narrow"/>
                <w:sz w:val="20"/>
              </w:rPr>
              <w:t xml:space="preserve">SA will be conducted assuming imported price and domestic price including plasma fractioning. </w:t>
            </w:r>
          </w:p>
        </w:tc>
      </w:tr>
      <w:tr w:rsidR="00067458" w:rsidRPr="00DA3C6E" w14:paraId="1D3BEB1F" w14:textId="77777777" w:rsidTr="0047278C">
        <w:tc>
          <w:tcPr>
            <w:tcW w:w="3115" w:type="dxa"/>
            <w:vAlign w:val="center"/>
          </w:tcPr>
          <w:p w14:paraId="23AF65B1" w14:textId="77777777" w:rsidR="00067458" w:rsidRPr="00DA3C6E" w:rsidRDefault="00067458" w:rsidP="0047278C">
            <w:pPr>
              <w:rPr>
                <w:rFonts w:ascii="Arial Narrow" w:hAnsi="Arial Narrow"/>
                <w:sz w:val="20"/>
              </w:rPr>
            </w:pPr>
            <w:r w:rsidRPr="00DA3C6E">
              <w:rPr>
                <w:rFonts w:ascii="Arial Narrow" w:hAnsi="Arial Narrow"/>
                <w:sz w:val="20"/>
              </w:rPr>
              <w:t>Number of episodes per year</w:t>
            </w:r>
          </w:p>
        </w:tc>
        <w:tc>
          <w:tcPr>
            <w:tcW w:w="2125" w:type="dxa"/>
            <w:vAlign w:val="center"/>
          </w:tcPr>
          <w:p w14:paraId="1ADD06E1" w14:textId="77777777" w:rsidR="00067458" w:rsidRPr="00DA3C6E" w:rsidRDefault="00067458" w:rsidP="0047278C">
            <w:pPr>
              <w:rPr>
                <w:rFonts w:ascii="Arial Narrow" w:hAnsi="Arial Narrow"/>
                <w:sz w:val="20"/>
              </w:rPr>
            </w:pPr>
            <w:r w:rsidRPr="00DA3C6E">
              <w:rPr>
                <w:rFonts w:ascii="Arial Narrow" w:hAnsi="Arial Narrow"/>
                <w:sz w:val="20"/>
              </w:rPr>
              <w:t>HTA Conditions Report 2018-2019, NBA</w:t>
            </w:r>
            <w:r w:rsidRPr="00DA3C6E" w:rsidDel="00D01BF8">
              <w:rPr>
                <w:rFonts w:ascii="Arial Narrow" w:hAnsi="Arial Narrow"/>
                <w:sz w:val="20"/>
              </w:rPr>
              <w:t xml:space="preserve"> </w:t>
            </w:r>
          </w:p>
        </w:tc>
        <w:tc>
          <w:tcPr>
            <w:tcW w:w="3776" w:type="dxa"/>
          </w:tcPr>
          <w:p w14:paraId="2C5D9578" w14:textId="77777777" w:rsidR="00067458" w:rsidRPr="00DA3C6E" w:rsidRDefault="00067458" w:rsidP="0047278C">
            <w:pPr>
              <w:rPr>
                <w:rFonts w:ascii="Arial Narrow" w:hAnsi="Arial Narrow"/>
                <w:sz w:val="20"/>
              </w:rPr>
            </w:pPr>
            <w:r w:rsidRPr="00DA3C6E">
              <w:rPr>
                <w:rFonts w:ascii="Arial Narrow" w:hAnsi="Arial Narrow"/>
                <w:sz w:val="20"/>
              </w:rPr>
              <w:t xml:space="preserve">Average number of episodes as per the periods 2017-2018 and 2018-2019 was used and </w:t>
            </w:r>
            <w:r>
              <w:rPr>
                <w:rFonts w:ascii="Arial Narrow" w:hAnsi="Arial Narrow"/>
                <w:sz w:val="20"/>
              </w:rPr>
              <w:t>(</w:t>
            </w:r>
            <w:r w:rsidRPr="00DA3C6E">
              <w:rPr>
                <w:rFonts w:ascii="Arial Narrow" w:hAnsi="Arial Narrow"/>
                <w:sz w:val="20"/>
              </w:rPr>
              <w:t xml:space="preserve">kept constant. </w:t>
            </w:r>
          </w:p>
        </w:tc>
      </w:tr>
      <w:tr w:rsidR="00067458" w:rsidRPr="00DA3C6E" w14:paraId="22F01F9A" w14:textId="77777777" w:rsidTr="0047278C">
        <w:tc>
          <w:tcPr>
            <w:tcW w:w="3115" w:type="dxa"/>
            <w:vAlign w:val="center"/>
          </w:tcPr>
          <w:p w14:paraId="1EB7C587" w14:textId="77777777" w:rsidR="00067458" w:rsidRPr="00DA3C6E" w:rsidRDefault="00067458" w:rsidP="0047278C">
            <w:pPr>
              <w:rPr>
                <w:rFonts w:ascii="Arial Narrow" w:hAnsi="Arial Narrow"/>
                <w:sz w:val="20"/>
              </w:rPr>
            </w:pPr>
            <w:r w:rsidRPr="00DA3C6E">
              <w:rPr>
                <w:rFonts w:ascii="Arial Narrow" w:hAnsi="Arial Narrow"/>
                <w:sz w:val="20"/>
              </w:rPr>
              <w:t>Intravenous Ig administration costs</w:t>
            </w:r>
          </w:p>
        </w:tc>
        <w:tc>
          <w:tcPr>
            <w:tcW w:w="2125" w:type="dxa"/>
            <w:vAlign w:val="center"/>
          </w:tcPr>
          <w:p w14:paraId="0B21878A" w14:textId="77777777" w:rsidR="00067458" w:rsidRPr="00DA3C6E" w:rsidRDefault="00067458" w:rsidP="0047278C">
            <w:pPr>
              <w:rPr>
                <w:rFonts w:ascii="Arial Narrow" w:hAnsi="Arial Narrow"/>
                <w:sz w:val="20"/>
              </w:rPr>
            </w:pPr>
            <w:r w:rsidRPr="00DA3C6E">
              <w:rPr>
                <w:rFonts w:ascii="Arial Narrow" w:hAnsi="Arial Narrow"/>
                <w:sz w:val="20"/>
              </w:rPr>
              <w:t>MBS (Section D)</w:t>
            </w:r>
          </w:p>
        </w:tc>
        <w:tc>
          <w:tcPr>
            <w:tcW w:w="3776" w:type="dxa"/>
          </w:tcPr>
          <w:p w14:paraId="20597527" w14:textId="77777777" w:rsidR="00067458" w:rsidRPr="00DA3C6E" w:rsidRDefault="00067458" w:rsidP="0047278C">
            <w:pPr>
              <w:rPr>
                <w:rFonts w:ascii="Arial Narrow" w:hAnsi="Arial Narrow"/>
                <w:sz w:val="20"/>
              </w:rPr>
            </w:pPr>
            <w:r w:rsidRPr="00DA3C6E">
              <w:rPr>
                <w:rFonts w:ascii="Arial Narrow" w:hAnsi="Arial Narrow"/>
                <w:sz w:val="20"/>
              </w:rPr>
              <w:t>Intravenous Ig administered in hospital (private and public) with a set of pathology tests before each episode.</w:t>
            </w:r>
          </w:p>
        </w:tc>
      </w:tr>
      <w:tr w:rsidR="00067458" w:rsidRPr="00DA3C6E" w14:paraId="277F9C81" w14:textId="77777777" w:rsidTr="0047278C">
        <w:tc>
          <w:tcPr>
            <w:tcW w:w="3115" w:type="dxa"/>
            <w:vAlign w:val="center"/>
          </w:tcPr>
          <w:p w14:paraId="70F926E4" w14:textId="77777777" w:rsidR="00067458" w:rsidRPr="00DA3C6E" w:rsidRDefault="00067458" w:rsidP="0047278C">
            <w:pPr>
              <w:rPr>
                <w:rFonts w:ascii="Arial Narrow" w:hAnsi="Arial Narrow"/>
                <w:sz w:val="20"/>
              </w:rPr>
            </w:pPr>
            <w:r w:rsidRPr="00DA3C6E">
              <w:rPr>
                <w:rFonts w:ascii="Arial Narrow" w:hAnsi="Arial Narrow"/>
                <w:sz w:val="20"/>
              </w:rPr>
              <w:t xml:space="preserve">Prophylactic </w:t>
            </w:r>
            <w:proofErr w:type="spellStart"/>
            <w:r w:rsidRPr="00DA3C6E">
              <w:rPr>
                <w:rFonts w:ascii="Arial Narrow" w:hAnsi="Arial Narrow"/>
                <w:sz w:val="20"/>
              </w:rPr>
              <w:t>medications</w:t>
            </w:r>
            <w:r w:rsidRPr="00DA3C6E">
              <w:rPr>
                <w:rFonts w:ascii="Arial Narrow" w:hAnsi="Arial Narrow"/>
                <w:sz w:val="20"/>
                <w:vertAlign w:val="superscript"/>
              </w:rPr>
              <w:t>a</w:t>
            </w:r>
            <w:proofErr w:type="spellEnd"/>
            <w:r w:rsidRPr="00DA3C6E">
              <w:rPr>
                <w:rFonts w:ascii="Arial Narrow" w:hAnsi="Arial Narrow"/>
                <w:sz w:val="20"/>
              </w:rPr>
              <w:t xml:space="preserve"> (antihistamine for infusion reactions)</w:t>
            </w:r>
          </w:p>
        </w:tc>
        <w:tc>
          <w:tcPr>
            <w:tcW w:w="2125" w:type="dxa"/>
            <w:vAlign w:val="center"/>
          </w:tcPr>
          <w:p w14:paraId="2155F1C4" w14:textId="77777777" w:rsidR="00067458" w:rsidRPr="00DA3C6E" w:rsidRDefault="00067458" w:rsidP="0047278C">
            <w:pPr>
              <w:rPr>
                <w:rFonts w:ascii="Arial Narrow" w:hAnsi="Arial Narrow"/>
                <w:sz w:val="20"/>
              </w:rPr>
            </w:pPr>
            <w:r w:rsidRPr="00DA3C6E">
              <w:rPr>
                <w:rFonts w:ascii="Arial Narrow" w:hAnsi="Arial Narrow"/>
                <w:sz w:val="20"/>
              </w:rPr>
              <w:t>Assumption, PBS (Section D)</w:t>
            </w:r>
          </w:p>
        </w:tc>
        <w:tc>
          <w:tcPr>
            <w:tcW w:w="3776" w:type="dxa"/>
          </w:tcPr>
          <w:p w14:paraId="7928A645" w14:textId="77777777" w:rsidR="00067458" w:rsidRPr="00DA3C6E" w:rsidRDefault="00067458" w:rsidP="0047278C">
            <w:pPr>
              <w:rPr>
                <w:rFonts w:ascii="Arial Narrow" w:hAnsi="Arial Narrow"/>
                <w:sz w:val="20"/>
              </w:rPr>
            </w:pPr>
            <w:r w:rsidRPr="00DA3C6E">
              <w:rPr>
                <w:rFonts w:ascii="Arial Narrow" w:hAnsi="Arial Narrow"/>
                <w:sz w:val="20"/>
              </w:rPr>
              <w:t>Prophylactic medication administered before each episode to all patients assuming in-hospital use of promethazine 50 mg/2 mL injection.</w:t>
            </w:r>
          </w:p>
        </w:tc>
      </w:tr>
      <w:tr w:rsidR="00067458" w:rsidRPr="00DA3C6E" w14:paraId="7D3F3142" w14:textId="77777777" w:rsidTr="0047278C">
        <w:tc>
          <w:tcPr>
            <w:tcW w:w="3115" w:type="dxa"/>
            <w:vAlign w:val="center"/>
          </w:tcPr>
          <w:p w14:paraId="65A3C904" w14:textId="77777777" w:rsidR="00067458" w:rsidRPr="00DA3C6E" w:rsidRDefault="00067458" w:rsidP="0047278C">
            <w:pPr>
              <w:rPr>
                <w:rFonts w:ascii="Arial Narrow" w:hAnsi="Arial Narrow"/>
                <w:sz w:val="20"/>
              </w:rPr>
            </w:pPr>
            <w:r w:rsidRPr="00DA3C6E">
              <w:rPr>
                <w:rFonts w:ascii="Arial Narrow" w:hAnsi="Arial Narrow"/>
                <w:sz w:val="20"/>
              </w:rPr>
              <w:t>Follow-up costs</w:t>
            </w:r>
          </w:p>
        </w:tc>
        <w:tc>
          <w:tcPr>
            <w:tcW w:w="2125" w:type="dxa"/>
            <w:vAlign w:val="center"/>
          </w:tcPr>
          <w:p w14:paraId="57639B95" w14:textId="77777777" w:rsidR="00067458" w:rsidRPr="00DA3C6E" w:rsidRDefault="00067458" w:rsidP="0047278C">
            <w:pPr>
              <w:rPr>
                <w:rFonts w:ascii="Arial Narrow" w:hAnsi="Arial Narrow"/>
                <w:sz w:val="20"/>
              </w:rPr>
            </w:pPr>
            <w:r w:rsidRPr="00DA3C6E">
              <w:rPr>
                <w:rFonts w:ascii="Arial Narrow" w:hAnsi="Arial Narrow"/>
                <w:sz w:val="20"/>
              </w:rPr>
              <w:t>The criteria V3, EFNS/PNS guideline, MBS (Section D)</w:t>
            </w:r>
          </w:p>
        </w:tc>
        <w:tc>
          <w:tcPr>
            <w:tcW w:w="3776" w:type="dxa"/>
            <w:vAlign w:val="center"/>
          </w:tcPr>
          <w:p w14:paraId="23548A02" w14:textId="77777777" w:rsidR="00067458" w:rsidRPr="00DA3C6E" w:rsidRDefault="00067458" w:rsidP="0047278C">
            <w:pPr>
              <w:rPr>
                <w:rFonts w:ascii="Arial Narrow" w:hAnsi="Arial Narrow"/>
                <w:sz w:val="20"/>
              </w:rPr>
            </w:pPr>
            <w:r w:rsidRPr="00DA3C6E">
              <w:rPr>
                <w:rFonts w:ascii="Arial Narrow" w:hAnsi="Arial Narrow"/>
                <w:sz w:val="20"/>
              </w:rPr>
              <w:t xml:space="preserve">2 follow-up visits per year with pathology tests and associated imaging. </w:t>
            </w:r>
          </w:p>
        </w:tc>
      </w:tr>
      <w:tr w:rsidR="00067458" w:rsidRPr="00DA3C6E" w14:paraId="2AB48A15" w14:textId="77777777" w:rsidTr="0047278C">
        <w:tc>
          <w:tcPr>
            <w:tcW w:w="3115" w:type="dxa"/>
            <w:vAlign w:val="center"/>
          </w:tcPr>
          <w:p w14:paraId="7C51BC91" w14:textId="77777777" w:rsidR="00067458" w:rsidRPr="00DA3C6E" w:rsidRDefault="00067458" w:rsidP="0047278C">
            <w:pPr>
              <w:rPr>
                <w:rFonts w:ascii="Arial Narrow" w:hAnsi="Arial Narrow"/>
                <w:sz w:val="20"/>
              </w:rPr>
            </w:pPr>
            <w:r w:rsidRPr="00DA3C6E">
              <w:rPr>
                <w:rFonts w:ascii="Arial Narrow" w:hAnsi="Arial Narrow"/>
                <w:sz w:val="20"/>
              </w:rPr>
              <w:t>Adverse events (incidence, costing source)</w:t>
            </w:r>
          </w:p>
        </w:tc>
        <w:tc>
          <w:tcPr>
            <w:tcW w:w="2125" w:type="dxa"/>
            <w:vAlign w:val="center"/>
          </w:tcPr>
          <w:p w14:paraId="66BBEFCC" w14:textId="77777777" w:rsidR="00067458" w:rsidRPr="00DA3C6E" w:rsidRDefault="00067458" w:rsidP="0047278C">
            <w:pPr>
              <w:rPr>
                <w:rFonts w:ascii="Arial Narrow" w:hAnsi="Arial Narrow"/>
                <w:sz w:val="20"/>
              </w:rPr>
            </w:pPr>
            <w:r w:rsidRPr="00DA3C6E">
              <w:rPr>
                <w:rFonts w:ascii="Arial Narrow" w:hAnsi="Arial Narrow"/>
                <w:sz w:val="20"/>
              </w:rPr>
              <w:t>Hahn et al. 2013</w:t>
            </w:r>
            <w:r w:rsidRPr="00DA3C6E">
              <w:rPr>
                <w:rFonts w:ascii="Arial Narrow" w:hAnsi="Arial Narrow"/>
                <w:sz w:val="20"/>
              </w:rPr>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rPr>
                <w:rFonts w:ascii="Arial Narrow" w:hAnsi="Arial Narrow"/>
                <w:sz w:val="20"/>
              </w:rPr>
              <w:instrText xml:space="preserve"> ADDIN EN.CITE </w:instrText>
            </w:r>
            <w:r w:rsidRPr="00DA3C6E">
              <w:rPr>
                <w:rFonts w:ascii="Arial Narrow" w:hAnsi="Arial Narrow"/>
                <w:sz w:val="20"/>
              </w:rPr>
              <w:fldChar w:fldCharType="begin">
                <w:fldData xml:space="preserve">PEVuZE5vdGU+PENpdGU+PEF1dGhvcj5IYWhuPC9BdXRob3I+PFllYXI+MjAxMzwvWWVhcj48UmVj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</w:fldData>
              </w:fldChar>
            </w:r>
            <w:r w:rsidRPr="00DA3C6E">
              <w:rPr>
                <w:rFonts w:ascii="Arial Narrow" w:hAnsi="Arial Narrow"/>
                <w:sz w:val="20"/>
              </w:rPr>
              <w:instrText xml:space="preserve"> ADDIN EN.CITE.DATA </w:instrText>
            </w:r>
            <w:r w:rsidRPr="00DA3C6E">
              <w:rPr>
                <w:rFonts w:ascii="Arial Narrow" w:hAnsi="Arial Narrow"/>
                <w:sz w:val="20"/>
              </w:rPr>
            </w:r>
            <w:r w:rsidRPr="00DA3C6E">
              <w:rPr>
                <w:rFonts w:ascii="Arial Narrow" w:hAnsi="Arial Narrow"/>
                <w:sz w:val="20"/>
              </w:rPr>
              <w:fldChar w:fldCharType="end"/>
            </w:r>
            <w:r w:rsidRPr="00DA3C6E">
              <w:rPr>
                <w:rFonts w:ascii="Arial Narrow" w:hAnsi="Arial Narrow"/>
                <w:sz w:val="20"/>
              </w:rPr>
            </w:r>
            <w:r w:rsidRPr="00DA3C6E">
              <w:rPr>
                <w:rFonts w:ascii="Arial Narrow" w:hAnsi="Arial Narrow"/>
                <w:sz w:val="20"/>
              </w:rPr>
              <w:fldChar w:fldCharType="separate"/>
            </w:r>
            <w:r w:rsidRPr="00DA3C6E">
              <w:rPr>
                <w:rFonts w:ascii="Arial Narrow" w:hAnsi="Arial Narrow"/>
                <w:noProof/>
                <w:sz w:val="20"/>
              </w:rPr>
              <w:t>(</w:t>
            </w:r>
            <w:hyperlink w:anchor="_ENREF_28" w:tooltip="Hahn, 2013 #26" w:history="1">
              <w:r w:rsidRPr="00DA3C6E">
                <w:rPr>
                  <w:rFonts w:ascii="Arial Narrow" w:hAnsi="Arial Narrow"/>
                  <w:noProof/>
                  <w:sz w:val="20"/>
                </w:rPr>
                <w:t>28</w:t>
              </w:r>
            </w:hyperlink>
            <w:r w:rsidRPr="00DA3C6E">
              <w:rPr>
                <w:rFonts w:ascii="Arial Narrow" w:hAnsi="Arial Narrow"/>
                <w:noProof/>
                <w:sz w:val="20"/>
              </w:rPr>
              <w:t>)</w:t>
            </w:r>
            <w:r w:rsidRPr="00DA3C6E">
              <w:rPr>
                <w:rFonts w:ascii="Arial Narrow" w:hAnsi="Arial Narrow"/>
                <w:sz w:val="20"/>
              </w:rPr>
              <w:fldChar w:fldCharType="end"/>
            </w:r>
            <w:r w:rsidRPr="00DA3C6E">
              <w:rPr>
                <w:rFonts w:ascii="Arial Narrow" w:hAnsi="Arial Narrow"/>
                <w:sz w:val="20"/>
              </w:rPr>
              <w:t xml:space="preserve"> &amp; AR-DRG (Section D)</w:t>
            </w:r>
          </w:p>
        </w:tc>
        <w:tc>
          <w:tcPr>
            <w:tcW w:w="3776" w:type="dxa"/>
          </w:tcPr>
          <w:p w14:paraId="52EB5F51" w14:textId="77777777" w:rsidR="00067458" w:rsidRPr="00DA3C6E" w:rsidRDefault="00067458" w:rsidP="0047278C">
            <w:pPr>
              <w:rPr>
                <w:rFonts w:ascii="Arial Narrow" w:hAnsi="Arial Narrow"/>
                <w:sz w:val="20"/>
              </w:rPr>
            </w:pPr>
            <w:r w:rsidRPr="00DA3C6E">
              <w:rPr>
                <w:rFonts w:ascii="Arial Narrow" w:hAnsi="Arial Narrow"/>
                <w:sz w:val="20"/>
              </w:rPr>
              <w:t xml:space="preserve">The occurrence of PE was the only SAE considered. </w:t>
            </w:r>
          </w:p>
        </w:tc>
      </w:tr>
    </w:tbl>
    <w:p w14:paraId="6B22116E" w14:textId="3DDDB35E" w:rsidR="00067458" w:rsidRDefault="00067458" w:rsidP="00067458">
      <w:pPr>
        <w:rPr>
          <w:rFonts w:ascii="Arial Narrow" w:hAnsi="Arial Narrow"/>
          <w:sz w:val="18"/>
          <w:szCs w:val="18"/>
        </w:rPr>
      </w:pPr>
      <w:r w:rsidRPr="00B817D5">
        <w:rPr>
          <w:rFonts w:ascii="Arial Narrow" w:hAnsi="Arial Narrow"/>
          <w:b/>
          <w:sz w:val="18"/>
          <w:szCs w:val="18"/>
        </w:rPr>
        <w:t>Source</w:t>
      </w:r>
      <w:r>
        <w:rPr>
          <w:rFonts w:ascii="Arial Narrow" w:hAnsi="Arial Narrow"/>
          <w:sz w:val="18"/>
          <w:szCs w:val="18"/>
        </w:rPr>
        <w:t xml:space="preserve">: </w:t>
      </w:r>
      <w:r w:rsidR="000A12A3">
        <w:rPr>
          <w:rFonts w:ascii="Arial Narrow" w:hAnsi="Arial Narrow"/>
          <w:sz w:val="18"/>
          <w:szCs w:val="18"/>
        </w:rPr>
        <w:t>1590 DCAR</w:t>
      </w:r>
      <w:r>
        <w:rPr>
          <w:rFonts w:ascii="Arial Narrow" w:hAnsi="Arial Narrow"/>
          <w:sz w:val="18"/>
          <w:szCs w:val="18"/>
        </w:rPr>
        <w:t>, Table 35</w:t>
      </w:r>
    </w:p>
    <w:p w14:paraId="1503A5F2" w14:textId="77777777" w:rsidR="00067458" w:rsidRPr="00DA3C6E" w:rsidRDefault="00067458" w:rsidP="00067458">
      <w:pPr>
        <w:rPr>
          <w:rFonts w:ascii="Arial Narrow" w:hAnsi="Arial Narrow"/>
          <w:sz w:val="18"/>
          <w:szCs w:val="18"/>
        </w:rPr>
      </w:pPr>
      <w:r w:rsidRPr="00DA3C6E">
        <w:rPr>
          <w:rFonts w:ascii="Arial Narrow" w:hAnsi="Arial Narrow"/>
          <w:sz w:val="18"/>
          <w:szCs w:val="18"/>
        </w:rPr>
        <w:t xml:space="preserve">Abbreviations: </w:t>
      </w:r>
      <w:proofErr w:type="spellStart"/>
      <w:r w:rsidRPr="00DA3C6E">
        <w:rPr>
          <w:rFonts w:ascii="Arial Narrow" w:hAnsi="Arial Narrow"/>
          <w:sz w:val="18"/>
          <w:szCs w:val="18"/>
        </w:rPr>
        <w:t>DoH</w:t>
      </w:r>
      <w:proofErr w:type="spellEnd"/>
      <w:r w:rsidRPr="00DA3C6E">
        <w:rPr>
          <w:rFonts w:ascii="Arial Narrow" w:hAnsi="Arial Narrow"/>
          <w:sz w:val="18"/>
          <w:szCs w:val="18"/>
        </w:rPr>
        <w:t xml:space="preserve"> = Department of Health; </w:t>
      </w:r>
      <w:r w:rsidRPr="00DA3C6E">
        <w:rPr>
          <w:rFonts w:ascii="Arial Narrow" w:eastAsia="Calibri" w:hAnsi="Arial Narrow"/>
          <w:sz w:val="18"/>
          <w:lang w:eastAsia="en-US"/>
        </w:rPr>
        <w:t>EFNS/PNS = European federation of neurological societies/Peripheral nerve society</w:t>
      </w:r>
      <w:r w:rsidRPr="00DA3C6E">
        <w:rPr>
          <w:rFonts w:ascii="Arial Narrow" w:hAnsi="Arial Narrow"/>
          <w:sz w:val="18"/>
          <w:szCs w:val="18"/>
        </w:rPr>
        <w:t>; Ig = immunoglobulin; MBS = Medicare Benefits Schedule; NBA = National Blood Authority; PBS = Pharmaceutical Benefit Schedule; PE = pulmonary embolism; SAE = serious adverse event.</w:t>
      </w:r>
    </w:p>
    <w:p w14:paraId="0C1A978E" w14:textId="502C8F1C" w:rsidR="00067458" w:rsidRPr="00B7509C" w:rsidRDefault="00067458" w:rsidP="00B7509C">
      <w:pPr>
        <w:rPr>
          <w:rFonts w:ascii="Arial Narrow" w:hAnsi="Arial Narrow"/>
          <w:sz w:val="18"/>
          <w:szCs w:val="18"/>
        </w:rPr>
      </w:pPr>
      <w:r w:rsidRPr="00DA3C6E">
        <w:rPr>
          <w:rFonts w:ascii="Arial Narrow" w:hAnsi="Arial Narrow"/>
          <w:sz w:val="18"/>
          <w:szCs w:val="18"/>
        </w:rPr>
        <w:t xml:space="preserve">Note: </w:t>
      </w:r>
      <w:proofErr w:type="spellStart"/>
      <w:r w:rsidRPr="00DA3C6E">
        <w:rPr>
          <w:rFonts w:ascii="Arial Narrow" w:hAnsi="Arial Narrow"/>
          <w:sz w:val="18"/>
          <w:szCs w:val="18"/>
          <w:vertAlign w:val="superscript"/>
        </w:rPr>
        <w:t>a</w:t>
      </w:r>
      <w:r w:rsidRPr="00DA3C6E">
        <w:rPr>
          <w:rFonts w:ascii="Arial Narrow" w:hAnsi="Arial Narrow"/>
          <w:sz w:val="18"/>
          <w:szCs w:val="18"/>
        </w:rPr>
        <w:t>It</w:t>
      </w:r>
      <w:proofErr w:type="spellEnd"/>
      <w:r w:rsidRPr="00DA3C6E">
        <w:rPr>
          <w:rFonts w:ascii="Arial Narrow" w:hAnsi="Arial Narrow"/>
          <w:sz w:val="18"/>
          <w:szCs w:val="18"/>
        </w:rPr>
        <w:t xml:space="preserve"> was assumed that all patients received a prophylactic dose of antihistamines (promethazine)</w:t>
      </w:r>
      <w:r w:rsidRPr="00DA3C6E">
        <w:rPr>
          <w:rFonts w:ascii="Arial Narrow" w:hAnsi="Arial Narrow"/>
          <w:sz w:val="20"/>
        </w:rPr>
        <w:t xml:space="preserve"> </w:t>
      </w:r>
      <w:r w:rsidRPr="00DA3C6E">
        <w:rPr>
          <w:rFonts w:ascii="Arial Narrow" w:hAnsi="Arial Narrow"/>
          <w:sz w:val="18"/>
          <w:szCs w:val="18"/>
        </w:rPr>
        <w:t>before receiving their correspo</w:t>
      </w:r>
      <w:r w:rsidR="00B7509C">
        <w:rPr>
          <w:rFonts w:ascii="Arial Narrow" w:hAnsi="Arial Narrow"/>
          <w:sz w:val="18"/>
          <w:szCs w:val="18"/>
        </w:rPr>
        <w:t xml:space="preserve">nding intravenous Ig infusion. </w:t>
      </w:r>
    </w:p>
    <w:p w14:paraId="6EE242FE" w14:textId="696308D0" w:rsidR="000957C2" w:rsidRPr="00B7509C" w:rsidRDefault="00067458" w:rsidP="00B7509C">
      <w:pPr>
        <w:tabs>
          <w:tab w:val="left" w:pos="720"/>
          <w:tab w:val="left" w:pos="1140"/>
        </w:tabs>
        <w:spacing w:before="240"/>
        <w:rPr>
          <w:color w:val="0066FF"/>
          <w:szCs w:val="24"/>
        </w:rPr>
      </w:pPr>
      <w:r w:rsidRPr="006D5565">
        <w:t xml:space="preserve">The net financial implications for the government budget associated with the funding of intravenous Ig for the treatment </w:t>
      </w:r>
      <w:r>
        <w:t>of MMN are presented below.</w:t>
      </w:r>
      <w:r w:rsidRPr="00DA3C6E">
        <w:t xml:space="preserve"> Overall, the net reduction in government costs of ceasing supply of intravenous Ig for the treatment of MMN would </w:t>
      </w:r>
      <w:r>
        <w:t xml:space="preserve">be </w:t>
      </w:r>
      <w:r w:rsidRPr="00DA3C6E">
        <w:t>$170,906,578</w:t>
      </w:r>
      <w:r>
        <w:t xml:space="preserve"> over 5 years to 2024</w:t>
      </w:r>
      <w:r w:rsidRPr="00DA3C6E">
        <w:t>.</w:t>
      </w:r>
      <w:bookmarkStart w:id="45" w:name="_Ref29901951"/>
      <w:bookmarkStart w:id="46" w:name="_Toc37845849"/>
      <w:r w:rsidR="000957C2">
        <w:br w:type="page"/>
      </w:r>
    </w:p>
    <w:p w14:paraId="7D592BE8" w14:textId="63B6E8FC" w:rsidR="00067458" w:rsidRPr="009027FE" w:rsidRDefault="000957C2" w:rsidP="009027FE">
      <w:pPr>
        <w:rPr>
          <w:rFonts w:ascii="Arial Narrow" w:hAnsi="Arial Narrow"/>
          <w:b/>
          <w:sz w:val="20"/>
        </w:rPr>
      </w:pPr>
      <w:r w:rsidRPr="009027FE">
        <w:rPr>
          <w:rFonts w:ascii="Arial Narrow" w:hAnsi="Arial Narrow"/>
          <w:b/>
          <w:sz w:val="20"/>
        </w:rPr>
        <w:lastRenderedPageBreak/>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10</w:t>
      </w:r>
      <w:r w:rsidR="003F56BF" w:rsidRPr="009027FE">
        <w:rPr>
          <w:rFonts w:ascii="Arial Narrow" w:hAnsi="Arial Narrow"/>
          <w:b/>
          <w:sz w:val="20"/>
        </w:rPr>
        <w:fldChar w:fldCharType="end"/>
      </w:r>
      <w:bookmarkEnd w:id="45"/>
      <w:r w:rsidRPr="009027FE">
        <w:rPr>
          <w:rFonts w:ascii="Arial Narrow" w:hAnsi="Arial Narrow"/>
          <w:b/>
          <w:sz w:val="20"/>
        </w:rPr>
        <w:t>:</w:t>
      </w:r>
      <w:r w:rsidR="00067458" w:rsidRPr="009027FE">
        <w:rPr>
          <w:rFonts w:ascii="Arial Narrow" w:hAnsi="Arial Narrow"/>
          <w:b/>
          <w:sz w:val="20"/>
        </w:rPr>
        <w:t xml:space="preserve"> Net financial implications to government associated with the use of intravenous Ig for the treatment of MMN</w:t>
      </w:r>
      <w:bookmarkEnd w:id="46"/>
      <w:r w:rsidR="00067458" w:rsidRPr="009027FE">
        <w:rPr>
          <w:rFonts w:ascii="Arial Narrow" w:hAnsi="Arial Narrow"/>
          <w:b/>
          <w:sz w:val="20"/>
        </w:rPr>
        <w:t xml:space="preserve"> </w:t>
      </w:r>
    </w:p>
    <w:tbl>
      <w:tblPr>
        <w:tblStyle w:val="TableGrid"/>
        <w:tblW w:w="9488" w:type="dxa"/>
        <w:tblLayout w:type="fixed"/>
        <w:tblLook w:val="04A0" w:firstRow="1" w:lastRow="0" w:firstColumn="1" w:lastColumn="0" w:noHBand="0" w:noVBand="1"/>
        <w:tblCaption w:val="Table 46. Net financial implications to government associated with the use of intravenous Ig for the treatment of MMN "/>
      </w:tblPr>
      <w:tblGrid>
        <w:gridCol w:w="591"/>
        <w:gridCol w:w="1492"/>
        <w:gridCol w:w="1193"/>
        <w:gridCol w:w="1342"/>
        <w:gridCol w:w="1193"/>
        <w:gridCol w:w="1193"/>
        <w:gridCol w:w="1193"/>
        <w:gridCol w:w="1291"/>
      </w:tblGrid>
      <w:tr w:rsidR="00067458" w:rsidRPr="00D56F4F" w14:paraId="14C5E891" w14:textId="77777777" w:rsidTr="0047278C">
        <w:trPr>
          <w:trHeight w:val="101"/>
          <w:tblHeader/>
        </w:trPr>
        <w:tc>
          <w:tcPr>
            <w:tcW w:w="591" w:type="dxa"/>
          </w:tcPr>
          <w:p w14:paraId="60F666B4" w14:textId="77777777" w:rsidR="00067458" w:rsidRPr="00D56F4F" w:rsidRDefault="00067458" w:rsidP="0047278C">
            <w:pPr>
              <w:rPr>
                <w:rFonts w:ascii="Arial Narrow" w:hAnsi="Arial Narrow"/>
                <w:b/>
                <w:sz w:val="20"/>
              </w:rPr>
            </w:pPr>
          </w:p>
        </w:tc>
        <w:tc>
          <w:tcPr>
            <w:tcW w:w="1492" w:type="dxa"/>
            <w:noWrap/>
            <w:vAlign w:val="center"/>
          </w:tcPr>
          <w:p w14:paraId="67CEF84E" w14:textId="77777777" w:rsidR="00067458" w:rsidRPr="00D56F4F" w:rsidRDefault="00067458" w:rsidP="0047278C">
            <w:pPr>
              <w:rPr>
                <w:rFonts w:ascii="Arial Narrow" w:hAnsi="Arial Narrow"/>
                <w:b/>
                <w:sz w:val="20"/>
              </w:rPr>
            </w:pPr>
          </w:p>
        </w:tc>
        <w:tc>
          <w:tcPr>
            <w:tcW w:w="1193" w:type="dxa"/>
            <w:noWrap/>
            <w:vAlign w:val="center"/>
          </w:tcPr>
          <w:p w14:paraId="0A18BE47" w14:textId="77777777" w:rsidR="00067458" w:rsidRPr="00D56F4F" w:rsidRDefault="00067458" w:rsidP="0047278C">
            <w:pPr>
              <w:rPr>
                <w:rFonts w:ascii="Arial Narrow" w:hAnsi="Arial Narrow" w:cs="Calibri"/>
                <w:b/>
                <w:color w:val="000000"/>
                <w:sz w:val="20"/>
              </w:rPr>
            </w:pPr>
            <w:r w:rsidRPr="00D56F4F">
              <w:rPr>
                <w:rFonts w:ascii="Arial Narrow" w:hAnsi="Arial Narrow" w:cs="Calibri"/>
                <w:b/>
                <w:color w:val="000000"/>
                <w:sz w:val="20"/>
              </w:rPr>
              <w:t>Year 1</w:t>
            </w:r>
          </w:p>
        </w:tc>
        <w:tc>
          <w:tcPr>
            <w:tcW w:w="1342" w:type="dxa"/>
            <w:noWrap/>
            <w:vAlign w:val="center"/>
          </w:tcPr>
          <w:p w14:paraId="72485985" w14:textId="77777777" w:rsidR="00067458" w:rsidRPr="00D56F4F" w:rsidRDefault="00067458" w:rsidP="0047278C">
            <w:pPr>
              <w:rPr>
                <w:rFonts w:ascii="Arial Narrow" w:hAnsi="Arial Narrow" w:cs="Calibri"/>
                <w:b/>
                <w:color w:val="000000"/>
                <w:sz w:val="20"/>
              </w:rPr>
            </w:pPr>
            <w:r w:rsidRPr="00D56F4F">
              <w:rPr>
                <w:rFonts w:ascii="Arial Narrow" w:hAnsi="Arial Narrow" w:cs="Calibri"/>
                <w:b/>
                <w:color w:val="000000"/>
                <w:sz w:val="20"/>
              </w:rPr>
              <w:t>Year 2</w:t>
            </w:r>
          </w:p>
        </w:tc>
        <w:tc>
          <w:tcPr>
            <w:tcW w:w="1193" w:type="dxa"/>
            <w:noWrap/>
            <w:vAlign w:val="center"/>
          </w:tcPr>
          <w:p w14:paraId="5C9F3834" w14:textId="77777777" w:rsidR="00067458" w:rsidRPr="00D56F4F" w:rsidRDefault="00067458" w:rsidP="0047278C">
            <w:pPr>
              <w:rPr>
                <w:rFonts w:ascii="Arial Narrow" w:hAnsi="Arial Narrow" w:cs="Calibri"/>
                <w:b/>
                <w:color w:val="000000"/>
                <w:sz w:val="20"/>
              </w:rPr>
            </w:pPr>
            <w:r w:rsidRPr="00D56F4F">
              <w:rPr>
                <w:rFonts w:ascii="Arial Narrow" w:hAnsi="Arial Narrow" w:cs="Calibri"/>
                <w:b/>
                <w:color w:val="000000"/>
                <w:sz w:val="20"/>
              </w:rPr>
              <w:t>Year 3</w:t>
            </w:r>
          </w:p>
        </w:tc>
        <w:tc>
          <w:tcPr>
            <w:tcW w:w="1193" w:type="dxa"/>
            <w:noWrap/>
            <w:vAlign w:val="center"/>
          </w:tcPr>
          <w:p w14:paraId="633C0A84" w14:textId="77777777" w:rsidR="00067458" w:rsidRPr="00D56F4F" w:rsidRDefault="00067458" w:rsidP="0047278C">
            <w:pPr>
              <w:rPr>
                <w:rFonts w:ascii="Arial Narrow" w:hAnsi="Arial Narrow" w:cs="Calibri"/>
                <w:b/>
                <w:color w:val="000000"/>
                <w:sz w:val="20"/>
              </w:rPr>
            </w:pPr>
            <w:r w:rsidRPr="00D56F4F">
              <w:rPr>
                <w:rFonts w:ascii="Arial Narrow" w:hAnsi="Arial Narrow" w:cs="Calibri"/>
                <w:b/>
                <w:color w:val="000000"/>
                <w:sz w:val="20"/>
              </w:rPr>
              <w:t>Year 4</w:t>
            </w:r>
          </w:p>
        </w:tc>
        <w:tc>
          <w:tcPr>
            <w:tcW w:w="1193" w:type="dxa"/>
            <w:noWrap/>
            <w:vAlign w:val="center"/>
          </w:tcPr>
          <w:p w14:paraId="116C4BD0" w14:textId="77777777" w:rsidR="00067458" w:rsidRPr="00D56F4F" w:rsidRDefault="00067458" w:rsidP="0047278C">
            <w:pPr>
              <w:rPr>
                <w:rFonts w:ascii="Arial Narrow" w:hAnsi="Arial Narrow" w:cs="Calibri"/>
                <w:b/>
                <w:color w:val="000000"/>
                <w:sz w:val="20"/>
              </w:rPr>
            </w:pPr>
            <w:r w:rsidRPr="00D56F4F">
              <w:rPr>
                <w:rFonts w:ascii="Arial Narrow" w:hAnsi="Arial Narrow" w:cs="Calibri"/>
                <w:b/>
                <w:color w:val="000000"/>
                <w:sz w:val="20"/>
              </w:rPr>
              <w:t>Year 5</w:t>
            </w:r>
          </w:p>
        </w:tc>
        <w:tc>
          <w:tcPr>
            <w:tcW w:w="1288" w:type="dxa"/>
            <w:noWrap/>
            <w:vAlign w:val="center"/>
          </w:tcPr>
          <w:p w14:paraId="02A52696" w14:textId="77777777" w:rsidR="00067458" w:rsidRPr="00D56F4F" w:rsidRDefault="00067458" w:rsidP="0047278C">
            <w:pPr>
              <w:rPr>
                <w:rFonts w:ascii="Arial Narrow" w:hAnsi="Arial Narrow" w:cs="Calibri"/>
                <w:b/>
                <w:color w:val="000000"/>
                <w:sz w:val="20"/>
              </w:rPr>
            </w:pPr>
            <w:r w:rsidRPr="00D56F4F">
              <w:rPr>
                <w:rFonts w:ascii="Arial Narrow" w:hAnsi="Arial Narrow" w:cs="Calibri"/>
                <w:b/>
                <w:color w:val="000000"/>
                <w:sz w:val="20"/>
              </w:rPr>
              <w:t>Total over 5-years</w:t>
            </w:r>
          </w:p>
        </w:tc>
      </w:tr>
      <w:tr w:rsidR="00067458" w:rsidRPr="00DA3C6E" w14:paraId="60EB1976" w14:textId="77777777" w:rsidTr="0047278C">
        <w:trPr>
          <w:trHeight w:val="106"/>
        </w:trPr>
        <w:tc>
          <w:tcPr>
            <w:tcW w:w="591" w:type="dxa"/>
            <w:vMerge w:val="restart"/>
            <w:textDirection w:val="btLr"/>
            <w:vAlign w:val="center"/>
          </w:tcPr>
          <w:p w14:paraId="0777AC44" w14:textId="77777777" w:rsidR="00067458" w:rsidRPr="00DA3C6E" w:rsidRDefault="00067458" w:rsidP="0047278C">
            <w:pPr>
              <w:ind w:right="113"/>
              <w:jc w:val="center"/>
              <w:rPr>
                <w:rFonts w:ascii="Arial Narrow" w:hAnsi="Arial Narrow"/>
                <w:sz w:val="20"/>
              </w:rPr>
            </w:pPr>
            <w:r w:rsidRPr="00DA3C6E">
              <w:rPr>
                <w:rFonts w:ascii="Arial Narrow" w:hAnsi="Arial Narrow"/>
                <w:sz w:val="20"/>
              </w:rPr>
              <w:t>Intravenous Ig</w:t>
            </w:r>
          </w:p>
        </w:tc>
        <w:tc>
          <w:tcPr>
            <w:tcW w:w="1492" w:type="dxa"/>
            <w:noWrap/>
            <w:vAlign w:val="center"/>
            <w:hideMark/>
          </w:tcPr>
          <w:p w14:paraId="15186FEB" w14:textId="77777777" w:rsidR="00067458" w:rsidRPr="00DA3C6E" w:rsidRDefault="00067458" w:rsidP="0047278C">
            <w:pPr>
              <w:rPr>
                <w:rFonts w:ascii="Arial Narrow" w:hAnsi="Arial Narrow"/>
                <w:sz w:val="20"/>
              </w:rPr>
            </w:pPr>
            <w:proofErr w:type="spellStart"/>
            <w:r w:rsidRPr="00DA3C6E">
              <w:rPr>
                <w:rFonts w:ascii="Arial Narrow" w:hAnsi="Arial Narrow"/>
                <w:sz w:val="20"/>
              </w:rPr>
              <w:t>IVIg</w:t>
            </w:r>
            <w:proofErr w:type="spellEnd"/>
            <w:r w:rsidRPr="00DA3C6E">
              <w:rPr>
                <w:rFonts w:ascii="Arial Narrow" w:hAnsi="Arial Narrow"/>
                <w:sz w:val="20"/>
              </w:rPr>
              <w:t xml:space="preserve"> total cost </w:t>
            </w:r>
          </w:p>
        </w:tc>
        <w:tc>
          <w:tcPr>
            <w:tcW w:w="1193" w:type="dxa"/>
            <w:noWrap/>
            <w:vAlign w:val="center"/>
            <w:hideMark/>
          </w:tcPr>
          <w:p w14:paraId="658A3B39"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$23,699,504 </w:t>
            </w:r>
          </w:p>
        </w:tc>
        <w:tc>
          <w:tcPr>
            <w:tcW w:w="1342" w:type="dxa"/>
            <w:noWrap/>
            <w:vAlign w:val="center"/>
            <w:hideMark/>
          </w:tcPr>
          <w:p w14:paraId="030EE409"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$24,934,847 </w:t>
            </w:r>
          </w:p>
        </w:tc>
        <w:tc>
          <w:tcPr>
            <w:tcW w:w="1193" w:type="dxa"/>
            <w:noWrap/>
            <w:vAlign w:val="center"/>
            <w:hideMark/>
          </w:tcPr>
          <w:p w14:paraId="6D4ED714"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$26,234,583 </w:t>
            </w:r>
          </w:p>
        </w:tc>
        <w:tc>
          <w:tcPr>
            <w:tcW w:w="1193" w:type="dxa"/>
            <w:noWrap/>
            <w:vAlign w:val="center"/>
            <w:hideMark/>
          </w:tcPr>
          <w:p w14:paraId="049E01BF"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$27,602,068 </w:t>
            </w:r>
          </w:p>
        </w:tc>
        <w:tc>
          <w:tcPr>
            <w:tcW w:w="1193" w:type="dxa"/>
            <w:noWrap/>
            <w:vAlign w:val="center"/>
            <w:hideMark/>
          </w:tcPr>
          <w:p w14:paraId="3CB5C0F2"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$29,040,833 </w:t>
            </w:r>
          </w:p>
        </w:tc>
        <w:tc>
          <w:tcPr>
            <w:tcW w:w="1288" w:type="dxa"/>
            <w:noWrap/>
            <w:vAlign w:val="center"/>
            <w:hideMark/>
          </w:tcPr>
          <w:p w14:paraId="23B7E579"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$131,511,835 </w:t>
            </w:r>
          </w:p>
        </w:tc>
      </w:tr>
      <w:tr w:rsidR="00067458" w:rsidRPr="00DA3C6E" w14:paraId="71CC58A1" w14:textId="77777777" w:rsidTr="0047278C">
        <w:trPr>
          <w:trHeight w:val="106"/>
        </w:trPr>
        <w:tc>
          <w:tcPr>
            <w:tcW w:w="591" w:type="dxa"/>
            <w:vMerge/>
            <w:vAlign w:val="center"/>
          </w:tcPr>
          <w:p w14:paraId="363CC126" w14:textId="77777777" w:rsidR="00067458" w:rsidRPr="00DA3C6E" w:rsidRDefault="00067458" w:rsidP="0047278C">
            <w:pPr>
              <w:jc w:val="center"/>
              <w:rPr>
                <w:rFonts w:ascii="Arial Narrow" w:hAnsi="Arial Narrow"/>
                <w:sz w:val="20"/>
              </w:rPr>
            </w:pPr>
          </w:p>
        </w:tc>
        <w:tc>
          <w:tcPr>
            <w:tcW w:w="1492" w:type="dxa"/>
            <w:noWrap/>
            <w:vAlign w:val="center"/>
          </w:tcPr>
          <w:p w14:paraId="53CA9D41" w14:textId="77777777" w:rsidR="00067458" w:rsidRPr="00DA3C6E" w:rsidRDefault="00067458" w:rsidP="0047278C">
            <w:pPr>
              <w:rPr>
                <w:rFonts w:ascii="Arial Narrow" w:hAnsi="Arial Narrow"/>
                <w:sz w:val="20"/>
                <w:vertAlign w:val="superscript"/>
              </w:rPr>
            </w:pPr>
            <w:proofErr w:type="spellStart"/>
            <w:r w:rsidRPr="00DA3C6E">
              <w:rPr>
                <w:rFonts w:ascii="Arial Narrow" w:hAnsi="Arial Narrow"/>
                <w:sz w:val="20"/>
              </w:rPr>
              <w:t>IVIg</w:t>
            </w:r>
            <w:proofErr w:type="spellEnd"/>
            <w:r w:rsidRPr="00DA3C6E">
              <w:rPr>
                <w:rFonts w:ascii="Arial Narrow" w:hAnsi="Arial Narrow"/>
                <w:sz w:val="20"/>
              </w:rPr>
              <w:t xml:space="preserve"> cost to the </w:t>
            </w:r>
            <w:proofErr w:type="spellStart"/>
            <w:r w:rsidRPr="00DA3C6E">
              <w:rPr>
                <w:rFonts w:ascii="Arial Narrow" w:hAnsi="Arial Narrow"/>
                <w:sz w:val="20"/>
              </w:rPr>
              <w:t>Commonwealth</w:t>
            </w:r>
            <w:r w:rsidRPr="00DA3C6E">
              <w:rPr>
                <w:rFonts w:ascii="Arial Narrow" w:hAnsi="Arial Narrow"/>
                <w:sz w:val="20"/>
                <w:vertAlign w:val="superscript"/>
              </w:rPr>
              <w:t>a</w:t>
            </w:r>
            <w:proofErr w:type="spellEnd"/>
          </w:p>
        </w:tc>
        <w:tc>
          <w:tcPr>
            <w:tcW w:w="1193" w:type="dxa"/>
            <w:noWrap/>
            <w:vAlign w:val="center"/>
          </w:tcPr>
          <w:p w14:paraId="1EFFA746"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$14,930,687 </w:t>
            </w:r>
          </w:p>
        </w:tc>
        <w:tc>
          <w:tcPr>
            <w:tcW w:w="1342" w:type="dxa"/>
            <w:noWrap/>
            <w:vAlign w:val="center"/>
          </w:tcPr>
          <w:p w14:paraId="50C0E80B"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$15,708,954 </w:t>
            </w:r>
          </w:p>
        </w:tc>
        <w:tc>
          <w:tcPr>
            <w:tcW w:w="1193" w:type="dxa"/>
            <w:noWrap/>
            <w:vAlign w:val="center"/>
          </w:tcPr>
          <w:p w14:paraId="1392D001"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$16,527,787 </w:t>
            </w:r>
          </w:p>
        </w:tc>
        <w:tc>
          <w:tcPr>
            <w:tcW w:w="1193" w:type="dxa"/>
            <w:noWrap/>
            <w:vAlign w:val="center"/>
          </w:tcPr>
          <w:p w14:paraId="02428052"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$17,389,303 </w:t>
            </w:r>
          </w:p>
        </w:tc>
        <w:tc>
          <w:tcPr>
            <w:tcW w:w="1193" w:type="dxa"/>
            <w:noWrap/>
            <w:vAlign w:val="center"/>
          </w:tcPr>
          <w:p w14:paraId="4C4187FB"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$18,295,725 </w:t>
            </w:r>
          </w:p>
        </w:tc>
        <w:tc>
          <w:tcPr>
            <w:tcW w:w="1288" w:type="dxa"/>
            <w:noWrap/>
            <w:vAlign w:val="center"/>
          </w:tcPr>
          <w:p w14:paraId="090A78E3"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$82,852,456 </w:t>
            </w:r>
          </w:p>
        </w:tc>
      </w:tr>
      <w:tr w:rsidR="00067458" w:rsidRPr="00DA3C6E" w14:paraId="712B7658" w14:textId="77777777" w:rsidTr="0047278C">
        <w:trPr>
          <w:trHeight w:val="106"/>
        </w:trPr>
        <w:tc>
          <w:tcPr>
            <w:tcW w:w="591" w:type="dxa"/>
            <w:vMerge/>
            <w:vAlign w:val="center"/>
          </w:tcPr>
          <w:p w14:paraId="47711339" w14:textId="77777777" w:rsidR="00067458" w:rsidRPr="00DA3C6E" w:rsidRDefault="00067458" w:rsidP="0047278C">
            <w:pPr>
              <w:jc w:val="center"/>
              <w:rPr>
                <w:rFonts w:ascii="Arial Narrow" w:hAnsi="Arial Narrow"/>
                <w:sz w:val="20"/>
              </w:rPr>
            </w:pPr>
          </w:p>
        </w:tc>
        <w:tc>
          <w:tcPr>
            <w:tcW w:w="1492" w:type="dxa"/>
            <w:noWrap/>
            <w:vAlign w:val="center"/>
          </w:tcPr>
          <w:p w14:paraId="57FB3990" w14:textId="77777777" w:rsidR="00067458" w:rsidRPr="00DA3C6E" w:rsidRDefault="00067458" w:rsidP="0047278C">
            <w:pPr>
              <w:rPr>
                <w:rFonts w:ascii="Arial Narrow" w:hAnsi="Arial Narrow"/>
                <w:sz w:val="20"/>
                <w:vertAlign w:val="superscript"/>
              </w:rPr>
            </w:pPr>
            <w:proofErr w:type="spellStart"/>
            <w:r w:rsidRPr="00DA3C6E">
              <w:rPr>
                <w:rFonts w:ascii="Arial Narrow" w:hAnsi="Arial Narrow"/>
                <w:sz w:val="20"/>
              </w:rPr>
              <w:t>IVIg</w:t>
            </w:r>
            <w:proofErr w:type="spellEnd"/>
            <w:r w:rsidRPr="00DA3C6E">
              <w:rPr>
                <w:rFonts w:ascii="Arial Narrow" w:hAnsi="Arial Narrow"/>
                <w:sz w:val="20"/>
              </w:rPr>
              <w:t xml:space="preserve"> cost to the </w:t>
            </w:r>
            <w:proofErr w:type="spellStart"/>
            <w:r w:rsidRPr="00DA3C6E">
              <w:rPr>
                <w:rFonts w:ascii="Arial Narrow" w:hAnsi="Arial Narrow"/>
                <w:sz w:val="20"/>
              </w:rPr>
              <w:t>states</w:t>
            </w:r>
            <w:r w:rsidRPr="00DA3C6E">
              <w:rPr>
                <w:rFonts w:ascii="Arial Narrow" w:hAnsi="Arial Narrow"/>
                <w:sz w:val="20"/>
                <w:vertAlign w:val="superscript"/>
              </w:rPr>
              <w:t>a</w:t>
            </w:r>
            <w:proofErr w:type="spellEnd"/>
          </w:p>
        </w:tc>
        <w:tc>
          <w:tcPr>
            <w:tcW w:w="1193" w:type="dxa"/>
            <w:noWrap/>
            <w:vAlign w:val="center"/>
          </w:tcPr>
          <w:p w14:paraId="5BDC2A91"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$8,768,816 </w:t>
            </w:r>
          </w:p>
        </w:tc>
        <w:tc>
          <w:tcPr>
            <w:tcW w:w="1342" w:type="dxa"/>
            <w:noWrap/>
            <w:vAlign w:val="center"/>
          </w:tcPr>
          <w:p w14:paraId="2859F40A"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$9,225,893 </w:t>
            </w:r>
          </w:p>
        </w:tc>
        <w:tc>
          <w:tcPr>
            <w:tcW w:w="1193" w:type="dxa"/>
            <w:noWrap/>
            <w:vAlign w:val="center"/>
          </w:tcPr>
          <w:p w14:paraId="1DF3E4AC"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$9,706,796 </w:t>
            </w:r>
          </w:p>
        </w:tc>
        <w:tc>
          <w:tcPr>
            <w:tcW w:w="1193" w:type="dxa"/>
            <w:noWrap/>
            <w:vAlign w:val="center"/>
          </w:tcPr>
          <w:p w14:paraId="30986770"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$10,212,765 </w:t>
            </w:r>
          </w:p>
        </w:tc>
        <w:tc>
          <w:tcPr>
            <w:tcW w:w="1193" w:type="dxa"/>
            <w:noWrap/>
            <w:vAlign w:val="center"/>
          </w:tcPr>
          <w:p w14:paraId="61C4FC11"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$10,745,108 </w:t>
            </w:r>
          </w:p>
        </w:tc>
        <w:tc>
          <w:tcPr>
            <w:tcW w:w="1288" w:type="dxa"/>
            <w:noWrap/>
            <w:vAlign w:val="center"/>
          </w:tcPr>
          <w:p w14:paraId="5D0703D9"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$48,659,379 </w:t>
            </w:r>
          </w:p>
        </w:tc>
      </w:tr>
      <w:tr w:rsidR="00067458" w:rsidRPr="00DA3C6E" w14:paraId="6762C6DC" w14:textId="77777777" w:rsidTr="0047278C">
        <w:trPr>
          <w:trHeight w:val="106"/>
        </w:trPr>
        <w:tc>
          <w:tcPr>
            <w:tcW w:w="591" w:type="dxa"/>
            <w:vMerge/>
            <w:vAlign w:val="center"/>
          </w:tcPr>
          <w:p w14:paraId="2B67F7FE" w14:textId="77777777" w:rsidR="00067458" w:rsidRPr="00DA3C6E" w:rsidRDefault="00067458" w:rsidP="0047278C">
            <w:pPr>
              <w:jc w:val="center"/>
              <w:rPr>
                <w:rFonts w:ascii="Arial Narrow" w:hAnsi="Arial Narrow"/>
                <w:sz w:val="20"/>
              </w:rPr>
            </w:pPr>
          </w:p>
        </w:tc>
        <w:tc>
          <w:tcPr>
            <w:tcW w:w="1492" w:type="dxa"/>
            <w:noWrap/>
            <w:vAlign w:val="center"/>
          </w:tcPr>
          <w:p w14:paraId="4EA1A603" w14:textId="77777777" w:rsidR="00067458" w:rsidRPr="00DA3C6E" w:rsidRDefault="00067458" w:rsidP="0047278C">
            <w:pPr>
              <w:rPr>
                <w:rFonts w:ascii="Arial Narrow" w:hAnsi="Arial Narrow"/>
                <w:sz w:val="20"/>
              </w:rPr>
            </w:pPr>
            <w:r w:rsidRPr="00DA3C6E">
              <w:rPr>
                <w:rFonts w:ascii="Arial Narrow" w:hAnsi="Arial Narrow"/>
                <w:sz w:val="20"/>
              </w:rPr>
              <w:t xml:space="preserve">MBS costs (administration, follow-up, BSC and AEs). </w:t>
            </w:r>
          </w:p>
        </w:tc>
        <w:tc>
          <w:tcPr>
            <w:tcW w:w="1193" w:type="dxa"/>
            <w:noWrap/>
            <w:vAlign w:val="center"/>
          </w:tcPr>
          <w:p w14:paraId="2A6A99A8"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$8,688,226 </w:t>
            </w:r>
          </w:p>
        </w:tc>
        <w:tc>
          <w:tcPr>
            <w:tcW w:w="1342" w:type="dxa"/>
            <w:noWrap/>
            <w:vAlign w:val="center"/>
          </w:tcPr>
          <w:p w14:paraId="56959055"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$9,150,994 </w:t>
            </w:r>
          </w:p>
        </w:tc>
        <w:tc>
          <w:tcPr>
            <w:tcW w:w="1193" w:type="dxa"/>
            <w:noWrap/>
            <w:vAlign w:val="center"/>
          </w:tcPr>
          <w:p w14:paraId="42CEDF9A"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$9,613,763 </w:t>
            </w:r>
          </w:p>
        </w:tc>
        <w:tc>
          <w:tcPr>
            <w:tcW w:w="1193" w:type="dxa"/>
            <w:noWrap/>
            <w:vAlign w:val="center"/>
          </w:tcPr>
          <w:p w14:paraId="1564DECE"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$10,076,532 </w:t>
            </w:r>
          </w:p>
        </w:tc>
        <w:tc>
          <w:tcPr>
            <w:tcW w:w="1193" w:type="dxa"/>
            <w:noWrap/>
            <w:vAlign w:val="center"/>
          </w:tcPr>
          <w:p w14:paraId="59C43FBA"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$10,539,300 </w:t>
            </w:r>
          </w:p>
        </w:tc>
        <w:tc>
          <w:tcPr>
            <w:tcW w:w="1288" w:type="dxa"/>
            <w:noWrap/>
            <w:vAlign w:val="center"/>
          </w:tcPr>
          <w:p w14:paraId="58CDB9EE"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$48,068,815 </w:t>
            </w:r>
          </w:p>
        </w:tc>
      </w:tr>
      <w:tr w:rsidR="00067458" w:rsidRPr="00DA3C6E" w14:paraId="3A1B6987" w14:textId="77777777" w:rsidTr="0047278C">
        <w:trPr>
          <w:trHeight w:val="106"/>
        </w:trPr>
        <w:tc>
          <w:tcPr>
            <w:tcW w:w="591" w:type="dxa"/>
            <w:vMerge/>
            <w:vAlign w:val="center"/>
          </w:tcPr>
          <w:p w14:paraId="5373D93C" w14:textId="77777777" w:rsidR="00067458" w:rsidRPr="00DA3C6E" w:rsidRDefault="00067458" w:rsidP="0047278C">
            <w:pPr>
              <w:jc w:val="center"/>
              <w:rPr>
                <w:rFonts w:ascii="Arial Narrow" w:hAnsi="Arial Narrow"/>
                <w:sz w:val="20"/>
              </w:rPr>
            </w:pPr>
          </w:p>
        </w:tc>
        <w:tc>
          <w:tcPr>
            <w:tcW w:w="1492" w:type="dxa"/>
            <w:noWrap/>
            <w:vAlign w:val="center"/>
          </w:tcPr>
          <w:p w14:paraId="1E61C18B" w14:textId="77777777" w:rsidR="00067458" w:rsidRPr="00DA3C6E" w:rsidRDefault="00067458" w:rsidP="0047278C">
            <w:pPr>
              <w:rPr>
                <w:rFonts w:ascii="Arial Narrow" w:hAnsi="Arial Narrow"/>
                <w:sz w:val="20"/>
              </w:rPr>
            </w:pPr>
            <w:r w:rsidRPr="00DA3C6E">
              <w:rPr>
                <w:rFonts w:ascii="Arial Narrow" w:hAnsi="Arial Narrow"/>
                <w:sz w:val="20"/>
              </w:rPr>
              <w:t>PBS costs</w:t>
            </w:r>
          </w:p>
        </w:tc>
        <w:tc>
          <w:tcPr>
            <w:tcW w:w="1193" w:type="dxa"/>
            <w:noWrap/>
            <w:vAlign w:val="center"/>
          </w:tcPr>
          <w:p w14:paraId="274AB6CE"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$324,737</w:t>
            </w:r>
          </w:p>
        </w:tc>
        <w:tc>
          <w:tcPr>
            <w:tcW w:w="1342" w:type="dxa"/>
            <w:noWrap/>
            <w:vAlign w:val="center"/>
          </w:tcPr>
          <w:p w14:paraId="7853D759"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$342,034</w:t>
            </w:r>
          </w:p>
        </w:tc>
        <w:tc>
          <w:tcPr>
            <w:tcW w:w="1193" w:type="dxa"/>
            <w:noWrap/>
            <w:vAlign w:val="center"/>
          </w:tcPr>
          <w:p w14:paraId="43795B5B"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$359,331</w:t>
            </w:r>
          </w:p>
        </w:tc>
        <w:tc>
          <w:tcPr>
            <w:tcW w:w="1193" w:type="dxa"/>
            <w:noWrap/>
            <w:vAlign w:val="center"/>
          </w:tcPr>
          <w:p w14:paraId="21B28CCD"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$376,628</w:t>
            </w:r>
          </w:p>
        </w:tc>
        <w:tc>
          <w:tcPr>
            <w:tcW w:w="1193" w:type="dxa"/>
            <w:noWrap/>
            <w:vAlign w:val="center"/>
          </w:tcPr>
          <w:p w14:paraId="59D046AC"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$393,924</w:t>
            </w:r>
          </w:p>
        </w:tc>
        <w:tc>
          <w:tcPr>
            <w:tcW w:w="1288" w:type="dxa"/>
            <w:noWrap/>
            <w:vAlign w:val="center"/>
          </w:tcPr>
          <w:p w14:paraId="26342926"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$1,796,654</w:t>
            </w:r>
          </w:p>
        </w:tc>
      </w:tr>
      <w:tr w:rsidR="00067458" w:rsidRPr="00DA3C6E" w14:paraId="19AF4C07" w14:textId="77777777" w:rsidTr="0047278C">
        <w:trPr>
          <w:trHeight w:val="34"/>
        </w:trPr>
        <w:tc>
          <w:tcPr>
            <w:tcW w:w="591" w:type="dxa"/>
            <w:vMerge/>
            <w:vAlign w:val="center"/>
          </w:tcPr>
          <w:p w14:paraId="48AC27E6" w14:textId="77777777" w:rsidR="00067458" w:rsidRPr="00DA3C6E" w:rsidRDefault="00067458" w:rsidP="0047278C">
            <w:pPr>
              <w:jc w:val="center"/>
              <w:rPr>
                <w:rFonts w:ascii="Arial Narrow" w:hAnsi="Arial Narrow"/>
                <w:sz w:val="20"/>
              </w:rPr>
            </w:pPr>
          </w:p>
        </w:tc>
        <w:tc>
          <w:tcPr>
            <w:tcW w:w="1492" w:type="dxa"/>
            <w:noWrap/>
            <w:vAlign w:val="center"/>
          </w:tcPr>
          <w:p w14:paraId="0F8383D1" w14:textId="77777777" w:rsidR="00067458" w:rsidRPr="00DA3C6E" w:rsidRDefault="00067458" w:rsidP="0047278C">
            <w:pPr>
              <w:rPr>
                <w:rFonts w:ascii="Arial Narrow" w:hAnsi="Arial Narrow"/>
                <w:b/>
                <w:sz w:val="20"/>
              </w:rPr>
            </w:pPr>
            <w:r w:rsidRPr="00DA3C6E">
              <w:rPr>
                <w:rFonts w:ascii="Arial Narrow" w:hAnsi="Arial Narrow"/>
                <w:b/>
                <w:sz w:val="20"/>
              </w:rPr>
              <w:t>Total</w:t>
            </w:r>
          </w:p>
        </w:tc>
        <w:tc>
          <w:tcPr>
            <w:tcW w:w="1193" w:type="dxa"/>
            <w:noWrap/>
            <w:vAlign w:val="center"/>
          </w:tcPr>
          <w:p w14:paraId="4364938F" w14:textId="77777777" w:rsidR="00067458" w:rsidRPr="00DA3C6E" w:rsidRDefault="00067458" w:rsidP="0047278C">
            <w:pPr>
              <w:jc w:val="center"/>
              <w:rPr>
                <w:rFonts w:ascii="Arial Narrow" w:hAnsi="Arial Narrow" w:cs="Calibri"/>
                <w:b/>
                <w:color w:val="000000"/>
                <w:sz w:val="20"/>
              </w:rPr>
            </w:pPr>
            <w:r w:rsidRPr="00DA3C6E">
              <w:rPr>
                <w:rFonts w:ascii="Arial Narrow" w:hAnsi="Arial Narrow" w:cs="Calibri"/>
                <w:b/>
                <w:color w:val="000000"/>
                <w:sz w:val="20"/>
              </w:rPr>
              <w:t xml:space="preserve">$32,712,467 </w:t>
            </w:r>
          </w:p>
        </w:tc>
        <w:tc>
          <w:tcPr>
            <w:tcW w:w="1342" w:type="dxa"/>
            <w:noWrap/>
            <w:vAlign w:val="center"/>
          </w:tcPr>
          <w:p w14:paraId="047DBC5B" w14:textId="77777777" w:rsidR="00067458" w:rsidRPr="00DA3C6E" w:rsidRDefault="00067458" w:rsidP="0047278C">
            <w:pPr>
              <w:jc w:val="center"/>
              <w:rPr>
                <w:rFonts w:ascii="Arial Narrow" w:hAnsi="Arial Narrow" w:cs="Calibri"/>
                <w:b/>
                <w:color w:val="000000"/>
                <w:sz w:val="20"/>
              </w:rPr>
            </w:pPr>
            <w:r w:rsidRPr="00DA3C6E">
              <w:rPr>
                <w:rFonts w:ascii="Arial Narrow" w:hAnsi="Arial Narrow" w:cs="Calibri"/>
                <w:b/>
                <w:color w:val="000000"/>
                <w:sz w:val="20"/>
              </w:rPr>
              <w:t xml:space="preserve">$34,427,875 </w:t>
            </w:r>
          </w:p>
        </w:tc>
        <w:tc>
          <w:tcPr>
            <w:tcW w:w="1193" w:type="dxa"/>
            <w:noWrap/>
            <w:vAlign w:val="center"/>
          </w:tcPr>
          <w:p w14:paraId="66AF95A5" w14:textId="77777777" w:rsidR="00067458" w:rsidRPr="00DA3C6E" w:rsidRDefault="00067458" w:rsidP="0047278C">
            <w:pPr>
              <w:jc w:val="center"/>
              <w:rPr>
                <w:rFonts w:ascii="Arial Narrow" w:hAnsi="Arial Narrow" w:cs="Calibri"/>
                <w:b/>
                <w:color w:val="000000"/>
                <w:sz w:val="20"/>
              </w:rPr>
            </w:pPr>
            <w:r w:rsidRPr="00DA3C6E">
              <w:rPr>
                <w:rFonts w:ascii="Arial Narrow" w:hAnsi="Arial Narrow" w:cs="Calibri"/>
                <w:b/>
                <w:color w:val="000000"/>
                <w:sz w:val="20"/>
              </w:rPr>
              <w:t xml:space="preserve">$36,207,677 </w:t>
            </w:r>
          </w:p>
        </w:tc>
        <w:tc>
          <w:tcPr>
            <w:tcW w:w="1193" w:type="dxa"/>
            <w:noWrap/>
            <w:vAlign w:val="center"/>
          </w:tcPr>
          <w:p w14:paraId="790CC9AF" w14:textId="77777777" w:rsidR="00067458" w:rsidRPr="00DA3C6E" w:rsidRDefault="00067458" w:rsidP="0047278C">
            <w:pPr>
              <w:jc w:val="center"/>
              <w:rPr>
                <w:rFonts w:ascii="Arial Narrow" w:hAnsi="Arial Narrow" w:cs="Calibri"/>
                <w:b/>
                <w:color w:val="000000"/>
                <w:sz w:val="20"/>
              </w:rPr>
            </w:pPr>
            <w:r w:rsidRPr="00DA3C6E">
              <w:rPr>
                <w:rFonts w:ascii="Arial Narrow" w:hAnsi="Arial Narrow" w:cs="Calibri"/>
                <w:b/>
                <w:color w:val="000000"/>
                <w:sz w:val="20"/>
              </w:rPr>
              <w:t xml:space="preserve">$38,055,227 </w:t>
            </w:r>
          </w:p>
        </w:tc>
        <w:tc>
          <w:tcPr>
            <w:tcW w:w="1193" w:type="dxa"/>
            <w:noWrap/>
            <w:vAlign w:val="center"/>
          </w:tcPr>
          <w:p w14:paraId="7AA22A3E" w14:textId="77777777" w:rsidR="00067458" w:rsidRPr="00DA3C6E" w:rsidRDefault="00067458" w:rsidP="0047278C">
            <w:pPr>
              <w:jc w:val="center"/>
              <w:rPr>
                <w:rFonts w:ascii="Arial Narrow" w:hAnsi="Arial Narrow" w:cs="Calibri"/>
                <w:b/>
                <w:color w:val="000000"/>
                <w:sz w:val="20"/>
              </w:rPr>
            </w:pPr>
            <w:r w:rsidRPr="00DA3C6E">
              <w:rPr>
                <w:rFonts w:ascii="Arial Narrow" w:hAnsi="Arial Narrow" w:cs="Calibri"/>
                <w:b/>
                <w:color w:val="000000"/>
                <w:sz w:val="20"/>
              </w:rPr>
              <w:t xml:space="preserve">$39,974,058 </w:t>
            </w:r>
          </w:p>
        </w:tc>
        <w:tc>
          <w:tcPr>
            <w:tcW w:w="1288" w:type="dxa"/>
            <w:noWrap/>
            <w:vAlign w:val="center"/>
          </w:tcPr>
          <w:p w14:paraId="3A3B8D7A" w14:textId="77777777" w:rsidR="00067458" w:rsidRPr="00DA3C6E" w:rsidRDefault="00067458" w:rsidP="0047278C">
            <w:pPr>
              <w:jc w:val="center"/>
              <w:rPr>
                <w:rFonts w:ascii="Arial Narrow" w:hAnsi="Arial Narrow" w:cs="Calibri"/>
                <w:b/>
                <w:color w:val="000000"/>
                <w:sz w:val="20"/>
              </w:rPr>
            </w:pPr>
            <w:r w:rsidRPr="00DA3C6E">
              <w:rPr>
                <w:rFonts w:ascii="Arial Narrow" w:hAnsi="Arial Narrow" w:cs="Calibri"/>
                <w:b/>
                <w:color w:val="000000"/>
                <w:sz w:val="20"/>
              </w:rPr>
              <w:t xml:space="preserve">$181,377,304 </w:t>
            </w:r>
          </w:p>
        </w:tc>
      </w:tr>
      <w:tr w:rsidR="00067458" w:rsidRPr="00DA3C6E" w14:paraId="710697D0" w14:textId="77777777" w:rsidTr="0047278C">
        <w:trPr>
          <w:trHeight w:val="106"/>
        </w:trPr>
        <w:tc>
          <w:tcPr>
            <w:tcW w:w="591" w:type="dxa"/>
            <w:vMerge w:val="restart"/>
            <w:textDirection w:val="btLr"/>
            <w:vAlign w:val="center"/>
          </w:tcPr>
          <w:p w14:paraId="75045FB0" w14:textId="77777777" w:rsidR="00067458" w:rsidRPr="00DA3C6E" w:rsidRDefault="00067458" w:rsidP="0047278C">
            <w:pPr>
              <w:ind w:left="113" w:right="113"/>
              <w:jc w:val="center"/>
              <w:rPr>
                <w:rFonts w:ascii="Arial Narrow" w:hAnsi="Arial Narrow"/>
                <w:sz w:val="20"/>
              </w:rPr>
            </w:pPr>
            <w:r w:rsidRPr="00DA3C6E">
              <w:rPr>
                <w:rFonts w:ascii="Arial Narrow" w:hAnsi="Arial Narrow"/>
                <w:sz w:val="20"/>
              </w:rPr>
              <w:t>No Ig with BSC</w:t>
            </w:r>
          </w:p>
        </w:tc>
        <w:tc>
          <w:tcPr>
            <w:tcW w:w="1492" w:type="dxa"/>
            <w:noWrap/>
            <w:vAlign w:val="center"/>
          </w:tcPr>
          <w:p w14:paraId="43D7D727" w14:textId="77777777" w:rsidR="00067458" w:rsidRPr="00DA3C6E" w:rsidRDefault="00067458" w:rsidP="0047278C">
            <w:pPr>
              <w:rPr>
                <w:rFonts w:ascii="Arial Narrow" w:hAnsi="Arial Narrow"/>
                <w:sz w:val="20"/>
              </w:rPr>
            </w:pPr>
            <w:r w:rsidRPr="00DA3C6E">
              <w:rPr>
                <w:rFonts w:ascii="Arial Narrow" w:hAnsi="Arial Narrow"/>
                <w:sz w:val="20"/>
              </w:rPr>
              <w:t>MBS costs (follow-up and BSC)</w:t>
            </w:r>
          </w:p>
        </w:tc>
        <w:tc>
          <w:tcPr>
            <w:tcW w:w="1193" w:type="dxa"/>
            <w:noWrap/>
            <w:vAlign w:val="center"/>
          </w:tcPr>
          <w:p w14:paraId="4A65C284" w14:textId="77777777" w:rsidR="00067458" w:rsidRPr="00DA3C6E" w:rsidRDefault="00067458" w:rsidP="0047278C">
            <w:pPr>
              <w:jc w:val="center"/>
              <w:rPr>
                <w:rFonts w:ascii="Arial Narrow" w:hAnsi="Arial Narrow"/>
                <w:sz w:val="20"/>
              </w:rPr>
            </w:pPr>
            <w:r w:rsidRPr="00DA3C6E">
              <w:rPr>
                <w:rFonts w:ascii="Arial Narrow" w:hAnsi="Arial Narrow" w:cs="Calibri"/>
                <w:color w:val="000000"/>
                <w:sz w:val="20"/>
              </w:rPr>
              <w:t>$1,892,537</w:t>
            </w:r>
          </w:p>
        </w:tc>
        <w:tc>
          <w:tcPr>
            <w:tcW w:w="1342" w:type="dxa"/>
            <w:noWrap/>
            <w:vAlign w:val="center"/>
          </w:tcPr>
          <w:p w14:paraId="3CE42981" w14:textId="77777777" w:rsidR="00067458" w:rsidRPr="00DA3C6E" w:rsidRDefault="00067458" w:rsidP="0047278C">
            <w:pPr>
              <w:jc w:val="center"/>
              <w:rPr>
                <w:rFonts w:ascii="Arial Narrow" w:hAnsi="Arial Narrow"/>
                <w:sz w:val="20"/>
              </w:rPr>
            </w:pPr>
            <w:r w:rsidRPr="00DA3C6E">
              <w:rPr>
                <w:rFonts w:ascii="Arial Narrow" w:hAnsi="Arial Narrow" w:cs="Calibri"/>
                <w:color w:val="000000"/>
                <w:sz w:val="20"/>
              </w:rPr>
              <w:t>$1,993,341</w:t>
            </w:r>
          </w:p>
        </w:tc>
        <w:tc>
          <w:tcPr>
            <w:tcW w:w="1193" w:type="dxa"/>
            <w:noWrap/>
            <w:vAlign w:val="center"/>
          </w:tcPr>
          <w:p w14:paraId="181914C1" w14:textId="77777777" w:rsidR="00067458" w:rsidRPr="00DA3C6E" w:rsidRDefault="00067458" w:rsidP="0047278C">
            <w:pPr>
              <w:jc w:val="center"/>
              <w:rPr>
                <w:rFonts w:ascii="Arial Narrow" w:hAnsi="Arial Narrow"/>
                <w:sz w:val="20"/>
              </w:rPr>
            </w:pPr>
            <w:r w:rsidRPr="00DA3C6E">
              <w:rPr>
                <w:rFonts w:ascii="Arial Narrow" w:hAnsi="Arial Narrow" w:cs="Calibri"/>
                <w:color w:val="000000"/>
                <w:sz w:val="20"/>
              </w:rPr>
              <w:t>$2,094,145</w:t>
            </w:r>
          </w:p>
        </w:tc>
        <w:tc>
          <w:tcPr>
            <w:tcW w:w="1193" w:type="dxa"/>
            <w:noWrap/>
            <w:vAlign w:val="center"/>
          </w:tcPr>
          <w:p w14:paraId="153DF041" w14:textId="77777777" w:rsidR="00067458" w:rsidRPr="00DA3C6E" w:rsidRDefault="00067458" w:rsidP="0047278C">
            <w:pPr>
              <w:jc w:val="center"/>
              <w:rPr>
                <w:rFonts w:ascii="Arial Narrow" w:hAnsi="Arial Narrow"/>
                <w:sz w:val="20"/>
              </w:rPr>
            </w:pPr>
            <w:r w:rsidRPr="00DA3C6E">
              <w:rPr>
                <w:rFonts w:ascii="Arial Narrow" w:hAnsi="Arial Narrow" w:cs="Calibri"/>
                <w:color w:val="000000"/>
                <w:sz w:val="20"/>
              </w:rPr>
              <w:t>$2,194,949</w:t>
            </w:r>
          </w:p>
        </w:tc>
        <w:tc>
          <w:tcPr>
            <w:tcW w:w="1193" w:type="dxa"/>
            <w:noWrap/>
            <w:vAlign w:val="center"/>
          </w:tcPr>
          <w:p w14:paraId="0436B3AD" w14:textId="77777777" w:rsidR="00067458" w:rsidRPr="00DA3C6E" w:rsidRDefault="00067458" w:rsidP="0047278C">
            <w:pPr>
              <w:jc w:val="center"/>
              <w:rPr>
                <w:rFonts w:ascii="Arial Narrow" w:hAnsi="Arial Narrow"/>
                <w:sz w:val="20"/>
              </w:rPr>
            </w:pPr>
            <w:r w:rsidRPr="00DA3C6E">
              <w:rPr>
                <w:rFonts w:ascii="Arial Narrow" w:hAnsi="Arial Narrow" w:cs="Calibri"/>
                <w:color w:val="000000"/>
                <w:sz w:val="20"/>
              </w:rPr>
              <w:t>$2,295,753</w:t>
            </w:r>
          </w:p>
        </w:tc>
        <w:tc>
          <w:tcPr>
            <w:tcW w:w="1288" w:type="dxa"/>
            <w:noWrap/>
            <w:vAlign w:val="center"/>
          </w:tcPr>
          <w:p w14:paraId="4197A0F4" w14:textId="77777777" w:rsidR="00067458" w:rsidRPr="00DA3C6E" w:rsidRDefault="00067458" w:rsidP="0047278C">
            <w:pPr>
              <w:jc w:val="center"/>
              <w:rPr>
                <w:rFonts w:ascii="Arial Narrow" w:hAnsi="Arial Narrow"/>
                <w:sz w:val="20"/>
              </w:rPr>
            </w:pPr>
            <w:r w:rsidRPr="00DA3C6E">
              <w:rPr>
                <w:rFonts w:ascii="Arial Narrow" w:hAnsi="Arial Narrow" w:cs="Calibri"/>
                <w:color w:val="000000"/>
                <w:sz w:val="20"/>
              </w:rPr>
              <w:t>$10,470,726</w:t>
            </w:r>
          </w:p>
        </w:tc>
      </w:tr>
      <w:tr w:rsidR="00067458" w:rsidRPr="00DA3C6E" w14:paraId="502C913F" w14:textId="77777777" w:rsidTr="0047278C">
        <w:trPr>
          <w:trHeight w:val="459"/>
        </w:trPr>
        <w:tc>
          <w:tcPr>
            <w:tcW w:w="591" w:type="dxa"/>
            <w:vMerge/>
          </w:tcPr>
          <w:p w14:paraId="24FB0B56" w14:textId="77777777" w:rsidR="00067458" w:rsidRPr="00DA3C6E" w:rsidRDefault="00067458" w:rsidP="0047278C">
            <w:pPr>
              <w:rPr>
                <w:rFonts w:ascii="Arial Narrow" w:hAnsi="Arial Narrow"/>
                <w:sz w:val="20"/>
              </w:rPr>
            </w:pPr>
          </w:p>
        </w:tc>
        <w:tc>
          <w:tcPr>
            <w:tcW w:w="1492" w:type="dxa"/>
            <w:noWrap/>
            <w:vAlign w:val="center"/>
          </w:tcPr>
          <w:p w14:paraId="4DEEB6FC" w14:textId="77777777" w:rsidR="00067458" w:rsidRPr="00DA3C6E" w:rsidRDefault="00067458" w:rsidP="0047278C">
            <w:pPr>
              <w:rPr>
                <w:rFonts w:ascii="Arial Narrow" w:hAnsi="Arial Narrow"/>
                <w:b/>
                <w:sz w:val="20"/>
              </w:rPr>
            </w:pPr>
            <w:r w:rsidRPr="00DA3C6E">
              <w:rPr>
                <w:rFonts w:ascii="Arial Narrow" w:hAnsi="Arial Narrow"/>
                <w:b/>
                <w:sz w:val="20"/>
              </w:rPr>
              <w:t>Total</w:t>
            </w:r>
          </w:p>
        </w:tc>
        <w:tc>
          <w:tcPr>
            <w:tcW w:w="1193" w:type="dxa"/>
            <w:noWrap/>
            <w:vAlign w:val="center"/>
          </w:tcPr>
          <w:p w14:paraId="59EECC18" w14:textId="77777777" w:rsidR="00067458" w:rsidRPr="00DA3C6E" w:rsidRDefault="00067458" w:rsidP="0047278C">
            <w:pPr>
              <w:jc w:val="center"/>
              <w:rPr>
                <w:rFonts w:ascii="Arial Narrow" w:hAnsi="Arial Narrow"/>
                <w:b/>
                <w:sz w:val="20"/>
              </w:rPr>
            </w:pPr>
            <w:r w:rsidRPr="00DA3C6E">
              <w:rPr>
                <w:rFonts w:ascii="Arial Narrow" w:hAnsi="Arial Narrow" w:cs="Calibri"/>
                <w:b/>
                <w:color w:val="000000"/>
                <w:sz w:val="20"/>
              </w:rPr>
              <w:t>$1,892,537</w:t>
            </w:r>
          </w:p>
        </w:tc>
        <w:tc>
          <w:tcPr>
            <w:tcW w:w="1342" w:type="dxa"/>
            <w:noWrap/>
            <w:vAlign w:val="center"/>
          </w:tcPr>
          <w:p w14:paraId="391899CC" w14:textId="77777777" w:rsidR="00067458" w:rsidRPr="00DA3C6E" w:rsidRDefault="00067458" w:rsidP="0047278C">
            <w:pPr>
              <w:jc w:val="center"/>
              <w:rPr>
                <w:rFonts w:ascii="Arial Narrow" w:hAnsi="Arial Narrow"/>
                <w:b/>
                <w:sz w:val="20"/>
              </w:rPr>
            </w:pPr>
            <w:r w:rsidRPr="00DA3C6E">
              <w:rPr>
                <w:rFonts w:ascii="Arial Narrow" w:hAnsi="Arial Narrow" w:cs="Calibri"/>
                <w:b/>
                <w:color w:val="000000"/>
                <w:sz w:val="20"/>
              </w:rPr>
              <w:t>$1,993,341</w:t>
            </w:r>
          </w:p>
        </w:tc>
        <w:tc>
          <w:tcPr>
            <w:tcW w:w="1193" w:type="dxa"/>
            <w:noWrap/>
            <w:vAlign w:val="center"/>
          </w:tcPr>
          <w:p w14:paraId="7FD10238" w14:textId="77777777" w:rsidR="00067458" w:rsidRPr="00DA3C6E" w:rsidRDefault="00067458" w:rsidP="0047278C">
            <w:pPr>
              <w:jc w:val="center"/>
              <w:rPr>
                <w:rFonts w:ascii="Arial Narrow" w:hAnsi="Arial Narrow"/>
                <w:b/>
                <w:sz w:val="20"/>
              </w:rPr>
            </w:pPr>
            <w:r w:rsidRPr="00DA3C6E">
              <w:rPr>
                <w:rFonts w:ascii="Arial Narrow" w:hAnsi="Arial Narrow" w:cs="Calibri"/>
                <w:b/>
                <w:color w:val="000000"/>
                <w:sz w:val="20"/>
              </w:rPr>
              <w:t>$2,094,145</w:t>
            </w:r>
          </w:p>
        </w:tc>
        <w:tc>
          <w:tcPr>
            <w:tcW w:w="1193" w:type="dxa"/>
            <w:noWrap/>
            <w:vAlign w:val="center"/>
          </w:tcPr>
          <w:p w14:paraId="104F19C1" w14:textId="77777777" w:rsidR="00067458" w:rsidRPr="00DA3C6E" w:rsidRDefault="00067458" w:rsidP="0047278C">
            <w:pPr>
              <w:jc w:val="center"/>
              <w:rPr>
                <w:rFonts w:ascii="Arial Narrow" w:hAnsi="Arial Narrow"/>
                <w:b/>
                <w:sz w:val="20"/>
              </w:rPr>
            </w:pPr>
            <w:r w:rsidRPr="00DA3C6E">
              <w:rPr>
                <w:rFonts w:ascii="Arial Narrow" w:hAnsi="Arial Narrow" w:cs="Calibri"/>
                <w:b/>
                <w:color w:val="000000"/>
                <w:sz w:val="20"/>
              </w:rPr>
              <w:t>$2,194,949</w:t>
            </w:r>
          </w:p>
        </w:tc>
        <w:tc>
          <w:tcPr>
            <w:tcW w:w="1193" w:type="dxa"/>
            <w:noWrap/>
            <w:vAlign w:val="center"/>
          </w:tcPr>
          <w:p w14:paraId="459BBAE2" w14:textId="77777777" w:rsidR="00067458" w:rsidRPr="00DA3C6E" w:rsidRDefault="00067458" w:rsidP="0047278C">
            <w:pPr>
              <w:jc w:val="center"/>
              <w:rPr>
                <w:rFonts w:ascii="Arial Narrow" w:hAnsi="Arial Narrow"/>
                <w:b/>
                <w:sz w:val="20"/>
              </w:rPr>
            </w:pPr>
            <w:r w:rsidRPr="00DA3C6E">
              <w:rPr>
                <w:rFonts w:ascii="Arial Narrow" w:hAnsi="Arial Narrow" w:cs="Calibri"/>
                <w:b/>
                <w:color w:val="000000"/>
                <w:sz w:val="20"/>
              </w:rPr>
              <w:t>$2,295,753</w:t>
            </w:r>
          </w:p>
        </w:tc>
        <w:tc>
          <w:tcPr>
            <w:tcW w:w="1288" w:type="dxa"/>
            <w:noWrap/>
            <w:vAlign w:val="center"/>
          </w:tcPr>
          <w:p w14:paraId="025D4BAB" w14:textId="77777777" w:rsidR="00067458" w:rsidRPr="00DA3C6E" w:rsidRDefault="00067458" w:rsidP="0047278C">
            <w:pPr>
              <w:jc w:val="center"/>
              <w:rPr>
                <w:rFonts w:ascii="Arial Narrow" w:hAnsi="Arial Narrow"/>
                <w:b/>
                <w:sz w:val="20"/>
              </w:rPr>
            </w:pPr>
            <w:r w:rsidRPr="00DA3C6E">
              <w:rPr>
                <w:rFonts w:ascii="Arial Narrow" w:hAnsi="Arial Narrow" w:cs="Calibri"/>
                <w:b/>
                <w:color w:val="000000"/>
                <w:sz w:val="20"/>
              </w:rPr>
              <w:t>$10,470,726</w:t>
            </w:r>
          </w:p>
        </w:tc>
      </w:tr>
      <w:tr w:rsidR="00067458" w:rsidRPr="00DA3C6E" w14:paraId="4D4240F9" w14:textId="77777777" w:rsidTr="0047278C">
        <w:trPr>
          <w:trHeight w:val="324"/>
        </w:trPr>
        <w:tc>
          <w:tcPr>
            <w:tcW w:w="9488" w:type="dxa"/>
            <w:gridSpan w:val="8"/>
            <w:vAlign w:val="center"/>
          </w:tcPr>
          <w:p w14:paraId="58CD0B95" w14:textId="77777777" w:rsidR="00067458" w:rsidRPr="00DA3C6E" w:rsidRDefault="00067458" w:rsidP="0047278C">
            <w:pPr>
              <w:rPr>
                <w:rFonts w:ascii="Arial Narrow" w:hAnsi="Arial Narrow" w:cs="Calibri"/>
                <w:b/>
                <w:color w:val="000000"/>
                <w:sz w:val="20"/>
              </w:rPr>
            </w:pPr>
            <w:r w:rsidRPr="00DA3C6E">
              <w:rPr>
                <w:rFonts w:ascii="Arial Narrow" w:hAnsi="Arial Narrow" w:cs="Calibri"/>
                <w:b/>
                <w:color w:val="000000"/>
                <w:sz w:val="20"/>
              </w:rPr>
              <w:t>Net costs (Intravenous Ig versus No Ig)</w:t>
            </w:r>
          </w:p>
        </w:tc>
      </w:tr>
      <w:tr w:rsidR="00067458" w:rsidRPr="00DA3C6E" w14:paraId="60983EB1" w14:textId="77777777" w:rsidTr="0047278C">
        <w:trPr>
          <w:trHeight w:val="106"/>
        </w:trPr>
        <w:tc>
          <w:tcPr>
            <w:tcW w:w="2083" w:type="dxa"/>
            <w:gridSpan w:val="2"/>
          </w:tcPr>
          <w:p w14:paraId="01C3753D" w14:textId="77777777" w:rsidR="00067458" w:rsidRPr="00DA3C6E" w:rsidRDefault="00067458" w:rsidP="0047278C">
            <w:pPr>
              <w:rPr>
                <w:rFonts w:ascii="Arial Narrow" w:hAnsi="Arial Narrow"/>
                <w:sz w:val="20"/>
              </w:rPr>
            </w:pPr>
            <w:r w:rsidRPr="00DA3C6E">
              <w:rPr>
                <w:rFonts w:ascii="Arial Narrow" w:hAnsi="Arial Narrow"/>
                <w:sz w:val="20"/>
              </w:rPr>
              <w:t>Net costs Commonwealth</w:t>
            </w:r>
          </w:p>
        </w:tc>
        <w:tc>
          <w:tcPr>
            <w:tcW w:w="1193" w:type="dxa"/>
            <w:noWrap/>
            <w:vAlign w:val="center"/>
          </w:tcPr>
          <w:p w14:paraId="42756466"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-$14,930,687 </w:t>
            </w:r>
          </w:p>
        </w:tc>
        <w:tc>
          <w:tcPr>
            <w:tcW w:w="1342" w:type="dxa"/>
            <w:noWrap/>
            <w:vAlign w:val="center"/>
          </w:tcPr>
          <w:p w14:paraId="2C998296"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-$15,708,954 </w:t>
            </w:r>
          </w:p>
        </w:tc>
        <w:tc>
          <w:tcPr>
            <w:tcW w:w="1193" w:type="dxa"/>
            <w:noWrap/>
            <w:vAlign w:val="center"/>
          </w:tcPr>
          <w:p w14:paraId="183383B2"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-$16,527,787 </w:t>
            </w:r>
          </w:p>
        </w:tc>
        <w:tc>
          <w:tcPr>
            <w:tcW w:w="1193" w:type="dxa"/>
            <w:noWrap/>
            <w:vAlign w:val="center"/>
          </w:tcPr>
          <w:p w14:paraId="0B4FF6EB"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-$17,389,303 </w:t>
            </w:r>
          </w:p>
        </w:tc>
        <w:tc>
          <w:tcPr>
            <w:tcW w:w="1193" w:type="dxa"/>
            <w:noWrap/>
            <w:vAlign w:val="center"/>
          </w:tcPr>
          <w:p w14:paraId="15C05224"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-$18,295,725 </w:t>
            </w:r>
          </w:p>
        </w:tc>
        <w:tc>
          <w:tcPr>
            <w:tcW w:w="1288" w:type="dxa"/>
            <w:noWrap/>
            <w:vAlign w:val="center"/>
          </w:tcPr>
          <w:p w14:paraId="0E1BEE79"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-$82,852,456 </w:t>
            </w:r>
          </w:p>
        </w:tc>
      </w:tr>
      <w:tr w:rsidR="00067458" w:rsidRPr="00DA3C6E" w14:paraId="2A5E5A9B" w14:textId="77777777" w:rsidTr="0047278C">
        <w:trPr>
          <w:trHeight w:val="106"/>
        </w:trPr>
        <w:tc>
          <w:tcPr>
            <w:tcW w:w="2083" w:type="dxa"/>
            <w:gridSpan w:val="2"/>
          </w:tcPr>
          <w:p w14:paraId="4BAA08FB" w14:textId="77777777" w:rsidR="00067458" w:rsidRPr="00DA3C6E" w:rsidRDefault="00067458" w:rsidP="0047278C">
            <w:pPr>
              <w:rPr>
                <w:rFonts w:ascii="Arial Narrow" w:hAnsi="Arial Narrow"/>
                <w:sz w:val="20"/>
              </w:rPr>
            </w:pPr>
            <w:r w:rsidRPr="00DA3C6E">
              <w:rPr>
                <w:rFonts w:ascii="Arial Narrow" w:hAnsi="Arial Narrow"/>
                <w:sz w:val="20"/>
              </w:rPr>
              <w:t>Net costs to the states and territories</w:t>
            </w:r>
          </w:p>
        </w:tc>
        <w:tc>
          <w:tcPr>
            <w:tcW w:w="1193" w:type="dxa"/>
            <w:noWrap/>
            <w:vAlign w:val="center"/>
          </w:tcPr>
          <w:p w14:paraId="5527689D"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-$15,889,242 </w:t>
            </w:r>
          </w:p>
        </w:tc>
        <w:tc>
          <w:tcPr>
            <w:tcW w:w="1342" w:type="dxa"/>
            <w:noWrap/>
            <w:vAlign w:val="center"/>
          </w:tcPr>
          <w:p w14:paraId="63E52A4C"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-$16,725,581 </w:t>
            </w:r>
          </w:p>
        </w:tc>
        <w:tc>
          <w:tcPr>
            <w:tcW w:w="1193" w:type="dxa"/>
            <w:noWrap/>
            <w:vAlign w:val="center"/>
          </w:tcPr>
          <w:p w14:paraId="69948896"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-$17,585,744 </w:t>
            </w:r>
          </w:p>
        </w:tc>
        <w:tc>
          <w:tcPr>
            <w:tcW w:w="1193" w:type="dxa"/>
            <w:noWrap/>
            <w:vAlign w:val="center"/>
          </w:tcPr>
          <w:p w14:paraId="0248E0AD"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-$18,470,975 </w:t>
            </w:r>
          </w:p>
        </w:tc>
        <w:tc>
          <w:tcPr>
            <w:tcW w:w="1193" w:type="dxa"/>
            <w:noWrap/>
            <w:vAlign w:val="center"/>
          </w:tcPr>
          <w:p w14:paraId="40DFFBD4"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-$19,382,580 </w:t>
            </w:r>
          </w:p>
        </w:tc>
        <w:tc>
          <w:tcPr>
            <w:tcW w:w="1288" w:type="dxa"/>
            <w:noWrap/>
            <w:vAlign w:val="center"/>
          </w:tcPr>
          <w:p w14:paraId="6BCCC995"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-$88,054,122 </w:t>
            </w:r>
          </w:p>
        </w:tc>
      </w:tr>
      <w:tr w:rsidR="00067458" w:rsidRPr="00DA3C6E" w14:paraId="1C9C84C6" w14:textId="77777777" w:rsidTr="0047278C">
        <w:trPr>
          <w:trHeight w:val="106"/>
        </w:trPr>
        <w:tc>
          <w:tcPr>
            <w:tcW w:w="2083" w:type="dxa"/>
            <w:gridSpan w:val="2"/>
          </w:tcPr>
          <w:p w14:paraId="00C6C15B" w14:textId="77777777" w:rsidR="00067458" w:rsidRPr="00DA3C6E" w:rsidRDefault="00067458" w:rsidP="0047278C">
            <w:pPr>
              <w:rPr>
                <w:rFonts w:ascii="Arial Narrow" w:hAnsi="Arial Narrow"/>
                <w:sz w:val="20"/>
              </w:rPr>
            </w:pPr>
            <w:r w:rsidRPr="00DA3C6E">
              <w:rPr>
                <w:rFonts w:ascii="Arial Narrow" w:hAnsi="Arial Narrow"/>
                <w:sz w:val="20"/>
              </w:rPr>
              <w:t>Total net costs</w:t>
            </w:r>
          </w:p>
        </w:tc>
        <w:tc>
          <w:tcPr>
            <w:tcW w:w="1193" w:type="dxa"/>
            <w:noWrap/>
            <w:vAlign w:val="center"/>
          </w:tcPr>
          <w:p w14:paraId="63F479C0"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-$30,819,929 </w:t>
            </w:r>
          </w:p>
        </w:tc>
        <w:tc>
          <w:tcPr>
            <w:tcW w:w="1342" w:type="dxa"/>
            <w:noWrap/>
            <w:vAlign w:val="center"/>
          </w:tcPr>
          <w:p w14:paraId="34EFB5B6"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-$32,434,534 </w:t>
            </w:r>
          </w:p>
        </w:tc>
        <w:tc>
          <w:tcPr>
            <w:tcW w:w="1193" w:type="dxa"/>
            <w:noWrap/>
            <w:vAlign w:val="center"/>
          </w:tcPr>
          <w:p w14:paraId="6B1AC8D4"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-$34,113,532 </w:t>
            </w:r>
          </w:p>
        </w:tc>
        <w:tc>
          <w:tcPr>
            <w:tcW w:w="1193" w:type="dxa"/>
            <w:noWrap/>
            <w:vAlign w:val="center"/>
          </w:tcPr>
          <w:p w14:paraId="7D975251"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-$35,860,278 </w:t>
            </w:r>
          </w:p>
        </w:tc>
        <w:tc>
          <w:tcPr>
            <w:tcW w:w="1193" w:type="dxa"/>
            <w:noWrap/>
            <w:vAlign w:val="center"/>
          </w:tcPr>
          <w:p w14:paraId="313DDD72"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-$37,678,305 </w:t>
            </w:r>
          </w:p>
        </w:tc>
        <w:tc>
          <w:tcPr>
            <w:tcW w:w="1288" w:type="dxa"/>
            <w:noWrap/>
            <w:vAlign w:val="center"/>
          </w:tcPr>
          <w:p w14:paraId="2D65272C" w14:textId="77777777" w:rsidR="00067458" w:rsidRPr="00DA3C6E" w:rsidRDefault="00067458" w:rsidP="0047278C">
            <w:pPr>
              <w:jc w:val="center"/>
              <w:rPr>
                <w:rFonts w:ascii="Arial Narrow" w:hAnsi="Arial Narrow" w:cs="Calibri"/>
                <w:color w:val="000000"/>
                <w:sz w:val="20"/>
              </w:rPr>
            </w:pPr>
            <w:r w:rsidRPr="00DA3C6E">
              <w:rPr>
                <w:rFonts w:ascii="Arial Narrow" w:hAnsi="Arial Narrow" w:cs="Calibri"/>
                <w:color w:val="000000"/>
                <w:sz w:val="20"/>
              </w:rPr>
              <w:t xml:space="preserve">-$170,906,578 </w:t>
            </w:r>
          </w:p>
        </w:tc>
      </w:tr>
    </w:tbl>
    <w:p w14:paraId="3B9E65D7" w14:textId="72DEA931" w:rsidR="00067458" w:rsidRDefault="00067458" w:rsidP="00067458">
      <w:pPr>
        <w:pStyle w:val="Tablenotes"/>
        <w:spacing w:after="0"/>
      </w:pPr>
      <w:r w:rsidRPr="00882574">
        <w:rPr>
          <w:b/>
        </w:rPr>
        <w:t>Source</w:t>
      </w:r>
      <w:r>
        <w:t xml:space="preserve">: </w:t>
      </w:r>
      <w:r w:rsidR="000A12A3">
        <w:t>1590 DCAR</w:t>
      </w:r>
      <w:r>
        <w:t>, Table 46</w:t>
      </w:r>
    </w:p>
    <w:p w14:paraId="46B5AEA4" w14:textId="77777777" w:rsidR="00067458" w:rsidRPr="00DA3C6E" w:rsidRDefault="00067458" w:rsidP="00067458">
      <w:pPr>
        <w:pStyle w:val="Tablenotes"/>
        <w:spacing w:after="0"/>
      </w:pPr>
      <w:r w:rsidRPr="00DA3C6E">
        <w:t>Abbreviations: AE = adverse events; BSC = best supportive care; Ig = immunoglobulin; MBS = Medicare Benefit Scheme; MMN = multifocal motor neuropathy; NBA = National Blood Authority; PBS = Pharmaceutical Benefit Scheme.</w:t>
      </w:r>
    </w:p>
    <w:p w14:paraId="7B7B2E82" w14:textId="6FE535B0" w:rsidR="00067458" w:rsidRPr="00B7509C" w:rsidRDefault="00067458" w:rsidP="00B7509C">
      <w:pPr>
        <w:pStyle w:val="Tablenotes"/>
        <w:spacing w:after="0"/>
      </w:pPr>
      <w:r w:rsidRPr="00DA3C6E">
        <w:t xml:space="preserve">Notes: </w:t>
      </w:r>
      <w:r w:rsidRPr="00DA3C6E">
        <w:rPr>
          <w:vertAlign w:val="superscript"/>
        </w:rPr>
        <w:t>a</w:t>
      </w:r>
      <w:r w:rsidRPr="00DA3C6E">
        <w:t xml:space="preserve"> The National Blood Agreement states that 63% of products are funded by the Commonwealth and 37% </w:t>
      </w:r>
      <w:r w:rsidR="00B7509C">
        <w:t xml:space="preserve">by the states and territories. </w:t>
      </w:r>
    </w:p>
    <w:p w14:paraId="724C0DC4" w14:textId="6DA40B04" w:rsidR="000957C2" w:rsidRPr="00B7509C" w:rsidRDefault="00067458" w:rsidP="00B7509C">
      <w:pPr>
        <w:tabs>
          <w:tab w:val="left" w:pos="720"/>
          <w:tab w:val="left" w:pos="1140"/>
        </w:tabs>
        <w:spacing w:before="240"/>
        <w:rPr>
          <w:szCs w:val="24"/>
        </w:rPr>
      </w:pPr>
      <w:r>
        <w:rPr>
          <w:szCs w:val="24"/>
        </w:rPr>
        <w:t xml:space="preserve">Sensitivity </w:t>
      </w:r>
      <w:r w:rsidRPr="00FB28BE">
        <w:rPr>
          <w:szCs w:val="24"/>
        </w:rPr>
        <w:t xml:space="preserve">analyses (see </w:t>
      </w:r>
      <w:r w:rsidR="00BF2BFB" w:rsidRPr="00BF2BFB">
        <w:rPr>
          <w:szCs w:val="24"/>
        </w:rPr>
        <w:fldChar w:fldCharType="begin"/>
      </w:r>
      <w:r w:rsidR="00BF2BFB" w:rsidRPr="00BF2BFB">
        <w:rPr>
          <w:szCs w:val="24"/>
        </w:rPr>
        <w:instrText xml:space="preserve"> REF _Ref50556615 \h  \* MERGEFORMAT </w:instrText>
      </w:r>
      <w:r w:rsidR="00BF2BFB" w:rsidRPr="00BF2BFB">
        <w:rPr>
          <w:szCs w:val="24"/>
        </w:rPr>
      </w:r>
      <w:r w:rsidR="00BF2BFB" w:rsidRPr="00BF2BFB">
        <w:rPr>
          <w:szCs w:val="24"/>
        </w:rPr>
        <w:fldChar w:fldCharType="separate"/>
      </w:r>
      <w:r w:rsidR="00123232" w:rsidRPr="00123232">
        <w:rPr>
          <w:szCs w:val="24"/>
        </w:rPr>
        <w:t>Table 11</w:t>
      </w:r>
      <w:r w:rsidR="00BF2BFB" w:rsidRPr="00BF2BFB">
        <w:rPr>
          <w:szCs w:val="24"/>
        </w:rPr>
        <w:fldChar w:fldCharType="end"/>
      </w:r>
      <w:r w:rsidRPr="00FB28BE">
        <w:rPr>
          <w:szCs w:val="24"/>
        </w:rPr>
        <w:t>) were performed to explore the uncertainty in the assumptions used to determine the financial implications. The results were most sensitive to the cost of Ig, and linearly projecting the total number of grams used per patient (which was k</w:t>
      </w:r>
      <w:bookmarkStart w:id="47" w:name="_Ref29907160"/>
      <w:bookmarkStart w:id="48" w:name="_Toc37845850"/>
      <w:r w:rsidR="00B7509C">
        <w:rPr>
          <w:szCs w:val="24"/>
        </w:rPr>
        <w:t>ept constant in the base case).</w:t>
      </w:r>
      <w:r w:rsidR="000957C2">
        <w:br w:type="page"/>
      </w:r>
    </w:p>
    <w:p w14:paraId="1D093345" w14:textId="6CB2204E" w:rsidR="00067458" w:rsidRPr="009027FE" w:rsidRDefault="000957C2" w:rsidP="009027FE">
      <w:pPr>
        <w:rPr>
          <w:rFonts w:ascii="Arial Narrow" w:hAnsi="Arial Narrow"/>
          <w:b/>
          <w:sz w:val="20"/>
        </w:rPr>
      </w:pPr>
      <w:bookmarkStart w:id="49" w:name="_Ref50556615"/>
      <w:r w:rsidRPr="009027FE">
        <w:rPr>
          <w:rFonts w:ascii="Arial Narrow" w:hAnsi="Arial Narrow"/>
          <w:b/>
          <w:sz w:val="20"/>
        </w:rPr>
        <w:lastRenderedPageBreak/>
        <w:t xml:space="preserve">Table </w:t>
      </w:r>
      <w:r w:rsidR="003F56BF" w:rsidRPr="009027FE">
        <w:rPr>
          <w:rFonts w:ascii="Arial Narrow" w:hAnsi="Arial Narrow"/>
          <w:b/>
          <w:sz w:val="20"/>
        </w:rPr>
        <w:fldChar w:fldCharType="begin"/>
      </w:r>
      <w:r w:rsidR="003F56BF" w:rsidRPr="009027FE">
        <w:rPr>
          <w:rFonts w:ascii="Arial Narrow" w:hAnsi="Arial Narrow"/>
          <w:b/>
          <w:sz w:val="20"/>
        </w:rPr>
        <w:instrText xml:space="preserve"> SEQ Table \* ARABIC </w:instrText>
      </w:r>
      <w:r w:rsidR="003F56BF" w:rsidRPr="009027FE">
        <w:rPr>
          <w:rFonts w:ascii="Arial Narrow" w:hAnsi="Arial Narrow"/>
          <w:b/>
          <w:sz w:val="20"/>
        </w:rPr>
        <w:fldChar w:fldCharType="separate"/>
      </w:r>
      <w:r w:rsidR="00123232">
        <w:rPr>
          <w:rFonts w:ascii="Arial Narrow" w:hAnsi="Arial Narrow"/>
          <w:b/>
          <w:noProof/>
          <w:sz w:val="20"/>
        </w:rPr>
        <w:t>11</w:t>
      </w:r>
      <w:r w:rsidR="003F56BF" w:rsidRPr="009027FE">
        <w:rPr>
          <w:rFonts w:ascii="Arial Narrow" w:hAnsi="Arial Narrow"/>
          <w:b/>
          <w:sz w:val="20"/>
        </w:rPr>
        <w:fldChar w:fldCharType="end"/>
      </w:r>
      <w:bookmarkEnd w:id="47"/>
      <w:bookmarkEnd w:id="49"/>
      <w:r w:rsidRPr="009027FE">
        <w:rPr>
          <w:rFonts w:ascii="Arial Narrow" w:hAnsi="Arial Narrow"/>
          <w:b/>
          <w:sz w:val="20"/>
        </w:rPr>
        <w:t>:</w:t>
      </w:r>
      <w:r w:rsidR="00067458" w:rsidRPr="009027FE">
        <w:rPr>
          <w:rFonts w:ascii="Arial Narrow" w:hAnsi="Arial Narrow"/>
          <w:b/>
          <w:sz w:val="20"/>
        </w:rPr>
        <w:t xml:space="preserve"> Sensitivity analyses around the financial implication estimates.</w:t>
      </w:r>
      <w:bookmarkEnd w:id="48"/>
    </w:p>
    <w:tbl>
      <w:tblPr>
        <w:tblStyle w:val="TableGrid2"/>
        <w:tblW w:w="0" w:type="auto"/>
        <w:tblLayout w:type="fixed"/>
        <w:tblLook w:val="04A0" w:firstRow="1" w:lastRow="0" w:firstColumn="1" w:lastColumn="0" w:noHBand="0" w:noVBand="1"/>
        <w:tblDescription w:val="Sensitivity analyses around the financial implication estimates."/>
      </w:tblPr>
      <w:tblGrid>
        <w:gridCol w:w="1271"/>
        <w:gridCol w:w="1276"/>
        <w:gridCol w:w="1276"/>
        <w:gridCol w:w="1275"/>
        <w:gridCol w:w="1276"/>
        <w:gridCol w:w="1276"/>
        <w:gridCol w:w="1366"/>
      </w:tblGrid>
      <w:tr w:rsidR="00067458" w:rsidRPr="00DA3C6E" w14:paraId="11203B7C" w14:textId="77777777" w:rsidTr="00FF12D5">
        <w:trPr>
          <w:cnfStyle w:val="100000000000" w:firstRow="1" w:lastRow="0" w:firstColumn="0" w:lastColumn="0" w:oddVBand="0" w:evenVBand="0" w:oddHBand="0" w:evenHBand="0" w:firstRowFirstColumn="0" w:firstRowLastColumn="0" w:lastRowFirstColumn="0" w:lastRowLastColumn="0"/>
          <w:trHeight w:val="315"/>
          <w:tblHeader/>
        </w:trPr>
        <w:tc>
          <w:tcPr>
            <w:tcW w:w="1271" w:type="dxa"/>
            <w:noWrap/>
            <w:hideMark/>
          </w:tcPr>
          <w:p w14:paraId="0500B1EA" w14:textId="77777777" w:rsidR="00067458" w:rsidRPr="00DA3C6E" w:rsidRDefault="00067458" w:rsidP="0047278C">
            <w:pPr>
              <w:rPr>
                <w:rFonts w:ascii="Arial Narrow" w:hAnsi="Arial Narrow"/>
                <w:sz w:val="20"/>
              </w:rPr>
            </w:pPr>
          </w:p>
        </w:tc>
        <w:tc>
          <w:tcPr>
            <w:tcW w:w="1276" w:type="dxa"/>
            <w:noWrap/>
            <w:hideMark/>
          </w:tcPr>
          <w:p w14:paraId="06B61B4E" w14:textId="77777777" w:rsidR="00067458" w:rsidRPr="00DA3C6E" w:rsidRDefault="00067458" w:rsidP="0047278C">
            <w:pPr>
              <w:jc w:val="center"/>
              <w:rPr>
                <w:rFonts w:ascii="Arial Narrow" w:hAnsi="Arial Narrow" w:cs="Calibri"/>
                <w:b/>
                <w:bCs/>
                <w:sz w:val="20"/>
              </w:rPr>
            </w:pPr>
            <w:r w:rsidRPr="00DA3C6E">
              <w:rPr>
                <w:rFonts w:ascii="Arial Narrow" w:hAnsi="Arial Narrow" w:cs="Calibri"/>
                <w:b/>
                <w:bCs/>
                <w:sz w:val="20"/>
              </w:rPr>
              <w:t>Year 1</w:t>
            </w:r>
          </w:p>
        </w:tc>
        <w:tc>
          <w:tcPr>
            <w:tcW w:w="1276" w:type="dxa"/>
            <w:noWrap/>
            <w:hideMark/>
          </w:tcPr>
          <w:p w14:paraId="134222C8" w14:textId="77777777" w:rsidR="00067458" w:rsidRPr="00DA3C6E" w:rsidRDefault="00067458" w:rsidP="0047278C">
            <w:pPr>
              <w:jc w:val="center"/>
              <w:rPr>
                <w:rFonts w:ascii="Arial Narrow" w:hAnsi="Arial Narrow" w:cs="Calibri"/>
                <w:b/>
                <w:bCs/>
                <w:sz w:val="20"/>
              </w:rPr>
            </w:pPr>
            <w:r w:rsidRPr="00DA3C6E">
              <w:rPr>
                <w:rFonts w:ascii="Arial Narrow" w:hAnsi="Arial Narrow" w:cs="Calibri"/>
                <w:b/>
                <w:bCs/>
                <w:sz w:val="20"/>
              </w:rPr>
              <w:t>Year 2</w:t>
            </w:r>
          </w:p>
        </w:tc>
        <w:tc>
          <w:tcPr>
            <w:tcW w:w="1275" w:type="dxa"/>
            <w:noWrap/>
            <w:hideMark/>
          </w:tcPr>
          <w:p w14:paraId="6B3D02E8" w14:textId="77777777" w:rsidR="00067458" w:rsidRPr="00DA3C6E" w:rsidRDefault="00067458" w:rsidP="0047278C">
            <w:pPr>
              <w:jc w:val="center"/>
              <w:rPr>
                <w:rFonts w:ascii="Arial Narrow" w:hAnsi="Arial Narrow" w:cs="Calibri"/>
                <w:b/>
                <w:bCs/>
                <w:sz w:val="20"/>
              </w:rPr>
            </w:pPr>
            <w:r w:rsidRPr="00DA3C6E">
              <w:rPr>
                <w:rFonts w:ascii="Arial Narrow" w:hAnsi="Arial Narrow" w:cs="Calibri"/>
                <w:b/>
                <w:bCs/>
                <w:sz w:val="20"/>
              </w:rPr>
              <w:t>Year 3</w:t>
            </w:r>
          </w:p>
        </w:tc>
        <w:tc>
          <w:tcPr>
            <w:tcW w:w="1276" w:type="dxa"/>
            <w:noWrap/>
            <w:hideMark/>
          </w:tcPr>
          <w:p w14:paraId="1EA57D96" w14:textId="77777777" w:rsidR="00067458" w:rsidRPr="00DA3C6E" w:rsidRDefault="00067458" w:rsidP="0047278C">
            <w:pPr>
              <w:jc w:val="center"/>
              <w:rPr>
                <w:rFonts w:ascii="Arial Narrow" w:hAnsi="Arial Narrow" w:cs="Calibri"/>
                <w:b/>
                <w:bCs/>
                <w:sz w:val="20"/>
              </w:rPr>
            </w:pPr>
            <w:r w:rsidRPr="00DA3C6E">
              <w:rPr>
                <w:rFonts w:ascii="Arial Narrow" w:hAnsi="Arial Narrow" w:cs="Calibri"/>
                <w:b/>
                <w:bCs/>
                <w:sz w:val="20"/>
              </w:rPr>
              <w:t>Year 4</w:t>
            </w:r>
          </w:p>
        </w:tc>
        <w:tc>
          <w:tcPr>
            <w:tcW w:w="1276" w:type="dxa"/>
            <w:noWrap/>
            <w:hideMark/>
          </w:tcPr>
          <w:p w14:paraId="4DCFAE58" w14:textId="77777777" w:rsidR="00067458" w:rsidRPr="00DA3C6E" w:rsidRDefault="00067458" w:rsidP="0047278C">
            <w:pPr>
              <w:jc w:val="center"/>
              <w:rPr>
                <w:rFonts w:ascii="Arial Narrow" w:hAnsi="Arial Narrow" w:cs="Calibri"/>
                <w:b/>
                <w:bCs/>
                <w:sz w:val="20"/>
              </w:rPr>
            </w:pPr>
            <w:r w:rsidRPr="00DA3C6E">
              <w:rPr>
                <w:rFonts w:ascii="Arial Narrow" w:hAnsi="Arial Narrow" w:cs="Calibri"/>
                <w:b/>
                <w:bCs/>
                <w:sz w:val="20"/>
              </w:rPr>
              <w:t>Year 5</w:t>
            </w:r>
          </w:p>
        </w:tc>
        <w:tc>
          <w:tcPr>
            <w:tcW w:w="1366" w:type="dxa"/>
            <w:noWrap/>
            <w:hideMark/>
          </w:tcPr>
          <w:p w14:paraId="3360516B" w14:textId="77777777" w:rsidR="00067458" w:rsidRPr="00DA3C6E" w:rsidRDefault="00067458" w:rsidP="0047278C">
            <w:pPr>
              <w:jc w:val="center"/>
              <w:rPr>
                <w:rFonts w:ascii="Arial Narrow" w:hAnsi="Arial Narrow" w:cs="Calibri"/>
                <w:b/>
                <w:bCs/>
                <w:sz w:val="20"/>
              </w:rPr>
            </w:pPr>
            <w:r w:rsidRPr="00DA3C6E">
              <w:rPr>
                <w:rFonts w:ascii="Arial Narrow" w:hAnsi="Arial Narrow" w:cs="Calibri"/>
                <w:b/>
                <w:bCs/>
                <w:sz w:val="20"/>
              </w:rPr>
              <w:t>Total over 5 years</w:t>
            </w:r>
          </w:p>
        </w:tc>
      </w:tr>
      <w:tr w:rsidR="00067458" w:rsidRPr="00DA3C6E" w14:paraId="04ECF859" w14:textId="77777777" w:rsidTr="00FF12D5">
        <w:trPr>
          <w:trHeight w:val="315"/>
        </w:trPr>
        <w:tc>
          <w:tcPr>
            <w:tcW w:w="1271" w:type="dxa"/>
            <w:noWrap/>
            <w:hideMark/>
          </w:tcPr>
          <w:p w14:paraId="1C96ADB6" w14:textId="77777777" w:rsidR="00067458" w:rsidRPr="00DA3C6E" w:rsidRDefault="00067458" w:rsidP="0047278C">
            <w:pPr>
              <w:rPr>
                <w:rFonts w:cs="Calibri"/>
                <w:sz w:val="20"/>
              </w:rPr>
            </w:pPr>
            <w:r w:rsidRPr="00DA3C6E">
              <w:rPr>
                <w:rFonts w:cs="Calibri"/>
                <w:sz w:val="20"/>
              </w:rPr>
              <w:t>Base case</w:t>
            </w:r>
          </w:p>
        </w:tc>
        <w:tc>
          <w:tcPr>
            <w:tcW w:w="1276" w:type="dxa"/>
            <w:noWrap/>
          </w:tcPr>
          <w:p w14:paraId="5B92D24B" w14:textId="77777777" w:rsidR="00067458" w:rsidRPr="00DA3C6E" w:rsidRDefault="00067458" w:rsidP="0047278C">
            <w:pPr>
              <w:jc w:val="center"/>
              <w:rPr>
                <w:rFonts w:cs="Calibri"/>
                <w:sz w:val="20"/>
              </w:rPr>
            </w:pPr>
            <w:r w:rsidRPr="00DA3C6E">
              <w:rPr>
                <w:rFonts w:cs="Calibri"/>
                <w:sz w:val="20"/>
              </w:rPr>
              <w:t>-$30,819,929</w:t>
            </w:r>
          </w:p>
        </w:tc>
        <w:tc>
          <w:tcPr>
            <w:tcW w:w="1276" w:type="dxa"/>
            <w:noWrap/>
          </w:tcPr>
          <w:p w14:paraId="2A9A6369" w14:textId="77777777" w:rsidR="00067458" w:rsidRPr="00DA3C6E" w:rsidRDefault="00067458" w:rsidP="0047278C">
            <w:pPr>
              <w:jc w:val="center"/>
              <w:rPr>
                <w:rFonts w:cs="Calibri"/>
                <w:sz w:val="20"/>
              </w:rPr>
            </w:pPr>
            <w:r w:rsidRPr="00DA3C6E">
              <w:rPr>
                <w:rFonts w:cs="Calibri"/>
                <w:sz w:val="20"/>
              </w:rPr>
              <w:t>-$32,434,534</w:t>
            </w:r>
          </w:p>
        </w:tc>
        <w:tc>
          <w:tcPr>
            <w:tcW w:w="1275" w:type="dxa"/>
            <w:noWrap/>
          </w:tcPr>
          <w:p w14:paraId="7FE476A7" w14:textId="77777777" w:rsidR="00067458" w:rsidRPr="00DA3C6E" w:rsidRDefault="00067458" w:rsidP="0047278C">
            <w:pPr>
              <w:jc w:val="center"/>
              <w:rPr>
                <w:rFonts w:cs="Calibri"/>
                <w:sz w:val="20"/>
              </w:rPr>
            </w:pPr>
            <w:r w:rsidRPr="00DA3C6E">
              <w:rPr>
                <w:rFonts w:cs="Calibri"/>
                <w:sz w:val="20"/>
              </w:rPr>
              <w:t>-$34,113,531</w:t>
            </w:r>
          </w:p>
        </w:tc>
        <w:tc>
          <w:tcPr>
            <w:tcW w:w="1276" w:type="dxa"/>
            <w:noWrap/>
          </w:tcPr>
          <w:p w14:paraId="7AA8D7C1" w14:textId="77777777" w:rsidR="00067458" w:rsidRPr="00DA3C6E" w:rsidRDefault="00067458" w:rsidP="0047278C">
            <w:pPr>
              <w:jc w:val="center"/>
              <w:rPr>
                <w:rFonts w:cs="Calibri"/>
                <w:sz w:val="20"/>
              </w:rPr>
            </w:pPr>
            <w:r w:rsidRPr="00DA3C6E">
              <w:rPr>
                <w:rFonts w:cs="Calibri"/>
                <w:sz w:val="20"/>
              </w:rPr>
              <w:t>-$35,860,278</w:t>
            </w:r>
          </w:p>
        </w:tc>
        <w:tc>
          <w:tcPr>
            <w:tcW w:w="1276" w:type="dxa"/>
            <w:noWrap/>
          </w:tcPr>
          <w:p w14:paraId="3A6A0751" w14:textId="77777777" w:rsidR="00067458" w:rsidRPr="00DA3C6E" w:rsidRDefault="00067458" w:rsidP="0047278C">
            <w:pPr>
              <w:jc w:val="center"/>
              <w:rPr>
                <w:rFonts w:cs="Calibri"/>
                <w:sz w:val="20"/>
              </w:rPr>
            </w:pPr>
            <w:r w:rsidRPr="00DA3C6E">
              <w:rPr>
                <w:rFonts w:cs="Calibri"/>
                <w:sz w:val="20"/>
              </w:rPr>
              <w:t>-$37,678,305</w:t>
            </w:r>
          </w:p>
        </w:tc>
        <w:tc>
          <w:tcPr>
            <w:tcW w:w="1366" w:type="dxa"/>
            <w:noWrap/>
          </w:tcPr>
          <w:p w14:paraId="10A7802D" w14:textId="77777777" w:rsidR="00067458" w:rsidRPr="00DA3C6E" w:rsidRDefault="00067458" w:rsidP="0047278C">
            <w:pPr>
              <w:jc w:val="center"/>
              <w:rPr>
                <w:rFonts w:cs="Calibri"/>
                <w:sz w:val="20"/>
              </w:rPr>
            </w:pPr>
            <w:r w:rsidRPr="00DA3C6E">
              <w:rPr>
                <w:rFonts w:cs="Calibri"/>
                <w:sz w:val="20"/>
              </w:rPr>
              <w:t>-$170,906,578</w:t>
            </w:r>
          </w:p>
        </w:tc>
      </w:tr>
      <w:tr w:rsidR="00067458" w:rsidRPr="00DA3C6E" w14:paraId="5A05FA89" w14:textId="77777777" w:rsidTr="00FF12D5">
        <w:trPr>
          <w:trHeight w:val="315"/>
        </w:trPr>
        <w:tc>
          <w:tcPr>
            <w:tcW w:w="1271" w:type="dxa"/>
            <w:noWrap/>
          </w:tcPr>
          <w:p w14:paraId="12001213" w14:textId="77777777" w:rsidR="00067458" w:rsidRPr="00DA3C6E" w:rsidRDefault="00067458" w:rsidP="0047278C">
            <w:pPr>
              <w:rPr>
                <w:rFonts w:cs="Calibri"/>
                <w:sz w:val="20"/>
              </w:rPr>
            </w:pPr>
            <w:r w:rsidRPr="00DA3C6E">
              <w:rPr>
                <w:rFonts w:cs="Calibri"/>
                <w:sz w:val="20"/>
              </w:rPr>
              <w:t>Ig low cost ($44.94)</w:t>
            </w:r>
          </w:p>
        </w:tc>
        <w:tc>
          <w:tcPr>
            <w:tcW w:w="1276" w:type="dxa"/>
            <w:noWrap/>
          </w:tcPr>
          <w:p w14:paraId="27C22F08" w14:textId="77777777" w:rsidR="00067458" w:rsidRPr="00DA3C6E" w:rsidRDefault="00067458" w:rsidP="0047278C">
            <w:pPr>
              <w:jc w:val="center"/>
              <w:rPr>
                <w:b/>
                <w:sz w:val="20"/>
              </w:rPr>
            </w:pPr>
            <w:r w:rsidRPr="00DA3C6E">
              <w:rPr>
                <w:rFonts w:cs="Calibri"/>
                <w:sz w:val="20"/>
              </w:rPr>
              <w:t>-$24,750,879</w:t>
            </w:r>
          </w:p>
        </w:tc>
        <w:tc>
          <w:tcPr>
            <w:tcW w:w="1276" w:type="dxa"/>
            <w:noWrap/>
          </w:tcPr>
          <w:p w14:paraId="5F930E5C" w14:textId="77777777" w:rsidR="00067458" w:rsidRPr="00DA3C6E" w:rsidRDefault="00067458" w:rsidP="0047278C">
            <w:pPr>
              <w:jc w:val="center"/>
              <w:rPr>
                <w:b/>
                <w:sz w:val="20"/>
              </w:rPr>
            </w:pPr>
            <w:r w:rsidRPr="00DA3C6E">
              <w:rPr>
                <w:rFonts w:cs="Calibri"/>
                <w:sz w:val="20"/>
              </w:rPr>
              <w:t>-$26,049,133</w:t>
            </w:r>
          </w:p>
        </w:tc>
        <w:tc>
          <w:tcPr>
            <w:tcW w:w="1275" w:type="dxa"/>
            <w:noWrap/>
          </w:tcPr>
          <w:p w14:paraId="279AD210" w14:textId="77777777" w:rsidR="00067458" w:rsidRPr="00DA3C6E" w:rsidRDefault="00067458" w:rsidP="0047278C">
            <w:pPr>
              <w:jc w:val="center"/>
              <w:rPr>
                <w:b/>
                <w:sz w:val="20"/>
              </w:rPr>
            </w:pPr>
            <w:r w:rsidRPr="00DA3C6E">
              <w:rPr>
                <w:rFonts w:cs="Calibri"/>
                <w:sz w:val="20"/>
              </w:rPr>
              <w:t>-$27,395,290</w:t>
            </w:r>
          </w:p>
        </w:tc>
        <w:tc>
          <w:tcPr>
            <w:tcW w:w="1276" w:type="dxa"/>
            <w:noWrap/>
          </w:tcPr>
          <w:p w14:paraId="79798634" w14:textId="77777777" w:rsidR="00067458" w:rsidRPr="00DA3C6E" w:rsidRDefault="00067458" w:rsidP="0047278C">
            <w:pPr>
              <w:jc w:val="center"/>
              <w:rPr>
                <w:b/>
                <w:sz w:val="20"/>
              </w:rPr>
            </w:pPr>
            <w:r w:rsidRPr="00DA3C6E">
              <w:rPr>
                <w:rFonts w:cs="Calibri"/>
                <w:sz w:val="20"/>
              </w:rPr>
              <w:t>-$28,791,846</w:t>
            </w:r>
          </w:p>
        </w:tc>
        <w:tc>
          <w:tcPr>
            <w:tcW w:w="1276" w:type="dxa"/>
            <w:noWrap/>
          </w:tcPr>
          <w:p w14:paraId="461E634A" w14:textId="77777777" w:rsidR="00067458" w:rsidRPr="00DA3C6E" w:rsidRDefault="00067458" w:rsidP="0047278C">
            <w:pPr>
              <w:jc w:val="center"/>
              <w:rPr>
                <w:b/>
                <w:sz w:val="20"/>
              </w:rPr>
            </w:pPr>
            <w:r w:rsidRPr="00DA3C6E">
              <w:rPr>
                <w:rFonts w:cs="Calibri"/>
                <w:sz w:val="20"/>
              </w:rPr>
              <w:t>-$30,241,429</w:t>
            </w:r>
          </w:p>
        </w:tc>
        <w:tc>
          <w:tcPr>
            <w:tcW w:w="1366" w:type="dxa"/>
            <w:noWrap/>
          </w:tcPr>
          <w:p w14:paraId="16D3E507" w14:textId="77777777" w:rsidR="00067458" w:rsidRPr="00DA3C6E" w:rsidRDefault="00067458" w:rsidP="0047278C">
            <w:pPr>
              <w:jc w:val="center"/>
              <w:rPr>
                <w:b/>
                <w:sz w:val="20"/>
              </w:rPr>
            </w:pPr>
            <w:r w:rsidRPr="00DA3C6E">
              <w:rPr>
                <w:rFonts w:cs="Calibri"/>
                <w:sz w:val="20"/>
              </w:rPr>
              <w:t>-$137,228,576</w:t>
            </w:r>
          </w:p>
        </w:tc>
      </w:tr>
      <w:tr w:rsidR="00067458" w:rsidRPr="00DA3C6E" w14:paraId="0AF690E6" w14:textId="77777777" w:rsidTr="00FF12D5">
        <w:trPr>
          <w:trHeight w:val="315"/>
        </w:trPr>
        <w:tc>
          <w:tcPr>
            <w:tcW w:w="1271" w:type="dxa"/>
            <w:noWrap/>
          </w:tcPr>
          <w:p w14:paraId="32692E11" w14:textId="77777777" w:rsidR="00067458" w:rsidRPr="00DA3C6E" w:rsidRDefault="00067458" w:rsidP="0047278C">
            <w:pPr>
              <w:rPr>
                <w:rFonts w:cs="Calibri"/>
                <w:sz w:val="20"/>
              </w:rPr>
            </w:pPr>
            <w:r w:rsidRPr="00DA3C6E">
              <w:rPr>
                <w:rFonts w:cs="Calibri"/>
                <w:sz w:val="20"/>
              </w:rPr>
              <w:t>Ig high cost ($140.18)</w:t>
            </w:r>
          </w:p>
        </w:tc>
        <w:tc>
          <w:tcPr>
            <w:tcW w:w="1276" w:type="dxa"/>
            <w:noWrap/>
          </w:tcPr>
          <w:p w14:paraId="081902EB" w14:textId="77777777" w:rsidR="00067458" w:rsidRPr="00DA3C6E" w:rsidRDefault="00067458" w:rsidP="0047278C">
            <w:pPr>
              <w:jc w:val="center"/>
              <w:rPr>
                <w:b/>
                <w:sz w:val="20"/>
              </w:rPr>
            </w:pPr>
            <w:r w:rsidRPr="00DA3C6E">
              <w:rPr>
                <w:rFonts w:cs="Calibri"/>
                <w:sz w:val="20"/>
              </w:rPr>
              <w:t>-$62,114,573</w:t>
            </w:r>
          </w:p>
        </w:tc>
        <w:tc>
          <w:tcPr>
            <w:tcW w:w="1276" w:type="dxa"/>
            <w:noWrap/>
          </w:tcPr>
          <w:p w14:paraId="4291A273" w14:textId="77777777" w:rsidR="00067458" w:rsidRPr="00DA3C6E" w:rsidRDefault="00067458" w:rsidP="0047278C">
            <w:pPr>
              <w:jc w:val="center"/>
              <w:rPr>
                <w:b/>
                <w:sz w:val="20"/>
              </w:rPr>
            </w:pPr>
            <w:r w:rsidRPr="00DA3C6E">
              <w:rPr>
                <w:rFonts w:cs="Calibri"/>
                <w:sz w:val="20"/>
              </w:rPr>
              <w:t>-$65,360,420</w:t>
            </w:r>
          </w:p>
        </w:tc>
        <w:tc>
          <w:tcPr>
            <w:tcW w:w="1275" w:type="dxa"/>
            <w:noWrap/>
          </w:tcPr>
          <w:p w14:paraId="6811EEA4" w14:textId="77777777" w:rsidR="00067458" w:rsidRPr="00DA3C6E" w:rsidRDefault="00067458" w:rsidP="0047278C">
            <w:pPr>
              <w:jc w:val="center"/>
              <w:rPr>
                <w:b/>
                <w:sz w:val="20"/>
              </w:rPr>
            </w:pPr>
            <w:r w:rsidRPr="00DA3C6E">
              <w:rPr>
                <w:rFonts w:cs="Calibri"/>
                <w:sz w:val="20"/>
              </w:rPr>
              <w:t>-$68,755,688</w:t>
            </w:r>
          </w:p>
        </w:tc>
        <w:tc>
          <w:tcPr>
            <w:tcW w:w="1276" w:type="dxa"/>
            <w:noWrap/>
          </w:tcPr>
          <w:p w14:paraId="12FCF3C1" w14:textId="77777777" w:rsidR="00067458" w:rsidRPr="00DA3C6E" w:rsidRDefault="00067458" w:rsidP="0047278C">
            <w:pPr>
              <w:jc w:val="center"/>
              <w:rPr>
                <w:b/>
                <w:sz w:val="20"/>
              </w:rPr>
            </w:pPr>
            <w:r w:rsidRPr="00DA3C6E">
              <w:rPr>
                <w:rFonts w:cs="Calibri"/>
                <w:sz w:val="20"/>
              </w:rPr>
              <w:t>-$72,308,166</w:t>
            </w:r>
          </w:p>
        </w:tc>
        <w:tc>
          <w:tcPr>
            <w:tcW w:w="1276" w:type="dxa"/>
            <w:noWrap/>
          </w:tcPr>
          <w:p w14:paraId="0D1FF55A" w14:textId="77777777" w:rsidR="00067458" w:rsidRPr="00DA3C6E" w:rsidRDefault="00067458" w:rsidP="0047278C">
            <w:pPr>
              <w:jc w:val="center"/>
              <w:rPr>
                <w:b/>
                <w:sz w:val="20"/>
              </w:rPr>
            </w:pPr>
            <w:r w:rsidRPr="00DA3C6E">
              <w:rPr>
                <w:rFonts w:cs="Calibri"/>
                <w:sz w:val="20"/>
              </w:rPr>
              <w:t>-$76,026,050</w:t>
            </w:r>
          </w:p>
        </w:tc>
        <w:tc>
          <w:tcPr>
            <w:tcW w:w="1366" w:type="dxa"/>
            <w:noWrap/>
          </w:tcPr>
          <w:p w14:paraId="1E14470D" w14:textId="77777777" w:rsidR="00067458" w:rsidRPr="00DA3C6E" w:rsidRDefault="00067458" w:rsidP="0047278C">
            <w:pPr>
              <w:jc w:val="center"/>
              <w:rPr>
                <w:b/>
                <w:sz w:val="20"/>
              </w:rPr>
            </w:pPr>
            <w:r w:rsidRPr="00DA3C6E">
              <w:rPr>
                <w:rFonts w:cs="Calibri"/>
                <w:sz w:val="20"/>
              </w:rPr>
              <w:t>-$344,564,897</w:t>
            </w:r>
          </w:p>
        </w:tc>
      </w:tr>
      <w:tr w:rsidR="00067458" w:rsidRPr="00DA3C6E" w14:paraId="0BC5C8FD" w14:textId="77777777" w:rsidTr="00FF12D5">
        <w:trPr>
          <w:trHeight w:val="315"/>
        </w:trPr>
        <w:tc>
          <w:tcPr>
            <w:tcW w:w="1271" w:type="dxa"/>
            <w:noWrap/>
          </w:tcPr>
          <w:p w14:paraId="30216C7F" w14:textId="77777777" w:rsidR="00067458" w:rsidRPr="00DA3C6E" w:rsidRDefault="00067458" w:rsidP="0047278C">
            <w:pPr>
              <w:rPr>
                <w:rFonts w:cs="Calibri"/>
                <w:sz w:val="20"/>
              </w:rPr>
            </w:pPr>
            <w:r w:rsidRPr="00DA3C6E">
              <w:rPr>
                <w:rFonts w:cs="Calibri"/>
                <w:sz w:val="20"/>
              </w:rPr>
              <w:t>Intravenous Ig based on agreed weighted domestic and international price ($94.51)</w:t>
            </w:r>
          </w:p>
        </w:tc>
        <w:tc>
          <w:tcPr>
            <w:tcW w:w="1276" w:type="dxa"/>
            <w:noWrap/>
          </w:tcPr>
          <w:p w14:paraId="0D4C0CAC" w14:textId="77777777" w:rsidR="00067458" w:rsidRPr="00DA3C6E" w:rsidRDefault="00067458" w:rsidP="0047278C">
            <w:pPr>
              <w:rPr>
                <w:rFonts w:cs="Calibri"/>
                <w:sz w:val="20"/>
              </w:rPr>
            </w:pPr>
            <w:r w:rsidRPr="00DA3C6E">
              <w:rPr>
                <w:rFonts w:cs="Calibri"/>
                <w:sz w:val="20"/>
              </w:rPr>
              <w:t>-$44,197,732</w:t>
            </w:r>
          </w:p>
        </w:tc>
        <w:tc>
          <w:tcPr>
            <w:tcW w:w="1276" w:type="dxa"/>
            <w:noWrap/>
          </w:tcPr>
          <w:p w14:paraId="398ECF5E" w14:textId="77777777" w:rsidR="00067458" w:rsidRPr="00DA3C6E" w:rsidRDefault="00067458" w:rsidP="0047278C">
            <w:pPr>
              <w:rPr>
                <w:rFonts w:cs="Calibri"/>
                <w:sz w:val="20"/>
              </w:rPr>
            </w:pPr>
            <w:r w:rsidRPr="00DA3C6E">
              <w:rPr>
                <w:rFonts w:cs="Calibri"/>
                <w:sz w:val="20"/>
              </w:rPr>
              <w:t>-$36,534,614</w:t>
            </w:r>
          </w:p>
        </w:tc>
        <w:tc>
          <w:tcPr>
            <w:tcW w:w="1275" w:type="dxa"/>
            <w:noWrap/>
          </w:tcPr>
          <w:p w14:paraId="36B61B6C" w14:textId="77777777" w:rsidR="00067458" w:rsidRPr="00DA3C6E" w:rsidRDefault="00067458" w:rsidP="0047278C">
            <w:pPr>
              <w:rPr>
                <w:rFonts w:cs="Calibri"/>
                <w:sz w:val="20"/>
              </w:rPr>
            </w:pPr>
            <w:r w:rsidRPr="00DA3C6E">
              <w:rPr>
                <w:rFonts w:cs="Calibri"/>
                <w:sz w:val="20"/>
              </w:rPr>
              <w:t>-$38,427,329</w:t>
            </w:r>
          </w:p>
        </w:tc>
        <w:tc>
          <w:tcPr>
            <w:tcW w:w="1276" w:type="dxa"/>
            <w:noWrap/>
          </w:tcPr>
          <w:p w14:paraId="0346C2A6" w14:textId="77777777" w:rsidR="00067458" w:rsidRPr="00DA3C6E" w:rsidRDefault="00067458" w:rsidP="0047278C">
            <w:pPr>
              <w:rPr>
                <w:rFonts w:cs="Calibri"/>
                <w:sz w:val="20"/>
              </w:rPr>
            </w:pPr>
            <w:r w:rsidRPr="00DA3C6E">
              <w:rPr>
                <w:rFonts w:cs="Calibri"/>
                <w:sz w:val="20"/>
              </w:rPr>
              <w:t>-$40,398,934</w:t>
            </w:r>
          </w:p>
        </w:tc>
        <w:tc>
          <w:tcPr>
            <w:tcW w:w="1276" w:type="dxa"/>
            <w:noWrap/>
          </w:tcPr>
          <w:p w14:paraId="4CA60790" w14:textId="77777777" w:rsidR="00067458" w:rsidRPr="00DA3C6E" w:rsidRDefault="00067458" w:rsidP="0047278C">
            <w:pPr>
              <w:rPr>
                <w:rFonts w:cs="Calibri"/>
                <w:sz w:val="20"/>
              </w:rPr>
            </w:pPr>
            <w:r w:rsidRPr="00DA3C6E">
              <w:rPr>
                <w:rFonts w:cs="Calibri"/>
                <w:sz w:val="20"/>
              </w:rPr>
              <w:t>-$42,453,539</w:t>
            </w:r>
          </w:p>
        </w:tc>
        <w:tc>
          <w:tcPr>
            <w:tcW w:w="1366" w:type="dxa"/>
            <w:noWrap/>
          </w:tcPr>
          <w:p w14:paraId="187CEE11" w14:textId="77777777" w:rsidR="00067458" w:rsidRPr="00DA3C6E" w:rsidRDefault="00067458" w:rsidP="0047278C">
            <w:pPr>
              <w:rPr>
                <w:rFonts w:cs="Calibri"/>
                <w:sz w:val="20"/>
              </w:rPr>
            </w:pPr>
            <w:r w:rsidRPr="00DA3C6E">
              <w:rPr>
                <w:rFonts w:cs="Calibri"/>
                <w:sz w:val="20"/>
              </w:rPr>
              <w:t>-$202,012,149</w:t>
            </w:r>
          </w:p>
        </w:tc>
      </w:tr>
      <w:tr w:rsidR="00067458" w:rsidRPr="00DA3C6E" w14:paraId="21973108" w14:textId="77777777" w:rsidTr="00FF12D5">
        <w:trPr>
          <w:trHeight w:val="315"/>
        </w:trPr>
        <w:tc>
          <w:tcPr>
            <w:tcW w:w="1271" w:type="dxa"/>
            <w:noWrap/>
            <w:hideMark/>
          </w:tcPr>
          <w:p w14:paraId="3DBC37F9" w14:textId="77777777" w:rsidR="00067458" w:rsidRPr="00DA3C6E" w:rsidRDefault="00067458" w:rsidP="0047278C">
            <w:pPr>
              <w:rPr>
                <w:rFonts w:cs="Calibri"/>
                <w:sz w:val="20"/>
              </w:rPr>
            </w:pPr>
            <w:r w:rsidRPr="00DA3C6E">
              <w:rPr>
                <w:rFonts w:cs="Calibri"/>
                <w:sz w:val="20"/>
              </w:rPr>
              <w:t>Linear projection of utilised Ig grams</w:t>
            </w:r>
          </w:p>
        </w:tc>
        <w:tc>
          <w:tcPr>
            <w:tcW w:w="1276" w:type="dxa"/>
            <w:noWrap/>
          </w:tcPr>
          <w:p w14:paraId="78BC2FC8" w14:textId="77777777" w:rsidR="00067458" w:rsidRPr="00DA3C6E" w:rsidRDefault="00067458" w:rsidP="0047278C">
            <w:pPr>
              <w:jc w:val="center"/>
              <w:rPr>
                <w:rFonts w:cs="Calibri"/>
                <w:sz w:val="20"/>
              </w:rPr>
            </w:pPr>
            <w:r w:rsidRPr="00DA3C6E">
              <w:rPr>
                <w:rFonts w:cs="Calibri"/>
                <w:sz w:val="20"/>
              </w:rPr>
              <w:t>-$32,124,806</w:t>
            </w:r>
          </w:p>
        </w:tc>
        <w:tc>
          <w:tcPr>
            <w:tcW w:w="1276" w:type="dxa"/>
            <w:noWrap/>
          </w:tcPr>
          <w:p w14:paraId="6682142C" w14:textId="77777777" w:rsidR="00067458" w:rsidRPr="00DA3C6E" w:rsidRDefault="00067458" w:rsidP="0047278C">
            <w:pPr>
              <w:jc w:val="center"/>
              <w:rPr>
                <w:rFonts w:cs="Calibri"/>
                <w:sz w:val="20"/>
              </w:rPr>
            </w:pPr>
            <w:r w:rsidRPr="00DA3C6E">
              <w:rPr>
                <w:rFonts w:cs="Calibri"/>
                <w:sz w:val="20"/>
              </w:rPr>
              <w:t>-$35,255,912</w:t>
            </w:r>
          </w:p>
        </w:tc>
        <w:tc>
          <w:tcPr>
            <w:tcW w:w="1275" w:type="dxa"/>
            <w:noWrap/>
          </w:tcPr>
          <w:p w14:paraId="274CDA64" w14:textId="77777777" w:rsidR="00067458" w:rsidRPr="00DA3C6E" w:rsidRDefault="00067458" w:rsidP="0047278C">
            <w:pPr>
              <w:jc w:val="center"/>
              <w:rPr>
                <w:rFonts w:cs="Calibri"/>
                <w:sz w:val="20"/>
              </w:rPr>
            </w:pPr>
            <w:r w:rsidRPr="00DA3C6E">
              <w:rPr>
                <w:rFonts w:cs="Calibri"/>
                <w:sz w:val="20"/>
              </w:rPr>
              <w:t>-$38,689,870</w:t>
            </w:r>
          </w:p>
        </w:tc>
        <w:tc>
          <w:tcPr>
            <w:tcW w:w="1276" w:type="dxa"/>
            <w:noWrap/>
          </w:tcPr>
          <w:p w14:paraId="4A62F236" w14:textId="77777777" w:rsidR="00067458" w:rsidRPr="00DA3C6E" w:rsidRDefault="00067458" w:rsidP="0047278C">
            <w:pPr>
              <w:jc w:val="center"/>
              <w:rPr>
                <w:rFonts w:cs="Calibri"/>
                <w:sz w:val="20"/>
              </w:rPr>
            </w:pPr>
            <w:r w:rsidRPr="00DA3C6E">
              <w:rPr>
                <w:rFonts w:cs="Calibri"/>
                <w:sz w:val="20"/>
              </w:rPr>
              <w:t>-$42,460,012</w:t>
            </w:r>
          </w:p>
        </w:tc>
        <w:tc>
          <w:tcPr>
            <w:tcW w:w="1276" w:type="dxa"/>
            <w:noWrap/>
          </w:tcPr>
          <w:p w14:paraId="50F2F12F" w14:textId="77777777" w:rsidR="00067458" w:rsidRPr="00DA3C6E" w:rsidRDefault="00067458" w:rsidP="0047278C">
            <w:pPr>
              <w:jc w:val="center"/>
              <w:rPr>
                <w:rFonts w:cs="Calibri"/>
                <w:sz w:val="20"/>
              </w:rPr>
            </w:pPr>
            <w:r w:rsidRPr="00DA3C6E">
              <w:rPr>
                <w:rFonts w:cs="Calibri"/>
                <w:sz w:val="20"/>
              </w:rPr>
              <w:t>-$46,603,335</w:t>
            </w:r>
          </w:p>
        </w:tc>
        <w:tc>
          <w:tcPr>
            <w:tcW w:w="1366" w:type="dxa"/>
            <w:noWrap/>
          </w:tcPr>
          <w:p w14:paraId="131B83AD" w14:textId="77777777" w:rsidR="00067458" w:rsidRPr="00DA3C6E" w:rsidRDefault="00067458" w:rsidP="0047278C">
            <w:pPr>
              <w:jc w:val="center"/>
              <w:rPr>
                <w:rFonts w:cs="Calibri"/>
                <w:sz w:val="20"/>
              </w:rPr>
            </w:pPr>
            <w:r w:rsidRPr="00DA3C6E">
              <w:rPr>
                <w:rFonts w:cs="Calibri"/>
                <w:sz w:val="20"/>
              </w:rPr>
              <w:t>-$195,133,934</w:t>
            </w:r>
          </w:p>
        </w:tc>
      </w:tr>
      <w:tr w:rsidR="00067458" w:rsidRPr="00DA3C6E" w14:paraId="6F351079" w14:textId="77777777" w:rsidTr="00FF12D5">
        <w:trPr>
          <w:trHeight w:val="315"/>
        </w:trPr>
        <w:tc>
          <w:tcPr>
            <w:tcW w:w="1271" w:type="dxa"/>
            <w:noWrap/>
            <w:hideMark/>
          </w:tcPr>
          <w:p w14:paraId="4040C7B0" w14:textId="77777777" w:rsidR="00067458" w:rsidRPr="00DA3C6E" w:rsidRDefault="00067458" w:rsidP="0047278C">
            <w:pPr>
              <w:rPr>
                <w:rFonts w:cs="Calibri"/>
                <w:sz w:val="20"/>
              </w:rPr>
            </w:pPr>
            <w:r w:rsidRPr="00DA3C6E">
              <w:rPr>
                <w:rFonts w:cs="Calibri"/>
                <w:sz w:val="20"/>
              </w:rPr>
              <w:t>Ig administration 100% via public hospitals</w:t>
            </w:r>
          </w:p>
        </w:tc>
        <w:tc>
          <w:tcPr>
            <w:tcW w:w="1276" w:type="dxa"/>
            <w:noWrap/>
          </w:tcPr>
          <w:p w14:paraId="1039853B" w14:textId="77777777" w:rsidR="00067458" w:rsidRPr="00DA3C6E" w:rsidRDefault="00067458" w:rsidP="0047278C">
            <w:pPr>
              <w:jc w:val="center"/>
              <w:rPr>
                <w:rFonts w:cs="Calibri"/>
                <w:sz w:val="20"/>
              </w:rPr>
            </w:pPr>
            <w:r w:rsidRPr="00DA3C6E">
              <w:rPr>
                <w:rFonts w:cs="Calibri"/>
                <w:sz w:val="20"/>
              </w:rPr>
              <w:t>-$30,700,757</w:t>
            </w:r>
          </w:p>
        </w:tc>
        <w:tc>
          <w:tcPr>
            <w:tcW w:w="1276" w:type="dxa"/>
            <w:noWrap/>
          </w:tcPr>
          <w:p w14:paraId="09B8D731" w14:textId="77777777" w:rsidR="00067458" w:rsidRPr="00DA3C6E" w:rsidRDefault="00067458" w:rsidP="0047278C">
            <w:pPr>
              <w:jc w:val="center"/>
              <w:rPr>
                <w:rFonts w:cs="Calibri"/>
                <w:sz w:val="20"/>
              </w:rPr>
            </w:pPr>
            <w:r w:rsidRPr="00DA3C6E">
              <w:rPr>
                <w:rFonts w:cs="Calibri"/>
                <w:sz w:val="20"/>
              </w:rPr>
              <w:t>-$32,309,014</w:t>
            </w:r>
          </w:p>
        </w:tc>
        <w:tc>
          <w:tcPr>
            <w:tcW w:w="1275" w:type="dxa"/>
            <w:noWrap/>
          </w:tcPr>
          <w:p w14:paraId="13243378" w14:textId="77777777" w:rsidR="00067458" w:rsidRPr="00DA3C6E" w:rsidRDefault="00067458" w:rsidP="0047278C">
            <w:pPr>
              <w:jc w:val="center"/>
              <w:rPr>
                <w:rFonts w:cs="Calibri"/>
                <w:sz w:val="20"/>
              </w:rPr>
            </w:pPr>
            <w:r w:rsidRPr="00DA3C6E">
              <w:rPr>
                <w:rFonts w:cs="Calibri"/>
                <w:sz w:val="20"/>
              </w:rPr>
              <w:t>-$33,981,664</w:t>
            </w:r>
          </w:p>
        </w:tc>
        <w:tc>
          <w:tcPr>
            <w:tcW w:w="1276" w:type="dxa"/>
            <w:noWrap/>
          </w:tcPr>
          <w:p w14:paraId="6ED72CB3" w14:textId="77777777" w:rsidR="00067458" w:rsidRPr="00DA3C6E" w:rsidRDefault="00067458" w:rsidP="0047278C">
            <w:pPr>
              <w:jc w:val="center"/>
              <w:rPr>
                <w:rFonts w:cs="Calibri"/>
                <w:sz w:val="20"/>
              </w:rPr>
            </w:pPr>
            <w:r w:rsidRPr="00DA3C6E">
              <w:rPr>
                <w:rFonts w:cs="Calibri"/>
                <w:sz w:val="20"/>
              </w:rPr>
              <w:t>-$35,722,063</w:t>
            </w:r>
          </w:p>
        </w:tc>
        <w:tc>
          <w:tcPr>
            <w:tcW w:w="1276" w:type="dxa"/>
            <w:noWrap/>
          </w:tcPr>
          <w:p w14:paraId="4FDAD260" w14:textId="77777777" w:rsidR="00067458" w:rsidRPr="00DA3C6E" w:rsidRDefault="00067458" w:rsidP="0047278C">
            <w:pPr>
              <w:jc w:val="center"/>
              <w:rPr>
                <w:rFonts w:cs="Calibri"/>
                <w:sz w:val="20"/>
              </w:rPr>
            </w:pPr>
            <w:r w:rsidRPr="00DA3C6E">
              <w:rPr>
                <w:rFonts w:cs="Calibri"/>
                <w:sz w:val="20"/>
              </w:rPr>
              <w:t>-$37,533,742</w:t>
            </w:r>
          </w:p>
        </w:tc>
        <w:tc>
          <w:tcPr>
            <w:tcW w:w="1366" w:type="dxa"/>
            <w:noWrap/>
          </w:tcPr>
          <w:p w14:paraId="18C596C0" w14:textId="77777777" w:rsidR="00067458" w:rsidRPr="00DA3C6E" w:rsidRDefault="00067458" w:rsidP="0047278C">
            <w:pPr>
              <w:jc w:val="center"/>
              <w:rPr>
                <w:rFonts w:cs="Calibri"/>
                <w:sz w:val="20"/>
              </w:rPr>
            </w:pPr>
            <w:r w:rsidRPr="00DA3C6E">
              <w:rPr>
                <w:rFonts w:cs="Calibri"/>
                <w:sz w:val="20"/>
              </w:rPr>
              <w:t>-$170,247,241</w:t>
            </w:r>
          </w:p>
        </w:tc>
      </w:tr>
      <w:tr w:rsidR="00067458" w:rsidRPr="00DA3C6E" w14:paraId="0A00A02D" w14:textId="77777777" w:rsidTr="00FF12D5">
        <w:trPr>
          <w:trHeight w:val="315"/>
        </w:trPr>
        <w:tc>
          <w:tcPr>
            <w:tcW w:w="1271" w:type="dxa"/>
            <w:noWrap/>
            <w:hideMark/>
          </w:tcPr>
          <w:p w14:paraId="61C5F228" w14:textId="77777777" w:rsidR="00067458" w:rsidRPr="00DA3C6E" w:rsidRDefault="00067458" w:rsidP="0047278C">
            <w:pPr>
              <w:rPr>
                <w:rFonts w:cs="Calibri"/>
                <w:sz w:val="20"/>
              </w:rPr>
            </w:pPr>
            <w:r w:rsidRPr="00DA3C6E">
              <w:rPr>
                <w:rFonts w:cs="Calibri"/>
                <w:sz w:val="20"/>
              </w:rPr>
              <w:t>Incidence of AE doubled</w:t>
            </w:r>
          </w:p>
        </w:tc>
        <w:tc>
          <w:tcPr>
            <w:tcW w:w="1276" w:type="dxa"/>
            <w:noWrap/>
          </w:tcPr>
          <w:p w14:paraId="01E7E0A5" w14:textId="77777777" w:rsidR="00067458" w:rsidRPr="00DA3C6E" w:rsidRDefault="00067458" w:rsidP="0047278C">
            <w:pPr>
              <w:jc w:val="center"/>
              <w:rPr>
                <w:rFonts w:cs="Calibri"/>
                <w:sz w:val="20"/>
              </w:rPr>
            </w:pPr>
            <w:r w:rsidRPr="00DA3C6E">
              <w:rPr>
                <w:rFonts w:cs="Calibri"/>
                <w:sz w:val="20"/>
              </w:rPr>
              <w:t>-$31,037,120</w:t>
            </w:r>
          </w:p>
        </w:tc>
        <w:tc>
          <w:tcPr>
            <w:tcW w:w="1276" w:type="dxa"/>
            <w:noWrap/>
          </w:tcPr>
          <w:p w14:paraId="37A1D3F0" w14:textId="77777777" w:rsidR="00067458" w:rsidRPr="00DA3C6E" w:rsidRDefault="00067458" w:rsidP="0047278C">
            <w:pPr>
              <w:jc w:val="center"/>
              <w:rPr>
                <w:rFonts w:cs="Calibri"/>
                <w:sz w:val="20"/>
              </w:rPr>
            </w:pPr>
            <w:r w:rsidRPr="00DA3C6E">
              <w:rPr>
                <w:rFonts w:cs="Calibri"/>
                <w:sz w:val="20"/>
              </w:rPr>
              <w:t>-$32,663,293</w:t>
            </w:r>
          </w:p>
        </w:tc>
        <w:tc>
          <w:tcPr>
            <w:tcW w:w="1275" w:type="dxa"/>
            <w:noWrap/>
          </w:tcPr>
          <w:p w14:paraId="564C684B" w14:textId="77777777" w:rsidR="00067458" w:rsidRPr="00DA3C6E" w:rsidRDefault="00067458" w:rsidP="0047278C">
            <w:pPr>
              <w:jc w:val="center"/>
              <w:rPr>
                <w:rFonts w:cs="Calibri"/>
                <w:sz w:val="20"/>
              </w:rPr>
            </w:pPr>
            <w:r w:rsidRPr="00DA3C6E">
              <w:rPr>
                <w:rFonts w:cs="Calibri"/>
                <w:sz w:val="20"/>
              </w:rPr>
              <w:t>-$34,353,859</w:t>
            </w:r>
          </w:p>
        </w:tc>
        <w:tc>
          <w:tcPr>
            <w:tcW w:w="1276" w:type="dxa"/>
            <w:noWrap/>
          </w:tcPr>
          <w:p w14:paraId="4C49E860" w14:textId="77777777" w:rsidR="00067458" w:rsidRPr="00DA3C6E" w:rsidRDefault="00067458" w:rsidP="0047278C">
            <w:pPr>
              <w:jc w:val="center"/>
              <w:rPr>
                <w:rFonts w:cs="Calibri"/>
                <w:sz w:val="20"/>
              </w:rPr>
            </w:pPr>
            <w:r w:rsidRPr="00DA3C6E">
              <w:rPr>
                <w:rFonts w:cs="Calibri"/>
                <w:sz w:val="20"/>
              </w:rPr>
              <w:t>-$36,112,173</w:t>
            </w:r>
          </w:p>
        </w:tc>
        <w:tc>
          <w:tcPr>
            <w:tcW w:w="1276" w:type="dxa"/>
            <w:noWrap/>
          </w:tcPr>
          <w:p w14:paraId="4A6490A1" w14:textId="77777777" w:rsidR="00067458" w:rsidRPr="00DA3C6E" w:rsidRDefault="00067458" w:rsidP="0047278C">
            <w:pPr>
              <w:jc w:val="center"/>
              <w:rPr>
                <w:rFonts w:cs="Calibri"/>
                <w:sz w:val="20"/>
              </w:rPr>
            </w:pPr>
            <w:r w:rsidRPr="00DA3C6E">
              <w:rPr>
                <w:rFonts w:cs="Calibri"/>
                <w:sz w:val="20"/>
              </w:rPr>
              <w:t>-$37,941,769</w:t>
            </w:r>
          </w:p>
        </w:tc>
        <w:tc>
          <w:tcPr>
            <w:tcW w:w="1366" w:type="dxa"/>
            <w:noWrap/>
          </w:tcPr>
          <w:p w14:paraId="0F0D3D98" w14:textId="77777777" w:rsidR="00067458" w:rsidRPr="00DA3C6E" w:rsidRDefault="00067458" w:rsidP="0047278C">
            <w:pPr>
              <w:jc w:val="center"/>
              <w:rPr>
                <w:rFonts w:cs="Calibri"/>
                <w:sz w:val="20"/>
              </w:rPr>
            </w:pPr>
            <w:r w:rsidRPr="00DA3C6E">
              <w:rPr>
                <w:rFonts w:cs="Calibri"/>
                <w:sz w:val="20"/>
              </w:rPr>
              <w:t>-$172,108,213</w:t>
            </w:r>
          </w:p>
        </w:tc>
      </w:tr>
      <w:tr w:rsidR="00067458" w:rsidRPr="00DA3C6E" w14:paraId="4063B6F2" w14:textId="77777777" w:rsidTr="00FF12D5">
        <w:trPr>
          <w:trHeight w:val="315"/>
        </w:trPr>
        <w:tc>
          <w:tcPr>
            <w:tcW w:w="1271" w:type="dxa"/>
            <w:noWrap/>
            <w:hideMark/>
          </w:tcPr>
          <w:p w14:paraId="550D9B6A" w14:textId="77777777" w:rsidR="00067458" w:rsidRPr="00DA3C6E" w:rsidRDefault="00067458" w:rsidP="0047278C">
            <w:pPr>
              <w:rPr>
                <w:rFonts w:cs="Calibri"/>
                <w:sz w:val="20"/>
              </w:rPr>
            </w:pPr>
            <w:r w:rsidRPr="00DA3C6E">
              <w:rPr>
                <w:rFonts w:cs="Calibri"/>
                <w:sz w:val="20"/>
              </w:rPr>
              <w:t>Linear projection of number of episodes per patient</w:t>
            </w:r>
          </w:p>
        </w:tc>
        <w:tc>
          <w:tcPr>
            <w:tcW w:w="1276" w:type="dxa"/>
            <w:noWrap/>
          </w:tcPr>
          <w:p w14:paraId="06100CC6" w14:textId="77777777" w:rsidR="00067458" w:rsidRPr="00DA3C6E" w:rsidRDefault="00067458" w:rsidP="0047278C">
            <w:pPr>
              <w:jc w:val="center"/>
              <w:rPr>
                <w:rFonts w:cs="Calibri"/>
                <w:sz w:val="20"/>
              </w:rPr>
            </w:pPr>
            <w:r w:rsidRPr="00DA3C6E">
              <w:rPr>
                <w:rFonts w:cs="Calibri"/>
                <w:sz w:val="20"/>
              </w:rPr>
              <w:t>-$30,848,318</w:t>
            </w:r>
          </w:p>
        </w:tc>
        <w:tc>
          <w:tcPr>
            <w:tcW w:w="1276" w:type="dxa"/>
            <w:noWrap/>
          </w:tcPr>
          <w:p w14:paraId="30C6C48C" w14:textId="77777777" w:rsidR="00067458" w:rsidRPr="00DA3C6E" w:rsidRDefault="00067458" w:rsidP="0047278C">
            <w:pPr>
              <w:jc w:val="center"/>
              <w:rPr>
                <w:rFonts w:cs="Calibri"/>
                <w:sz w:val="20"/>
              </w:rPr>
            </w:pPr>
            <w:r w:rsidRPr="00DA3C6E">
              <w:rPr>
                <w:rFonts w:cs="Calibri"/>
                <w:sz w:val="20"/>
              </w:rPr>
              <w:t>-$32,484,369</w:t>
            </w:r>
          </w:p>
        </w:tc>
        <w:tc>
          <w:tcPr>
            <w:tcW w:w="1275" w:type="dxa"/>
            <w:noWrap/>
          </w:tcPr>
          <w:p w14:paraId="546F06AD" w14:textId="77777777" w:rsidR="00067458" w:rsidRPr="00DA3C6E" w:rsidRDefault="00067458" w:rsidP="0047278C">
            <w:pPr>
              <w:jc w:val="center"/>
              <w:rPr>
                <w:rFonts w:cs="Calibri"/>
                <w:sz w:val="20"/>
              </w:rPr>
            </w:pPr>
            <w:r w:rsidRPr="00DA3C6E">
              <w:rPr>
                <w:rFonts w:cs="Calibri"/>
                <w:sz w:val="20"/>
              </w:rPr>
              <w:t>-$34,186,828</w:t>
            </w:r>
          </w:p>
        </w:tc>
        <w:tc>
          <w:tcPr>
            <w:tcW w:w="1276" w:type="dxa"/>
            <w:noWrap/>
          </w:tcPr>
          <w:p w14:paraId="425FF031" w14:textId="77777777" w:rsidR="00067458" w:rsidRPr="00DA3C6E" w:rsidRDefault="00067458" w:rsidP="0047278C">
            <w:pPr>
              <w:jc w:val="center"/>
              <w:rPr>
                <w:rFonts w:cs="Calibri"/>
                <w:sz w:val="20"/>
              </w:rPr>
            </w:pPr>
            <w:r w:rsidRPr="00DA3C6E">
              <w:rPr>
                <w:rFonts w:cs="Calibri"/>
                <w:sz w:val="20"/>
              </w:rPr>
              <w:t>-$35,959,053</w:t>
            </w:r>
          </w:p>
        </w:tc>
        <w:tc>
          <w:tcPr>
            <w:tcW w:w="1276" w:type="dxa"/>
            <w:noWrap/>
          </w:tcPr>
          <w:p w14:paraId="758E5D5E" w14:textId="77777777" w:rsidR="00067458" w:rsidRPr="00DA3C6E" w:rsidRDefault="00067458" w:rsidP="0047278C">
            <w:pPr>
              <w:jc w:val="center"/>
              <w:rPr>
                <w:rFonts w:cs="Calibri"/>
                <w:sz w:val="20"/>
              </w:rPr>
            </w:pPr>
            <w:r w:rsidRPr="00DA3C6E">
              <w:rPr>
                <w:rFonts w:cs="Calibri"/>
                <w:sz w:val="20"/>
              </w:rPr>
              <w:t>-$37,804,575</w:t>
            </w:r>
          </w:p>
        </w:tc>
        <w:tc>
          <w:tcPr>
            <w:tcW w:w="1366" w:type="dxa"/>
            <w:noWrap/>
          </w:tcPr>
          <w:p w14:paraId="71A0C99E" w14:textId="77777777" w:rsidR="00067458" w:rsidRPr="00DA3C6E" w:rsidRDefault="00067458" w:rsidP="0047278C">
            <w:pPr>
              <w:jc w:val="center"/>
              <w:rPr>
                <w:rFonts w:cs="Calibri"/>
                <w:sz w:val="20"/>
              </w:rPr>
            </w:pPr>
            <w:r w:rsidRPr="00DA3C6E">
              <w:rPr>
                <w:rFonts w:cs="Calibri"/>
                <w:sz w:val="20"/>
              </w:rPr>
              <w:t>-$171,283,143</w:t>
            </w:r>
          </w:p>
        </w:tc>
      </w:tr>
      <w:tr w:rsidR="00067458" w:rsidRPr="00DA3C6E" w14:paraId="1915C47A" w14:textId="77777777" w:rsidTr="00FF12D5">
        <w:trPr>
          <w:trHeight w:val="315"/>
        </w:trPr>
        <w:tc>
          <w:tcPr>
            <w:tcW w:w="1271" w:type="dxa"/>
            <w:noWrap/>
          </w:tcPr>
          <w:p w14:paraId="4C6E4831" w14:textId="77777777" w:rsidR="00067458" w:rsidRPr="00DA3C6E" w:rsidRDefault="00067458" w:rsidP="0047278C">
            <w:pPr>
              <w:rPr>
                <w:rFonts w:cs="Calibri"/>
                <w:sz w:val="20"/>
              </w:rPr>
            </w:pPr>
            <w:r w:rsidRPr="00DA3C6E">
              <w:rPr>
                <w:rFonts w:cs="Calibri"/>
                <w:sz w:val="20"/>
              </w:rPr>
              <w:t>Prevalence from Cats et al 2010 (0.6/100,000)</w:t>
            </w:r>
          </w:p>
        </w:tc>
        <w:tc>
          <w:tcPr>
            <w:tcW w:w="1276" w:type="dxa"/>
            <w:noWrap/>
          </w:tcPr>
          <w:p w14:paraId="3DD45751" w14:textId="77777777" w:rsidR="00067458" w:rsidRPr="00DA3C6E" w:rsidRDefault="00067458" w:rsidP="0047278C">
            <w:pPr>
              <w:jc w:val="center"/>
              <w:rPr>
                <w:rFonts w:cs="Calibri"/>
                <w:sz w:val="20"/>
              </w:rPr>
            </w:pPr>
            <w:r w:rsidRPr="00DA3C6E">
              <w:rPr>
                <w:rFonts w:cs="Calibri"/>
                <w:sz w:val="20"/>
              </w:rPr>
              <w:t>-$29,418,559</w:t>
            </w:r>
          </w:p>
        </w:tc>
        <w:tc>
          <w:tcPr>
            <w:tcW w:w="1276" w:type="dxa"/>
            <w:noWrap/>
          </w:tcPr>
          <w:p w14:paraId="16269E43" w14:textId="77777777" w:rsidR="00067458" w:rsidRPr="00DA3C6E" w:rsidRDefault="00067458" w:rsidP="0047278C">
            <w:pPr>
              <w:jc w:val="center"/>
              <w:rPr>
                <w:rFonts w:cs="Calibri"/>
                <w:sz w:val="20"/>
              </w:rPr>
            </w:pPr>
            <w:r w:rsidRPr="00DA3C6E">
              <w:rPr>
                <w:rFonts w:cs="Calibri"/>
                <w:sz w:val="20"/>
              </w:rPr>
              <w:t>-$29,854,964</w:t>
            </w:r>
          </w:p>
        </w:tc>
        <w:tc>
          <w:tcPr>
            <w:tcW w:w="1275" w:type="dxa"/>
            <w:noWrap/>
          </w:tcPr>
          <w:p w14:paraId="62923007" w14:textId="77777777" w:rsidR="00067458" w:rsidRPr="00DA3C6E" w:rsidRDefault="00067458" w:rsidP="0047278C">
            <w:pPr>
              <w:jc w:val="center"/>
              <w:rPr>
                <w:rFonts w:cs="Calibri"/>
                <w:sz w:val="20"/>
              </w:rPr>
            </w:pPr>
            <w:r w:rsidRPr="00DA3C6E">
              <w:rPr>
                <w:rFonts w:cs="Calibri"/>
                <w:sz w:val="20"/>
              </w:rPr>
              <w:t>-$30,296,401</w:t>
            </w:r>
          </w:p>
        </w:tc>
        <w:tc>
          <w:tcPr>
            <w:tcW w:w="1276" w:type="dxa"/>
            <w:noWrap/>
          </w:tcPr>
          <w:p w14:paraId="1D496585" w14:textId="77777777" w:rsidR="00067458" w:rsidRPr="00DA3C6E" w:rsidRDefault="00067458" w:rsidP="0047278C">
            <w:pPr>
              <w:jc w:val="center"/>
              <w:rPr>
                <w:rFonts w:cs="Calibri"/>
                <w:sz w:val="20"/>
              </w:rPr>
            </w:pPr>
            <w:r w:rsidRPr="00DA3C6E">
              <w:rPr>
                <w:rFonts w:cs="Calibri"/>
                <w:sz w:val="20"/>
              </w:rPr>
              <w:t>-$30,742,946</w:t>
            </w:r>
          </w:p>
        </w:tc>
        <w:tc>
          <w:tcPr>
            <w:tcW w:w="1276" w:type="dxa"/>
            <w:noWrap/>
          </w:tcPr>
          <w:p w14:paraId="23C86527" w14:textId="77777777" w:rsidR="00067458" w:rsidRPr="00DA3C6E" w:rsidRDefault="00067458" w:rsidP="0047278C">
            <w:pPr>
              <w:jc w:val="center"/>
              <w:rPr>
                <w:rFonts w:cs="Calibri"/>
                <w:sz w:val="20"/>
              </w:rPr>
            </w:pPr>
            <w:r w:rsidRPr="00DA3C6E">
              <w:rPr>
                <w:rFonts w:cs="Calibri"/>
                <w:sz w:val="20"/>
              </w:rPr>
              <w:t>-$31,194,674</w:t>
            </w:r>
          </w:p>
        </w:tc>
        <w:tc>
          <w:tcPr>
            <w:tcW w:w="1366" w:type="dxa"/>
            <w:noWrap/>
          </w:tcPr>
          <w:p w14:paraId="59DD47BB" w14:textId="77777777" w:rsidR="00067458" w:rsidRPr="00DA3C6E" w:rsidRDefault="00067458" w:rsidP="0047278C">
            <w:pPr>
              <w:jc w:val="center"/>
              <w:rPr>
                <w:rFonts w:cs="Calibri"/>
                <w:sz w:val="20"/>
              </w:rPr>
            </w:pPr>
            <w:r w:rsidRPr="00DA3C6E">
              <w:rPr>
                <w:rFonts w:cs="Calibri"/>
                <w:sz w:val="20"/>
              </w:rPr>
              <w:t>-$151,507,545</w:t>
            </w:r>
          </w:p>
        </w:tc>
      </w:tr>
    </w:tbl>
    <w:p w14:paraId="731F333D" w14:textId="05D98BD1" w:rsidR="00067458" w:rsidRDefault="00067458" w:rsidP="00067458">
      <w:pPr>
        <w:rPr>
          <w:rFonts w:ascii="Arial Narrow" w:hAnsi="Arial Narrow"/>
          <w:sz w:val="18"/>
          <w:szCs w:val="18"/>
        </w:rPr>
      </w:pPr>
      <w:r w:rsidRPr="00207100">
        <w:rPr>
          <w:rFonts w:ascii="Arial Narrow" w:hAnsi="Arial Narrow"/>
          <w:b/>
          <w:sz w:val="18"/>
          <w:szCs w:val="18"/>
        </w:rPr>
        <w:t>Source</w:t>
      </w:r>
      <w:r>
        <w:rPr>
          <w:rFonts w:ascii="Arial Narrow" w:hAnsi="Arial Narrow"/>
          <w:sz w:val="18"/>
          <w:szCs w:val="18"/>
        </w:rPr>
        <w:t xml:space="preserve">: </w:t>
      </w:r>
      <w:r w:rsidR="000A12A3">
        <w:rPr>
          <w:rFonts w:ascii="Arial Narrow" w:hAnsi="Arial Narrow"/>
          <w:sz w:val="18"/>
          <w:szCs w:val="18"/>
        </w:rPr>
        <w:t>1590 DCAR</w:t>
      </w:r>
      <w:r>
        <w:rPr>
          <w:rFonts w:ascii="Arial Narrow" w:hAnsi="Arial Narrow"/>
          <w:sz w:val="18"/>
          <w:szCs w:val="18"/>
        </w:rPr>
        <w:t>, Table 47</w:t>
      </w:r>
    </w:p>
    <w:p w14:paraId="3346540F" w14:textId="7F8D97CD" w:rsidR="00744F88" w:rsidRDefault="00067458">
      <w:pPr>
        <w:rPr>
          <w:rFonts w:ascii="Arial Narrow" w:hAnsi="Arial Narrow"/>
          <w:sz w:val="18"/>
          <w:szCs w:val="18"/>
        </w:rPr>
      </w:pPr>
      <w:r w:rsidRPr="00DA3C6E">
        <w:rPr>
          <w:rFonts w:ascii="Arial Narrow" w:hAnsi="Arial Narrow"/>
          <w:sz w:val="18"/>
          <w:szCs w:val="18"/>
        </w:rPr>
        <w:t>Abbreviations: AE = adverse event; Ig = immunoglobulin.</w:t>
      </w:r>
      <w:r w:rsidR="00744F88">
        <w:rPr>
          <w:rFonts w:ascii="Arial Narrow" w:hAnsi="Arial Narrow"/>
          <w:sz w:val="18"/>
          <w:szCs w:val="18"/>
        </w:rPr>
        <w:br w:type="page"/>
      </w:r>
    </w:p>
    <w:p w14:paraId="7FFAF3E8"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Description w:val="Key issues identified by ESC for MSAC consideration"/>
      </w:tblPr>
      <w:tblGrid>
        <w:gridCol w:w="4248"/>
        <w:gridCol w:w="4768"/>
      </w:tblGrid>
      <w:tr w:rsidR="00067458" w:rsidRPr="00744F88" w14:paraId="436DDA25" w14:textId="77777777" w:rsidTr="009027FE">
        <w:trPr>
          <w:trHeight w:val="523"/>
          <w:tblHeader/>
        </w:trPr>
        <w:tc>
          <w:tcPr>
            <w:tcW w:w="4248" w:type="dxa"/>
            <w:vAlign w:val="center"/>
          </w:tcPr>
          <w:p w14:paraId="596C1B38" w14:textId="77777777" w:rsidR="00067458" w:rsidRPr="00744F88" w:rsidRDefault="00067458" w:rsidP="0047278C">
            <w:pPr>
              <w:tabs>
                <w:tab w:val="left" w:pos="2265"/>
                <w:tab w:val="left" w:pos="3420"/>
                <w:tab w:val="left" w:pos="4320"/>
              </w:tabs>
              <w:rPr>
                <w:b/>
                <w:sz w:val="20"/>
              </w:rPr>
            </w:pPr>
            <w:r w:rsidRPr="00744F88">
              <w:rPr>
                <w:rFonts w:ascii="Arial Narrow" w:hAnsi="Arial Narrow"/>
                <w:b/>
                <w:sz w:val="20"/>
              </w:rPr>
              <w:t>ESC key issue</w:t>
            </w:r>
          </w:p>
        </w:tc>
        <w:tc>
          <w:tcPr>
            <w:tcW w:w="4768" w:type="dxa"/>
            <w:vAlign w:val="center"/>
          </w:tcPr>
          <w:p w14:paraId="235D0AA3" w14:textId="77777777" w:rsidR="00067458" w:rsidRPr="00744F88" w:rsidRDefault="00067458" w:rsidP="0047278C">
            <w:pPr>
              <w:tabs>
                <w:tab w:val="left" w:pos="2265"/>
                <w:tab w:val="left" w:pos="3420"/>
                <w:tab w:val="left" w:pos="4320"/>
              </w:tabs>
              <w:rPr>
                <w:b/>
                <w:sz w:val="20"/>
              </w:rPr>
            </w:pPr>
            <w:r w:rsidRPr="00744F88">
              <w:rPr>
                <w:rFonts w:ascii="Arial Narrow" w:hAnsi="Arial Narrow"/>
                <w:b/>
                <w:sz w:val="20"/>
              </w:rPr>
              <w:t>ESC advice to MSAC</w:t>
            </w:r>
          </w:p>
        </w:tc>
      </w:tr>
      <w:tr w:rsidR="00067458" w:rsidRPr="00744F88" w14:paraId="69677DE7" w14:textId="77777777" w:rsidTr="00744F88">
        <w:trPr>
          <w:trHeight w:val="3476"/>
        </w:trPr>
        <w:tc>
          <w:tcPr>
            <w:tcW w:w="4248" w:type="dxa"/>
          </w:tcPr>
          <w:p w14:paraId="5AE58E9F" w14:textId="17BA9E2D"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The number of patients receiving Ig for MMN in Australia is higher than the estimated prevalence based on published internat</w:t>
            </w:r>
            <w:r w:rsidR="00B7509C" w:rsidRPr="00744F88">
              <w:rPr>
                <w:rFonts w:ascii="Arial Narrow" w:hAnsi="Arial Narrow"/>
                <w:sz w:val="20"/>
              </w:rPr>
              <w:t>ional epidemiological studies.</w:t>
            </w:r>
          </w:p>
          <w:p w14:paraId="378CCAB3" w14:textId="3BC5077F"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 xml:space="preserve">According to NBA data, 596 patients received </w:t>
            </w:r>
            <w:proofErr w:type="spellStart"/>
            <w:r w:rsidRPr="00744F88">
              <w:rPr>
                <w:rFonts w:ascii="Arial Narrow" w:hAnsi="Arial Narrow"/>
                <w:sz w:val="20"/>
              </w:rPr>
              <w:t>IVIg</w:t>
            </w:r>
            <w:proofErr w:type="spellEnd"/>
            <w:r w:rsidRPr="00744F88">
              <w:rPr>
                <w:rFonts w:ascii="Arial Narrow" w:hAnsi="Arial Narrow"/>
                <w:sz w:val="20"/>
              </w:rPr>
              <w:t xml:space="preserve"> for the treatment of MMN in 2018-19.  Cats et al 2010 reported a prevalence of 0.6 per 100,000 population, which would equate to 15</w:t>
            </w:r>
            <w:r w:rsidR="00075F47" w:rsidRPr="00744F88">
              <w:rPr>
                <w:rFonts w:ascii="Arial Narrow" w:hAnsi="Arial Narrow"/>
                <w:sz w:val="20"/>
              </w:rPr>
              <w:t>2</w:t>
            </w:r>
            <w:r w:rsidRPr="00744F88">
              <w:rPr>
                <w:rFonts w:ascii="Arial Narrow" w:hAnsi="Arial Narrow"/>
                <w:sz w:val="20"/>
              </w:rPr>
              <w:t xml:space="preserve"> cases of MMN when applied to the Australian </w:t>
            </w:r>
            <w:r w:rsidR="00B7509C" w:rsidRPr="00744F88">
              <w:rPr>
                <w:rFonts w:ascii="Arial Narrow" w:hAnsi="Arial Narrow"/>
                <w:sz w:val="20"/>
              </w:rPr>
              <w:t>population for the same period.</w:t>
            </w:r>
          </w:p>
          <w:p w14:paraId="2F48FC96" w14:textId="594AE662" w:rsidR="00067458" w:rsidRPr="00744F88" w:rsidRDefault="00067458" w:rsidP="00744F88">
            <w:pPr>
              <w:tabs>
                <w:tab w:val="left" w:pos="2265"/>
                <w:tab w:val="left" w:pos="3420"/>
                <w:tab w:val="left" w:pos="4320"/>
              </w:tabs>
              <w:spacing w:before="240"/>
              <w:rPr>
                <w:rFonts w:ascii="Arial Narrow" w:hAnsi="Arial Narrow"/>
                <w:sz w:val="20"/>
              </w:rPr>
            </w:pPr>
            <w:r w:rsidRPr="00744F88">
              <w:rPr>
                <w:rFonts w:ascii="Arial Narrow" w:hAnsi="Arial Narrow"/>
                <w:sz w:val="20"/>
              </w:rPr>
              <w:t xml:space="preserve">The average age of </w:t>
            </w:r>
            <w:r w:rsidR="0039754D" w:rsidRPr="00744F88">
              <w:rPr>
                <w:rFonts w:ascii="Arial Narrow" w:hAnsi="Arial Narrow"/>
                <w:sz w:val="20"/>
              </w:rPr>
              <w:t>patients receiving Ig for MMN</w:t>
            </w:r>
            <w:r w:rsidRPr="00744F88">
              <w:rPr>
                <w:rFonts w:ascii="Arial Narrow" w:hAnsi="Arial Narrow"/>
                <w:sz w:val="20"/>
              </w:rPr>
              <w:t xml:space="preserve">, per </w:t>
            </w:r>
            <w:proofErr w:type="spellStart"/>
            <w:r w:rsidRPr="00744F88">
              <w:rPr>
                <w:rFonts w:ascii="Arial Narrow" w:hAnsi="Arial Narrow"/>
                <w:sz w:val="20"/>
              </w:rPr>
              <w:t>BloodSTAR</w:t>
            </w:r>
            <w:proofErr w:type="spellEnd"/>
            <w:r w:rsidRPr="00744F88">
              <w:rPr>
                <w:rFonts w:ascii="Arial Narrow" w:hAnsi="Arial Narrow"/>
                <w:sz w:val="20"/>
              </w:rPr>
              <w:t xml:space="preserve"> data is 59 years, compared to the published mean age of onset of 41 years.</w:t>
            </w:r>
          </w:p>
        </w:tc>
        <w:tc>
          <w:tcPr>
            <w:tcW w:w="4768" w:type="dxa"/>
          </w:tcPr>
          <w:p w14:paraId="38B031DC" w14:textId="799F6DA8"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 xml:space="preserve">ESC noted that prevalence rates should be considered with caution as NBA data includes patients continuing to receive </w:t>
            </w:r>
            <w:proofErr w:type="spellStart"/>
            <w:r w:rsidRPr="00744F88">
              <w:rPr>
                <w:rFonts w:ascii="Arial Narrow" w:hAnsi="Arial Narrow"/>
                <w:sz w:val="20"/>
              </w:rPr>
              <w:t>IVIg</w:t>
            </w:r>
            <w:proofErr w:type="spellEnd"/>
            <w:r w:rsidRPr="00744F88">
              <w:rPr>
                <w:rFonts w:ascii="Arial Narrow" w:hAnsi="Arial Narrow"/>
                <w:sz w:val="20"/>
              </w:rPr>
              <w:t xml:space="preserve"> therapy who qualified under the Criteria V2 and may include patient</w:t>
            </w:r>
            <w:r w:rsidR="00B7509C" w:rsidRPr="00744F88">
              <w:rPr>
                <w:rFonts w:ascii="Arial Narrow" w:hAnsi="Arial Narrow"/>
                <w:sz w:val="20"/>
              </w:rPr>
              <w:t>s with MND.</w:t>
            </w:r>
          </w:p>
          <w:p w14:paraId="5A758476" w14:textId="77777777"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ESC considered the introduction of Criteria V3 in October 2018 would minimise potential leakage into other conditions such as MND. Therefore, the predicted cost of Ig for MMN over the forward estimates may be an over-estimate, as there has been insufficient time post the implementation of Criteria V3 to capture any reduction in the treated population.</w:t>
            </w:r>
          </w:p>
        </w:tc>
      </w:tr>
      <w:tr w:rsidR="00067458" w:rsidRPr="00744F88" w14:paraId="30298313" w14:textId="77777777" w:rsidTr="00B9583F">
        <w:tc>
          <w:tcPr>
            <w:tcW w:w="4248" w:type="dxa"/>
          </w:tcPr>
          <w:p w14:paraId="4255FB5B" w14:textId="77777777"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 xml:space="preserve">The available clinical evidence on the effectiveness of Ig for MMN is limited due to: small trial populations; the use of different assessment tools and outcomes in these trials; and the use of cross over study designs.   </w:t>
            </w:r>
          </w:p>
        </w:tc>
        <w:tc>
          <w:tcPr>
            <w:tcW w:w="4768" w:type="dxa"/>
          </w:tcPr>
          <w:p w14:paraId="38941661" w14:textId="03A4E0E4"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ESC noted that the small evidence base is due to the rarity of MMN, and that there is limited published evidence to base conclusions on the clinical effectiveness and cost-effe</w:t>
            </w:r>
            <w:r w:rsidR="00B7509C" w:rsidRPr="00744F88">
              <w:rPr>
                <w:rFonts w:ascii="Arial Narrow" w:hAnsi="Arial Narrow"/>
                <w:sz w:val="20"/>
              </w:rPr>
              <w:t xml:space="preserve">ctiveness of </w:t>
            </w:r>
            <w:proofErr w:type="spellStart"/>
            <w:r w:rsidR="00B7509C" w:rsidRPr="00744F88">
              <w:rPr>
                <w:rFonts w:ascii="Arial Narrow" w:hAnsi="Arial Narrow"/>
                <w:sz w:val="20"/>
              </w:rPr>
              <w:t>IVIg</w:t>
            </w:r>
            <w:proofErr w:type="spellEnd"/>
            <w:r w:rsidR="00B7509C" w:rsidRPr="00744F88">
              <w:rPr>
                <w:rFonts w:ascii="Arial Narrow" w:hAnsi="Arial Narrow"/>
                <w:sz w:val="20"/>
              </w:rPr>
              <w:t>.</w:t>
            </w:r>
          </w:p>
          <w:p w14:paraId="242B6760" w14:textId="77777777"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 xml:space="preserve">ESC considered the evidence presented in the DCAR appropriate to support the economic model but noted the long-term effects of </w:t>
            </w:r>
            <w:proofErr w:type="spellStart"/>
            <w:r w:rsidRPr="00744F88">
              <w:rPr>
                <w:rFonts w:ascii="Arial Narrow" w:hAnsi="Arial Narrow"/>
                <w:sz w:val="20"/>
              </w:rPr>
              <w:t>IVIg</w:t>
            </w:r>
            <w:proofErr w:type="spellEnd"/>
            <w:r w:rsidRPr="00744F88">
              <w:rPr>
                <w:rFonts w:ascii="Arial Narrow" w:hAnsi="Arial Narrow"/>
                <w:sz w:val="20"/>
              </w:rPr>
              <w:t xml:space="preserve"> treatment could not be determined from the RCTs which all reported follow up periods of less than one year. ESC noted that the economic model included the treatment effect from the study by Leger et al. 2001, and considered whether data from Hahn et al. 2013 was more appropriate as it had the highest patient enrolment (n=44), longest follow up period (11 months) and reported statistically significant outcomes. ESC requested that further analyses be performed to explore the effect of this evidence on the ICER. Refer to Addendum 2 to the DCAR.</w:t>
            </w:r>
          </w:p>
        </w:tc>
      </w:tr>
      <w:tr w:rsidR="00067458" w:rsidRPr="00744F88" w14:paraId="00E89067" w14:textId="77777777" w:rsidTr="00B9583F">
        <w:tc>
          <w:tcPr>
            <w:tcW w:w="4248" w:type="dxa"/>
          </w:tcPr>
          <w:p w14:paraId="43964865" w14:textId="77777777"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What are the main drivers of cost-effectiveness and what is the certainty around these inputs?</w:t>
            </w:r>
          </w:p>
          <w:p w14:paraId="77641205" w14:textId="77777777"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Due to the lack of available evidence to construct an economic model, some assumptions were made, including:</w:t>
            </w:r>
          </w:p>
          <w:p w14:paraId="55144705" w14:textId="77777777" w:rsidR="00067458" w:rsidRPr="00744F88" w:rsidRDefault="00067458" w:rsidP="00067458">
            <w:pPr>
              <w:pStyle w:val="ListParagraph"/>
              <w:numPr>
                <w:ilvl w:val="0"/>
                <w:numId w:val="31"/>
              </w:numPr>
              <w:tabs>
                <w:tab w:val="left" w:pos="2265"/>
                <w:tab w:val="left" w:pos="3420"/>
                <w:tab w:val="left" w:pos="4320"/>
              </w:tabs>
              <w:rPr>
                <w:rFonts w:ascii="Arial Narrow" w:hAnsi="Arial Narrow"/>
                <w:sz w:val="20"/>
              </w:rPr>
            </w:pPr>
            <w:r w:rsidRPr="00744F88">
              <w:rPr>
                <w:rFonts w:ascii="Arial Narrow" w:hAnsi="Arial Narrow"/>
                <w:sz w:val="20"/>
              </w:rPr>
              <w:t>The use of single arm studies were extrapolated to inform long term effectiveness of Ig;</w:t>
            </w:r>
          </w:p>
          <w:p w14:paraId="05F578BD" w14:textId="77777777" w:rsidR="00067458" w:rsidRPr="00744F88" w:rsidRDefault="00067458" w:rsidP="00067458">
            <w:pPr>
              <w:pStyle w:val="ListParagraph"/>
              <w:numPr>
                <w:ilvl w:val="0"/>
                <w:numId w:val="31"/>
              </w:numPr>
              <w:tabs>
                <w:tab w:val="left" w:pos="2265"/>
                <w:tab w:val="left" w:pos="3420"/>
                <w:tab w:val="left" w:pos="4320"/>
              </w:tabs>
              <w:rPr>
                <w:rFonts w:ascii="Arial Narrow" w:hAnsi="Arial Narrow"/>
                <w:sz w:val="20"/>
              </w:rPr>
            </w:pPr>
            <w:r w:rsidRPr="00744F88">
              <w:rPr>
                <w:rFonts w:ascii="Arial Narrow" w:hAnsi="Arial Narrow"/>
                <w:sz w:val="20"/>
              </w:rPr>
              <w:t>No utility values for MMN meant that the utilities  derived from a study of people  with  CIDP  were modelled;</w:t>
            </w:r>
          </w:p>
          <w:p w14:paraId="01DF777B" w14:textId="20C6EB54" w:rsidR="00067458" w:rsidRPr="00744F88" w:rsidRDefault="00067458" w:rsidP="0047278C">
            <w:pPr>
              <w:pStyle w:val="ListParagraph"/>
              <w:numPr>
                <w:ilvl w:val="0"/>
                <w:numId w:val="31"/>
              </w:numPr>
              <w:tabs>
                <w:tab w:val="left" w:pos="2265"/>
                <w:tab w:val="left" w:pos="3420"/>
                <w:tab w:val="left" w:pos="4320"/>
              </w:tabs>
              <w:rPr>
                <w:rFonts w:ascii="Arial Narrow" w:hAnsi="Arial Narrow"/>
                <w:sz w:val="20"/>
              </w:rPr>
            </w:pPr>
            <w:r w:rsidRPr="00744F88">
              <w:rPr>
                <w:rFonts w:ascii="Arial Narrow" w:hAnsi="Arial Narrow"/>
                <w:sz w:val="20"/>
              </w:rPr>
              <w:t>Utilities were not adjusted for age and the base case assumes a constant utility</w:t>
            </w:r>
            <w:r w:rsidR="00B7509C" w:rsidRPr="00744F88">
              <w:rPr>
                <w:rFonts w:ascii="Arial Narrow" w:hAnsi="Arial Narrow"/>
                <w:sz w:val="20"/>
              </w:rPr>
              <w:t xml:space="preserve"> value in the BSC health state.</w:t>
            </w:r>
          </w:p>
          <w:p w14:paraId="74F76938" w14:textId="77777777"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 xml:space="preserve">Stakeholder feedback noted the variation in the cost of </w:t>
            </w:r>
            <w:proofErr w:type="spellStart"/>
            <w:r w:rsidRPr="00744F88">
              <w:rPr>
                <w:rFonts w:ascii="Arial Narrow" w:hAnsi="Arial Narrow"/>
                <w:sz w:val="20"/>
              </w:rPr>
              <w:t>IVIg</w:t>
            </w:r>
            <w:proofErr w:type="spellEnd"/>
            <w:r w:rsidRPr="00744F88">
              <w:rPr>
                <w:rFonts w:ascii="Arial Narrow" w:hAnsi="Arial Narrow"/>
                <w:sz w:val="20"/>
              </w:rPr>
              <w:t xml:space="preserve"> administration used in the economic model across Ig reviews.</w:t>
            </w:r>
          </w:p>
        </w:tc>
        <w:tc>
          <w:tcPr>
            <w:tcW w:w="4768" w:type="dxa"/>
          </w:tcPr>
          <w:p w14:paraId="528C8ABF" w14:textId="77777777"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ESC considered the economic model to be well structured and reflective of the Criteria V3.</w:t>
            </w:r>
          </w:p>
          <w:p w14:paraId="74B3A676" w14:textId="77777777"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The main drivers in the economic model are the cost of Ig ($60.41 in the base case) and the utility values.</w:t>
            </w:r>
          </w:p>
          <w:p w14:paraId="1FFB4B04" w14:textId="20C0691C"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 xml:space="preserve">There was no evidence in the literature reporting utility values for MMN patients and how this may change over time. The base case included constant utilities over time that were tested in a sensitivity analysis. The SA that assumed a linear decline in </w:t>
            </w:r>
            <w:proofErr w:type="spellStart"/>
            <w:r w:rsidRPr="00744F88">
              <w:rPr>
                <w:rFonts w:ascii="Arial Narrow" w:hAnsi="Arial Narrow"/>
                <w:sz w:val="20"/>
              </w:rPr>
              <w:t>QoL</w:t>
            </w:r>
            <w:proofErr w:type="spellEnd"/>
            <w:r w:rsidRPr="00744F88">
              <w:rPr>
                <w:rFonts w:ascii="Arial Narrow" w:hAnsi="Arial Narrow"/>
                <w:sz w:val="20"/>
              </w:rPr>
              <w:t xml:space="preserve"> of MMN patients, with a greater decline in the BSC health state (No Ig) compared to patients receiving Ig treatment, had a significant impact on the ICER, reducing it to $98,559/QALY (from $</w:t>
            </w:r>
            <w:r w:rsidR="00B7509C" w:rsidRPr="00744F88">
              <w:rPr>
                <w:rFonts w:ascii="Arial Narrow" w:hAnsi="Arial Narrow"/>
                <w:sz w:val="20"/>
              </w:rPr>
              <w:t>317,552/QALY in the base case).</w:t>
            </w:r>
          </w:p>
          <w:p w14:paraId="06799227" w14:textId="77777777"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 xml:space="preserve">ESC requested that additional sensitivity analyses be explored using the higher treatment effect from Hahn et al. 2013, and a decline in </w:t>
            </w:r>
            <w:proofErr w:type="spellStart"/>
            <w:r w:rsidRPr="00744F88">
              <w:rPr>
                <w:rFonts w:ascii="Arial Narrow" w:hAnsi="Arial Narrow"/>
                <w:sz w:val="20"/>
              </w:rPr>
              <w:t>QoL</w:t>
            </w:r>
            <w:proofErr w:type="spellEnd"/>
            <w:r w:rsidRPr="00744F88">
              <w:rPr>
                <w:rFonts w:ascii="Arial Narrow" w:hAnsi="Arial Narrow"/>
                <w:sz w:val="20"/>
              </w:rPr>
              <w:t>. Refer to Addendum 2 to the DCAR. Addendum 2 also includes additional multi-way sensitivity analyses on the variation of Ig administration costs and their effect on the ICER, based on administration costs used in previous Ig Reviews (MSAC Applications 1564, 1565 and 1566).</w:t>
            </w:r>
          </w:p>
        </w:tc>
      </w:tr>
      <w:tr w:rsidR="00067458" w:rsidRPr="00744F88" w14:paraId="3A95C057" w14:textId="77777777" w:rsidTr="00B9583F">
        <w:tc>
          <w:tcPr>
            <w:tcW w:w="4248" w:type="dxa"/>
          </w:tcPr>
          <w:p w14:paraId="74F875AA" w14:textId="77777777"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What research could be conducted to better inform the cost-effectiveness of Ig for this condition, e.g. studies to better inform optimal dosing or dose based on ideal body weight?</w:t>
            </w:r>
          </w:p>
        </w:tc>
        <w:tc>
          <w:tcPr>
            <w:tcW w:w="4768" w:type="dxa"/>
          </w:tcPr>
          <w:p w14:paraId="3BC22D3E" w14:textId="43150773"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 xml:space="preserve">ESC considered that </w:t>
            </w:r>
            <w:proofErr w:type="spellStart"/>
            <w:r w:rsidRPr="00744F88">
              <w:rPr>
                <w:rFonts w:ascii="Arial Narrow" w:hAnsi="Arial Narrow"/>
                <w:sz w:val="20"/>
              </w:rPr>
              <w:t>IVIg</w:t>
            </w:r>
            <w:proofErr w:type="spellEnd"/>
            <w:r w:rsidRPr="00744F88">
              <w:rPr>
                <w:rFonts w:ascii="Arial Narrow" w:hAnsi="Arial Narrow"/>
                <w:sz w:val="20"/>
              </w:rPr>
              <w:t xml:space="preserve"> has been the standard of care in this population since the 1990s and future RCTs are unlikely in this population. The lack of evidence on change in quality of life over time was also a concern. ESC considered whether there could be ways to collect </w:t>
            </w:r>
            <w:proofErr w:type="spellStart"/>
            <w:proofErr w:type="gramStart"/>
            <w:r w:rsidRPr="00744F88">
              <w:rPr>
                <w:rFonts w:ascii="Arial Narrow" w:hAnsi="Arial Narrow"/>
                <w:sz w:val="20"/>
              </w:rPr>
              <w:t>QoL</w:t>
            </w:r>
            <w:proofErr w:type="spellEnd"/>
            <w:r w:rsidRPr="00744F88">
              <w:rPr>
                <w:rFonts w:ascii="Arial Narrow" w:hAnsi="Arial Narrow"/>
                <w:sz w:val="20"/>
              </w:rPr>
              <w:t xml:space="preserve">  data</w:t>
            </w:r>
            <w:proofErr w:type="gramEnd"/>
            <w:r w:rsidRPr="00744F88">
              <w:rPr>
                <w:rFonts w:ascii="Arial Narrow" w:hAnsi="Arial Narrow"/>
                <w:sz w:val="20"/>
              </w:rPr>
              <w:t xml:space="preserve"> in </w:t>
            </w:r>
            <w:proofErr w:type="spellStart"/>
            <w:r w:rsidRPr="00744F88">
              <w:rPr>
                <w:rFonts w:ascii="Arial Narrow" w:hAnsi="Arial Narrow"/>
                <w:sz w:val="20"/>
              </w:rPr>
              <w:t>BloodSTAR</w:t>
            </w:r>
            <w:proofErr w:type="spellEnd"/>
            <w:r w:rsidRPr="00744F88">
              <w:rPr>
                <w:rFonts w:ascii="Arial Narrow" w:hAnsi="Arial Narrow"/>
                <w:sz w:val="20"/>
              </w:rPr>
              <w:t xml:space="preserve"> or a patient </w:t>
            </w:r>
            <w:r w:rsidRPr="00744F88">
              <w:rPr>
                <w:rFonts w:ascii="Arial Narrow" w:hAnsi="Arial Narrow"/>
                <w:sz w:val="20"/>
              </w:rPr>
              <w:lastRenderedPageBreak/>
              <w:t xml:space="preserve">registry to better inform HTAs in the future, noting that </w:t>
            </w:r>
            <w:proofErr w:type="spellStart"/>
            <w:r w:rsidRPr="00744F88">
              <w:rPr>
                <w:rFonts w:ascii="Arial Narrow" w:hAnsi="Arial Narrow"/>
                <w:sz w:val="20"/>
              </w:rPr>
              <w:t>QoL</w:t>
            </w:r>
            <w:proofErr w:type="spellEnd"/>
            <w:r w:rsidRPr="00744F88">
              <w:rPr>
                <w:rFonts w:ascii="Arial Narrow" w:hAnsi="Arial Narrow"/>
                <w:sz w:val="20"/>
              </w:rPr>
              <w:t xml:space="preserve"> data collected in </w:t>
            </w:r>
            <w:proofErr w:type="spellStart"/>
            <w:r w:rsidRPr="00744F88">
              <w:rPr>
                <w:rFonts w:ascii="Arial Narrow" w:hAnsi="Arial Narrow"/>
                <w:sz w:val="20"/>
              </w:rPr>
              <w:t>BloodSTAR</w:t>
            </w:r>
            <w:proofErr w:type="spellEnd"/>
            <w:r w:rsidRPr="00744F88">
              <w:rPr>
                <w:rFonts w:ascii="Arial Narrow" w:hAnsi="Arial Narrow"/>
                <w:sz w:val="20"/>
              </w:rPr>
              <w:t xml:space="preserve"> in its current form would only capture information relevant to patients with MMN receiving </w:t>
            </w:r>
            <w:proofErr w:type="spellStart"/>
            <w:r w:rsidRPr="00744F88">
              <w:rPr>
                <w:rFonts w:ascii="Arial Narrow" w:hAnsi="Arial Narrow"/>
                <w:sz w:val="20"/>
              </w:rPr>
              <w:t>IVIg</w:t>
            </w:r>
            <w:proofErr w:type="spellEnd"/>
            <w:r w:rsidRPr="00744F88">
              <w:rPr>
                <w:rFonts w:ascii="Arial Narrow" w:hAnsi="Arial Narrow"/>
                <w:sz w:val="20"/>
              </w:rPr>
              <w:t xml:space="preserve"> a</w:t>
            </w:r>
            <w:r w:rsidR="00B7509C" w:rsidRPr="00744F88">
              <w:rPr>
                <w:rFonts w:ascii="Arial Narrow" w:hAnsi="Arial Narrow"/>
                <w:sz w:val="20"/>
              </w:rPr>
              <w:t xml:space="preserve">nd not for untreated patients. </w:t>
            </w:r>
          </w:p>
          <w:p w14:paraId="234E859B" w14:textId="77777777"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ESC considered that further clinical information on   interventions and health resource usage may be obtained by linking NBA data to MBS/PBS/hospital data and / or a patient registry e.g. the proportion of patients receiving Ig infusions in day clinics versus outpatient clinics.</w:t>
            </w:r>
          </w:p>
          <w:p w14:paraId="7317CCB8" w14:textId="5A96F1ED" w:rsidR="00067458" w:rsidRPr="00744F88" w:rsidRDefault="00067458" w:rsidP="0047278C">
            <w:pPr>
              <w:tabs>
                <w:tab w:val="left" w:pos="2265"/>
                <w:tab w:val="left" w:pos="3420"/>
                <w:tab w:val="left" w:pos="4320"/>
              </w:tabs>
              <w:rPr>
                <w:rFonts w:ascii="Arial Narrow" w:hAnsi="Arial Narrow"/>
                <w:sz w:val="20"/>
              </w:rPr>
            </w:pPr>
            <w:r w:rsidRPr="00744F88">
              <w:rPr>
                <w:rFonts w:ascii="Arial Narrow" w:hAnsi="Arial Narrow"/>
                <w:sz w:val="20"/>
              </w:rPr>
              <w:t>The criteria enabling (</w:t>
            </w:r>
            <w:proofErr w:type="spellStart"/>
            <w:r w:rsidRPr="00744F88">
              <w:rPr>
                <w:rFonts w:ascii="Arial Narrow" w:hAnsi="Arial Narrow"/>
                <w:sz w:val="20"/>
              </w:rPr>
              <w:t>i</w:t>
            </w:r>
            <w:proofErr w:type="spellEnd"/>
            <w:r w:rsidRPr="00744F88">
              <w:rPr>
                <w:rFonts w:ascii="Arial Narrow" w:hAnsi="Arial Narrow"/>
                <w:sz w:val="20"/>
              </w:rPr>
              <w:t xml:space="preserve">) continuation of the initial period of therapy, (ii) continuation of therapy period without a trial off Ig therapy, (iii) review of continuation after re-initiation, include the undefined item “Improvement in or stabilisation of weakness after previous evidence of deterioration in motor strength”. It should be explored whether this criterion can be categorically defined in order to </w:t>
            </w:r>
            <w:r w:rsidR="001D34A1" w:rsidRPr="00744F88">
              <w:rPr>
                <w:rFonts w:ascii="Arial Narrow" w:hAnsi="Arial Narrow"/>
                <w:sz w:val="20"/>
              </w:rPr>
              <w:t>identify</w:t>
            </w:r>
            <w:r w:rsidRPr="00744F88">
              <w:rPr>
                <w:rFonts w:ascii="Arial Narrow" w:hAnsi="Arial Narrow"/>
                <w:sz w:val="20"/>
              </w:rPr>
              <w:t xml:space="preserve"> which patients should </w:t>
            </w:r>
            <w:r w:rsidR="001D34A1" w:rsidRPr="00744F88">
              <w:rPr>
                <w:rFonts w:ascii="Arial Narrow" w:hAnsi="Arial Narrow"/>
                <w:sz w:val="20"/>
              </w:rPr>
              <w:t xml:space="preserve">continue to </w:t>
            </w:r>
            <w:r w:rsidR="00B7509C" w:rsidRPr="00744F88">
              <w:rPr>
                <w:rFonts w:ascii="Arial Narrow" w:hAnsi="Arial Narrow"/>
                <w:sz w:val="20"/>
              </w:rPr>
              <w:t>receive Ig therapy.</w:t>
            </w:r>
          </w:p>
          <w:p w14:paraId="1F3D0FE3" w14:textId="62D4BF37"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 xml:space="preserve">In </w:t>
            </w:r>
            <w:proofErr w:type="spellStart"/>
            <w:r w:rsidRPr="00744F88">
              <w:rPr>
                <w:rFonts w:ascii="Arial Narrow" w:hAnsi="Arial Narrow"/>
                <w:sz w:val="20"/>
              </w:rPr>
              <w:t>BloodSTAR</w:t>
            </w:r>
            <w:proofErr w:type="spellEnd"/>
            <w:r w:rsidRPr="00744F88">
              <w:rPr>
                <w:rFonts w:ascii="Arial Narrow" w:hAnsi="Arial Narrow"/>
                <w:sz w:val="20"/>
              </w:rPr>
              <w:t>, prescribers are required to state reasons why patients do not undergo weaning or cessation – these reasons should be explored in order to inform why the prevalent population appears</w:t>
            </w:r>
            <w:r w:rsidR="00B7509C" w:rsidRPr="00744F88">
              <w:rPr>
                <w:rFonts w:ascii="Arial Narrow" w:hAnsi="Arial Narrow"/>
                <w:sz w:val="20"/>
              </w:rPr>
              <w:t xml:space="preserve"> larger than anticipated.</w:t>
            </w:r>
          </w:p>
          <w:p w14:paraId="04974744" w14:textId="77777777" w:rsidR="00067458" w:rsidRPr="00744F88" w:rsidRDefault="00067458" w:rsidP="00B7509C">
            <w:pPr>
              <w:tabs>
                <w:tab w:val="left" w:pos="2265"/>
                <w:tab w:val="left" w:pos="3420"/>
                <w:tab w:val="left" w:pos="4320"/>
              </w:tabs>
              <w:spacing w:before="240"/>
              <w:rPr>
                <w:rFonts w:ascii="Arial Narrow" w:hAnsi="Arial Narrow"/>
                <w:sz w:val="20"/>
              </w:rPr>
            </w:pPr>
            <w:r w:rsidRPr="00744F88">
              <w:rPr>
                <w:rFonts w:ascii="Arial Narrow" w:hAnsi="Arial Narrow"/>
                <w:sz w:val="20"/>
              </w:rPr>
              <w:t xml:space="preserve">ESC noted the clinical criteria describing conduction block in MMN include a ‘definite’ diagnosis and two categories of ‘probable’ diagnosis. Given the </w:t>
            </w:r>
            <w:proofErr w:type="spellStart"/>
            <w:r w:rsidRPr="00744F88">
              <w:rPr>
                <w:rFonts w:ascii="Arial Narrow" w:hAnsi="Arial Narrow"/>
                <w:sz w:val="20"/>
              </w:rPr>
              <w:t>BloodSTAR</w:t>
            </w:r>
            <w:proofErr w:type="spellEnd"/>
            <w:r w:rsidRPr="00744F88">
              <w:rPr>
                <w:rFonts w:ascii="Arial Narrow" w:hAnsi="Arial Narrow"/>
                <w:sz w:val="20"/>
              </w:rPr>
              <w:t xml:space="preserve"> criteria require a ‘clinical phenotype’ of MMN, it should be explored whether data for those patients with a ‘definite’ diagnosis can be compared with those with ‘probable’ diagnosis. Similarly, whether only patients with a ‘definite’ diagnosis of MMN should be permitted to receive </w:t>
            </w:r>
            <w:proofErr w:type="spellStart"/>
            <w:r w:rsidRPr="00744F88">
              <w:rPr>
                <w:rFonts w:ascii="Arial Narrow" w:hAnsi="Arial Narrow"/>
                <w:sz w:val="20"/>
              </w:rPr>
              <w:t>IVIg</w:t>
            </w:r>
            <w:proofErr w:type="spellEnd"/>
            <w:r w:rsidRPr="00744F88">
              <w:rPr>
                <w:rFonts w:ascii="Arial Narrow" w:hAnsi="Arial Narrow"/>
                <w:sz w:val="20"/>
              </w:rPr>
              <w:t>.</w:t>
            </w:r>
          </w:p>
        </w:tc>
      </w:tr>
    </w:tbl>
    <w:p w14:paraId="15FEC6F5" w14:textId="77777777" w:rsidR="00067458" w:rsidRPr="008469B8" w:rsidRDefault="00067458" w:rsidP="000957C2">
      <w:pPr>
        <w:tabs>
          <w:tab w:val="left" w:pos="2265"/>
          <w:tab w:val="left" w:pos="3420"/>
          <w:tab w:val="left" w:pos="4320"/>
        </w:tabs>
        <w:spacing w:before="240"/>
        <w:rPr>
          <w:b/>
          <w:i/>
        </w:rPr>
      </w:pPr>
      <w:r>
        <w:rPr>
          <w:b/>
          <w:i/>
        </w:rPr>
        <w:lastRenderedPageBreak/>
        <w:t>ESC post-meeting</w:t>
      </w:r>
      <w:r w:rsidRPr="008469B8">
        <w:rPr>
          <w:b/>
          <w:i/>
        </w:rPr>
        <w:t xml:space="preserve"> </w:t>
      </w:r>
      <w:r>
        <w:rPr>
          <w:b/>
          <w:i/>
        </w:rPr>
        <w:t>comments to Addendum 2 (additional sensitivity analyses)</w:t>
      </w:r>
    </w:p>
    <w:p w14:paraId="6A2355EE" w14:textId="77777777" w:rsidR="00067458" w:rsidRPr="006C61E7" w:rsidRDefault="00067458" w:rsidP="00067458">
      <w:pPr>
        <w:tabs>
          <w:tab w:val="left" w:pos="2265"/>
          <w:tab w:val="left" w:pos="3420"/>
          <w:tab w:val="left" w:pos="4320"/>
        </w:tabs>
        <w:rPr>
          <w:i/>
          <w:szCs w:val="24"/>
        </w:rPr>
      </w:pPr>
      <w:r w:rsidRPr="006C61E7">
        <w:rPr>
          <w:i/>
          <w:szCs w:val="24"/>
        </w:rPr>
        <w:t xml:space="preserve">Tables 1 and 2 of the ‘Addendum 2 to the DCAR’ present the impact of applying a deterioration in </w:t>
      </w:r>
      <w:proofErr w:type="spellStart"/>
      <w:r w:rsidRPr="006C61E7">
        <w:rPr>
          <w:i/>
          <w:szCs w:val="24"/>
        </w:rPr>
        <w:t>QoL</w:t>
      </w:r>
      <w:proofErr w:type="spellEnd"/>
      <w:r w:rsidRPr="006C61E7">
        <w:rPr>
          <w:i/>
          <w:szCs w:val="24"/>
        </w:rPr>
        <w:t xml:space="preserve"> over time, using the treatment effect from the Leger and Hahn studies, respectively. ESC noted that using the treatment effect from the Hahn study instead of Leger (used in the base case) had little effect on the resulting ICER.</w:t>
      </w:r>
    </w:p>
    <w:p w14:paraId="68A47CC0" w14:textId="77777777" w:rsidR="00067458" w:rsidRPr="006C61E7" w:rsidRDefault="00067458" w:rsidP="000957C2">
      <w:pPr>
        <w:tabs>
          <w:tab w:val="left" w:pos="2265"/>
          <w:tab w:val="left" w:pos="3420"/>
          <w:tab w:val="left" w:pos="4320"/>
        </w:tabs>
        <w:spacing w:before="240"/>
        <w:rPr>
          <w:i/>
          <w:szCs w:val="24"/>
        </w:rPr>
      </w:pPr>
      <w:r w:rsidRPr="006C61E7">
        <w:rPr>
          <w:i/>
          <w:szCs w:val="24"/>
        </w:rPr>
        <w:t xml:space="preserve">ESC noted the true rate at which patients with MMN would deteriorate is uncertain given the lack of real data, over time, but considered that the real ICER may fall between $98,559 and $150,429/QALY. </w:t>
      </w:r>
    </w:p>
    <w:p w14:paraId="473C671C" w14:textId="73C32B4D" w:rsidR="00067458" w:rsidRPr="00B7509C" w:rsidRDefault="00067458" w:rsidP="00B7509C">
      <w:pPr>
        <w:tabs>
          <w:tab w:val="left" w:pos="2265"/>
          <w:tab w:val="left" w:pos="3420"/>
          <w:tab w:val="left" w:pos="4320"/>
        </w:tabs>
        <w:spacing w:before="240"/>
        <w:rPr>
          <w:i/>
          <w:szCs w:val="24"/>
        </w:rPr>
      </w:pPr>
      <w:r w:rsidRPr="006C61E7">
        <w:rPr>
          <w:i/>
          <w:szCs w:val="24"/>
        </w:rPr>
        <w:t>ESC noted that varying the administration costs associated with Ig treatment had an impact on the ICER and more certainty around what would best reflect clinical practice</w:t>
      </w:r>
      <w:r>
        <w:rPr>
          <w:i/>
          <w:szCs w:val="24"/>
        </w:rPr>
        <w:t xml:space="preserve"> in Australia</w:t>
      </w:r>
      <w:r w:rsidRPr="006C61E7">
        <w:rPr>
          <w:i/>
          <w:szCs w:val="24"/>
        </w:rPr>
        <w:t xml:space="preserve"> would be informing to the cost-effectiveness of Ig.</w:t>
      </w:r>
    </w:p>
    <w:p w14:paraId="734C6D91" w14:textId="77777777" w:rsidR="00067458" w:rsidRPr="00B7509C" w:rsidRDefault="00067458" w:rsidP="00B7509C">
      <w:pPr>
        <w:tabs>
          <w:tab w:val="left" w:pos="2265"/>
          <w:tab w:val="left" w:pos="3420"/>
          <w:tab w:val="left" w:pos="4320"/>
        </w:tabs>
        <w:spacing w:before="240" w:after="120"/>
        <w:rPr>
          <w:b/>
        </w:rPr>
      </w:pPr>
      <w:r w:rsidRPr="00B7509C">
        <w:rPr>
          <w:b/>
        </w:rPr>
        <w:t>ESC discussion</w:t>
      </w:r>
    </w:p>
    <w:p w14:paraId="64501701" w14:textId="496D0064" w:rsidR="00067458" w:rsidRDefault="00067458" w:rsidP="00067458">
      <w:pPr>
        <w:tabs>
          <w:tab w:val="left" w:pos="2265"/>
          <w:tab w:val="left" w:pos="3420"/>
          <w:tab w:val="left" w:pos="4320"/>
        </w:tabs>
        <w:rPr>
          <w:szCs w:val="24"/>
        </w:rPr>
      </w:pPr>
      <w:r>
        <w:rPr>
          <w:szCs w:val="24"/>
        </w:rPr>
        <w:t>Application 1590 requests MSAC advice on the supply of immunoglobulin (Ig) therapy under the national blood arrangements for the treatment of multifocal motor neuropathy (MMN). In line with the PICO confirmation, the DCAR reviews the evidence on safety and effectiveness of intravenous Ig (</w:t>
      </w:r>
      <w:proofErr w:type="spellStart"/>
      <w:r>
        <w:rPr>
          <w:szCs w:val="24"/>
        </w:rPr>
        <w:t>IVIg</w:t>
      </w:r>
      <w:proofErr w:type="spellEnd"/>
      <w:r>
        <w:rPr>
          <w:szCs w:val="24"/>
        </w:rPr>
        <w:t>) for MMN</w:t>
      </w:r>
      <w:r w:rsidRPr="004F5E41">
        <w:rPr>
          <w:szCs w:val="24"/>
        </w:rPr>
        <w:t xml:space="preserve"> to ensure Ig use under the national blood arrangeme</w:t>
      </w:r>
      <w:r w:rsidR="002A6ADC">
        <w:rPr>
          <w:szCs w:val="24"/>
        </w:rPr>
        <w:t xml:space="preserve">nts is </w:t>
      </w:r>
      <w:r w:rsidRPr="004F5E41">
        <w:rPr>
          <w:szCs w:val="24"/>
        </w:rPr>
        <w:t xml:space="preserve">based on </w:t>
      </w:r>
      <w:r w:rsidR="0039754D">
        <w:rPr>
          <w:szCs w:val="24"/>
        </w:rPr>
        <w:t>best</w:t>
      </w:r>
      <w:r w:rsidR="0039754D" w:rsidRPr="004F5E41">
        <w:rPr>
          <w:szCs w:val="24"/>
        </w:rPr>
        <w:t xml:space="preserve"> </w:t>
      </w:r>
      <w:r w:rsidRPr="004F5E41">
        <w:rPr>
          <w:szCs w:val="24"/>
        </w:rPr>
        <w:t>evidence of clinical safety, effectiveness and cost-effectiveness</w:t>
      </w:r>
      <w:r w:rsidR="00B7509C">
        <w:rPr>
          <w:szCs w:val="24"/>
        </w:rPr>
        <w:t>.</w:t>
      </w:r>
    </w:p>
    <w:p w14:paraId="6C59ACA7" w14:textId="16B776F1" w:rsidR="00067458" w:rsidRDefault="00067458" w:rsidP="00B7509C">
      <w:pPr>
        <w:tabs>
          <w:tab w:val="left" w:pos="2265"/>
          <w:tab w:val="left" w:pos="3420"/>
          <w:tab w:val="left" w:pos="4320"/>
        </w:tabs>
        <w:spacing w:before="240"/>
        <w:rPr>
          <w:szCs w:val="24"/>
        </w:rPr>
      </w:pPr>
      <w:r>
        <w:rPr>
          <w:szCs w:val="24"/>
        </w:rPr>
        <w:lastRenderedPageBreak/>
        <w:t>MMN is a rare, distal neuropathy, characterised by slowly progressive limb weakness without sensory impairment. ESC noted that MMN is</w:t>
      </w:r>
      <w:r w:rsidRPr="001E32CD">
        <w:rPr>
          <w:szCs w:val="24"/>
        </w:rPr>
        <w:t xml:space="preserve"> </w:t>
      </w:r>
      <w:r>
        <w:rPr>
          <w:szCs w:val="24"/>
        </w:rPr>
        <w:t>a degenerative disease which has an important impact on the quality of life of patients but does not affect life expectancy. The</w:t>
      </w:r>
      <w:r w:rsidRPr="00942231">
        <w:rPr>
          <w:szCs w:val="24"/>
        </w:rPr>
        <w:t xml:space="preserve"> report</w:t>
      </w:r>
      <w:r>
        <w:rPr>
          <w:szCs w:val="24"/>
        </w:rPr>
        <w:t xml:space="preserve">ed prevalence of MMN </w:t>
      </w:r>
      <w:r w:rsidRPr="00942231">
        <w:rPr>
          <w:szCs w:val="24"/>
        </w:rPr>
        <w:t>ranges f</w:t>
      </w:r>
      <w:r>
        <w:rPr>
          <w:szCs w:val="24"/>
        </w:rPr>
        <w:t>rom 0.3 to 2 cases per 100,000 population, with a mean age of onset of 41 years and occurs</w:t>
      </w:r>
      <w:r w:rsidRPr="001E32CD">
        <w:rPr>
          <w:szCs w:val="24"/>
        </w:rPr>
        <w:t xml:space="preserve"> </w:t>
      </w:r>
      <w:r>
        <w:rPr>
          <w:szCs w:val="24"/>
        </w:rPr>
        <w:t>more commonly in males than females, with a reported ratio of 2.5-2.7:</w:t>
      </w:r>
      <w:r w:rsidRPr="00540439">
        <w:rPr>
          <w:szCs w:val="24"/>
        </w:rPr>
        <w:t>1</w:t>
      </w:r>
      <w:r>
        <w:rPr>
          <w:szCs w:val="24"/>
        </w:rPr>
        <w:t>. ESC noted that the clinical diagnosis of MMN can be either ‘definite’ or ‘probable’ depending on both the extent of disease and magnitude of conduction deficit.</w:t>
      </w:r>
    </w:p>
    <w:p w14:paraId="474168A5" w14:textId="77777777" w:rsidR="00067458" w:rsidRDefault="00067458" w:rsidP="00067458">
      <w:pPr>
        <w:tabs>
          <w:tab w:val="left" w:pos="2265"/>
          <w:tab w:val="left" w:pos="3420"/>
          <w:tab w:val="left" w:pos="4320"/>
        </w:tabs>
      </w:pPr>
      <w:r>
        <w:t xml:space="preserve">The clinical criteria for subsidised access to </w:t>
      </w:r>
      <w:proofErr w:type="spellStart"/>
      <w:r>
        <w:t>IVIg</w:t>
      </w:r>
      <w:proofErr w:type="spellEnd"/>
      <w:r>
        <w:t xml:space="preserve"> for MMN is set out under version 3 of the </w:t>
      </w:r>
      <w:r w:rsidRPr="006619E7">
        <w:rPr>
          <w:i/>
          <w:szCs w:val="24"/>
        </w:rPr>
        <w:t>Criteria for the clinical use of immunoglobulin in Australia</w:t>
      </w:r>
      <w:r w:rsidRPr="003C7185">
        <w:rPr>
          <w:rStyle w:val="FootnoteReference"/>
          <w:szCs w:val="24"/>
        </w:rPr>
        <w:footnoteReference w:id="3"/>
      </w:r>
      <w:r>
        <w:rPr>
          <w:i/>
          <w:szCs w:val="24"/>
        </w:rPr>
        <w:t xml:space="preserve"> </w:t>
      </w:r>
      <w:r w:rsidRPr="006619E7">
        <w:rPr>
          <w:szCs w:val="24"/>
        </w:rPr>
        <w:t>(the Criteria)</w:t>
      </w:r>
      <w:r>
        <w:t>. The</w:t>
      </w:r>
      <w:r w:rsidRPr="00D65350">
        <w:t xml:space="preserve"> current indications under which patients with </w:t>
      </w:r>
      <w:r>
        <w:t>MMN</w:t>
      </w:r>
      <w:r w:rsidRPr="00D65350">
        <w:t xml:space="preserve"> may be eligible for </w:t>
      </w:r>
      <w:proofErr w:type="spellStart"/>
      <w:r w:rsidRPr="00D65350">
        <w:t>IVIg</w:t>
      </w:r>
      <w:proofErr w:type="spellEnd"/>
      <w:r w:rsidRPr="00D65350">
        <w:t xml:space="preserve"> therapy according to Version 3 of the Criteria are:</w:t>
      </w:r>
    </w:p>
    <w:p w14:paraId="33586406" w14:textId="77777777" w:rsidR="00067458" w:rsidRDefault="00067458" w:rsidP="00067458">
      <w:pPr>
        <w:pStyle w:val="ListParagraph"/>
        <w:numPr>
          <w:ilvl w:val="0"/>
          <w:numId w:val="33"/>
        </w:numPr>
        <w:tabs>
          <w:tab w:val="left" w:pos="2265"/>
          <w:tab w:val="left" w:pos="3420"/>
          <w:tab w:val="left" w:pos="4320"/>
        </w:tabs>
      </w:pPr>
      <w:r>
        <w:t>First-line and maintenance therapy for MMN</w:t>
      </w:r>
    </w:p>
    <w:p w14:paraId="2670C4E1" w14:textId="4AAC1418" w:rsidR="00067458" w:rsidRDefault="00067458" w:rsidP="00067458">
      <w:pPr>
        <w:pStyle w:val="ListParagraph"/>
        <w:numPr>
          <w:ilvl w:val="0"/>
          <w:numId w:val="32"/>
        </w:numPr>
        <w:tabs>
          <w:tab w:val="left" w:pos="2265"/>
          <w:tab w:val="left" w:pos="3420"/>
          <w:tab w:val="left" w:pos="4320"/>
        </w:tabs>
      </w:pPr>
      <w:r>
        <w:t>Relapse of MMN patients within six months of commencement of trial off immunoglobulin therapy</w:t>
      </w:r>
      <w:r w:rsidR="00B7509C">
        <w:t>.</w:t>
      </w:r>
    </w:p>
    <w:p w14:paraId="0F708CDF" w14:textId="660CB19F" w:rsidR="00067458" w:rsidRDefault="00067458" w:rsidP="00B7509C">
      <w:pPr>
        <w:tabs>
          <w:tab w:val="left" w:pos="2265"/>
          <w:tab w:val="left" w:pos="3420"/>
          <w:tab w:val="left" w:pos="4320"/>
        </w:tabs>
        <w:spacing w:before="240"/>
      </w:pPr>
      <w:r>
        <w:t xml:space="preserve">ESC noted the clinical algorithm which requires the initial diagnosis to be made by a neurologist, and eligible patients may receive </w:t>
      </w:r>
      <w:proofErr w:type="spellStart"/>
      <w:r w:rsidRPr="00361D53">
        <w:t>IVIg</w:t>
      </w:r>
      <w:proofErr w:type="spellEnd"/>
      <w:r w:rsidRPr="00361D53">
        <w:t xml:space="preserve"> for a maximum of four months (induction plus three maintenance cycles) before determining whether the patient has responded</w:t>
      </w:r>
      <w:r>
        <w:t>. After four months, patients must be reviewed by a neurologist and evidence</w:t>
      </w:r>
      <w:r w:rsidRPr="00885B9E">
        <w:t xml:space="preserve"> of clinical efficacy is </w:t>
      </w:r>
      <w:r>
        <w:t>required</w:t>
      </w:r>
      <w:r w:rsidRPr="00885B9E">
        <w:t xml:space="preserve"> for </w:t>
      </w:r>
      <w:r>
        <w:t xml:space="preserve">authorisation of </w:t>
      </w:r>
      <w:r w:rsidRPr="00885B9E">
        <w:t>continu</w:t>
      </w:r>
      <w:r>
        <w:t>ed</w:t>
      </w:r>
      <w:r w:rsidRPr="00885B9E">
        <w:t xml:space="preserve"> </w:t>
      </w:r>
      <w:proofErr w:type="spellStart"/>
      <w:r w:rsidRPr="00885B9E">
        <w:t>IVIg</w:t>
      </w:r>
      <w:proofErr w:type="spellEnd"/>
      <w:r w:rsidRPr="00885B9E">
        <w:t xml:space="preserve"> therapy</w:t>
      </w:r>
      <w:r>
        <w:t xml:space="preserve"> for a further 12 months. Clinical efficacy is determined by both an i</w:t>
      </w:r>
      <w:r w:rsidRPr="00885B9E">
        <w:t>mprovement in focal motor weakness</w:t>
      </w:r>
      <w:r>
        <w:t xml:space="preserve"> (this does not currently have a defined method of assessment or threshold to quantify ‘improvement’) and improvement </w:t>
      </w:r>
      <w:r w:rsidRPr="00885B9E">
        <w:t>in disability as measured by the Adjusted Overall Neuropathy Limitations Scale (ONLS)</w:t>
      </w:r>
      <w:r>
        <w:t>. Clinical reviews of the continuation period are required annually thereafter, and</w:t>
      </w:r>
      <w:r w:rsidRPr="00885B9E">
        <w:t xml:space="preserve"> trial of weaning/cessation of Ig therapy are considered </w:t>
      </w:r>
      <w:r>
        <w:t>at each annual review</w:t>
      </w:r>
      <w:r w:rsidRPr="00885B9E">
        <w:t xml:space="preserve"> for patients who are clinically stable to identify those in remission or a valid reason provided as to why a trial is not being planned or is contraindicated at this time</w:t>
      </w:r>
      <w:r>
        <w:t xml:space="preserve">. If a patient relapses after a trial off therapy, they may receive </w:t>
      </w:r>
      <w:proofErr w:type="spellStart"/>
      <w:r>
        <w:t>IVIg</w:t>
      </w:r>
      <w:proofErr w:type="spellEnd"/>
      <w:r>
        <w:t xml:space="preserve"> again under the “Relapse” (within 6 months) or “First-line and maintenance therapy” (relapsed after 6 months off Ig) indicat</w:t>
      </w:r>
      <w:r w:rsidR="00B7509C">
        <w:t>ions.</w:t>
      </w:r>
    </w:p>
    <w:p w14:paraId="54EAF0ED" w14:textId="7368F9AB" w:rsidR="00B646FE" w:rsidRPr="008B710E" w:rsidRDefault="00B646FE" w:rsidP="00B7509C">
      <w:pPr>
        <w:tabs>
          <w:tab w:val="left" w:pos="2265"/>
          <w:tab w:val="left" w:pos="3420"/>
          <w:tab w:val="left" w:pos="4320"/>
        </w:tabs>
        <w:spacing w:before="240"/>
      </w:pPr>
      <w:r>
        <w:t>ESC noted that the exclusion criteria described in the Criteria V3</w:t>
      </w:r>
      <w:r w:rsidR="001D34A1">
        <w:t>,</w:t>
      </w:r>
      <w:r>
        <w:t xml:space="preserve"> which preclude Ig use</w:t>
      </w:r>
      <w:r w:rsidR="001D34A1">
        <w:t>,</w:t>
      </w:r>
      <w:r>
        <w:t xml:space="preserve"> </w:t>
      </w:r>
      <w:r w:rsidR="00F63B15">
        <w:t xml:space="preserve">are consistent with the </w:t>
      </w:r>
      <w:r>
        <w:t>exclusion criteria in the European Federation of Neurological Societies/Perip</w:t>
      </w:r>
      <w:r w:rsidR="001D34A1">
        <w:t>heral Nerve Society guideline for</w:t>
      </w:r>
      <w:r>
        <w:t xml:space="preserve"> </w:t>
      </w:r>
      <w:r w:rsidR="00F63B15">
        <w:t xml:space="preserve">the initial diagnosis </w:t>
      </w:r>
      <w:r>
        <w:t>o</w:t>
      </w:r>
      <w:r w:rsidR="00B7509C">
        <w:t>f multifocal motor neuropathy.</w:t>
      </w:r>
    </w:p>
    <w:p w14:paraId="6781A8A1" w14:textId="77777777" w:rsidR="001D34A1" w:rsidRDefault="00B646FE" w:rsidP="00B7509C">
      <w:pPr>
        <w:tabs>
          <w:tab w:val="left" w:pos="2265"/>
          <w:tab w:val="left" w:pos="3420"/>
          <w:tab w:val="left" w:pos="4320"/>
        </w:tabs>
        <w:spacing w:before="240"/>
        <w:rPr>
          <w:szCs w:val="24"/>
        </w:rPr>
      </w:pPr>
      <w:r>
        <w:rPr>
          <w:szCs w:val="24"/>
        </w:rPr>
        <w:t xml:space="preserve">For patients who have </w:t>
      </w:r>
      <w:r w:rsidR="00F63B15">
        <w:rPr>
          <w:szCs w:val="24"/>
        </w:rPr>
        <w:t xml:space="preserve">been </w:t>
      </w:r>
      <w:r w:rsidR="001D34A1">
        <w:rPr>
          <w:szCs w:val="24"/>
        </w:rPr>
        <w:t xml:space="preserve">initially </w:t>
      </w:r>
      <w:r w:rsidR="00F63B15">
        <w:rPr>
          <w:szCs w:val="24"/>
        </w:rPr>
        <w:t xml:space="preserve">treated with Ig, the </w:t>
      </w:r>
      <w:r w:rsidR="001D34A1">
        <w:rPr>
          <w:szCs w:val="24"/>
        </w:rPr>
        <w:t>criteria for continuation are:</w:t>
      </w:r>
    </w:p>
    <w:p w14:paraId="6451C573" w14:textId="0F8F26A9" w:rsidR="001D34A1" w:rsidRPr="00B9583F" w:rsidRDefault="001D34A1" w:rsidP="001D34A1">
      <w:pPr>
        <w:tabs>
          <w:tab w:val="left" w:pos="2265"/>
          <w:tab w:val="left" w:pos="3420"/>
          <w:tab w:val="left" w:pos="4320"/>
        </w:tabs>
        <w:rPr>
          <w:i/>
          <w:szCs w:val="24"/>
        </w:rPr>
      </w:pPr>
      <w:r w:rsidRPr="00B9583F">
        <w:rPr>
          <w:i/>
          <w:szCs w:val="24"/>
        </w:rPr>
        <w:t>Improvement in focal motor weakness in previously weak (but not end-stage) muscles</w:t>
      </w:r>
    </w:p>
    <w:p w14:paraId="3010BAD9" w14:textId="77777777" w:rsidR="001D34A1" w:rsidRPr="00B9583F" w:rsidRDefault="001D34A1" w:rsidP="001D34A1">
      <w:pPr>
        <w:tabs>
          <w:tab w:val="left" w:pos="2265"/>
          <w:tab w:val="left" w:pos="3420"/>
          <w:tab w:val="left" w:pos="4320"/>
        </w:tabs>
        <w:rPr>
          <w:i/>
          <w:szCs w:val="24"/>
        </w:rPr>
      </w:pPr>
      <w:r w:rsidRPr="00B9583F">
        <w:rPr>
          <w:i/>
          <w:szCs w:val="24"/>
        </w:rPr>
        <w:t>AND</w:t>
      </w:r>
    </w:p>
    <w:p w14:paraId="49416BD3" w14:textId="1DDC0412" w:rsidR="00F63B15" w:rsidRPr="00B7509C" w:rsidRDefault="001D34A1" w:rsidP="00067458">
      <w:pPr>
        <w:tabs>
          <w:tab w:val="left" w:pos="2265"/>
          <w:tab w:val="left" w:pos="3420"/>
          <w:tab w:val="left" w:pos="4320"/>
        </w:tabs>
        <w:rPr>
          <w:i/>
          <w:szCs w:val="24"/>
        </w:rPr>
      </w:pPr>
      <w:r w:rsidRPr="00B9583F">
        <w:rPr>
          <w:i/>
          <w:szCs w:val="24"/>
        </w:rPr>
        <w:t>Improvement in the level of disability as measured by the Adjusted Overall Neuropathy Limitations Scale (ONLS) of at least one point</w:t>
      </w:r>
      <w:r w:rsidR="00B7509C">
        <w:rPr>
          <w:i/>
          <w:szCs w:val="24"/>
        </w:rPr>
        <w:t xml:space="preserve"> less than the qualifying score</w:t>
      </w:r>
    </w:p>
    <w:p w14:paraId="1E20E696" w14:textId="66D0E67D" w:rsidR="001D34A1" w:rsidRDefault="001D34A1" w:rsidP="00B7509C">
      <w:pPr>
        <w:tabs>
          <w:tab w:val="left" w:pos="2265"/>
          <w:tab w:val="left" w:pos="3420"/>
          <w:tab w:val="left" w:pos="4320"/>
        </w:tabs>
        <w:spacing w:before="240"/>
        <w:rPr>
          <w:szCs w:val="24"/>
        </w:rPr>
      </w:pPr>
      <w:r>
        <w:rPr>
          <w:szCs w:val="24"/>
        </w:rPr>
        <w:t xml:space="preserve">The method of assessment and magnitude of ‘improvement in focal </w:t>
      </w:r>
      <w:proofErr w:type="gramStart"/>
      <w:r>
        <w:rPr>
          <w:szCs w:val="24"/>
        </w:rPr>
        <w:t>weakness’</w:t>
      </w:r>
      <w:proofErr w:type="gramEnd"/>
      <w:r>
        <w:rPr>
          <w:szCs w:val="24"/>
        </w:rPr>
        <w:t xml:space="preserve"> is not stated, and so may permit patients to continue Ig in the face </w:t>
      </w:r>
      <w:r w:rsidR="00B7509C">
        <w:rPr>
          <w:szCs w:val="24"/>
        </w:rPr>
        <w:t>of non-significant improvement.</w:t>
      </w:r>
    </w:p>
    <w:p w14:paraId="157D5F6E" w14:textId="77777777" w:rsidR="001D34A1" w:rsidRDefault="001D34A1" w:rsidP="00B7509C">
      <w:pPr>
        <w:tabs>
          <w:tab w:val="left" w:pos="2265"/>
          <w:tab w:val="left" w:pos="3420"/>
          <w:tab w:val="left" w:pos="4320"/>
        </w:tabs>
        <w:spacing w:before="240"/>
        <w:rPr>
          <w:szCs w:val="24"/>
        </w:rPr>
      </w:pPr>
      <w:r>
        <w:rPr>
          <w:szCs w:val="24"/>
        </w:rPr>
        <w:t>For patients who have been treated beyond the initial 4 month period, the criteria for continuation are:</w:t>
      </w:r>
    </w:p>
    <w:p w14:paraId="665E40D4" w14:textId="15ECD799" w:rsidR="001D34A1" w:rsidRPr="00B9583F" w:rsidRDefault="001D34A1" w:rsidP="001D34A1">
      <w:pPr>
        <w:tabs>
          <w:tab w:val="left" w:pos="2265"/>
          <w:tab w:val="left" w:pos="3420"/>
          <w:tab w:val="left" w:pos="4320"/>
        </w:tabs>
        <w:rPr>
          <w:i/>
          <w:szCs w:val="24"/>
        </w:rPr>
      </w:pPr>
      <w:r w:rsidRPr="00B9583F">
        <w:rPr>
          <w:i/>
          <w:szCs w:val="24"/>
        </w:rPr>
        <w:t>Improvement in or stabilisation of weakness after previous evidence of deterioration in motor strength. It is acknowledged that very slow deterioration may occur over several years in stable patients</w:t>
      </w:r>
    </w:p>
    <w:p w14:paraId="48E9F1D9" w14:textId="77777777" w:rsidR="001D34A1" w:rsidRPr="00B9583F" w:rsidRDefault="001D34A1" w:rsidP="001D34A1">
      <w:pPr>
        <w:tabs>
          <w:tab w:val="left" w:pos="2265"/>
          <w:tab w:val="left" w:pos="3420"/>
          <w:tab w:val="left" w:pos="4320"/>
        </w:tabs>
        <w:rPr>
          <w:i/>
          <w:szCs w:val="24"/>
        </w:rPr>
      </w:pPr>
      <w:r w:rsidRPr="00B9583F">
        <w:rPr>
          <w:i/>
          <w:szCs w:val="24"/>
        </w:rPr>
        <w:t>AND</w:t>
      </w:r>
    </w:p>
    <w:p w14:paraId="51EFF87C" w14:textId="77777777" w:rsidR="001D34A1" w:rsidRPr="00B9583F" w:rsidRDefault="001D34A1" w:rsidP="001D34A1">
      <w:pPr>
        <w:tabs>
          <w:tab w:val="left" w:pos="2265"/>
          <w:tab w:val="left" w:pos="3420"/>
          <w:tab w:val="left" w:pos="4320"/>
        </w:tabs>
        <w:rPr>
          <w:i/>
          <w:szCs w:val="24"/>
        </w:rPr>
      </w:pPr>
      <w:r w:rsidRPr="00B9583F">
        <w:rPr>
          <w:i/>
          <w:szCs w:val="24"/>
        </w:rPr>
        <w:lastRenderedPageBreak/>
        <w:t>Improvement in or stabilisation of disability as measured by the Adjusted Overall Neuropathy Limitations Scale (ONLS) score compared to the previous review score. (Note: Gradual deterioration of one point over several years may occur)</w:t>
      </w:r>
    </w:p>
    <w:p w14:paraId="7E1C810A" w14:textId="77777777" w:rsidR="001D34A1" w:rsidRPr="00B9583F" w:rsidRDefault="001D34A1" w:rsidP="001D34A1">
      <w:pPr>
        <w:tabs>
          <w:tab w:val="left" w:pos="2265"/>
          <w:tab w:val="left" w:pos="3420"/>
          <w:tab w:val="left" w:pos="4320"/>
        </w:tabs>
        <w:rPr>
          <w:i/>
          <w:szCs w:val="24"/>
        </w:rPr>
      </w:pPr>
      <w:r w:rsidRPr="00B9583F">
        <w:rPr>
          <w:i/>
          <w:szCs w:val="24"/>
        </w:rPr>
        <w:t>AND</w:t>
      </w:r>
    </w:p>
    <w:p w14:paraId="2F169A41" w14:textId="5839949F" w:rsidR="001D34A1" w:rsidRPr="00B7509C" w:rsidRDefault="001D34A1" w:rsidP="00B7509C">
      <w:pPr>
        <w:tabs>
          <w:tab w:val="left" w:pos="2265"/>
          <w:tab w:val="left" w:pos="3420"/>
          <w:tab w:val="left" w:pos="4320"/>
        </w:tabs>
        <w:spacing w:after="240"/>
        <w:rPr>
          <w:i/>
          <w:szCs w:val="24"/>
        </w:rPr>
      </w:pPr>
      <w:r w:rsidRPr="00B9583F">
        <w:rPr>
          <w:i/>
          <w:szCs w:val="24"/>
        </w:rPr>
        <w:t>A trial of Ig weaning/cessation of Ig therapy is planned for patients who are clinically stable to identify those in remission or a reason provided a</w:t>
      </w:r>
      <w:r w:rsidR="00B7509C">
        <w:rPr>
          <w:i/>
          <w:szCs w:val="24"/>
        </w:rPr>
        <w:t>s to why a trial is not planned.</w:t>
      </w:r>
    </w:p>
    <w:p w14:paraId="4360A889" w14:textId="401D325D" w:rsidR="001D34A1" w:rsidRPr="008B710E" w:rsidRDefault="001D34A1" w:rsidP="00067458">
      <w:pPr>
        <w:tabs>
          <w:tab w:val="left" w:pos="2265"/>
          <w:tab w:val="left" w:pos="3420"/>
          <w:tab w:val="left" w:pos="4320"/>
        </w:tabs>
        <w:rPr>
          <w:szCs w:val="24"/>
        </w:rPr>
      </w:pPr>
      <w:r>
        <w:rPr>
          <w:szCs w:val="24"/>
        </w:rPr>
        <w:t>As with the initial review criteria, the method and magnitude of motor improvement are not stated, a</w:t>
      </w:r>
      <w:r w:rsidR="00B7509C">
        <w:rPr>
          <w:szCs w:val="24"/>
        </w:rPr>
        <w:t>nd Ig may continue erroneously.</w:t>
      </w:r>
    </w:p>
    <w:p w14:paraId="5E7FFB1D" w14:textId="5F7748B6" w:rsidR="00067458" w:rsidRDefault="00067458" w:rsidP="00B7509C">
      <w:pPr>
        <w:tabs>
          <w:tab w:val="left" w:pos="2265"/>
          <w:tab w:val="left" w:pos="3420"/>
          <w:tab w:val="left" w:pos="4320"/>
        </w:tabs>
        <w:spacing w:before="240"/>
        <w:rPr>
          <w:szCs w:val="24"/>
        </w:rPr>
      </w:pPr>
      <w:r w:rsidRPr="008B710E">
        <w:rPr>
          <w:szCs w:val="24"/>
        </w:rPr>
        <w:t>Five randomised control</w:t>
      </w:r>
      <w:r>
        <w:rPr>
          <w:szCs w:val="24"/>
        </w:rPr>
        <w:t>led</w:t>
      </w:r>
      <w:r w:rsidRPr="008B710E">
        <w:rPr>
          <w:szCs w:val="24"/>
        </w:rPr>
        <w:t xml:space="preserve"> trials (RCTs) and 24 </w:t>
      </w:r>
      <w:r>
        <w:rPr>
          <w:szCs w:val="24"/>
        </w:rPr>
        <w:t>single arm</w:t>
      </w:r>
      <w:r w:rsidRPr="008B710E">
        <w:rPr>
          <w:szCs w:val="24"/>
        </w:rPr>
        <w:t xml:space="preserve"> studies were </w:t>
      </w:r>
      <w:r>
        <w:rPr>
          <w:szCs w:val="24"/>
        </w:rPr>
        <w:t>included in the evidence base for</w:t>
      </w:r>
      <w:r w:rsidRPr="008B710E">
        <w:rPr>
          <w:szCs w:val="24"/>
        </w:rPr>
        <w:t xml:space="preserve"> this review. </w:t>
      </w:r>
      <w:r>
        <w:rPr>
          <w:szCs w:val="24"/>
        </w:rPr>
        <w:t>The RCTs had limited number of patients recruited (5 – 44 patients) and</w:t>
      </w:r>
      <w:r w:rsidRPr="008059D0">
        <w:rPr>
          <w:szCs w:val="24"/>
        </w:rPr>
        <w:t xml:space="preserve"> limited follow-up period</w:t>
      </w:r>
      <w:r>
        <w:rPr>
          <w:szCs w:val="24"/>
        </w:rPr>
        <w:t>s</w:t>
      </w:r>
      <w:r w:rsidRPr="008059D0">
        <w:rPr>
          <w:szCs w:val="24"/>
        </w:rPr>
        <w:t xml:space="preserve"> (28 days – 11 months)</w:t>
      </w:r>
      <w:r>
        <w:rPr>
          <w:szCs w:val="24"/>
        </w:rPr>
        <w:t>. ESC</w:t>
      </w:r>
      <w:r w:rsidRPr="008B710E">
        <w:rPr>
          <w:szCs w:val="24"/>
        </w:rPr>
        <w:t xml:space="preserve"> noted </w:t>
      </w:r>
      <w:r>
        <w:rPr>
          <w:szCs w:val="24"/>
        </w:rPr>
        <w:t xml:space="preserve">that </w:t>
      </w:r>
      <w:r w:rsidRPr="008B710E">
        <w:rPr>
          <w:szCs w:val="24"/>
        </w:rPr>
        <w:t xml:space="preserve">the </w:t>
      </w:r>
      <w:r>
        <w:rPr>
          <w:szCs w:val="24"/>
        </w:rPr>
        <w:t>low</w:t>
      </w:r>
      <w:r w:rsidRPr="008B710E">
        <w:rPr>
          <w:szCs w:val="24"/>
        </w:rPr>
        <w:t xml:space="preserve"> evidence base </w:t>
      </w:r>
      <w:r>
        <w:rPr>
          <w:szCs w:val="24"/>
        </w:rPr>
        <w:t xml:space="preserve">is </w:t>
      </w:r>
      <w:r w:rsidRPr="008B710E">
        <w:rPr>
          <w:szCs w:val="24"/>
        </w:rPr>
        <w:t xml:space="preserve">due to the rarity of MMN, resulting in limited published evidence to base conclusions on the clinical </w:t>
      </w:r>
      <w:r>
        <w:rPr>
          <w:szCs w:val="24"/>
        </w:rPr>
        <w:t xml:space="preserve">effectiveness </w:t>
      </w:r>
      <w:r w:rsidRPr="008B710E">
        <w:rPr>
          <w:szCs w:val="24"/>
        </w:rPr>
        <w:t xml:space="preserve">and cost-effectiveness of </w:t>
      </w:r>
      <w:proofErr w:type="spellStart"/>
      <w:r>
        <w:rPr>
          <w:szCs w:val="24"/>
        </w:rPr>
        <w:t>IV</w:t>
      </w:r>
      <w:r w:rsidRPr="008B710E">
        <w:rPr>
          <w:szCs w:val="24"/>
        </w:rPr>
        <w:t>Ig</w:t>
      </w:r>
      <w:proofErr w:type="spellEnd"/>
      <w:r>
        <w:rPr>
          <w:szCs w:val="24"/>
        </w:rPr>
        <w:t xml:space="preserve"> for these patients</w:t>
      </w:r>
      <w:r w:rsidRPr="008B710E">
        <w:rPr>
          <w:szCs w:val="24"/>
        </w:rPr>
        <w:t xml:space="preserve">. In addition, </w:t>
      </w:r>
      <w:proofErr w:type="spellStart"/>
      <w:r w:rsidRPr="008B710E">
        <w:rPr>
          <w:szCs w:val="24"/>
        </w:rPr>
        <w:t>IVIg</w:t>
      </w:r>
      <w:proofErr w:type="spellEnd"/>
      <w:r w:rsidRPr="008B710E">
        <w:rPr>
          <w:szCs w:val="24"/>
        </w:rPr>
        <w:t xml:space="preserve"> has been the standard of care in </w:t>
      </w:r>
      <w:r>
        <w:rPr>
          <w:szCs w:val="24"/>
        </w:rPr>
        <w:t>for the treatment of MMN since the 1990s. T</w:t>
      </w:r>
      <w:r w:rsidRPr="008B710E">
        <w:rPr>
          <w:szCs w:val="24"/>
        </w:rPr>
        <w:t>here are no alternative treatments for this condition</w:t>
      </w:r>
      <w:r>
        <w:rPr>
          <w:szCs w:val="24"/>
        </w:rPr>
        <w:t xml:space="preserve"> and therefore the comparator of no Ig is appropriate</w:t>
      </w:r>
      <w:r w:rsidRPr="008B710E">
        <w:rPr>
          <w:szCs w:val="24"/>
        </w:rPr>
        <w:t>.</w:t>
      </w:r>
      <w:r>
        <w:rPr>
          <w:szCs w:val="24"/>
        </w:rPr>
        <w:t xml:space="preserve"> ESC considered that the evidence included in the review was sufficient, noting that future RCTs a</w:t>
      </w:r>
      <w:r w:rsidR="00B7509C">
        <w:rPr>
          <w:szCs w:val="24"/>
        </w:rPr>
        <w:t>re unlikely in this population.</w:t>
      </w:r>
    </w:p>
    <w:p w14:paraId="765CE5C9" w14:textId="4356F634" w:rsidR="00067458" w:rsidRDefault="00067458" w:rsidP="00B7509C">
      <w:pPr>
        <w:tabs>
          <w:tab w:val="left" w:pos="2265"/>
          <w:tab w:val="left" w:pos="3420"/>
          <w:tab w:val="left" w:pos="4320"/>
        </w:tabs>
        <w:spacing w:before="240"/>
        <w:rPr>
          <w:szCs w:val="24"/>
        </w:rPr>
      </w:pPr>
      <w:r>
        <w:rPr>
          <w:szCs w:val="24"/>
        </w:rPr>
        <w:t xml:space="preserve">ESC noted that in terms of comparative safety of Ig treatment versus placebo, the frequency of adverse events (AEs) in the RCTs ranged from 1-40% but was usually less than 20%. Most AEs were mild and typical of infusion reactions such as headache, fever and chills. AEs were generally self-limiting and often resolved by reducing the rate or volume of infusion, or implementing premedication with analgesics or antihistamines. Only one RCT, Hahn et al. 2013, reported one patient out of 44 patients (2.27%) who suffered a PE which was categorised as a serious AE attributed to the use of </w:t>
      </w:r>
      <w:proofErr w:type="spellStart"/>
      <w:r>
        <w:rPr>
          <w:szCs w:val="24"/>
        </w:rPr>
        <w:t>IVIg</w:t>
      </w:r>
      <w:proofErr w:type="spellEnd"/>
      <w:r>
        <w:rPr>
          <w:szCs w:val="24"/>
        </w:rPr>
        <w:t xml:space="preserve"> by investigators. On this basis, ESC considered that the 4.5% rate applied to the probability of patients receiving </w:t>
      </w:r>
      <w:proofErr w:type="spellStart"/>
      <w:r>
        <w:rPr>
          <w:szCs w:val="24"/>
        </w:rPr>
        <w:t>IVIg</w:t>
      </w:r>
      <w:proofErr w:type="spellEnd"/>
      <w:r>
        <w:rPr>
          <w:szCs w:val="24"/>
        </w:rPr>
        <w:t xml:space="preserve"> experiencing PE in their first cycle of treatment with </w:t>
      </w:r>
      <w:proofErr w:type="spellStart"/>
      <w:r>
        <w:rPr>
          <w:szCs w:val="24"/>
        </w:rPr>
        <w:t>IVIg</w:t>
      </w:r>
      <w:proofErr w:type="spellEnd"/>
      <w:r>
        <w:rPr>
          <w:szCs w:val="24"/>
        </w:rPr>
        <w:t xml:space="preserve"> used in the economic model may not be justified.</w:t>
      </w:r>
      <w:r w:rsidRPr="00C64B8A">
        <w:rPr>
          <w:szCs w:val="24"/>
        </w:rPr>
        <w:t xml:space="preserve"> </w:t>
      </w:r>
      <w:r>
        <w:rPr>
          <w:szCs w:val="24"/>
        </w:rPr>
        <w:t xml:space="preserve">ESC also noted that the safety outcomes associated with </w:t>
      </w:r>
      <w:proofErr w:type="spellStart"/>
      <w:r>
        <w:rPr>
          <w:szCs w:val="24"/>
        </w:rPr>
        <w:t>IVIg</w:t>
      </w:r>
      <w:proofErr w:type="spellEnd"/>
      <w:r>
        <w:rPr>
          <w:szCs w:val="24"/>
        </w:rPr>
        <w:t xml:space="preserve"> therapy described in the PICO included thromboembolic reactions including myocardial infarction, deep vein thrombosis (DVT) and pulmonary embolism (PE). ESC considered that patients with inflammatory conditions such as MMN may have a higher baseline risk for these vascular events, and it is possible that treatment with </w:t>
      </w:r>
      <w:proofErr w:type="spellStart"/>
      <w:r>
        <w:rPr>
          <w:szCs w:val="24"/>
        </w:rPr>
        <w:t>IVIg</w:t>
      </w:r>
      <w:proofErr w:type="spellEnd"/>
      <w:r>
        <w:rPr>
          <w:szCs w:val="24"/>
        </w:rPr>
        <w:t xml:space="preserve"> may decrease this risk, although the mechanism of a</w:t>
      </w:r>
      <w:r w:rsidRPr="002073F3">
        <w:rPr>
          <w:szCs w:val="24"/>
        </w:rPr>
        <w:t xml:space="preserve">ction </w:t>
      </w:r>
      <w:r>
        <w:rPr>
          <w:szCs w:val="24"/>
        </w:rPr>
        <w:t xml:space="preserve">is not established. Thus, there is conflicting evidence on whether </w:t>
      </w:r>
      <w:proofErr w:type="spellStart"/>
      <w:r>
        <w:rPr>
          <w:szCs w:val="24"/>
        </w:rPr>
        <w:t>IVIg</w:t>
      </w:r>
      <w:proofErr w:type="spellEnd"/>
      <w:r>
        <w:rPr>
          <w:szCs w:val="24"/>
        </w:rPr>
        <w:t xml:space="preserve"> in this population would increase or decrease the likelihood of such events. Overall, ESC agreed that the safe</w:t>
      </w:r>
      <w:r w:rsidR="00B7509C">
        <w:rPr>
          <w:szCs w:val="24"/>
        </w:rPr>
        <w:t>ty of Ig is inferior to no Ig.</w:t>
      </w:r>
    </w:p>
    <w:p w14:paraId="3EDBF225" w14:textId="784C43BC" w:rsidR="00067458" w:rsidRPr="00B7509C" w:rsidRDefault="00067458" w:rsidP="00B7509C">
      <w:pPr>
        <w:tabs>
          <w:tab w:val="left" w:pos="2265"/>
          <w:tab w:val="left" w:pos="3420"/>
          <w:tab w:val="left" w:pos="4320"/>
        </w:tabs>
        <w:spacing w:before="240"/>
      </w:pPr>
      <w:r w:rsidRPr="00A1046F">
        <w:rPr>
          <w:szCs w:val="24"/>
        </w:rPr>
        <w:t xml:space="preserve">With regard to comparative effectiveness, all five RCTs reported some benefit associated with </w:t>
      </w:r>
      <w:proofErr w:type="spellStart"/>
      <w:r w:rsidRPr="00A1046F">
        <w:rPr>
          <w:szCs w:val="24"/>
        </w:rPr>
        <w:t>IVIg</w:t>
      </w:r>
      <w:proofErr w:type="spellEnd"/>
      <w:r w:rsidRPr="00A1046F">
        <w:rPr>
          <w:szCs w:val="24"/>
        </w:rPr>
        <w:t>. Effectiveness was assessed in terms of improvement in disability and muscle strength</w:t>
      </w:r>
      <w:r>
        <w:rPr>
          <w:szCs w:val="24"/>
        </w:rPr>
        <w:t xml:space="preserve">, which favoured </w:t>
      </w:r>
      <w:proofErr w:type="spellStart"/>
      <w:r>
        <w:rPr>
          <w:szCs w:val="24"/>
        </w:rPr>
        <w:t>IVIg</w:t>
      </w:r>
      <w:proofErr w:type="spellEnd"/>
      <w:r w:rsidRPr="00A1046F">
        <w:rPr>
          <w:szCs w:val="24"/>
        </w:rPr>
        <w:t xml:space="preserve">. </w:t>
      </w:r>
      <w:r w:rsidRPr="00A1046F">
        <w:t>None of the RCTs reported improvement in quality of life as an outcome for patients with MMN.</w:t>
      </w:r>
      <w:r>
        <w:t xml:space="preserve"> ESC noted that a number of single arm studies, although of low-level evidence, provided data on treatment effect that indirectly support the clinical claim of superiority as suggested by the RCTs.</w:t>
      </w:r>
      <w:r w:rsidRPr="00A1046F">
        <w:t xml:space="preserve"> Overall, ESC agreed that based on the available evidence, </w:t>
      </w:r>
      <w:proofErr w:type="spellStart"/>
      <w:r w:rsidRPr="00A1046F">
        <w:t>IVIg</w:t>
      </w:r>
      <w:proofErr w:type="spellEnd"/>
      <w:r w:rsidRPr="00A1046F">
        <w:t xml:space="preserve"> treatment is superior to placebo in improving muscle strength and disability in patients with MMN.</w:t>
      </w:r>
    </w:p>
    <w:p w14:paraId="7586F5AE" w14:textId="3263F25B" w:rsidR="00067458" w:rsidRDefault="00067458" w:rsidP="00B7509C">
      <w:pPr>
        <w:spacing w:before="240" w:after="240"/>
      </w:pPr>
      <w:r>
        <w:t>The DCAR presents a</w:t>
      </w:r>
      <w:r w:rsidRPr="00E3331A">
        <w:t xml:space="preserve"> cost-utility analysis</w:t>
      </w:r>
      <w:r>
        <w:t xml:space="preserve"> (CUA)</w:t>
      </w:r>
      <w:r w:rsidRPr="00E3331A">
        <w:t xml:space="preserve"> </w:t>
      </w:r>
      <w:r>
        <w:t>based on superior effectiveness and inferior safety and estimates an incremental cost-effectiveness ratio (ICER) of $</w:t>
      </w:r>
      <w:r w:rsidRPr="002063D8">
        <w:t>317,552</w:t>
      </w:r>
      <w:r>
        <w:t xml:space="preserve"> per quality-adjusted life-year (QALY) gained over a 15-year time horizon (base case). The base case model uses a cost of Ig of $60.41 per gram, which is based on the domestic unit cost of </w:t>
      </w:r>
      <w:proofErr w:type="spellStart"/>
      <w:r>
        <w:t>IVIg</w:t>
      </w:r>
      <w:proofErr w:type="spellEnd"/>
      <w:r>
        <w:t xml:space="preserve"> excluding plasma, and is the cost agreed at the beginning of the Ig Reviews to be used as the </w:t>
      </w:r>
      <w:r>
        <w:lastRenderedPageBreak/>
        <w:t>base case across all of the Immunoglobulin Reviews.</w:t>
      </w:r>
      <w:r w:rsidRPr="004D70F1">
        <w:t xml:space="preserve"> </w:t>
      </w:r>
      <w:r>
        <w:t>The</w:t>
      </w:r>
      <w:r w:rsidRPr="000D5BD3">
        <w:t xml:space="preserve"> annual dose per patient was estimated to be 626 grams per patient</w:t>
      </w:r>
      <w:r>
        <w:t>, and</w:t>
      </w:r>
      <w:r w:rsidRPr="000D5BD3">
        <w:t xml:space="preserve"> </w:t>
      </w:r>
      <w:r w:rsidRPr="004D70F1">
        <w:t>patients are assumed to enter the model at age 59</w:t>
      </w:r>
      <w:r>
        <w:t>,</w:t>
      </w:r>
      <w:r w:rsidRPr="004D70F1">
        <w:t xml:space="preserve"> </w:t>
      </w:r>
      <w:r>
        <w:t>based on NBA data for</w:t>
      </w:r>
      <w:r w:rsidR="0039754D">
        <w:t xml:space="preserve"> the average age of</w:t>
      </w:r>
      <w:r>
        <w:t xml:space="preserve"> patients receiving Ig for MMN. </w:t>
      </w:r>
      <w:r w:rsidRPr="004D70F1">
        <w:t>The cycle length for the model was 6 months to reflect the time point at which Australian MMN patients would have their usual follow-up visits.</w:t>
      </w:r>
    </w:p>
    <w:p w14:paraId="78236D42" w14:textId="3C587C15" w:rsidR="00067458" w:rsidRDefault="00067458" w:rsidP="00067458">
      <w:pPr>
        <w:tabs>
          <w:tab w:val="left" w:pos="2265"/>
          <w:tab w:val="left" w:pos="3420"/>
          <w:tab w:val="left" w:pos="4320"/>
        </w:tabs>
        <w:rPr>
          <w:szCs w:val="24"/>
        </w:rPr>
      </w:pPr>
      <w:r>
        <w:rPr>
          <w:szCs w:val="24"/>
        </w:rPr>
        <w:t xml:space="preserve">ESC considered the economic model to be well structured and reflective of the Criteria V3, based on the limited clinical evidence. </w:t>
      </w:r>
      <w:r>
        <w:t xml:space="preserve">The CUA uses </w:t>
      </w:r>
      <w:r w:rsidRPr="00DA3C6E">
        <w:t>data from Leger et al. 2001 as the main source of treatment effect</w:t>
      </w:r>
      <w:r>
        <w:t xml:space="preserve"> as it was the</w:t>
      </w:r>
      <w:r w:rsidRPr="0087296E">
        <w:t xml:space="preserve"> only study that considered re</w:t>
      </w:r>
      <w:r>
        <w:t>sponders as a composite outcome</w:t>
      </w:r>
      <w:r w:rsidRPr="0087296E">
        <w:t xml:space="preserve"> </w:t>
      </w:r>
      <w:r>
        <w:t>of both improvement in</w:t>
      </w:r>
      <w:r w:rsidRPr="0087296E">
        <w:t xml:space="preserve"> muscle strength and reduced disability</w:t>
      </w:r>
      <w:r>
        <w:t xml:space="preserve"> as it would in the Australian setting</w:t>
      </w:r>
      <w:r w:rsidRPr="0087296E">
        <w:t>.</w:t>
      </w:r>
      <w:r>
        <w:t xml:space="preserve"> Where data </w:t>
      </w:r>
      <w:r w:rsidRPr="00C6790B">
        <w:t xml:space="preserve">was not available and/or not reported by Leger et al. 2001, the model relied on data from Hahn et al. 2013 </w:t>
      </w:r>
      <w:r>
        <w:t>and other non-randomised single-</w:t>
      </w:r>
      <w:r w:rsidRPr="00C6790B">
        <w:t>arm studies</w:t>
      </w:r>
      <w:r>
        <w:t xml:space="preserve">. </w:t>
      </w:r>
      <w:r>
        <w:rPr>
          <w:szCs w:val="24"/>
        </w:rPr>
        <w:t>ESC noted that Hahn et al 2013 was the largest RCT (44 patients) identified in the DCAR and the only one with statistically significant effect, yet the treatment effect in the base case was fr</w:t>
      </w:r>
      <w:r w:rsidR="00B7509C">
        <w:rPr>
          <w:szCs w:val="24"/>
        </w:rPr>
        <w:t>om the Leger et al. 2001 study.</w:t>
      </w:r>
    </w:p>
    <w:p w14:paraId="23A360C5" w14:textId="19E36C61" w:rsidR="00067458" w:rsidRDefault="00067458" w:rsidP="00B7509C">
      <w:pPr>
        <w:tabs>
          <w:tab w:val="left" w:pos="2265"/>
          <w:tab w:val="left" w:pos="3420"/>
          <w:tab w:val="left" w:pos="4320"/>
        </w:tabs>
        <w:spacing w:before="240"/>
      </w:pPr>
      <w:r>
        <w:rPr>
          <w:szCs w:val="24"/>
        </w:rPr>
        <w:t>ESC noted comments from one stakeholder that a lifetime horizon may be more appropriate as the base case, but considered that this had minimal effect on the ICER, reducing it to $</w:t>
      </w:r>
      <w:r w:rsidRPr="002063D8">
        <w:rPr>
          <w:szCs w:val="24"/>
        </w:rPr>
        <w:t>315,258</w:t>
      </w:r>
      <w:r>
        <w:rPr>
          <w:szCs w:val="24"/>
        </w:rPr>
        <w:t>/QALY. The DCAR explains that e</w:t>
      </w:r>
      <w:r w:rsidRPr="00782C17">
        <w:rPr>
          <w:szCs w:val="24"/>
        </w:rPr>
        <w:t>xten</w:t>
      </w:r>
      <w:r>
        <w:rPr>
          <w:szCs w:val="24"/>
        </w:rPr>
        <w:t>ding the time horizon to a life</w:t>
      </w:r>
      <w:r w:rsidRPr="00782C17">
        <w:rPr>
          <w:szCs w:val="24"/>
        </w:rPr>
        <w:t xml:space="preserve">time </w:t>
      </w:r>
      <w:r>
        <w:rPr>
          <w:szCs w:val="24"/>
        </w:rPr>
        <w:t xml:space="preserve">horizon </w:t>
      </w:r>
      <w:r w:rsidRPr="00782C17">
        <w:rPr>
          <w:szCs w:val="24"/>
        </w:rPr>
        <w:t xml:space="preserve">introduces </w:t>
      </w:r>
      <w:r>
        <w:rPr>
          <w:szCs w:val="24"/>
        </w:rPr>
        <w:t>greater</w:t>
      </w:r>
      <w:r w:rsidRPr="00782C17">
        <w:rPr>
          <w:szCs w:val="24"/>
        </w:rPr>
        <w:t xml:space="preserve"> uncertainty</w:t>
      </w:r>
      <w:r>
        <w:rPr>
          <w:szCs w:val="24"/>
        </w:rPr>
        <w:t xml:space="preserve">, and long-term effects of </w:t>
      </w:r>
      <w:proofErr w:type="spellStart"/>
      <w:r>
        <w:rPr>
          <w:szCs w:val="24"/>
        </w:rPr>
        <w:t>IVIg</w:t>
      </w:r>
      <w:proofErr w:type="spellEnd"/>
      <w:r>
        <w:rPr>
          <w:szCs w:val="24"/>
        </w:rPr>
        <w:t xml:space="preserve"> could not be determined from the RCTs</w:t>
      </w:r>
      <w:r w:rsidRPr="00782C17">
        <w:rPr>
          <w:szCs w:val="24"/>
        </w:rPr>
        <w:t xml:space="preserve">, hence </w:t>
      </w:r>
      <w:r>
        <w:rPr>
          <w:szCs w:val="24"/>
        </w:rPr>
        <w:t>15 years was considered in the</w:t>
      </w:r>
      <w:r w:rsidRPr="00782C17">
        <w:rPr>
          <w:szCs w:val="24"/>
        </w:rPr>
        <w:t xml:space="preserve"> base case analysis.</w:t>
      </w:r>
      <w:r w:rsidRPr="00782C17">
        <w:t xml:space="preserve"> </w:t>
      </w:r>
      <w:r>
        <w:t xml:space="preserve">ESC noted the model uses a patient age of 59 years sourced from NBA data which is older than that reported in the RCTs, but considered this to be acceptable noting that this had been </w:t>
      </w:r>
      <w:r w:rsidR="00B7509C">
        <w:t>tested in sensitivity analyses.</w:t>
      </w:r>
    </w:p>
    <w:p w14:paraId="7C85042B" w14:textId="3AA4FA25" w:rsidR="00067458" w:rsidRDefault="00067458" w:rsidP="00B7509C">
      <w:pPr>
        <w:spacing w:before="240"/>
      </w:pPr>
      <w:r>
        <w:t>ESC noted that the ICER i</w:t>
      </w:r>
      <w:r w:rsidRPr="00DA3C6E">
        <w:t>s most sensitive to the price of intravenous Ig</w:t>
      </w:r>
      <w:r>
        <w:t xml:space="preserve">, and to </w:t>
      </w:r>
      <w:r w:rsidRPr="00DA3C6E">
        <w:t xml:space="preserve">the utility </w:t>
      </w:r>
      <w:r>
        <w:t>values associated with ‘best supportive care’ (BSC) and the ‘responder’ health state, and the lack of annual decline and divergence in utility values between both these states</w:t>
      </w:r>
      <w:r w:rsidRPr="00DA3C6E">
        <w:t xml:space="preserve">. </w:t>
      </w:r>
      <w:r w:rsidRPr="00762E9D">
        <w:rPr>
          <w:szCs w:val="24"/>
        </w:rPr>
        <w:t>ESC noted that due to limited evidence, some</w:t>
      </w:r>
      <w:r>
        <w:rPr>
          <w:szCs w:val="24"/>
        </w:rPr>
        <w:t xml:space="preserve"> key </w:t>
      </w:r>
      <w:r w:rsidRPr="00762E9D">
        <w:rPr>
          <w:szCs w:val="24"/>
        </w:rPr>
        <w:t xml:space="preserve">assumptions </w:t>
      </w:r>
      <w:r>
        <w:rPr>
          <w:szCs w:val="24"/>
        </w:rPr>
        <w:t xml:space="preserve">had to be </w:t>
      </w:r>
      <w:r w:rsidRPr="00762E9D">
        <w:rPr>
          <w:szCs w:val="24"/>
        </w:rPr>
        <w:t xml:space="preserve">made in the model. Information on </w:t>
      </w:r>
      <w:proofErr w:type="spellStart"/>
      <w:r w:rsidRPr="00762E9D">
        <w:rPr>
          <w:szCs w:val="24"/>
        </w:rPr>
        <w:t>QoL</w:t>
      </w:r>
      <w:proofErr w:type="spellEnd"/>
      <w:r w:rsidRPr="00762E9D">
        <w:rPr>
          <w:szCs w:val="24"/>
        </w:rPr>
        <w:t xml:space="preserve"> in MMN patients </w:t>
      </w:r>
      <w:r>
        <w:rPr>
          <w:szCs w:val="24"/>
        </w:rPr>
        <w:t xml:space="preserve">was </w:t>
      </w:r>
      <w:r w:rsidRPr="00762E9D">
        <w:rPr>
          <w:szCs w:val="24"/>
        </w:rPr>
        <w:t xml:space="preserve">scarce and </w:t>
      </w:r>
      <w:r>
        <w:rPr>
          <w:szCs w:val="24"/>
        </w:rPr>
        <w:t xml:space="preserve">had to be </w:t>
      </w:r>
      <w:r w:rsidRPr="00762E9D">
        <w:rPr>
          <w:szCs w:val="24"/>
        </w:rPr>
        <w:t xml:space="preserve">complemented </w:t>
      </w:r>
      <w:r>
        <w:rPr>
          <w:szCs w:val="24"/>
        </w:rPr>
        <w:t>with</w:t>
      </w:r>
      <w:r w:rsidRPr="00444DB3">
        <w:rPr>
          <w:szCs w:val="24"/>
        </w:rPr>
        <w:t xml:space="preserve"> </w:t>
      </w:r>
      <w:r>
        <w:rPr>
          <w:szCs w:val="24"/>
        </w:rPr>
        <w:t xml:space="preserve">data from </w:t>
      </w:r>
      <w:r w:rsidRPr="00762E9D">
        <w:rPr>
          <w:szCs w:val="24"/>
        </w:rPr>
        <w:t>a study</w:t>
      </w:r>
      <w:r w:rsidRPr="00AA2948">
        <w:t xml:space="preserve"> </w:t>
      </w:r>
      <w:r>
        <w:t>(</w:t>
      </w:r>
      <w:proofErr w:type="spellStart"/>
      <w:r w:rsidRPr="00AA2948">
        <w:rPr>
          <w:szCs w:val="24"/>
        </w:rPr>
        <w:t>McCrone</w:t>
      </w:r>
      <w:proofErr w:type="spellEnd"/>
      <w:r w:rsidRPr="00AA2948">
        <w:rPr>
          <w:szCs w:val="24"/>
        </w:rPr>
        <w:t xml:space="preserve"> et al. 2003</w:t>
      </w:r>
      <w:r>
        <w:rPr>
          <w:szCs w:val="24"/>
        </w:rPr>
        <w:t>)</w:t>
      </w:r>
      <w:r w:rsidRPr="00762E9D">
        <w:rPr>
          <w:szCs w:val="24"/>
        </w:rPr>
        <w:t xml:space="preserve"> of patients with </w:t>
      </w:r>
      <w:r w:rsidRPr="00762E9D">
        <w:t>chronic inflammatory demyelinating polyneuropathy (CIDP)</w:t>
      </w:r>
      <w:r w:rsidRPr="00762E9D">
        <w:rPr>
          <w:szCs w:val="24"/>
        </w:rPr>
        <w:t xml:space="preserve"> to derive a baseline utility</w:t>
      </w:r>
      <w:r>
        <w:rPr>
          <w:szCs w:val="24"/>
        </w:rPr>
        <w:t xml:space="preserve"> value</w:t>
      </w:r>
      <w:r w:rsidRPr="00762E9D">
        <w:rPr>
          <w:szCs w:val="24"/>
        </w:rPr>
        <w:t xml:space="preserve"> f</w:t>
      </w:r>
      <w:r>
        <w:rPr>
          <w:szCs w:val="24"/>
        </w:rPr>
        <w:t>or</w:t>
      </w:r>
      <w:r w:rsidRPr="00762E9D">
        <w:rPr>
          <w:szCs w:val="24"/>
        </w:rPr>
        <w:t xml:space="preserve"> </w:t>
      </w:r>
      <w:r>
        <w:rPr>
          <w:szCs w:val="24"/>
        </w:rPr>
        <w:t xml:space="preserve">MMN </w:t>
      </w:r>
      <w:r w:rsidRPr="00762E9D">
        <w:rPr>
          <w:szCs w:val="24"/>
        </w:rPr>
        <w:t>patients</w:t>
      </w:r>
      <w:r>
        <w:rPr>
          <w:szCs w:val="24"/>
        </w:rPr>
        <w:t xml:space="preserve">. </w:t>
      </w:r>
      <w:r w:rsidRPr="00444DB3">
        <w:rPr>
          <w:szCs w:val="24"/>
        </w:rPr>
        <w:t xml:space="preserve">The effect of initiating treatment with intravenous Ig resulted in a non-statistically significant gain in </w:t>
      </w:r>
      <w:proofErr w:type="spellStart"/>
      <w:r w:rsidRPr="00444DB3">
        <w:rPr>
          <w:szCs w:val="24"/>
        </w:rPr>
        <w:t>QoL</w:t>
      </w:r>
      <w:proofErr w:type="spellEnd"/>
      <w:r w:rsidRPr="00444DB3">
        <w:rPr>
          <w:szCs w:val="24"/>
        </w:rPr>
        <w:t xml:space="preserve"> of 0.12 (p= 0.072).</w:t>
      </w:r>
      <w:r>
        <w:rPr>
          <w:szCs w:val="24"/>
        </w:rPr>
        <w:t xml:space="preserve"> </w:t>
      </w:r>
      <w:r w:rsidRPr="00DA3C6E">
        <w:t xml:space="preserve">This source was used in the economic evaluation, </w:t>
      </w:r>
      <w:r>
        <w:t>and assumes</w:t>
      </w:r>
      <w:r w:rsidRPr="00DA3C6E">
        <w:t xml:space="preserve"> that patients with MMN have a comparable </w:t>
      </w:r>
      <w:proofErr w:type="spellStart"/>
      <w:r w:rsidRPr="00DA3C6E">
        <w:t>QoL</w:t>
      </w:r>
      <w:proofErr w:type="spellEnd"/>
      <w:r w:rsidRPr="00DA3C6E">
        <w:t xml:space="preserve"> profile to patients with CIDP. </w:t>
      </w:r>
      <w:r>
        <w:rPr>
          <w:szCs w:val="24"/>
        </w:rPr>
        <w:t xml:space="preserve">Due to the lack of evidence of deterioration in </w:t>
      </w:r>
      <w:proofErr w:type="spellStart"/>
      <w:r>
        <w:rPr>
          <w:szCs w:val="24"/>
        </w:rPr>
        <w:t>QoL</w:t>
      </w:r>
      <w:proofErr w:type="spellEnd"/>
      <w:r>
        <w:rPr>
          <w:szCs w:val="24"/>
        </w:rPr>
        <w:t xml:space="preserve"> associated with disease progression, the base case applied a constant utility (no deterioration) in both the ‘BSC’ and ‘responder’ health states over time. </w:t>
      </w:r>
      <w:r>
        <w:t xml:space="preserve">The DCAR justified the use of constant utilities over time </w:t>
      </w:r>
      <w:r w:rsidRPr="00782C17">
        <w:rPr>
          <w:szCs w:val="24"/>
        </w:rPr>
        <w:t>as the</w:t>
      </w:r>
      <w:r>
        <w:rPr>
          <w:szCs w:val="24"/>
        </w:rPr>
        <w:t xml:space="preserve"> only evidence was a study of the </w:t>
      </w:r>
      <w:r w:rsidRPr="009E0479">
        <w:rPr>
          <w:szCs w:val="24"/>
        </w:rPr>
        <w:t xml:space="preserve">natural history of MMN conducted by Taylor et al. </w:t>
      </w:r>
      <w:r>
        <w:rPr>
          <w:szCs w:val="24"/>
        </w:rPr>
        <w:t>(</w:t>
      </w:r>
      <w:r w:rsidRPr="009E0479">
        <w:rPr>
          <w:szCs w:val="24"/>
        </w:rPr>
        <w:t>2000</w:t>
      </w:r>
      <w:r>
        <w:rPr>
          <w:szCs w:val="24"/>
        </w:rPr>
        <w:t>)</w:t>
      </w:r>
      <w:r w:rsidRPr="009E0479">
        <w:rPr>
          <w:szCs w:val="24"/>
        </w:rPr>
        <w:t>,</w:t>
      </w:r>
      <w:r>
        <w:rPr>
          <w:szCs w:val="24"/>
        </w:rPr>
        <w:t xml:space="preserve"> which </w:t>
      </w:r>
      <w:r w:rsidRPr="009E0479">
        <w:rPr>
          <w:szCs w:val="24"/>
        </w:rPr>
        <w:t xml:space="preserve">reported a proxy for this decrement in </w:t>
      </w:r>
      <w:proofErr w:type="spellStart"/>
      <w:r w:rsidRPr="009E0479">
        <w:rPr>
          <w:szCs w:val="24"/>
        </w:rPr>
        <w:t>QoL</w:t>
      </w:r>
      <w:proofErr w:type="spellEnd"/>
      <w:r>
        <w:rPr>
          <w:szCs w:val="24"/>
        </w:rPr>
        <w:t>. The results of this study were considered highly uncertain due to the small number of patients who were followed beyond 9 months and inclusion criteria that may have biased the results.  However</w:t>
      </w:r>
      <w:r w:rsidR="006F2B0C">
        <w:rPr>
          <w:szCs w:val="24"/>
        </w:rPr>
        <w:t>,</w:t>
      </w:r>
      <w:r>
        <w:rPr>
          <w:szCs w:val="24"/>
        </w:rPr>
        <w:t xml:space="preserve"> ESC agreed it was clinically plausible that the </w:t>
      </w:r>
      <w:proofErr w:type="spellStart"/>
      <w:r>
        <w:rPr>
          <w:szCs w:val="24"/>
        </w:rPr>
        <w:t>QoL</w:t>
      </w:r>
      <w:proofErr w:type="spellEnd"/>
      <w:r>
        <w:rPr>
          <w:szCs w:val="24"/>
        </w:rPr>
        <w:t xml:space="preserve"> of MMN patients would deteriorate over time and that there would be divergence in </w:t>
      </w:r>
      <w:proofErr w:type="spellStart"/>
      <w:r>
        <w:rPr>
          <w:szCs w:val="24"/>
        </w:rPr>
        <w:t>QoL</w:t>
      </w:r>
      <w:proofErr w:type="spellEnd"/>
      <w:r>
        <w:rPr>
          <w:szCs w:val="24"/>
        </w:rPr>
        <w:t xml:space="preserve"> between those in the ‘BSC’ and ‘responder’ groups and noted that this was tested in a scenario analysis based on the study by Taylor (2000).</w:t>
      </w:r>
      <w:r w:rsidRPr="008D2179">
        <w:t xml:space="preserve"> </w:t>
      </w:r>
      <w:r>
        <w:t>Application of a linear decline</w:t>
      </w:r>
      <w:r w:rsidRPr="00DA3C6E">
        <w:t xml:space="preserve"> in </w:t>
      </w:r>
      <w:proofErr w:type="spellStart"/>
      <w:r w:rsidRPr="00DA3C6E">
        <w:t>QoL</w:t>
      </w:r>
      <w:proofErr w:type="spellEnd"/>
      <w:r w:rsidRPr="00DA3C6E">
        <w:t xml:space="preserve"> over time </w:t>
      </w:r>
      <w:r>
        <w:t xml:space="preserve">due to disease progression </w:t>
      </w:r>
      <w:r w:rsidRPr="00DA3C6E">
        <w:t xml:space="preserve">had </w:t>
      </w:r>
      <w:r>
        <w:t>a significant</w:t>
      </w:r>
      <w:r w:rsidRPr="00DA3C6E">
        <w:t xml:space="preserve"> impact on the</w:t>
      </w:r>
      <w:r>
        <w:t xml:space="preserve"> ICER, reducing it to $</w:t>
      </w:r>
      <w:r w:rsidRPr="00EA7805">
        <w:t>98,559</w:t>
      </w:r>
      <w:r>
        <w:t xml:space="preserve">/QALY. ESC requested that an additional sensitivity analyses be explored, testing the interaction of using both the higher treatment effect from Hahn et al. 2001, and deterioration in the </w:t>
      </w:r>
      <w:proofErr w:type="spellStart"/>
      <w:r>
        <w:t>QoL</w:t>
      </w:r>
      <w:proofErr w:type="spellEnd"/>
      <w:r>
        <w:t xml:space="preserve"> of patien</w:t>
      </w:r>
      <w:r w:rsidR="00B7509C">
        <w:t>ts in the ‘BSC’ group.</w:t>
      </w:r>
    </w:p>
    <w:p w14:paraId="487220E2" w14:textId="4AB66BCF" w:rsidR="00067458" w:rsidRDefault="00067458" w:rsidP="00B7509C">
      <w:pPr>
        <w:tabs>
          <w:tab w:val="left" w:pos="2265"/>
          <w:tab w:val="left" w:pos="3420"/>
          <w:tab w:val="left" w:pos="4320"/>
        </w:tabs>
        <w:spacing w:before="240"/>
      </w:pPr>
      <w:r>
        <w:t xml:space="preserve">Data from </w:t>
      </w:r>
      <w:r w:rsidR="0039754D">
        <w:t xml:space="preserve">the NBA </w:t>
      </w:r>
      <w:r>
        <w:t>(2014-2018) collected on</w:t>
      </w:r>
      <w:r w:rsidRPr="00DA3C6E">
        <w:t xml:space="preserve"> patients with MMN </w:t>
      </w:r>
      <w:r w:rsidR="006F2B0C">
        <w:t>were</w:t>
      </w:r>
      <w:r w:rsidR="006F2B0C" w:rsidRPr="00DA3C6E">
        <w:t xml:space="preserve"> </w:t>
      </w:r>
      <w:r w:rsidRPr="00DA3C6E">
        <w:t xml:space="preserve">used to estimate the </w:t>
      </w:r>
      <w:r>
        <w:t>population</w:t>
      </w:r>
      <w:r w:rsidRPr="00DA3C6E">
        <w:t xml:space="preserve"> and predicted use of </w:t>
      </w:r>
      <w:proofErr w:type="spellStart"/>
      <w:r>
        <w:t>IV</w:t>
      </w:r>
      <w:r w:rsidRPr="00DA3C6E">
        <w:t>Ig</w:t>
      </w:r>
      <w:proofErr w:type="spellEnd"/>
      <w:r>
        <w:t xml:space="preserve"> </w:t>
      </w:r>
      <w:r w:rsidRPr="00DA3C6E">
        <w:t>for</w:t>
      </w:r>
      <w:r>
        <w:t xml:space="preserve"> the</w:t>
      </w:r>
      <w:r w:rsidRPr="00DA3C6E">
        <w:t xml:space="preserve"> 5-year period </w:t>
      </w:r>
      <w:r>
        <w:t>from</w:t>
      </w:r>
      <w:r w:rsidRPr="00DA3C6E">
        <w:t xml:space="preserve"> 2019 to 2024</w:t>
      </w:r>
      <w:r>
        <w:t xml:space="preserve">. </w:t>
      </w:r>
      <w:r w:rsidRPr="001C5F7C">
        <w:t>Overall</w:t>
      </w:r>
      <w:r>
        <w:t xml:space="preserve">, </w:t>
      </w:r>
      <w:r w:rsidRPr="001C5F7C">
        <w:t xml:space="preserve">the </w:t>
      </w:r>
      <w:r>
        <w:lastRenderedPageBreak/>
        <w:t>net cost to Government</w:t>
      </w:r>
      <w:r w:rsidRPr="001C5F7C">
        <w:t xml:space="preserve"> of </w:t>
      </w:r>
      <w:r>
        <w:t xml:space="preserve">providing </w:t>
      </w:r>
      <w:r w:rsidRPr="001C5F7C">
        <w:t xml:space="preserve">intravenous Ig for the treatment of MMN </w:t>
      </w:r>
      <w:r>
        <w:t>was estimated to be</w:t>
      </w:r>
      <w:r w:rsidRPr="001C5F7C">
        <w:t xml:space="preserve"> $1</w:t>
      </w:r>
      <w:r>
        <w:t xml:space="preserve">70,906,578 over the 5 years to 2024, of which </w:t>
      </w:r>
      <w:r w:rsidRPr="002658B7">
        <w:t>$131,511,835</w:t>
      </w:r>
      <w:r>
        <w:t xml:space="preserve"> is attributed to the cost of Ig (at $60.41/gm) alone. ESC considered these forward estimates were a likely over-estimate as the introduction of Criteria V3 was expected to reduce overall use through exclusion of patients with conditions such as motor neurone disease (MND). ESC also noted that a stakeholder had queried the high infusion costs presented in the DCAR, and that these infusion costs were higher than those applied in other Reviews of Ig. The Department will consult with the HTA evaluators to review the impact of the varying administration cos</w:t>
      </w:r>
      <w:r w:rsidR="00B7509C">
        <w:t>ts ahead of MSAC consideration.</w:t>
      </w:r>
    </w:p>
    <w:p w14:paraId="61CBBCB6" w14:textId="77777777" w:rsidR="00B7509C" w:rsidRDefault="00067458" w:rsidP="00B7509C">
      <w:pPr>
        <w:tabs>
          <w:tab w:val="left" w:pos="2265"/>
          <w:tab w:val="left" w:pos="3420"/>
          <w:tab w:val="left" w:pos="4320"/>
        </w:tabs>
        <w:spacing w:before="240"/>
      </w:pPr>
      <w:r>
        <w:t xml:space="preserve">Overall, ESC considered the ICER in the base case model to be high and sensitive to both the cost of Ig and the utility values applied. ESC acknowledged that current clinical evidence is limited and that future RCTs are unlikely in this population. </w:t>
      </w:r>
      <w:r w:rsidRPr="006947A4">
        <w:t xml:space="preserve">The lack of evidence on change in quality of life over time was also a concern. ESC considered whether there could be ways to collect </w:t>
      </w:r>
      <w:proofErr w:type="spellStart"/>
      <w:r w:rsidRPr="006947A4">
        <w:t>QoL</w:t>
      </w:r>
      <w:proofErr w:type="spellEnd"/>
      <w:r w:rsidRPr="006947A4">
        <w:t xml:space="preserve"> data in </w:t>
      </w:r>
      <w:proofErr w:type="spellStart"/>
      <w:r w:rsidRPr="006947A4">
        <w:t>BloodSTAR</w:t>
      </w:r>
      <w:proofErr w:type="spellEnd"/>
      <w:r w:rsidRPr="006947A4">
        <w:t xml:space="preserve"> or a patient registry to better inform HTAs in the future</w:t>
      </w:r>
      <w:r>
        <w:t>.</w:t>
      </w:r>
      <w:r w:rsidR="00B7509C">
        <w:t xml:space="preserve"> </w:t>
      </w:r>
    </w:p>
    <w:p w14:paraId="6C103B6C" w14:textId="4EBA729C" w:rsidR="00067458" w:rsidRPr="00B7509C" w:rsidRDefault="00067458" w:rsidP="00B7509C">
      <w:pPr>
        <w:tabs>
          <w:tab w:val="left" w:pos="2265"/>
          <w:tab w:val="left" w:pos="3420"/>
          <w:tab w:val="left" w:pos="4320"/>
        </w:tabs>
        <w:spacing w:before="240"/>
      </w:pPr>
      <w:r>
        <w:t xml:space="preserve">Additional clinical data could be collected in </w:t>
      </w:r>
      <w:proofErr w:type="spellStart"/>
      <w:r>
        <w:t>BloodSTAR</w:t>
      </w:r>
      <w:proofErr w:type="spellEnd"/>
      <w:r>
        <w:t xml:space="preserve">. </w:t>
      </w:r>
      <w:r w:rsidRPr="00C61C9C">
        <w:t xml:space="preserve">For example, </w:t>
      </w:r>
      <w:r>
        <w:t xml:space="preserve">the addition of </w:t>
      </w:r>
      <w:proofErr w:type="spellStart"/>
      <w:r w:rsidRPr="00C61C9C">
        <w:t>QoL</w:t>
      </w:r>
      <w:proofErr w:type="spellEnd"/>
      <w:r w:rsidRPr="00C61C9C">
        <w:t xml:space="preserve"> </w:t>
      </w:r>
      <w:r>
        <w:t>assessments could be collected through clinicians i</w:t>
      </w:r>
      <w:r w:rsidRPr="00C61C9C">
        <w:t xml:space="preserve">ncluding EQ-5D or SF-12 surveys at </w:t>
      </w:r>
      <w:r>
        <w:t xml:space="preserve">baseline and follow-up </w:t>
      </w:r>
      <w:r w:rsidRPr="00C61C9C">
        <w:t>reviews</w:t>
      </w:r>
      <w:r>
        <w:t xml:space="preserve">. However, </w:t>
      </w:r>
      <w:r w:rsidRPr="00C61C9C">
        <w:t xml:space="preserve">ESC noted that this would </w:t>
      </w:r>
      <w:r>
        <w:t xml:space="preserve">not capture comparative evidence, i.e. </w:t>
      </w:r>
      <w:r w:rsidRPr="00C61C9C">
        <w:t xml:space="preserve">only information relevant to patients with MMN receiving </w:t>
      </w:r>
      <w:proofErr w:type="spellStart"/>
      <w:r w:rsidRPr="00C61C9C">
        <w:t>IVIg</w:t>
      </w:r>
      <w:proofErr w:type="spellEnd"/>
      <w:r>
        <w:t xml:space="preserve"> and not for untreated patients. ESC considered that f</w:t>
      </w:r>
      <w:r w:rsidRPr="003536BD">
        <w:t>urther</w:t>
      </w:r>
      <w:r>
        <w:t xml:space="preserve"> clinical</w:t>
      </w:r>
      <w:r w:rsidRPr="003536BD">
        <w:t xml:space="preserve"> </w:t>
      </w:r>
      <w:r>
        <w:t xml:space="preserve">information on this patient group may </w:t>
      </w:r>
      <w:r w:rsidRPr="003536BD">
        <w:t xml:space="preserve">be obtained </w:t>
      </w:r>
      <w:r>
        <w:t>by linking</w:t>
      </w:r>
      <w:r w:rsidRPr="003536BD">
        <w:t xml:space="preserve"> NBA data to MBS/PBS/hospital data</w:t>
      </w:r>
      <w:r>
        <w:t xml:space="preserve"> to capture information on health resource use and patterns of treatment e.g. the proportion of patients receiving treatment in day clinics versus outpatient clinics. ESC also considered whether a patient registry could be established to generate hypothesis generating data to inform future trials on </w:t>
      </w:r>
      <w:r w:rsidRPr="009E5221">
        <w:t>optimal dosing</w:t>
      </w:r>
      <w:r>
        <w:t xml:space="preserve"> and/or</w:t>
      </w:r>
      <w:r w:rsidRPr="009E5221">
        <w:t xml:space="preserve"> identify subgroups who may</w:t>
      </w:r>
      <w:r>
        <w:t xml:space="preserve"> or may</w:t>
      </w:r>
      <w:r w:rsidRPr="009E5221">
        <w:t xml:space="preserve"> not benefit from </w:t>
      </w:r>
      <w:proofErr w:type="spellStart"/>
      <w:r w:rsidRPr="009E5221">
        <w:t>IVIg</w:t>
      </w:r>
      <w:proofErr w:type="spellEnd"/>
      <w:r>
        <w:t>.</w:t>
      </w:r>
    </w:p>
    <w:p w14:paraId="45C482A3" w14:textId="77777777" w:rsidR="00D90A38" w:rsidRPr="00F715D1" w:rsidRDefault="00BC1364" w:rsidP="00F715D1">
      <w:pPr>
        <w:pStyle w:val="Heading1"/>
      </w:pPr>
      <w:r w:rsidRPr="00F715D1">
        <w:t>Other significant factors</w:t>
      </w:r>
    </w:p>
    <w:p w14:paraId="1ED49057" w14:textId="31AC2DBD" w:rsidR="00BC1364" w:rsidRPr="00C01670" w:rsidRDefault="00C01670" w:rsidP="00F715D1">
      <w:pPr>
        <w:spacing w:after="240"/>
        <w:rPr>
          <w:szCs w:val="24"/>
        </w:rPr>
      </w:pPr>
      <w:r w:rsidRPr="00C01670">
        <w:rPr>
          <w:szCs w:val="24"/>
        </w:rPr>
        <w:t>Nil</w:t>
      </w:r>
    </w:p>
    <w:p w14:paraId="5BB22D60"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5D83988F" w14:textId="398F55BC" w:rsidR="00BC1364" w:rsidRPr="00260F08" w:rsidRDefault="00260F08" w:rsidP="00F715D1">
      <w:pPr>
        <w:spacing w:after="240"/>
        <w:rPr>
          <w:szCs w:val="24"/>
        </w:rPr>
      </w:pPr>
      <w:r w:rsidRPr="00260F08">
        <w:rPr>
          <w:szCs w:val="24"/>
        </w:rPr>
        <w:t xml:space="preserve">The National Blood Authority appreciates MSAC’s recommendations and agrees that data should continue to be collected on the patterns of use of Ig therapy, including why trial off may be contraindicated. The ability of </w:t>
      </w:r>
      <w:proofErr w:type="spellStart"/>
      <w:r w:rsidRPr="00260F08">
        <w:rPr>
          <w:szCs w:val="24"/>
        </w:rPr>
        <w:t>BloodSTAR</w:t>
      </w:r>
      <w:proofErr w:type="spellEnd"/>
      <w:r w:rsidRPr="00260F08">
        <w:rPr>
          <w:szCs w:val="24"/>
        </w:rPr>
        <w:t>, or other sources, to capture long-term health benefits in this group will be considered and prescriber compliance to the V3 Criteria will continue to be monitored through the Ig Governance Program. Unless new diagnostic tests can clearly distinguish between MND and MMN prior to Ig therapy, it will not be possible to ensure only patients with MMN initiate Ig therapy. The NBA will monitor the developments and evidence in this area. This review followed the transition from Version 2 to Version 3 of the Criteria for Clinical Use of Immunoglobulin in Australia. An important addition to Version 3 of the Criteria was to provide greater guidance for prescribers as to when a patient may be ready to trial off Ig therapy. The Criteria will continue to be reviewed on both a reactive and proactive basis, based on available evidence and clinical expert advice, to ensure the supply of Ig continues for those patients who benefit from it the most. Furthermore, the NBA plans to continue to undertake and support research into the effectiveness and utilisation of Ig, of which these recommendations will assist to prioritise. The NBA negotiates prices of Ig through tendering processes and will continue to strive to achieve the best prices for governments within existing limitations.</w:t>
      </w:r>
    </w:p>
    <w:p w14:paraId="1C809A3E" w14:textId="77777777" w:rsidR="00BC1364" w:rsidRPr="00F715D1" w:rsidRDefault="00271F18" w:rsidP="00F715D1">
      <w:pPr>
        <w:pStyle w:val="Heading1"/>
      </w:pPr>
      <w:r w:rsidRPr="00F715D1">
        <w:lastRenderedPageBreak/>
        <w:t>Further information on MSAC</w:t>
      </w:r>
    </w:p>
    <w:p w14:paraId="0CA9EC68"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8"/>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2123F" w16cex:dateUtc="2020-08-14T22:20:00Z"/>
  <w16cex:commentExtensible w16cex:durableId="22E2146F" w16cex:dateUtc="2020-08-14T22:29:00Z"/>
  <w16cex:commentExtensible w16cex:durableId="22E21C88" w16cex:dateUtc="2020-08-14T23:04:00Z"/>
  <w16cex:commentExtensible w16cex:durableId="22E2154C" w16cex:dateUtc="2020-08-14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463EA4" w16cid:durableId="22E2123F"/>
  <w16cid:commentId w16cid:paraId="010C3C03" w16cid:durableId="22E2146F"/>
  <w16cid:commentId w16cid:paraId="0204C118" w16cid:durableId="22E21C88"/>
  <w16cid:commentId w16cid:paraId="418CF9E9" w16cid:durableId="22E215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9F6E7" w14:textId="77777777" w:rsidR="003D4EB5" w:rsidRDefault="003D4EB5" w:rsidP="00065623">
      <w:r>
        <w:separator/>
      </w:r>
    </w:p>
  </w:endnote>
  <w:endnote w:type="continuationSeparator" w:id="0">
    <w:p w14:paraId="713C1994" w14:textId="77777777" w:rsidR="003D4EB5" w:rsidRDefault="003D4EB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BE3419D" w14:textId="2F3AA684" w:rsidR="003D4EB5" w:rsidRDefault="003D4EB5">
        <w:pPr>
          <w:pStyle w:val="Footer"/>
          <w:jc w:val="right"/>
        </w:pPr>
        <w:r>
          <w:fldChar w:fldCharType="begin"/>
        </w:r>
        <w:r>
          <w:instrText xml:space="preserve"> PAGE   \* MERGEFORMAT </w:instrText>
        </w:r>
        <w:r>
          <w:fldChar w:fldCharType="separate"/>
        </w:r>
        <w:r w:rsidR="006D4C3D">
          <w:rPr>
            <w:noProof/>
          </w:rPr>
          <w:t>27</w:t>
        </w:r>
        <w:r>
          <w:rPr>
            <w:noProof/>
          </w:rPr>
          <w:fldChar w:fldCharType="end"/>
        </w:r>
      </w:p>
    </w:sdtContent>
  </w:sdt>
  <w:p w14:paraId="6858FE66" w14:textId="77777777" w:rsidR="003D4EB5" w:rsidRDefault="003D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C546" w14:textId="77777777" w:rsidR="003D4EB5" w:rsidRDefault="003D4EB5" w:rsidP="00065623">
      <w:r>
        <w:separator/>
      </w:r>
    </w:p>
  </w:footnote>
  <w:footnote w:type="continuationSeparator" w:id="0">
    <w:p w14:paraId="0508E8ED" w14:textId="77777777" w:rsidR="003D4EB5" w:rsidRDefault="003D4EB5" w:rsidP="00065623">
      <w:r>
        <w:continuationSeparator/>
      </w:r>
    </w:p>
  </w:footnote>
  <w:footnote w:id="1">
    <w:p w14:paraId="3CF76265" w14:textId="77777777" w:rsidR="003D4EB5" w:rsidRDefault="003D4EB5" w:rsidP="00FD1239">
      <w:pPr>
        <w:pStyle w:val="FootnoteText"/>
      </w:pPr>
      <w:r>
        <w:rPr>
          <w:rStyle w:val="FootnoteReference"/>
        </w:rPr>
        <w:footnoteRef/>
      </w:r>
      <w:r>
        <w:t xml:space="preserve"> </w:t>
      </w:r>
      <w:r w:rsidRPr="00D771DB">
        <w:t xml:space="preserve">National Blood Authority, 2018, </w:t>
      </w:r>
      <w:hyperlink r:id="rId1" w:history="1">
        <w:r w:rsidRPr="00D771DB">
          <w:rPr>
            <w:rStyle w:val="Hyperlink"/>
            <w:rFonts w:eastAsiaTheme="majorEastAsia"/>
            <w:i/>
          </w:rPr>
          <w:t>Criteria for the clinical use of immunoglobulin in Australia</w:t>
        </w:r>
      </w:hyperlink>
      <w:r w:rsidRPr="00D771DB">
        <w:rPr>
          <w:i/>
        </w:rPr>
        <w:t xml:space="preserve"> (</w:t>
      </w:r>
      <w:r>
        <w:t>version 3).</w:t>
      </w:r>
    </w:p>
  </w:footnote>
  <w:footnote w:id="2">
    <w:p w14:paraId="5A32E0B3" w14:textId="543AA848" w:rsidR="003D4EB5" w:rsidRDefault="003D4EB5" w:rsidP="00FB1FCF">
      <w:pPr>
        <w:pStyle w:val="FootnoteText"/>
      </w:pPr>
      <w:r>
        <w:rPr>
          <w:rStyle w:val="FootnoteReference"/>
        </w:rPr>
        <w:footnoteRef/>
      </w:r>
      <w:r>
        <w:t xml:space="preserve"> European Federation of Neurological Societies/Peripheral Nerve Society guideline on management of multifocal motor neuropathy. Report of a joint task force of the European Federation of Neurological Societies and the Peripheral Nerve Society – first revision. J </w:t>
      </w:r>
      <w:proofErr w:type="spellStart"/>
      <w:r>
        <w:t>Peripher</w:t>
      </w:r>
      <w:proofErr w:type="spellEnd"/>
      <w:r>
        <w:t xml:space="preserve"> </w:t>
      </w:r>
      <w:proofErr w:type="spellStart"/>
      <w:r>
        <w:t>Nerv</w:t>
      </w:r>
      <w:proofErr w:type="spellEnd"/>
      <w:r>
        <w:t xml:space="preserve"> Syst. 2010</w:t>
      </w:r>
      <w:proofErr w:type="gramStart"/>
      <w:r>
        <w:t>;15</w:t>
      </w:r>
      <w:proofErr w:type="gramEnd"/>
      <w:r>
        <w:t>(4):295–301.</w:t>
      </w:r>
    </w:p>
  </w:footnote>
  <w:footnote w:id="3">
    <w:p w14:paraId="79869627" w14:textId="77777777" w:rsidR="003D4EB5" w:rsidRDefault="003D4EB5" w:rsidP="00067458">
      <w:pPr>
        <w:pStyle w:val="FootnoteText"/>
        <w:rPr>
          <w:rFonts w:ascii="Calibri" w:hAnsi="Calibri"/>
        </w:rPr>
      </w:pPr>
      <w:r>
        <w:rPr>
          <w:rStyle w:val="FootnoteReference"/>
        </w:rPr>
        <w:footnoteRef/>
      </w:r>
      <w:r>
        <w:t xml:space="preserve"> </w:t>
      </w:r>
      <w:r w:rsidRPr="00D771DB">
        <w:t xml:space="preserve">National Blood Authority, 2018, </w:t>
      </w:r>
      <w:hyperlink r:id="rId2" w:history="1">
        <w:r w:rsidRPr="00D771DB">
          <w:rPr>
            <w:rStyle w:val="Hyperlink"/>
            <w:rFonts w:eastAsiaTheme="majorEastAsia"/>
            <w:i/>
          </w:rPr>
          <w:t>Criteria for the clinical use of immunoglobulin in Australia</w:t>
        </w:r>
      </w:hyperlink>
      <w:r w:rsidRPr="00D771DB">
        <w:rPr>
          <w:i/>
        </w:rPr>
        <w:t xml:space="preserve"> (</w:t>
      </w:r>
      <w:r w:rsidRPr="00D771DB">
        <w:t>version 3).</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AE7"/>
    <w:multiLevelType w:val="hybridMultilevel"/>
    <w:tmpl w:val="71A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E7449"/>
    <w:multiLevelType w:val="hybridMultilevel"/>
    <w:tmpl w:val="99C4A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618D9"/>
    <w:multiLevelType w:val="hybridMultilevel"/>
    <w:tmpl w:val="DA50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4BF27E7"/>
    <w:multiLevelType w:val="hybridMultilevel"/>
    <w:tmpl w:val="016039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C0F42"/>
    <w:multiLevelType w:val="multilevel"/>
    <w:tmpl w:val="00DE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502FD"/>
    <w:multiLevelType w:val="hybridMultilevel"/>
    <w:tmpl w:val="8064F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D77761"/>
    <w:multiLevelType w:val="hybridMultilevel"/>
    <w:tmpl w:val="2384D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2488D"/>
    <w:multiLevelType w:val="hybridMultilevel"/>
    <w:tmpl w:val="FBB85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11DA3"/>
    <w:multiLevelType w:val="hybridMultilevel"/>
    <w:tmpl w:val="78A61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94829"/>
    <w:multiLevelType w:val="hybridMultilevel"/>
    <w:tmpl w:val="4F9A2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4"/>
  </w:num>
  <w:num w:numId="4">
    <w:abstractNumId w:val="24"/>
  </w:num>
  <w:num w:numId="5">
    <w:abstractNumId w:val="16"/>
  </w:num>
  <w:num w:numId="6">
    <w:abstractNumId w:val="23"/>
  </w:num>
  <w:num w:numId="7">
    <w:abstractNumId w:val="28"/>
  </w:num>
  <w:num w:numId="8">
    <w:abstractNumId w:val="18"/>
  </w:num>
  <w:num w:numId="9">
    <w:abstractNumId w:val="34"/>
  </w:num>
  <w:num w:numId="10">
    <w:abstractNumId w:val="1"/>
  </w:num>
  <w:num w:numId="11">
    <w:abstractNumId w:val="27"/>
  </w:num>
  <w:num w:numId="12">
    <w:abstractNumId w:val="29"/>
  </w:num>
  <w:num w:numId="13">
    <w:abstractNumId w:val="9"/>
  </w:num>
  <w:num w:numId="14">
    <w:abstractNumId w:val="33"/>
  </w:num>
  <w:num w:numId="15">
    <w:abstractNumId w:val="26"/>
  </w:num>
  <w:num w:numId="16">
    <w:abstractNumId w:val="30"/>
  </w:num>
  <w:num w:numId="17">
    <w:abstractNumId w:val="19"/>
  </w:num>
  <w:num w:numId="18">
    <w:abstractNumId w:val="20"/>
  </w:num>
  <w:num w:numId="19">
    <w:abstractNumId w:val="32"/>
  </w:num>
  <w:num w:numId="20">
    <w:abstractNumId w:val="31"/>
  </w:num>
  <w:num w:numId="21">
    <w:abstractNumId w:val="6"/>
  </w:num>
  <w:num w:numId="22">
    <w:abstractNumId w:val="15"/>
  </w:num>
  <w:num w:numId="23">
    <w:abstractNumId w:val="5"/>
  </w:num>
  <w:num w:numId="24">
    <w:abstractNumId w:val="14"/>
  </w:num>
  <w:num w:numId="25">
    <w:abstractNumId w:val="10"/>
  </w:num>
  <w:num w:numId="26">
    <w:abstractNumId w:val="17"/>
  </w:num>
  <w:num w:numId="27">
    <w:abstractNumId w:val="0"/>
  </w:num>
  <w:num w:numId="28">
    <w:abstractNumId w:val="21"/>
  </w:num>
  <w:num w:numId="29">
    <w:abstractNumId w:val="2"/>
  </w:num>
  <w:num w:numId="30">
    <w:abstractNumId w:val="12"/>
  </w:num>
  <w:num w:numId="31">
    <w:abstractNumId w:val="11"/>
  </w:num>
  <w:num w:numId="32">
    <w:abstractNumId w:val="3"/>
  </w:num>
  <w:num w:numId="33">
    <w:abstractNumId w:val="25"/>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7E12"/>
    <w:rsid w:val="000317F2"/>
    <w:rsid w:val="00047606"/>
    <w:rsid w:val="00057931"/>
    <w:rsid w:val="00065623"/>
    <w:rsid w:val="00067458"/>
    <w:rsid w:val="000756B9"/>
    <w:rsid w:val="00075F47"/>
    <w:rsid w:val="00090B88"/>
    <w:rsid w:val="000957C2"/>
    <w:rsid w:val="00096B67"/>
    <w:rsid w:val="00096B85"/>
    <w:rsid w:val="00096DAF"/>
    <w:rsid w:val="000A12A3"/>
    <w:rsid w:val="000A2AF7"/>
    <w:rsid w:val="000A64CF"/>
    <w:rsid w:val="000C2F47"/>
    <w:rsid w:val="000D2B9A"/>
    <w:rsid w:val="000D6C00"/>
    <w:rsid w:val="000E4E04"/>
    <w:rsid w:val="000F14B4"/>
    <w:rsid w:val="000F56F9"/>
    <w:rsid w:val="000F75DF"/>
    <w:rsid w:val="001023DC"/>
    <w:rsid w:val="00122D71"/>
    <w:rsid w:val="00123232"/>
    <w:rsid w:val="001314CC"/>
    <w:rsid w:val="001328FA"/>
    <w:rsid w:val="00141F3D"/>
    <w:rsid w:val="00147AAF"/>
    <w:rsid w:val="001552C0"/>
    <w:rsid w:val="001640B1"/>
    <w:rsid w:val="00164B9F"/>
    <w:rsid w:val="001738F9"/>
    <w:rsid w:val="00176F08"/>
    <w:rsid w:val="00180D4B"/>
    <w:rsid w:val="001842B7"/>
    <w:rsid w:val="0018435E"/>
    <w:rsid w:val="001A1B2F"/>
    <w:rsid w:val="001A7F22"/>
    <w:rsid w:val="001D022F"/>
    <w:rsid w:val="001D34A1"/>
    <w:rsid w:val="001D5D98"/>
    <w:rsid w:val="001E719E"/>
    <w:rsid w:val="001F17B2"/>
    <w:rsid w:val="002041A1"/>
    <w:rsid w:val="002054F0"/>
    <w:rsid w:val="00223FC1"/>
    <w:rsid w:val="00230D6B"/>
    <w:rsid w:val="00232068"/>
    <w:rsid w:val="002330F2"/>
    <w:rsid w:val="0023714B"/>
    <w:rsid w:val="00243D9E"/>
    <w:rsid w:val="00253B66"/>
    <w:rsid w:val="00260F08"/>
    <w:rsid w:val="00261DF1"/>
    <w:rsid w:val="00271F18"/>
    <w:rsid w:val="002733DF"/>
    <w:rsid w:val="0028237B"/>
    <w:rsid w:val="00282779"/>
    <w:rsid w:val="0028334D"/>
    <w:rsid w:val="00284AA0"/>
    <w:rsid w:val="002A6ADC"/>
    <w:rsid w:val="002B7FFA"/>
    <w:rsid w:val="002C2BCF"/>
    <w:rsid w:val="002E64E7"/>
    <w:rsid w:val="002F279D"/>
    <w:rsid w:val="002F43B8"/>
    <w:rsid w:val="00314AA6"/>
    <w:rsid w:val="00335631"/>
    <w:rsid w:val="00336856"/>
    <w:rsid w:val="00340D7E"/>
    <w:rsid w:val="0034554D"/>
    <w:rsid w:val="00347D61"/>
    <w:rsid w:val="00352224"/>
    <w:rsid w:val="003526B4"/>
    <w:rsid w:val="003671E6"/>
    <w:rsid w:val="00384272"/>
    <w:rsid w:val="00386D67"/>
    <w:rsid w:val="003945B8"/>
    <w:rsid w:val="0039754D"/>
    <w:rsid w:val="003C67A5"/>
    <w:rsid w:val="003D4EB5"/>
    <w:rsid w:val="003D6723"/>
    <w:rsid w:val="003D7F29"/>
    <w:rsid w:val="003E1B8C"/>
    <w:rsid w:val="003E2BD2"/>
    <w:rsid w:val="003E70F4"/>
    <w:rsid w:val="003F254B"/>
    <w:rsid w:val="003F56BF"/>
    <w:rsid w:val="00405A6B"/>
    <w:rsid w:val="00407B1F"/>
    <w:rsid w:val="0041184F"/>
    <w:rsid w:val="00414C57"/>
    <w:rsid w:val="00414F9D"/>
    <w:rsid w:val="004151A6"/>
    <w:rsid w:val="0041758C"/>
    <w:rsid w:val="00450EE6"/>
    <w:rsid w:val="0045109B"/>
    <w:rsid w:val="004539DE"/>
    <w:rsid w:val="0045452A"/>
    <w:rsid w:val="004678AD"/>
    <w:rsid w:val="004706F8"/>
    <w:rsid w:val="0047278C"/>
    <w:rsid w:val="0047650E"/>
    <w:rsid w:val="00493F60"/>
    <w:rsid w:val="0049584D"/>
    <w:rsid w:val="004A104A"/>
    <w:rsid w:val="004A2CF1"/>
    <w:rsid w:val="004C3035"/>
    <w:rsid w:val="004C307F"/>
    <w:rsid w:val="004D58BC"/>
    <w:rsid w:val="004E4BA8"/>
    <w:rsid w:val="004F340F"/>
    <w:rsid w:val="004F7B7C"/>
    <w:rsid w:val="0052243D"/>
    <w:rsid w:val="005256F7"/>
    <w:rsid w:val="0053170F"/>
    <w:rsid w:val="00532435"/>
    <w:rsid w:val="005405C7"/>
    <w:rsid w:val="00550354"/>
    <w:rsid w:val="0055663E"/>
    <w:rsid w:val="00560D3C"/>
    <w:rsid w:val="00571236"/>
    <w:rsid w:val="005953A1"/>
    <w:rsid w:val="005A0950"/>
    <w:rsid w:val="005A4362"/>
    <w:rsid w:val="005B1B05"/>
    <w:rsid w:val="005B5434"/>
    <w:rsid w:val="005C4F7A"/>
    <w:rsid w:val="005D0332"/>
    <w:rsid w:val="005D0D8C"/>
    <w:rsid w:val="005E5AC7"/>
    <w:rsid w:val="00620DA8"/>
    <w:rsid w:val="00637173"/>
    <w:rsid w:val="00640A46"/>
    <w:rsid w:val="0064560E"/>
    <w:rsid w:val="00650542"/>
    <w:rsid w:val="006776AE"/>
    <w:rsid w:val="00696314"/>
    <w:rsid w:val="006A0D97"/>
    <w:rsid w:val="006B1F86"/>
    <w:rsid w:val="006B2AEF"/>
    <w:rsid w:val="006C0A91"/>
    <w:rsid w:val="006C5814"/>
    <w:rsid w:val="006D4C3D"/>
    <w:rsid w:val="006F2B0C"/>
    <w:rsid w:val="00701A1B"/>
    <w:rsid w:val="007054BB"/>
    <w:rsid w:val="00707064"/>
    <w:rsid w:val="00724C12"/>
    <w:rsid w:val="00730683"/>
    <w:rsid w:val="00744F88"/>
    <w:rsid w:val="007457CE"/>
    <w:rsid w:val="0075261F"/>
    <w:rsid w:val="00752773"/>
    <w:rsid w:val="00752842"/>
    <w:rsid w:val="0075468E"/>
    <w:rsid w:val="00757328"/>
    <w:rsid w:val="00762E11"/>
    <w:rsid w:val="0076595D"/>
    <w:rsid w:val="007665D8"/>
    <w:rsid w:val="00766E36"/>
    <w:rsid w:val="007765F4"/>
    <w:rsid w:val="00776633"/>
    <w:rsid w:val="00784D53"/>
    <w:rsid w:val="00795A95"/>
    <w:rsid w:val="00797797"/>
    <w:rsid w:val="007A63C9"/>
    <w:rsid w:val="007B32D1"/>
    <w:rsid w:val="007B7095"/>
    <w:rsid w:val="007D24E1"/>
    <w:rsid w:val="007D6288"/>
    <w:rsid w:val="007D63F2"/>
    <w:rsid w:val="007E70FD"/>
    <w:rsid w:val="007F2D66"/>
    <w:rsid w:val="007F4CE9"/>
    <w:rsid w:val="007F4E20"/>
    <w:rsid w:val="00805C7A"/>
    <w:rsid w:val="00814455"/>
    <w:rsid w:val="00822C7E"/>
    <w:rsid w:val="0082564A"/>
    <w:rsid w:val="00847060"/>
    <w:rsid w:val="00847A36"/>
    <w:rsid w:val="00854A36"/>
    <w:rsid w:val="00854A41"/>
    <w:rsid w:val="008557D6"/>
    <w:rsid w:val="00856A33"/>
    <w:rsid w:val="00861380"/>
    <w:rsid w:val="0087110A"/>
    <w:rsid w:val="0087527B"/>
    <w:rsid w:val="00886FD7"/>
    <w:rsid w:val="00892620"/>
    <w:rsid w:val="008A36E2"/>
    <w:rsid w:val="008A71E6"/>
    <w:rsid w:val="008C2D37"/>
    <w:rsid w:val="008C306D"/>
    <w:rsid w:val="008C3DFE"/>
    <w:rsid w:val="008C507E"/>
    <w:rsid w:val="008C778E"/>
    <w:rsid w:val="008C7D37"/>
    <w:rsid w:val="008D5448"/>
    <w:rsid w:val="008D5885"/>
    <w:rsid w:val="009027FE"/>
    <w:rsid w:val="00923FA2"/>
    <w:rsid w:val="00927A5A"/>
    <w:rsid w:val="0096060D"/>
    <w:rsid w:val="00961643"/>
    <w:rsid w:val="00974A50"/>
    <w:rsid w:val="0097585A"/>
    <w:rsid w:val="009924B0"/>
    <w:rsid w:val="00993B7D"/>
    <w:rsid w:val="009942C9"/>
    <w:rsid w:val="009A509A"/>
    <w:rsid w:val="009B35C4"/>
    <w:rsid w:val="009C596F"/>
    <w:rsid w:val="009C630A"/>
    <w:rsid w:val="009D4A4A"/>
    <w:rsid w:val="009D4AE2"/>
    <w:rsid w:val="009E0D98"/>
    <w:rsid w:val="00A04A44"/>
    <w:rsid w:val="00A068A1"/>
    <w:rsid w:val="00A1207D"/>
    <w:rsid w:val="00A12FD8"/>
    <w:rsid w:val="00A15A81"/>
    <w:rsid w:val="00A33CD2"/>
    <w:rsid w:val="00A346FC"/>
    <w:rsid w:val="00A42B7F"/>
    <w:rsid w:val="00A46D77"/>
    <w:rsid w:val="00A6376C"/>
    <w:rsid w:val="00A7101E"/>
    <w:rsid w:val="00A7325A"/>
    <w:rsid w:val="00A846F2"/>
    <w:rsid w:val="00A84F93"/>
    <w:rsid w:val="00A863C5"/>
    <w:rsid w:val="00A92603"/>
    <w:rsid w:val="00A96363"/>
    <w:rsid w:val="00AB1AC5"/>
    <w:rsid w:val="00AB3BFC"/>
    <w:rsid w:val="00AC090A"/>
    <w:rsid w:val="00AC4F2E"/>
    <w:rsid w:val="00AC5B20"/>
    <w:rsid w:val="00AD0C37"/>
    <w:rsid w:val="00AD385F"/>
    <w:rsid w:val="00AE33FD"/>
    <w:rsid w:val="00AE6E2A"/>
    <w:rsid w:val="00AF4A08"/>
    <w:rsid w:val="00B03EAB"/>
    <w:rsid w:val="00B07714"/>
    <w:rsid w:val="00B15D80"/>
    <w:rsid w:val="00B31E9C"/>
    <w:rsid w:val="00B35595"/>
    <w:rsid w:val="00B358D7"/>
    <w:rsid w:val="00B5119B"/>
    <w:rsid w:val="00B51C6D"/>
    <w:rsid w:val="00B567C8"/>
    <w:rsid w:val="00B646FE"/>
    <w:rsid w:val="00B7509C"/>
    <w:rsid w:val="00B83DD2"/>
    <w:rsid w:val="00B86D64"/>
    <w:rsid w:val="00B87E79"/>
    <w:rsid w:val="00B9583F"/>
    <w:rsid w:val="00B95EC7"/>
    <w:rsid w:val="00BA4AC5"/>
    <w:rsid w:val="00BC0AF2"/>
    <w:rsid w:val="00BC1364"/>
    <w:rsid w:val="00BC2350"/>
    <w:rsid w:val="00BC2667"/>
    <w:rsid w:val="00BC7DE9"/>
    <w:rsid w:val="00BD671B"/>
    <w:rsid w:val="00BF2BFB"/>
    <w:rsid w:val="00BF479B"/>
    <w:rsid w:val="00C01670"/>
    <w:rsid w:val="00C024B9"/>
    <w:rsid w:val="00C02577"/>
    <w:rsid w:val="00C041A7"/>
    <w:rsid w:val="00C06B0B"/>
    <w:rsid w:val="00C204FB"/>
    <w:rsid w:val="00C20BEE"/>
    <w:rsid w:val="00C2158D"/>
    <w:rsid w:val="00C66D5F"/>
    <w:rsid w:val="00C67DD2"/>
    <w:rsid w:val="00C725CB"/>
    <w:rsid w:val="00C76F5C"/>
    <w:rsid w:val="00C9176E"/>
    <w:rsid w:val="00C927F5"/>
    <w:rsid w:val="00C964ED"/>
    <w:rsid w:val="00C96BAD"/>
    <w:rsid w:val="00CA6944"/>
    <w:rsid w:val="00CB0F8E"/>
    <w:rsid w:val="00CB7DE1"/>
    <w:rsid w:val="00CB7E7D"/>
    <w:rsid w:val="00CC2911"/>
    <w:rsid w:val="00CC4E2D"/>
    <w:rsid w:val="00CE6015"/>
    <w:rsid w:val="00CF0370"/>
    <w:rsid w:val="00CF0C6D"/>
    <w:rsid w:val="00CF11E6"/>
    <w:rsid w:val="00CF4E81"/>
    <w:rsid w:val="00CF7307"/>
    <w:rsid w:val="00CF7C68"/>
    <w:rsid w:val="00D124FA"/>
    <w:rsid w:val="00D26657"/>
    <w:rsid w:val="00D326DC"/>
    <w:rsid w:val="00D340DE"/>
    <w:rsid w:val="00D42DE8"/>
    <w:rsid w:val="00D47187"/>
    <w:rsid w:val="00D53FFD"/>
    <w:rsid w:val="00D55723"/>
    <w:rsid w:val="00D62FAD"/>
    <w:rsid w:val="00D64355"/>
    <w:rsid w:val="00D70450"/>
    <w:rsid w:val="00D828BC"/>
    <w:rsid w:val="00D83BFD"/>
    <w:rsid w:val="00D858C9"/>
    <w:rsid w:val="00D90A38"/>
    <w:rsid w:val="00D94ABB"/>
    <w:rsid w:val="00D95739"/>
    <w:rsid w:val="00DA0515"/>
    <w:rsid w:val="00DA171E"/>
    <w:rsid w:val="00DA2637"/>
    <w:rsid w:val="00DA56AA"/>
    <w:rsid w:val="00DB5833"/>
    <w:rsid w:val="00DC1071"/>
    <w:rsid w:val="00DD06C6"/>
    <w:rsid w:val="00DD2858"/>
    <w:rsid w:val="00DF489D"/>
    <w:rsid w:val="00DF7F2A"/>
    <w:rsid w:val="00E03E33"/>
    <w:rsid w:val="00E059E0"/>
    <w:rsid w:val="00E335BA"/>
    <w:rsid w:val="00E3642A"/>
    <w:rsid w:val="00E415C4"/>
    <w:rsid w:val="00E46C75"/>
    <w:rsid w:val="00E50016"/>
    <w:rsid w:val="00E50EAA"/>
    <w:rsid w:val="00E638D8"/>
    <w:rsid w:val="00E656D6"/>
    <w:rsid w:val="00E679C6"/>
    <w:rsid w:val="00E7434F"/>
    <w:rsid w:val="00E862CB"/>
    <w:rsid w:val="00E86739"/>
    <w:rsid w:val="00E977EE"/>
    <w:rsid w:val="00EA0D96"/>
    <w:rsid w:val="00EA2D93"/>
    <w:rsid w:val="00EA2F24"/>
    <w:rsid w:val="00EA5614"/>
    <w:rsid w:val="00EA5C0E"/>
    <w:rsid w:val="00EA67A2"/>
    <w:rsid w:val="00EB0315"/>
    <w:rsid w:val="00EB630F"/>
    <w:rsid w:val="00EB6B6F"/>
    <w:rsid w:val="00EC4F98"/>
    <w:rsid w:val="00EE4210"/>
    <w:rsid w:val="00F0233D"/>
    <w:rsid w:val="00F12F02"/>
    <w:rsid w:val="00F16A3A"/>
    <w:rsid w:val="00F26307"/>
    <w:rsid w:val="00F268DB"/>
    <w:rsid w:val="00F30AC4"/>
    <w:rsid w:val="00F32E0D"/>
    <w:rsid w:val="00F35134"/>
    <w:rsid w:val="00F37B9C"/>
    <w:rsid w:val="00F41812"/>
    <w:rsid w:val="00F46E6D"/>
    <w:rsid w:val="00F53620"/>
    <w:rsid w:val="00F56D7F"/>
    <w:rsid w:val="00F61670"/>
    <w:rsid w:val="00F63B15"/>
    <w:rsid w:val="00F715D1"/>
    <w:rsid w:val="00F72715"/>
    <w:rsid w:val="00F73333"/>
    <w:rsid w:val="00F852BB"/>
    <w:rsid w:val="00F871BB"/>
    <w:rsid w:val="00F878CB"/>
    <w:rsid w:val="00F95D8F"/>
    <w:rsid w:val="00F96260"/>
    <w:rsid w:val="00FA26EA"/>
    <w:rsid w:val="00FA2FC1"/>
    <w:rsid w:val="00FA75E2"/>
    <w:rsid w:val="00FB1FCF"/>
    <w:rsid w:val="00FB350A"/>
    <w:rsid w:val="00FB4C5D"/>
    <w:rsid w:val="00FC2F3D"/>
    <w:rsid w:val="00FD0063"/>
    <w:rsid w:val="00FD1239"/>
    <w:rsid w:val="00FE1C3F"/>
    <w:rsid w:val="00FE731D"/>
    <w:rsid w:val="00FF12D5"/>
    <w:rsid w:val="00FF2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73E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Recommendation,List Paragraph1,List Paragraph11,L,Bullet point,Bullet table"/>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Recommendation Char,List Paragraph1 Char,List Paragraph11 Char,L Char,Bullet point Char,Bullet table Char"/>
    <w:link w:val="ListParagraph"/>
    <w:uiPriority w:val="34"/>
    <w:rsid w:val="00FD1239"/>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FD1239"/>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FD1239"/>
    <w:rPr>
      <w:rFonts w:ascii="Arial Narrow" w:eastAsia="Times New Roman" w:hAnsi="Arial Narrow" w:cs="Arial"/>
      <w:b/>
      <w:bCs/>
      <w:iCs/>
      <w:sz w:val="20"/>
      <w:szCs w:val="20"/>
      <w:lang w:eastAsia="en-US"/>
    </w:rPr>
  </w:style>
  <w:style w:type="table" w:customStyle="1" w:styleId="TableGrid6">
    <w:name w:val="Table Grid6"/>
    <w:basedOn w:val="TableNormal"/>
    <w:next w:val="TableGrid"/>
    <w:uiPriority w:val="59"/>
    <w:rsid w:val="00FD1239"/>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067458"/>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67458"/>
    <w:rPr>
      <w:rFonts w:ascii="Arial Narrow" w:eastAsia="Times New Roman" w:hAnsi="Arial Narrow" w:cs="Tahoma"/>
      <w:b/>
      <w:noProof/>
      <w:sz w:val="20"/>
      <w:szCs w:val="20"/>
    </w:rPr>
  </w:style>
  <w:style w:type="paragraph" w:customStyle="1" w:styleId="TableText">
    <w:name w:val="Table Text"/>
    <w:basedOn w:val="Normal"/>
    <w:link w:val="TableTextChar"/>
    <w:rsid w:val="00067458"/>
    <w:pPr>
      <w:keepNext/>
      <w:spacing w:before="40" w:after="40"/>
      <w:jc w:val="both"/>
    </w:pPr>
    <w:rPr>
      <w:rFonts w:ascii="Arial Narrow" w:hAnsi="Arial Narrow" w:cs="Tahoma"/>
      <w:sz w:val="20"/>
      <w:szCs w:val="22"/>
      <w:lang w:eastAsia="en-US"/>
    </w:rPr>
  </w:style>
  <w:style w:type="character" w:customStyle="1" w:styleId="TableTextChar">
    <w:name w:val="Table Text Char"/>
    <w:link w:val="TableText"/>
    <w:rsid w:val="00067458"/>
    <w:rPr>
      <w:rFonts w:ascii="Arial Narrow" w:eastAsia="Times New Roman" w:hAnsi="Arial Narrow" w:cs="Tahoma"/>
      <w:sz w:val="20"/>
      <w:lang w:eastAsia="en-US"/>
    </w:rPr>
  </w:style>
  <w:style w:type="paragraph" w:customStyle="1" w:styleId="Tabletext0">
    <w:name w:val="Table text"/>
    <w:basedOn w:val="Normal"/>
    <w:link w:val="TabletextChar0"/>
    <w:qFormat/>
    <w:rsid w:val="00067458"/>
    <w:pPr>
      <w:spacing w:before="40" w:after="40"/>
    </w:pPr>
    <w:rPr>
      <w:rFonts w:ascii="Arial Narrow" w:hAnsi="Arial Narrow"/>
      <w:sz w:val="20"/>
      <w:szCs w:val="24"/>
      <w:lang w:eastAsia="en-US"/>
    </w:rPr>
  </w:style>
  <w:style w:type="character" w:customStyle="1" w:styleId="TabletextChar0">
    <w:name w:val="Table text Char"/>
    <w:basedOn w:val="DefaultParagraphFont"/>
    <w:link w:val="Tabletext0"/>
    <w:rsid w:val="00067458"/>
    <w:rPr>
      <w:rFonts w:ascii="Arial Narrow" w:eastAsia="Times New Roman" w:hAnsi="Arial Narrow"/>
      <w:sz w:val="20"/>
      <w:szCs w:val="24"/>
      <w:lang w:eastAsia="en-US"/>
    </w:rPr>
  </w:style>
  <w:style w:type="paragraph" w:customStyle="1" w:styleId="Tablenotes">
    <w:name w:val="Tablenotes"/>
    <w:basedOn w:val="Normal"/>
    <w:link w:val="TablenotesChar"/>
    <w:autoRedefine/>
    <w:qFormat/>
    <w:rsid w:val="00067458"/>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067458"/>
    <w:rPr>
      <w:rFonts w:ascii="Arial Narrow" w:eastAsia="Times New Roman" w:hAnsi="Arial Narrow" w:cs="Arial"/>
      <w:snapToGrid w:val="0"/>
      <w:sz w:val="18"/>
      <w:szCs w:val="20"/>
      <w:lang w:eastAsia="en-US"/>
    </w:rPr>
  </w:style>
  <w:style w:type="table" w:customStyle="1" w:styleId="TableGrid2">
    <w:name w:val="Table Grid2"/>
    <w:basedOn w:val="TableNormal"/>
    <w:next w:val="TableGrid"/>
    <w:rsid w:val="00067458"/>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styleId="EndnoteText">
    <w:name w:val="endnote text"/>
    <w:basedOn w:val="Normal"/>
    <w:link w:val="EndnoteTextChar"/>
    <w:uiPriority w:val="99"/>
    <w:semiHidden/>
    <w:unhideWhenUsed/>
    <w:rsid w:val="00FB1FCF"/>
    <w:rPr>
      <w:sz w:val="20"/>
    </w:rPr>
  </w:style>
  <w:style w:type="character" w:customStyle="1" w:styleId="EndnoteTextChar">
    <w:name w:val="Endnote Text Char"/>
    <w:basedOn w:val="DefaultParagraphFont"/>
    <w:link w:val="EndnoteText"/>
    <w:uiPriority w:val="99"/>
    <w:semiHidden/>
    <w:rsid w:val="00FB1FCF"/>
    <w:rPr>
      <w:rFonts w:eastAsia="Times New Roman"/>
      <w:sz w:val="20"/>
      <w:szCs w:val="20"/>
    </w:rPr>
  </w:style>
  <w:style w:type="character" w:styleId="EndnoteReference">
    <w:name w:val="endnote reference"/>
    <w:basedOn w:val="DefaultParagraphFont"/>
    <w:uiPriority w:val="99"/>
    <w:semiHidden/>
    <w:unhideWhenUsed/>
    <w:rsid w:val="00FB1FCF"/>
    <w:rPr>
      <w:vertAlign w:val="superscript"/>
    </w:rPr>
  </w:style>
  <w:style w:type="character" w:styleId="Strong">
    <w:name w:val="Strong"/>
    <w:basedOn w:val="DefaultParagraphFont"/>
    <w:uiPriority w:val="22"/>
    <w:qFormat/>
    <w:locked/>
    <w:rsid w:val="00E46C75"/>
    <w:rPr>
      <w:b/>
      <w:bCs/>
    </w:rPr>
  </w:style>
  <w:style w:type="paragraph" w:styleId="NormalWeb">
    <w:name w:val="Normal (Web)"/>
    <w:basedOn w:val="Normal"/>
    <w:uiPriority w:val="99"/>
    <w:semiHidden/>
    <w:unhideWhenUsed/>
    <w:rsid w:val="00E46C75"/>
    <w:pPr>
      <w:spacing w:after="150"/>
    </w:pPr>
    <w:rPr>
      <w:szCs w:val="24"/>
    </w:rPr>
  </w:style>
  <w:style w:type="character" w:styleId="Emphasis">
    <w:name w:val="Emphasis"/>
    <w:basedOn w:val="DefaultParagraphFont"/>
    <w:uiPriority w:val="20"/>
    <w:qFormat/>
    <w:locked/>
    <w:rsid w:val="000A6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1116">
      <w:bodyDiv w:val="1"/>
      <w:marLeft w:val="0"/>
      <w:marRight w:val="0"/>
      <w:marTop w:val="0"/>
      <w:marBottom w:val="0"/>
      <w:divBdr>
        <w:top w:val="none" w:sz="0" w:space="0" w:color="auto"/>
        <w:left w:val="none" w:sz="0" w:space="0" w:color="auto"/>
        <w:bottom w:val="none" w:sz="0" w:space="0" w:color="auto"/>
        <w:right w:val="none" w:sz="0" w:space="0" w:color="auto"/>
      </w:divBdr>
    </w:div>
    <w:div w:id="929319196">
      <w:bodyDiv w:val="1"/>
      <w:marLeft w:val="0"/>
      <w:marRight w:val="0"/>
      <w:marTop w:val="0"/>
      <w:marBottom w:val="0"/>
      <w:divBdr>
        <w:top w:val="none" w:sz="0" w:space="0" w:color="auto"/>
        <w:left w:val="none" w:sz="0" w:space="0" w:color="auto"/>
        <w:bottom w:val="none" w:sz="0" w:space="0" w:color="auto"/>
        <w:right w:val="none" w:sz="0" w:space="0" w:color="auto"/>
      </w:divBdr>
    </w:div>
    <w:div w:id="1222718777">
      <w:bodyDiv w:val="1"/>
      <w:marLeft w:val="0"/>
      <w:marRight w:val="0"/>
      <w:marTop w:val="0"/>
      <w:marBottom w:val="0"/>
      <w:divBdr>
        <w:top w:val="none" w:sz="0" w:space="0" w:color="auto"/>
        <w:left w:val="none" w:sz="0" w:space="0" w:color="auto"/>
        <w:bottom w:val="none" w:sz="0" w:space="0" w:color="auto"/>
        <w:right w:val="none" w:sz="0" w:space="0" w:color="auto"/>
      </w:divBdr>
      <w:divsChild>
        <w:div w:id="927159574">
          <w:marLeft w:val="0"/>
          <w:marRight w:val="0"/>
          <w:marTop w:val="0"/>
          <w:marBottom w:val="0"/>
          <w:divBdr>
            <w:top w:val="none" w:sz="0" w:space="0" w:color="auto"/>
            <w:left w:val="none" w:sz="0" w:space="0" w:color="auto"/>
            <w:bottom w:val="none" w:sz="0" w:space="0" w:color="auto"/>
            <w:right w:val="none" w:sz="0" w:space="0" w:color="auto"/>
          </w:divBdr>
          <w:divsChild>
            <w:div w:id="2134398987">
              <w:marLeft w:val="0"/>
              <w:marRight w:val="0"/>
              <w:marTop w:val="0"/>
              <w:marBottom w:val="0"/>
              <w:divBdr>
                <w:top w:val="none" w:sz="0" w:space="0" w:color="auto"/>
                <w:left w:val="none" w:sz="0" w:space="0" w:color="auto"/>
                <w:bottom w:val="none" w:sz="0" w:space="0" w:color="auto"/>
                <w:right w:val="none" w:sz="0" w:space="0" w:color="auto"/>
              </w:divBdr>
              <w:divsChild>
                <w:div w:id="532546341">
                  <w:marLeft w:val="0"/>
                  <w:marRight w:val="0"/>
                  <w:marTop w:val="0"/>
                  <w:marBottom w:val="300"/>
                  <w:divBdr>
                    <w:top w:val="none" w:sz="0" w:space="0" w:color="auto"/>
                    <w:left w:val="none" w:sz="0" w:space="0" w:color="auto"/>
                    <w:bottom w:val="none" w:sz="0" w:space="0" w:color="auto"/>
                    <w:right w:val="none" w:sz="0" w:space="0" w:color="auto"/>
                  </w:divBdr>
                  <w:divsChild>
                    <w:div w:id="20674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ood.gov.au/national-product-list"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iteria.blood.gov.au/" TargetMode="External"/><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d.gov.au/ivig-criteri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blood.gov.au/bloodst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2.png"/><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ood.gov.au/igcriteria-version3" TargetMode="External"/><Relationship Id="rId1" Type="http://schemas.openxmlformats.org/officeDocument/2006/relationships/hyperlink" Target="https://www.blood.gov.au/igcriteria-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F2D5-6D7C-4B19-8DB0-D411D7C1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12318</Words>
  <Characters>89138</Characters>
  <Application>Microsoft Office Word</Application>
  <DocSecurity>0</DocSecurity>
  <Lines>742</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2020-10-12T20:36:00Z</dcterms:created>
  <dcterms:modified xsi:type="dcterms:W3CDTF">2020-10-13T03:33:00Z</dcterms:modified>
</cp:coreProperties>
</file>