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C4C82A" w14:textId="77777777" w:rsidR="00640EBD" w:rsidRPr="007C29DF" w:rsidRDefault="00640EBD" w:rsidP="00A13D67">
      <w:pPr>
        <w:pStyle w:val="TOC9"/>
      </w:pPr>
    </w:p>
    <w:p w14:paraId="403FCE12" w14:textId="4816A7CF" w:rsidR="00640EBD" w:rsidRPr="00DA3C6E" w:rsidRDefault="00AA084A" w:rsidP="00A13D67">
      <w:pPr>
        <w:pStyle w:val="PublicationTitle"/>
        <w:tabs>
          <w:tab w:val="right" w:pos="9072"/>
        </w:tabs>
        <w:ind w:right="-45"/>
        <w:jc w:val="center"/>
        <w:rPr>
          <w:szCs w:val="44"/>
        </w:rPr>
      </w:pPr>
      <w:r>
        <w:rPr>
          <w:szCs w:val="44"/>
        </w:rPr>
        <w:t>Review of i</w:t>
      </w:r>
      <w:r w:rsidRPr="00DA3C6E">
        <w:rPr>
          <w:szCs w:val="44"/>
        </w:rPr>
        <w:t>mmunoglobulin</w:t>
      </w:r>
      <w:r>
        <w:rPr>
          <w:szCs w:val="44"/>
        </w:rPr>
        <w:t xml:space="preserve"> use</w:t>
      </w:r>
      <w:r w:rsidRPr="00DA3C6E">
        <w:rPr>
          <w:szCs w:val="44"/>
        </w:rPr>
        <w:t xml:space="preserve"> </w:t>
      </w:r>
      <w:r w:rsidR="009B7ABD" w:rsidRPr="00DA3C6E">
        <w:rPr>
          <w:szCs w:val="44"/>
        </w:rPr>
        <w:t>for multifocal motor neuropathy (MMN)</w:t>
      </w:r>
    </w:p>
    <w:p w14:paraId="6AD16812" w14:textId="2AC55A0B" w:rsidR="00640EBD" w:rsidRPr="00DA3C6E" w:rsidRDefault="00640EBD" w:rsidP="00DF343F">
      <w:pPr>
        <w:rPr>
          <w:sz w:val="144"/>
          <w:szCs w:val="144"/>
        </w:rPr>
      </w:pPr>
      <w:bookmarkStart w:id="0" w:name="_GoBack"/>
      <w:bookmarkEnd w:id="0"/>
    </w:p>
    <w:p w14:paraId="7E926B14" w14:textId="77777777" w:rsidR="009B7ABD" w:rsidRPr="00DA3C6E" w:rsidRDefault="009B7ABD" w:rsidP="00A13D67">
      <w:pPr>
        <w:pStyle w:val="Date"/>
        <w:tabs>
          <w:tab w:val="right" w:pos="9027"/>
        </w:tabs>
        <w:ind w:right="-45"/>
        <w:jc w:val="center"/>
      </w:pPr>
    </w:p>
    <w:p w14:paraId="5222D7E0" w14:textId="77777777" w:rsidR="00640EBD" w:rsidRPr="00DA3C6E" w:rsidRDefault="001C011D" w:rsidP="001C011D">
      <w:pPr>
        <w:pStyle w:val="Date"/>
        <w:tabs>
          <w:tab w:val="right" w:pos="9027"/>
        </w:tabs>
        <w:ind w:right="-45"/>
        <w:jc w:val="both"/>
      </w:pPr>
      <w:r w:rsidRPr="00DA3C6E">
        <w:tab/>
      </w:r>
      <w:r w:rsidR="00C542BF" w:rsidRPr="00DA3C6E">
        <w:t xml:space="preserve">15 </w:t>
      </w:r>
      <w:r w:rsidR="00E8759F" w:rsidRPr="00DA3C6E">
        <w:t>March</w:t>
      </w:r>
      <w:r w:rsidR="00C0472F" w:rsidRPr="00DA3C6E">
        <w:t xml:space="preserve"> 2020 </w:t>
      </w:r>
    </w:p>
    <w:p w14:paraId="1DC07EB9" w14:textId="77777777" w:rsidR="00640EBD" w:rsidRPr="00DA3C6E" w:rsidRDefault="00640EBD" w:rsidP="00DF343F">
      <w:pPr>
        <w:pStyle w:val="Sub-title"/>
        <w:jc w:val="both"/>
        <w:rPr>
          <w:rFonts w:asciiTheme="minorHAnsi" w:hAnsiTheme="minorHAnsi"/>
          <w:sz w:val="144"/>
          <w:szCs w:val="144"/>
        </w:rPr>
      </w:pPr>
    </w:p>
    <w:p w14:paraId="7CCA4A95" w14:textId="77777777" w:rsidR="00640EBD" w:rsidRPr="00DA3C6E" w:rsidRDefault="001C011D" w:rsidP="001C011D">
      <w:pPr>
        <w:pStyle w:val="Sub-title"/>
        <w:tabs>
          <w:tab w:val="right" w:pos="9027"/>
        </w:tabs>
        <w:ind w:right="-45"/>
        <w:jc w:val="both"/>
      </w:pPr>
      <w:r w:rsidRPr="00DA3C6E">
        <w:tab/>
      </w:r>
      <w:r w:rsidR="00640EBD" w:rsidRPr="00DA3C6E">
        <w:t xml:space="preserve">MSAC application no. </w:t>
      </w:r>
      <w:r w:rsidR="009B7ABD" w:rsidRPr="00DA3C6E">
        <w:t>1590</w:t>
      </w:r>
    </w:p>
    <w:p w14:paraId="779C2BFD" w14:textId="77777777" w:rsidR="00640EBD" w:rsidRPr="00DA3C6E" w:rsidRDefault="00640EBD" w:rsidP="00DF343F">
      <w:pPr>
        <w:pStyle w:val="Sub-title"/>
        <w:jc w:val="both"/>
      </w:pPr>
    </w:p>
    <w:p w14:paraId="3D507E79" w14:textId="77777777" w:rsidR="00640EBD" w:rsidRPr="00DA3C6E" w:rsidRDefault="001C011D" w:rsidP="001C011D">
      <w:pPr>
        <w:pStyle w:val="Sub-title"/>
        <w:tabs>
          <w:tab w:val="right" w:pos="9027"/>
        </w:tabs>
        <w:ind w:right="-45"/>
        <w:jc w:val="both"/>
        <w:rPr>
          <w:szCs w:val="32"/>
        </w:rPr>
      </w:pPr>
      <w:r w:rsidRPr="00DA3C6E">
        <w:tab/>
      </w:r>
      <w:r w:rsidR="00C542BF" w:rsidRPr="00DA3C6E">
        <w:t>Final</w:t>
      </w:r>
      <w:r w:rsidR="00C0472F" w:rsidRPr="00DA3C6E">
        <w:t xml:space="preserve"> report</w:t>
      </w:r>
    </w:p>
    <w:p w14:paraId="5410C1A5" w14:textId="77777777" w:rsidR="003A7C8F" w:rsidRPr="00DA3C6E" w:rsidRDefault="003A7C8F" w:rsidP="00DF343F">
      <w:pPr>
        <w:spacing w:after="0" w:line="240" w:lineRule="auto"/>
      </w:pPr>
      <w:r w:rsidRPr="00DA3C6E">
        <w:br w:type="page"/>
      </w:r>
    </w:p>
    <w:p w14:paraId="21E1C10B" w14:textId="77777777" w:rsidR="00593774" w:rsidRPr="00DA3C6E" w:rsidRDefault="00EB4DCD" w:rsidP="00EC7262">
      <w:pPr>
        <w:autoSpaceDE w:val="0"/>
        <w:autoSpaceDN w:val="0"/>
        <w:adjustRightInd w:val="0"/>
        <w:spacing w:after="0" w:line="240" w:lineRule="auto"/>
        <w:rPr>
          <w:color w:val="000000"/>
          <w:sz w:val="20"/>
          <w:szCs w:val="20"/>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sidRPr="00DA3C6E">
        <w:rPr>
          <w:color w:val="000000"/>
          <w:sz w:val="20"/>
          <w:szCs w:val="20"/>
        </w:rPr>
        <w:lastRenderedPageBreak/>
        <w:t xml:space="preserve">© </w:t>
      </w:r>
      <w:r w:rsidR="00C64A23" w:rsidRPr="00DA3C6E">
        <w:rPr>
          <w:color w:val="000000"/>
          <w:sz w:val="20"/>
          <w:szCs w:val="20"/>
        </w:rPr>
        <w:t>Commonwealth of Australia 2019</w:t>
      </w:r>
    </w:p>
    <w:p w14:paraId="6CB77E43" w14:textId="77777777" w:rsidR="00EB4DCD" w:rsidRPr="00DA3C6E" w:rsidRDefault="00EB4DCD" w:rsidP="00EC7262">
      <w:pPr>
        <w:autoSpaceDE w:val="0"/>
        <w:autoSpaceDN w:val="0"/>
        <w:adjustRightInd w:val="0"/>
        <w:spacing w:after="0" w:line="240" w:lineRule="auto"/>
        <w:rPr>
          <w:color w:val="000000"/>
          <w:sz w:val="20"/>
          <w:szCs w:val="20"/>
        </w:rPr>
      </w:pPr>
    </w:p>
    <w:p w14:paraId="5673C42E" w14:textId="77777777" w:rsidR="00EB4DCD" w:rsidRPr="00DA3C6E" w:rsidRDefault="00EB4DCD" w:rsidP="00EB4DCD">
      <w:pPr>
        <w:autoSpaceDE w:val="0"/>
        <w:autoSpaceDN w:val="0"/>
        <w:adjustRightInd w:val="0"/>
        <w:spacing w:after="0" w:line="240" w:lineRule="auto"/>
        <w:rPr>
          <w:color w:val="000000"/>
          <w:sz w:val="20"/>
          <w:szCs w:val="20"/>
        </w:rPr>
      </w:pPr>
    </w:p>
    <w:p w14:paraId="3239EBA8" w14:textId="77777777" w:rsidR="00EB4DCD" w:rsidRPr="00DA3C6E" w:rsidRDefault="00EB4DCD" w:rsidP="00EB4DCD">
      <w:pPr>
        <w:autoSpaceDE w:val="0"/>
        <w:autoSpaceDN w:val="0"/>
        <w:adjustRightInd w:val="0"/>
        <w:spacing w:after="0" w:line="240" w:lineRule="auto"/>
        <w:rPr>
          <w:color w:val="000000"/>
          <w:sz w:val="20"/>
          <w:szCs w:val="20"/>
        </w:rPr>
      </w:pPr>
    </w:p>
    <w:p w14:paraId="731268CA" w14:textId="77777777" w:rsidR="00593774" w:rsidRPr="00DA3C6E" w:rsidRDefault="00EB4DCD" w:rsidP="00EC7262">
      <w:pPr>
        <w:autoSpaceDE w:val="0"/>
        <w:autoSpaceDN w:val="0"/>
        <w:adjustRightInd w:val="0"/>
        <w:spacing w:after="0" w:line="240" w:lineRule="auto"/>
        <w:rPr>
          <w:color w:val="000000"/>
          <w:sz w:val="20"/>
          <w:szCs w:val="20"/>
        </w:rPr>
      </w:pPr>
      <w:r w:rsidRPr="00DA3C6E">
        <w:rPr>
          <w:color w:val="000000"/>
          <w:sz w:val="20"/>
          <w:szCs w:val="20"/>
        </w:rPr>
        <w:t xml:space="preserve">Internet site </w:t>
      </w:r>
      <w:hyperlink r:id="rId8" w:tooltip="Link to the Medical Services Advisory Committee website." w:history="1">
        <w:r w:rsidRPr="00DA3C6E">
          <w:rPr>
            <w:color w:val="0000FF"/>
            <w:sz w:val="20"/>
            <w:szCs w:val="20"/>
          </w:rPr>
          <w:t>http://www.msac.gov.au/</w:t>
        </w:r>
      </w:hyperlink>
    </w:p>
    <w:p w14:paraId="244B08A4" w14:textId="77777777" w:rsidR="00EB4DCD" w:rsidRPr="00DA3C6E" w:rsidRDefault="00EB4DCD" w:rsidP="00EC7262">
      <w:pPr>
        <w:autoSpaceDE w:val="0"/>
        <w:autoSpaceDN w:val="0"/>
        <w:adjustRightInd w:val="0"/>
        <w:spacing w:after="0" w:line="240" w:lineRule="auto"/>
        <w:rPr>
          <w:color w:val="000000"/>
          <w:sz w:val="20"/>
          <w:szCs w:val="20"/>
        </w:rPr>
      </w:pPr>
    </w:p>
    <w:p w14:paraId="6D974DC6" w14:textId="77777777" w:rsidR="00EB4DCD" w:rsidRPr="00DA3C6E" w:rsidRDefault="00EB4DCD" w:rsidP="00EB4DCD">
      <w:pPr>
        <w:autoSpaceDE w:val="0"/>
        <w:autoSpaceDN w:val="0"/>
        <w:adjustRightInd w:val="0"/>
        <w:spacing w:after="0" w:line="240" w:lineRule="auto"/>
        <w:rPr>
          <w:color w:val="000000"/>
          <w:sz w:val="20"/>
          <w:szCs w:val="20"/>
        </w:rPr>
      </w:pPr>
    </w:p>
    <w:p w14:paraId="608F88BC" w14:textId="77777777" w:rsidR="00593774" w:rsidRPr="00DA3C6E" w:rsidRDefault="00EB4DCD" w:rsidP="00EC7262">
      <w:pPr>
        <w:autoSpaceDE w:val="0"/>
        <w:autoSpaceDN w:val="0"/>
        <w:adjustRightInd w:val="0"/>
        <w:spacing w:after="0" w:line="240" w:lineRule="auto"/>
        <w:rPr>
          <w:color w:val="000000"/>
          <w:sz w:val="20"/>
          <w:szCs w:val="20"/>
        </w:rPr>
      </w:pPr>
      <w:r w:rsidRPr="00DA3C6E">
        <w:rPr>
          <w:color w:val="000000"/>
          <w:sz w:val="20"/>
          <w:szCs w:val="20"/>
        </w:rPr>
        <w:t xml:space="preserve">Electronic copies of the report can be obtained from the Medical Service Advisory Committee’s Internet site at </w:t>
      </w:r>
      <w:hyperlink r:id="rId9" w:tooltip="Link to the Medical Services Advisory Committee website." w:history="1">
        <w:r w:rsidRPr="00DA3C6E">
          <w:rPr>
            <w:color w:val="0000FF"/>
            <w:sz w:val="20"/>
            <w:szCs w:val="20"/>
          </w:rPr>
          <w:t>http://www.msac.gov.au/</w:t>
        </w:r>
      </w:hyperlink>
      <w:r w:rsidRPr="00DA3C6E">
        <w:rPr>
          <w:color w:val="000000"/>
          <w:sz w:val="20"/>
          <w:szCs w:val="20"/>
        </w:rPr>
        <w:t xml:space="preserve"> </w:t>
      </w:r>
    </w:p>
    <w:p w14:paraId="7D7D6C09" w14:textId="77777777" w:rsidR="00EB4DCD" w:rsidRPr="00DA3C6E" w:rsidRDefault="00EB4DCD" w:rsidP="00EC7262">
      <w:pPr>
        <w:autoSpaceDE w:val="0"/>
        <w:autoSpaceDN w:val="0"/>
        <w:adjustRightInd w:val="0"/>
        <w:spacing w:after="0" w:line="240" w:lineRule="auto"/>
        <w:rPr>
          <w:color w:val="000000"/>
          <w:sz w:val="20"/>
          <w:szCs w:val="20"/>
        </w:rPr>
      </w:pPr>
    </w:p>
    <w:p w14:paraId="4FA68A02" w14:textId="77777777" w:rsidR="00EB4DCD" w:rsidRPr="00DA3C6E" w:rsidRDefault="00EB4DCD" w:rsidP="00EB4DCD">
      <w:pPr>
        <w:autoSpaceDE w:val="0"/>
        <w:autoSpaceDN w:val="0"/>
        <w:adjustRightInd w:val="0"/>
        <w:spacing w:after="0" w:line="240" w:lineRule="auto"/>
        <w:rPr>
          <w:color w:val="000000"/>
          <w:sz w:val="20"/>
          <w:szCs w:val="20"/>
        </w:rPr>
      </w:pPr>
    </w:p>
    <w:p w14:paraId="43094891" w14:textId="77777777" w:rsidR="00593774" w:rsidRPr="00DA3C6E" w:rsidRDefault="00EB4DCD" w:rsidP="00EC7262">
      <w:pPr>
        <w:autoSpaceDE w:val="0"/>
        <w:autoSpaceDN w:val="0"/>
        <w:adjustRightInd w:val="0"/>
        <w:spacing w:after="0" w:line="240" w:lineRule="auto"/>
        <w:rPr>
          <w:color w:val="000000"/>
          <w:sz w:val="20"/>
          <w:szCs w:val="20"/>
        </w:rPr>
      </w:pPr>
      <w:r w:rsidRPr="00DA3C6E">
        <w:rPr>
          <w:color w:val="000000"/>
          <w:sz w:val="20"/>
          <w:szCs w:val="20"/>
        </w:rPr>
        <w:t xml:space="preserve">Enquiries about the content of the report should be emailed to </w:t>
      </w:r>
      <w:r w:rsidR="00DD08A9" w:rsidRPr="00DA3C6E">
        <w:rPr>
          <w:color w:val="0000FF"/>
          <w:sz w:val="20"/>
          <w:szCs w:val="20"/>
        </w:rPr>
        <w:t>hta@health.gov.au</w:t>
      </w:r>
      <w:r w:rsidR="00DD08A9" w:rsidRPr="00DA3C6E">
        <w:rPr>
          <w:sz w:val="20"/>
          <w:szCs w:val="20"/>
        </w:rPr>
        <w:t>.</w:t>
      </w:r>
    </w:p>
    <w:p w14:paraId="5631B459" w14:textId="77777777" w:rsidR="00EB4DCD" w:rsidRPr="00DA3C6E" w:rsidRDefault="00EB4DCD" w:rsidP="00EC7262">
      <w:pPr>
        <w:autoSpaceDE w:val="0"/>
        <w:autoSpaceDN w:val="0"/>
        <w:adjustRightInd w:val="0"/>
        <w:spacing w:after="0" w:line="240" w:lineRule="auto"/>
        <w:rPr>
          <w:color w:val="000000"/>
          <w:sz w:val="20"/>
          <w:szCs w:val="20"/>
        </w:rPr>
      </w:pPr>
    </w:p>
    <w:p w14:paraId="4BE093B9" w14:textId="77777777" w:rsidR="00EB4DCD" w:rsidRPr="00DA3C6E" w:rsidRDefault="00EB4DCD" w:rsidP="00EB4DCD">
      <w:pPr>
        <w:autoSpaceDE w:val="0"/>
        <w:autoSpaceDN w:val="0"/>
        <w:adjustRightInd w:val="0"/>
        <w:spacing w:after="0" w:line="240" w:lineRule="auto"/>
        <w:rPr>
          <w:color w:val="1B1B1B"/>
          <w:sz w:val="20"/>
          <w:szCs w:val="20"/>
          <w:lang w:eastAsia="zh-TW"/>
        </w:rPr>
      </w:pPr>
    </w:p>
    <w:p w14:paraId="018FEE70" w14:textId="77777777" w:rsidR="00EB4DCD" w:rsidRPr="00DA3C6E" w:rsidRDefault="00EB4DCD" w:rsidP="00EB4DCD">
      <w:pPr>
        <w:autoSpaceDE w:val="0"/>
        <w:autoSpaceDN w:val="0"/>
        <w:adjustRightInd w:val="0"/>
        <w:spacing w:after="0" w:line="240" w:lineRule="auto"/>
        <w:rPr>
          <w:color w:val="000000"/>
          <w:sz w:val="20"/>
          <w:szCs w:val="20"/>
          <w:lang w:eastAsia="zh-TW"/>
        </w:rPr>
      </w:pPr>
      <w:r w:rsidRPr="00DA3C6E">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DA3C6E">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09BAE415" w14:textId="77777777" w:rsidR="00EB4DCD" w:rsidRPr="00DA3C6E" w:rsidRDefault="00EB4DCD" w:rsidP="00EB4DCD">
      <w:pPr>
        <w:autoSpaceDE w:val="0"/>
        <w:autoSpaceDN w:val="0"/>
        <w:adjustRightInd w:val="0"/>
        <w:spacing w:after="0" w:line="240" w:lineRule="auto"/>
        <w:rPr>
          <w:color w:val="000000"/>
          <w:sz w:val="20"/>
          <w:szCs w:val="20"/>
          <w:lang w:eastAsia="zh-TW"/>
        </w:rPr>
      </w:pPr>
    </w:p>
    <w:p w14:paraId="61CC9F3E" w14:textId="77777777" w:rsidR="00EB4DCD" w:rsidRPr="00DA3C6E" w:rsidRDefault="00EB4DCD" w:rsidP="00EB4DCD">
      <w:pPr>
        <w:autoSpaceDE w:val="0"/>
        <w:autoSpaceDN w:val="0"/>
        <w:adjustRightInd w:val="0"/>
        <w:spacing w:after="0" w:line="240" w:lineRule="auto"/>
        <w:rPr>
          <w:color w:val="000000"/>
          <w:sz w:val="20"/>
          <w:szCs w:val="20"/>
          <w:lang w:eastAsia="zh-TW"/>
        </w:rPr>
      </w:pPr>
    </w:p>
    <w:p w14:paraId="0205F9E9" w14:textId="77777777" w:rsidR="00EB4DCD" w:rsidRPr="00DA3C6E" w:rsidRDefault="00EB4DCD" w:rsidP="00EB4DCD">
      <w:pPr>
        <w:autoSpaceDE w:val="0"/>
        <w:autoSpaceDN w:val="0"/>
        <w:adjustRightInd w:val="0"/>
        <w:spacing w:after="0" w:line="240" w:lineRule="auto"/>
        <w:rPr>
          <w:color w:val="000000"/>
          <w:sz w:val="20"/>
          <w:szCs w:val="20"/>
          <w:u w:val="single"/>
        </w:rPr>
      </w:pPr>
      <w:r w:rsidRPr="00DA3C6E">
        <w:rPr>
          <w:color w:val="000000"/>
          <w:sz w:val="20"/>
          <w:szCs w:val="20"/>
          <w:u w:val="single"/>
        </w:rPr>
        <w:t>MSAC’s advice does not necessarily reflect the views of all individuals who participated in the MSAC evaluation.</w:t>
      </w:r>
    </w:p>
    <w:p w14:paraId="3A511C7D" w14:textId="77777777" w:rsidR="00EB4DCD" w:rsidRPr="00DA3C6E" w:rsidRDefault="00EB4DCD" w:rsidP="00EB4DCD">
      <w:pPr>
        <w:autoSpaceDE w:val="0"/>
        <w:autoSpaceDN w:val="0"/>
        <w:adjustRightInd w:val="0"/>
        <w:spacing w:after="0" w:line="240" w:lineRule="auto"/>
        <w:rPr>
          <w:color w:val="000000"/>
          <w:sz w:val="20"/>
          <w:szCs w:val="20"/>
          <w:lang w:eastAsia="zh-TW"/>
        </w:rPr>
      </w:pPr>
    </w:p>
    <w:p w14:paraId="54BEADC5" w14:textId="77777777" w:rsidR="00EB4DCD" w:rsidRPr="00DA3C6E" w:rsidRDefault="00EB4DCD" w:rsidP="00EB4DCD">
      <w:pPr>
        <w:autoSpaceDE w:val="0"/>
        <w:autoSpaceDN w:val="0"/>
        <w:adjustRightInd w:val="0"/>
        <w:spacing w:after="0" w:line="240" w:lineRule="auto"/>
        <w:rPr>
          <w:color w:val="000000"/>
          <w:sz w:val="20"/>
          <w:szCs w:val="20"/>
          <w:lang w:eastAsia="zh-TW"/>
        </w:rPr>
      </w:pPr>
    </w:p>
    <w:p w14:paraId="321D3E8D" w14:textId="77777777" w:rsidR="00EB4DCD" w:rsidRPr="00DA3C6E" w:rsidRDefault="00593774" w:rsidP="00DF343F">
      <w:pPr>
        <w:rPr>
          <w:noProof/>
          <w:vanish/>
          <w:color w:val="C00000"/>
          <w:szCs w:val="24"/>
        </w:rPr>
      </w:pPr>
      <w:r w:rsidRPr="00DA3C6E">
        <w:rPr>
          <w:color w:val="000000"/>
          <w:sz w:val="20"/>
          <w:szCs w:val="20"/>
          <w:lang w:eastAsia="zh-TW"/>
        </w:rPr>
        <w:t xml:space="preserve">This report was prepared by </w:t>
      </w:r>
      <w:r w:rsidR="00DD08A9" w:rsidRPr="00DA3C6E">
        <w:rPr>
          <w:color w:val="000000"/>
          <w:sz w:val="20"/>
          <w:szCs w:val="20"/>
          <w:lang w:eastAsia="zh-TW"/>
        </w:rPr>
        <w:t xml:space="preserve">Stephen Goodall, </w:t>
      </w:r>
      <w:r w:rsidRPr="00DA3C6E">
        <w:rPr>
          <w:color w:val="000000"/>
          <w:sz w:val="20"/>
          <w:szCs w:val="20"/>
          <w:lang w:eastAsia="zh-TW"/>
        </w:rPr>
        <w:t xml:space="preserve">Constanza Vargas, Rebecca Addo, Milena Lewandowska </w:t>
      </w:r>
      <w:r w:rsidR="00DD08A9" w:rsidRPr="00DA3C6E">
        <w:rPr>
          <w:color w:val="000000"/>
          <w:sz w:val="20"/>
          <w:szCs w:val="20"/>
          <w:lang w:eastAsia="zh-TW"/>
        </w:rPr>
        <w:t>Phil Haywood</w:t>
      </w:r>
      <w:r w:rsidR="008076F0" w:rsidRPr="00DA3C6E">
        <w:rPr>
          <w:color w:val="000000"/>
          <w:sz w:val="20"/>
          <w:szCs w:val="20"/>
          <w:lang w:eastAsia="zh-TW"/>
        </w:rPr>
        <w:t xml:space="preserve"> and Richard De Abreu Laurenco</w:t>
      </w:r>
      <w:r w:rsidR="00DD08A9" w:rsidRPr="00DA3C6E">
        <w:rPr>
          <w:color w:val="000000"/>
          <w:sz w:val="20"/>
          <w:szCs w:val="20"/>
          <w:lang w:eastAsia="zh-TW"/>
        </w:rPr>
        <w:t xml:space="preserve"> </w:t>
      </w:r>
      <w:r w:rsidRPr="00DA3C6E">
        <w:rPr>
          <w:color w:val="000000"/>
          <w:sz w:val="20"/>
          <w:szCs w:val="20"/>
          <w:lang w:eastAsia="zh-TW"/>
        </w:rPr>
        <w:t>from the Centre for Health Economics Research and Evaluation (CHERE), University of Technology Sydney. Clinical advice was provided by the Ig Review Reference Group. The report was commissioned by the Australian Government Department of Health.</w:t>
      </w:r>
      <w:r w:rsidRPr="00DA3C6E">
        <w:rPr>
          <w:sz w:val="20"/>
          <w:szCs w:val="20"/>
        </w:rPr>
        <w:t xml:space="preserve"> </w:t>
      </w:r>
    </w:p>
    <w:p w14:paraId="26F574DA" w14:textId="77777777" w:rsidR="00EB4DCD" w:rsidRPr="00DA3C6E" w:rsidRDefault="00EB4DCD" w:rsidP="00EB4DCD">
      <w:pPr>
        <w:autoSpaceDE w:val="0"/>
        <w:autoSpaceDN w:val="0"/>
        <w:adjustRightInd w:val="0"/>
        <w:spacing w:after="0" w:line="240" w:lineRule="auto"/>
        <w:rPr>
          <w:rFonts w:cs="Humanist521BT-Roman"/>
          <w:color w:val="231F20"/>
          <w:sz w:val="20"/>
          <w:szCs w:val="20"/>
        </w:rPr>
      </w:pPr>
      <w:r w:rsidRPr="00DA3C6E">
        <w:rPr>
          <w:rFonts w:cs="Humanist521BT-Roman"/>
          <w:color w:val="231F20"/>
          <w:sz w:val="20"/>
          <w:szCs w:val="20"/>
        </w:rPr>
        <w:t>The suggested citation for this document is:</w:t>
      </w:r>
    </w:p>
    <w:p w14:paraId="31908991" w14:textId="77777777" w:rsidR="00EB4DCD" w:rsidRPr="00DA3C6E" w:rsidRDefault="00EB4DCD" w:rsidP="00EB4DCD">
      <w:pPr>
        <w:autoSpaceDE w:val="0"/>
        <w:autoSpaceDN w:val="0"/>
        <w:adjustRightInd w:val="0"/>
        <w:spacing w:after="0" w:line="240" w:lineRule="auto"/>
        <w:rPr>
          <w:rFonts w:cs="Humanist521BT-Roman"/>
          <w:color w:val="231F20"/>
          <w:sz w:val="20"/>
          <w:szCs w:val="20"/>
        </w:rPr>
      </w:pPr>
    </w:p>
    <w:p w14:paraId="10FA4643" w14:textId="77777777" w:rsidR="00593774" w:rsidRPr="00DA3C6E" w:rsidRDefault="00593774" w:rsidP="00EB4DCD">
      <w:pPr>
        <w:autoSpaceDE w:val="0"/>
        <w:autoSpaceDN w:val="0"/>
        <w:adjustRightInd w:val="0"/>
        <w:spacing w:after="0" w:line="240" w:lineRule="auto"/>
        <w:rPr>
          <w:rFonts w:cs="Humanist521BT-Roman"/>
          <w:color w:val="231F20"/>
          <w:sz w:val="20"/>
          <w:szCs w:val="20"/>
        </w:rPr>
      </w:pPr>
      <w:r w:rsidRPr="00DA3C6E">
        <w:rPr>
          <w:rFonts w:cs="Humanist521BT-Roman"/>
          <w:color w:val="231F20"/>
          <w:sz w:val="20"/>
          <w:szCs w:val="20"/>
        </w:rPr>
        <w:t xml:space="preserve">Vargas C, Addo R, Lewandowska M, </w:t>
      </w:r>
      <w:r w:rsidR="00DD08A9" w:rsidRPr="00DA3C6E">
        <w:rPr>
          <w:rFonts w:cs="Humanist521BT-Roman"/>
          <w:color w:val="231F20"/>
          <w:sz w:val="20"/>
          <w:szCs w:val="20"/>
        </w:rPr>
        <w:t xml:space="preserve">Haywood P, </w:t>
      </w:r>
      <w:r w:rsidR="008076F0" w:rsidRPr="00DA3C6E">
        <w:rPr>
          <w:rFonts w:cs="Humanist521BT-Roman"/>
          <w:color w:val="231F20"/>
          <w:sz w:val="20"/>
          <w:szCs w:val="20"/>
        </w:rPr>
        <w:t xml:space="preserve">De Abreu Laurenco R, </w:t>
      </w:r>
      <w:r w:rsidRPr="00DA3C6E">
        <w:rPr>
          <w:rFonts w:cs="Humanist521BT-Roman"/>
          <w:color w:val="231F20"/>
          <w:sz w:val="20"/>
          <w:szCs w:val="20"/>
        </w:rPr>
        <w:t>Goodall S. (2019).</w:t>
      </w:r>
      <w:r w:rsidRPr="00DA3C6E">
        <w:t xml:space="preserve"> </w:t>
      </w:r>
      <w:r w:rsidRPr="00DA3C6E">
        <w:rPr>
          <w:rFonts w:cs="Humanist521BT-Roman"/>
          <w:color w:val="231F20"/>
          <w:sz w:val="20"/>
          <w:szCs w:val="20"/>
        </w:rPr>
        <w:t xml:space="preserve">Immunoglobulin for multifocal motor neuropathy (MMN). MSAC Application 1590, Assessment Report. Commonwealth of Australia, Canberra, ACT. </w:t>
      </w:r>
    </w:p>
    <w:p w14:paraId="6C662FDC" w14:textId="77777777" w:rsidR="00EB4DCD" w:rsidRPr="00DA3C6E" w:rsidRDefault="00EB4DCD" w:rsidP="00EB4DCD">
      <w:pPr>
        <w:autoSpaceDE w:val="0"/>
        <w:autoSpaceDN w:val="0"/>
        <w:adjustRightInd w:val="0"/>
        <w:spacing w:after="0" w:line="240" w:lineRule="auto"/>
        <w:rPr>
          <w:rFonts w:cs="Humanist521BT-Roman"/>
          <w:color w:val="231F20"/>
          <w:sz w:val="20"/>
          <w:szCs w:val="20"/>
        </w:rPr>
      </w:pPr>
    </w:p>
    <w:p w14:paraId="2746FB9E" w14:textId="77777777" w:rsidR="00DD08A9" w:rsidRPr="00DA3C6E" w:rsidRDefault="00DD08A9" w:rsidP="00DD08A9">
      <w:pPr>
        <w:pStyle w:val="Heading1"/>
      </w:pPr>
      <w:bookmarkStart w:id="14" w:name="_Toc395200735"/>
      <w:bookmarkStart w:id="15" w:name="_Toc399247190"/>
      <w:bookmarkStart w:id="16" w:name="_Toc402884709"/>
      <w:bookmarkStart w:id="17" w:name="_Ref421189612"/>
      <w:bookmarkStart w:id="18" w:name="_Toc37845688"/>
      <w:r w:rsidRPr="00DA3C6E">
        <w:lastRenderedPageBreak/>
        <w:t>Contents</w:t>
      </w:r>
      <w:bookmarkEnd w:id="14"/>
      <w:bookmarkEnd w:id="15"/>
      <w:bookmarkEnd w:id="16"/>
      <w:bookmarkEnd w:id="17"/>
      <w:bookmarkEnd w:id="18"/>
      <w:r w:rsidRPr="00DA3C6E">
        <w:tab/>
      </w:r>
    </w:p>
    <w:sdt>
      <w:sdtPr>
        <w:rPr>
          <w:b w:val="0"/>
          <w:noProof w:val="0"/>
        </w:rPr>
        <w:id w:val="-1664701443"/>
        <w:docPartObj>
          <w:docPartGallery w:val="Table of Contents"/>
          <w:docPartUnique/>
        </w:docPartObj>
      </w:sdtPr>
      <w:sdtEndPr>
        <w:rPr>
          <w:bCs/>
        </w:rPr>
      </w:sdtEndPr>
      <w:sdtContent>
        <w:p w14:paraId="337F45A9" w14:textId="4D548802" w:rsidR="006F0CA3" w:rsidRDefault="00DD08A9">
          <w:pPr>
            <w:pStyle w:val="TOC1"/>
            <w:rPr>
              <w:rFonts w:asciiTheme="minorHAnsi" w:eastAsiaTheme="minorEastAsia" w:hAnsiTheme="minorHAnsi" w:cstheme="minorBidi"/>
              <w:b w:val="0"/>
            </w:rPr>
          </w:pPr>
          <w:r w:rsidRPr="00DA3C6E">
            <w:fldChar w:fldCharType="begin"/>
          </w:r>
          <w:r w:rsidRPr="00DA3C6E">
            <w:instrText xml:space="preserve"> TOC \o "1-3" \h \z \u </w:instrText>
          </w:r>
          <w:r w:rsidRPr="00DA3C6E">
            <w:fldChar w:fldCharType="separate"/>
          </w:r>
          <w:hyperlink w:anchor="_Toc37845688" w:history="1">
            <w:r w:rsidR="006F0CA3" w:rsidRPr="00473300">
              <w:rPr>
                <w:rStyle w:val="Hyperlink"/>
              </w:rPr>
              <w:t>Contents</w:t>
            </w:r>
            <w:r w:rsidR="006F0CA3">
              <w:rPr>
                <w:webHidden/>
              </w:rPr>
              <w:tab/>
            </w:r>
            <w:r w:rsidR="006F0CA3">
              <w:rPr>
                <w:webHidden/>
              </w:rPr>
              <w:fldChar w:fldCharType="begin"/>
            </w:r>
            <w:r w:rsidR="006F0CA3">
              <w:rPr>
                <w:webHidden/>
              </w:rPr>
              <w:instrText xml:space="preserve"> PAGEREF _Toc37845688 \h </w:instrText>
            </w:r>
            <w:r w:rsidR="006F0CA3">
              <w:rPr>
                <w:webHidden/>
              </w:rPr>
            </w:r>
            <w:r w:rsidR="006F0CA3">
              <w:rPr>
                <w:webHidden/>
              </w:rPr>
              <w:fldChar w:fldCharType="separate"/>
            </w:r>
            <w:r w:rsidR="00EA5DC1">
              <w:rPr>
                <w:webHidden/>
              </w:rPr>
              <w:t>iii</w:t>
            </w:r>
            <w:r w:rsidR="006F0CA3">
              <w:rPr>
                <w:webHidden/>
              </w:rPr>
              <w:fldChar w:fldCharType="end"/>
            </w:r>
          </w:hyperlink>
        </w:p>
        <w:p w14:paraId="34A03AA3" w14:textId="30E66C71" w:rsidR="006F0CA3" w:rsidRDefault="00515153">
          <w:pPr>
            <w:pStyle w:val="TOC2"/>
            <w:rPr>
              <w:rFonts w:asciiTheme="minorHAnsi" w:eastAsiaTheme="minorEastAsia" w:hAnsiTheme="minorHAnsi" w:cstheme="minorBidi"/>
            </w:rPr>
          </w:pPr>
          <w:hyperlink w:anchor="_Toc37845689" w:history="1">
            <w:r w:rsidR="006F0CA3" w:rsidRPr="00473300">
              <w:rPr>
                <w:rStyle w:val="Hyperlink"/>
              </w:rPr>
              <w:t>Tables</w:t>
            </w:r>
            <w:r w:rsidR="006F0CA3">
              <w:rPr>
                <w:webHidden/>
              </w:rPr>
              <w:tab/>
            </w:r>
            <w:r w:rsidR="006F0CA3">
              <w:rPr>
                <w:webHidden/>
              </w:rPr>
              <w:fldChar w:fldCharType="begin"/>
            </w:r>
            <w:r w:rsidR="006F0CA3">
              <w:rPr>
                <w:webHidden/>
              </w:rPr>
              <w:instrText xml:space="preserve"> PAGEREF _Toc37845689 \h </w:instrText>
            </w:r>
            <w:r w:rsidR="006F0CA3">
              <w:rPr>
                <w:webHidden/>
              </w:rPr>
            </w:r>
            <w:r w:rsidR="006F0CA3">
              <w:rPr>
                <w:webHidden/>
              </w:rPr>
              <w:fldChar w:fldCharType="separate"/>
            </w:r>
            <w:r w:rsidR="00EA5DC1">
              <w:rPr>
                <w:webHidden/>
              </w:rPr>
              <w:t>vii</w:t>
            </w:r>
            <w:r w:rsidR="006F0CA3">
              <w:rPr>
                <w:webHidden/>
              </w:rPr>
              <w:fldChar w:fldCharType="end"/>
            </w:r>
          </w:hyperlink>
        </w:p>
        <w:p w14:paraId="01F65BAE" w14:textId="72BFC564" w:rsidR="006F0CA3" w:rsidRDefault="00515153">
          <w:pPr>
            <w:pStyle w:val="TOC2"/>
            <w:rPr>
              <w:rFonts w:asciiTheme="minorHAnsi" w:eastAsiaTheme="minorEastAsia" w:hAnsiTheme="minorHAnsi" w:cstheme="minorBidi"/>
            </w:rPr>
          </w:pPr>
          <w:hyperlink w:anchor="_Toc37845690" w:history="1">
            <w:r w:rsidR="006F0CA3" w:rsidRPr="00473300">
              <w:rPr>
                <w:rStyle w:val="Hyperlink"/>
              </w:rPr>
              <w:t>Figures</w:t>
            </w:r>
            <w:r w:rsidR="006F0CA3">
              <w:rPr>
                <w:webHidden/>
              </w:rPr>
              <w:tab/>
            </w:r>
            <w:r w:rsidR="006F0CA3">
              <w:rPr>
                <w:webHidden/>
              </w:rPr>
              <w:fldChar w:fldCharType="begin"/>
            </w:r>
            <w:r w:rsidR="006F0CA3">
              <w:rPr>
                <w:webHidden/>
              </w:rPr>
              <w:instrText xml:space="preserve"> PAGEREF _Toc37845690 \h </w:instrText>
            </w:r>
            <w:r w:rsidR="006F0CA3">
              <w:rPr>
                <w:webHidden/>
              </w:rPr>
            </w:r>
            <w:r w:rsidR="006F0CA3">
              <w:rPr>
                <w:webHidden/>
              </w:rPr>
              <w:fldChar w:fldCharType="separate"/>
            </w:r>
            <w:r w:rsidR="00EA5DC1">
              <w:rPr>
                <w:webHidden/>
              </w:rPr>
              <w:t>ix</w:t>
            </w:r>
            <w:r w:rsidR="006F0CA3">
              <w:rPr>
                <w:webHidden/>
              </w:rPr>
              <w:fldChar w:fldCharType="end"/>
            </w:r>
          </w:hyperlink>
        </w:p>
        <w:p w14:paraId="6327DB3B" w14:textId="4346511F" w:rsidR="006F0CA3" w:rsidRDefault="00515153">
          <w:pPr>
            <w:pStyle w:val="TOC1"/>
            <w:rPr>
              <w:rFonts w:asciiTheme="minorHAnsi" w:eastAsiaTheme="minorEastAsia" w:hAnsiTheme="minorHAnsi" w:cstheme="minorBidi"/>
              <w:b w:val="0"/>
            </w:rPr>
          </w:pPr>
          <w:hyperlink w:anchor="_Toc37845691" w:history="1">
            <w:r w:rsidR="006F0CA3" w:rsidRPr="00473300">
              <w:rPr>
                <w:rStyle w:val="Hyperlink"/>
              </w:rPr>
              <w:t>Executive Summary</w:t>
            </w:r>
            <w:r w:rsidR="006F0CA3">
              <w:rPr>
                <w:webHidden/>
              </w:rPr>
              <w:tab/>
            </w:r>
            <w:r w:rsidR="006F0CA3">
              <w:rPr>
                <w:webHidden/>
              </w:rPr>
              <w:fldChar w:fldCharType="begin"/>
            </w:r>
            <w:r w:rsidR="006F0CA3">
              <w:rPr>
                <w:webHidden/>
              </w:rPr>
              <w:instrText xml:space="preserve"> PAGEREF _Toc37845691 \h </w:instrText>
            </w:r>
            <w:r w:rsidR="006F0CA3">
              <w:rPr>
                <w:webHidden/>
              </w:rPr>
            </w:r>
            <w:r w:rsidR="006F0CA3">
              <w:rPr>
                <w:webHidden/>
              </w:rPr>
              <w:fldChar w:fldCharType="separate"/>
            </w:r>
            <w:r w:rsidR="00EA5DC1">
              <w:rPr>
                <w:webHidden/>
              </w:rPr>
              <w:t>1</w:t>
            </w:r>
            <w:r w:rsidR="006F0CA3">
              <w:rPr>
                <w:webHidden/>
              </w:rPr>
              <w:fldChar w:fldCharType="end"/>
            </w:r>
          </w:hyperlink>
        </w:p>
        <w:p w14:paraId="0B12490C" w14:textId="354E0759" w:rsidR="006F0CA3" w:rsidRDefault="00515153">
          <w:pPr>
            <w:pStyle w:val="TOC2"/>
            <w:rPr>
              <w:rFonts w:asciiTheme="minorHAnsi" w:eastAsiaTheme="minorEastAsia" w:hAnsiTheme="minorHAnsi" w:cstheme="minorBidi"/>
            </w:rPr>
          </w:pPr>
          <w:hyperlink w:anchor="_Toc37845692" w:history="1">
            <w:r w:rsidR="006F0CA3" w:rsidRPr="00473300">
              <w:rPr>
                <w:rStyle w:val="Hyperlink"/>
                <w:b/>
              </w:rPr>
              <w:t>Immunoglobulin for multifocal motor neuropathy (MMN)</w:t>
            </w:r>
            <w:r w:rsidR="006F0CA3">
              <w:rPr>
                <w:webHidden/>
              </w:rPr>
              <w:tab/>
            </w:r>
            <w:r w:rsidR="006F0CA3">
              <w:rPr>
                <w:webHidden/>
              </w:rPr>
              <w:fldChar w:fldCharType="begin"/>
            </w:r>
            <w:r w:rsidR="006F0CA3">
              <w:rPr>
                <w:webHidden/>
              </w:rPr>
              <w:instrText xml:space="preserve"> PAGEREF _Toc37845692 \h </w:instrText>
            </w:r>
            <w:r w:rsidR="006F0CA3">
              <w:rPr>
                <w:webHidden/>
              </w:rPr>
            </w:r>
            <w:r w:rsidR="006F0CA3">
              <w:rPr>
                <w:webHidden/>
              </w:rPr>
              <w:fldChar w:fldCharType="separate"/>
            </w:r>
            <w:r w:rsidR="00EA5DC1">
              <w:rPr>
                <w:webHidden/>
              </w:rPr>
              <w:t>1</w:t>
            </w:r>
            <w:r w:rsidR="006F0CA3">
              <w:rPr>
                <w:webHidden/>
              </w:rPr>
              <w:fldChar w:fldCharType="end"/>
            </w:r>
          </w:hyperlink>
        </w:p>
        <w:p w14:paraId="5788F6F9" w14:textId="06618A6F" w:rsidR="006F0CA3" w:rsidRDefault="00515153">
          <w:pPr>
            <w:pStyle w:val="TOC3"/>
            <w:rPr>
              <w:rFonts w:asciiTheme="minorHAnsi" w:eastAsiaTheme="minorEastAsia" w:hAnsiTheme="minorHAnsi" w:cstheme="minorBidi"/>
            </w:rPr>
          </w:pPr>
          <w:hyperlink w:anchor="_Toc37845693" w:history="1">
            <w:r w:rsidR="006F0CA3" w:rsidRPr="00473300">
              <w:rPr>
                <w:rStyle w:val="Hyperlink"/>
                <w:b/>
                <w:smallCaps/>
              </w:rPr>
              <w:t>Alignment with agreed PICO Confirmation</w:t>
            </w:r>
            <w:r w:rsidR="006F0CA3">
              <w:rPr>
                <w:webHidden/>
              </w:rPr>
              <w:tab/>
            </w:r>
            <w:r w:rsidR="006F0CA3">
              <w:rPr>
                <w:webHidden/>
              </w:rPr>
              <w:fldChar w:fldCharType="begin"/>
            </w:r>
            <w:r w:rsidR="006F0CA3">
              <w:rPr>
                <w:webHidden/>
              </w:rPr>
              <w:instrText xml:space="preserve"> PAGEREF _Toc37845693 \h </w:instrText>
            </w:r>
            <w:r w:rsidR="006F0CA3">
              <w:rPr>
                <w:webHidden/>
              </w:rPr>
            </w:r>
            <w:r w:rsidR="006F0CA3">
              <w:rPr>
                <w:webHidden/>
              </w:rPr>
              <w:fldChar w:fldCharType="separate"/>
            </w:r>
            <w:r w:rsidR="00EA5DC1">
              <w:rPr>
                <w:webHidden/>
              </w:rPr>
              <w:t>2</w:t>
            </w:r>
            <w:r w:rsidR="006F0CA3">
              <w:rPr>
                <w:webHidden/>
              </w:rPr>
              <w:fldChar w:fldCharType="end"/>
            </w:r>
          </w:hyperlink>
        </w:p>
        <w:p w14:paraId="3C778F57" w14:textId="4BE5B9C3" w:rsidR="006F0CA3" w:rsidRDefault="00515153">
          <w:pPr>
            <w:pStyle w:val="TOC3"/>
            <w:rPr>
              <w:rFonts w:asciiTheme="minorHAnsi" w:eastAsiaTheme="minorEastAsia" w:hAnsiTheme="minorHAnsi" w:cstheme="minorBidi"/>
            </w:rPr>
          </w:pPr>
          <w:hyperlink w:anchor="_Toc37845694" w:history="1">
            <w:r w:rsidR="006F0CA3" w:rsidRPr="00473300">
              <w:rPr>
                <w:rStyle w:val="Hyperlink"/>
                <w:b/>
                <w:smallCaps/>
              </w:rPr>
              <w:t>Proposed Medical Service</w:t>
            </w:r>
            <w:r w:rsidR="006F0CA3">
              <w:rPr>
                <w:webHidden/>
              </w:rPr>
              <w:tab/>
            </w:r>
            <w:r w:rsidR="006F0CA3">
              <w:rPr>
                <w:webHidden/>
              </w:rPr>
              <w:fldChar w:fldCharType="begin"/>
            </w:r>
            <w:r w:rsidR="006F0CA3">
              <w:rPr>
                <w:webHidden/>
              </w:rPr>
              <w:instrText xml:space="preserve"> PAGEREF _Toc37845694 \h </w:instrText>
            </w:r>
            <w:r w:rsidR="006F0CA3">
              <w:rPr>
                <w:webHidden/>
              </w:rPr>
            </w:r>
            <w:r w:rsidR="006F0CA3">
              <w:rPr>
                <w:webHidden/>
              </w:rPr>
              <w:fldChar w:fldCharType="separate"/>
            </w:r>
            <w:r w:rsidR="00EA5DC1">
              <w:rPr>
                <w:webHidden/>
              </w:rPr>
              <w:t>2</w:t>
            </w:r>
            <w:r w:rsidR="006F0CA3">
              <w:rPr>
                <w:webHidden/>
              </w:rPr>
              <w:fldChar w:fldCharType="end"/>
            </w:r>
          </w:hyperlink>
        </w:p>
        <w:p w14:paraId="51C2D120" w14:textId="73224C72" w:rsidR="006F0CA3" w:rsidRDefault="00515153">
          <w:pPr>
            <w:pStyle w:val="TOC3"/>
            <w:rPr>
              <w:rFonts w:asciiTheme="minorHAnsi" w:eastAsiaTheme="minorEastAsia" w:hAnsiTheme="minorHAnsi" w:cstheme="minorBidi"/>
            </w:rPr>
          </w:pPr>
          <w:hyperlink w:anchor="_Toc37845695" w:history="1">
            <w:r w:rsidR="006F0CA3" w:rsidRPr="00473300">
              <w:rPr>
                <w:rStyle w:val="Hyperlink"/>
                <w:b/>
                <w:smallCaps/>
              </w:rPr>
              <w:t>Proposal for Public Funding</w:t>
            </w:r>
            <w:r w:rsidR="006F0CA3">
              <w:rPr>
                <w:webHidden/>
              </w:rPr>
              <w:tab/>
            </w:r>
            <w:r w:rsidR="006F0CA3">
              <w:rPr>
                <w:webHidden/>
              </w:rPr>
              <w:fldChar w:fldCharType="begin"/>
            </w:r>
            <w:r w:rsidR="006F0CA3">
              <w:rPr>
                <w:webHidden/>
              </w:rPr>
              <w:instrText xml:space="preserve"> PAGEREF _Toc37845695 \h </w:instrText>
            </w:r>
            <w:r w:rsidR="006F0CA3">
              <w:rPr>
                <w:webHidden/>
              </w:rPr>
            </w:r>
            <w:r w:rsidR="006F0CA3">
              <w:rPr>
                <w:webHidden/>
              </w:rPr>
              <w:fldChar w:fldCharType="separate"/>
            </w:r>
            <w:r w:rsidR="00EA5DC1">
              <w:rPr>
                <w:webHidden/>
              </w:rPr>
              <w:t>2</w:t>
            </w:r>
            <w:r w:rsidR="006F0CA3">
              <w:rPr>
                <w:webHidden/>
              </w:rPr>
              <w:fldChar w:fldCharType="end"/>
            </w:r>
          </w:hyperlink>
        </w:p>
        <w:p w14:paraId="39DD8E45" w14:textId="55AA69A1" w:rsidR="006F0CA3" w:rsidRDefault="00515153">
          <w:pPr>
            <w:pStyle w:val="TOC3"/>
            <w:rPr>
              <w:rFonts w:asciiTheme="minorHAnsi" w:eastAsiaTheme="minorEastAsia" w:hAnsiTheme="minorHAnsi" w:cstheme="minorBidi"/>
            </w:rPr>
          </w:pPr>
          <w:hyperlink w:anchor="_Toc37845696" w:history="1">
            <w:r w:rsidR="006F0CA3" w:rsidRPr="00473300">
              <w:rPr>
                <w:rStyle w:val="Hyperlink"/>
                <w:b/>
                <w:smallCaps/>
              </w:rPr>
              <w:t>Population</w:t>
            </w:r>
            <w:r w:rsidR="006F0CA3">
              <w:rPr>
                <w:webHidden/>
              </w:rPr>
              <w:tab/>
            </w:r>
            <w:r w:rsidR="006F0CA3">
              <w:rPr>
                <w:webHidden/>
              </w:rPr>
              <w:fldChar w:fldCharType="begin"/>
            </w:r>
            <w:r w:rsidR="006F0CA3">
              <w:rPr>
                <w:webHidden/>
              </w:rPr>
              <w:instrText xml:space="preserve"> PAGEREF _Toc37845696 \h </w:instrText>
            </w:r>
            <w:r w:rsidR="006F0CA3">
              <w:rPr>
                <w:webHidden/>
              </w:rPr>
            </w:r>
            <w:r w:rsidR="006F0CA3">
              <w:rPr>
                <w:webHidden/>
              </w:rPr>
              <w:fldChar w:fldCharType="separate"/>
            </w:r>
            <w:r w:rsidR="00EA5DC1">
              <w:rPr>
                <w:webHidden/>
              </w:rPr>
              <w:t>2</w:t>
            </w:r>
            <w:r w:rsidR="006F0CA3">
              <w:rPr>
                <w:webHidden/>
              </w:rPr>
              <w:fldChar w:fldCharType="end"/>
            </w:r>
          </w:hyperlink>
        </w:p>
        <w:p w14:paraId="03A7B826" w14:textId="61C41F58" w:rsidR="006F0CA3" w:rsidRDefault="00515153">
          <w:pPr>
            <w:pStyle w:val="TOC3"/>
            <w:rPr>
              <w:rFonts w:asciiTheme="minorHAnsi" w:eastAsiaTheme="minorEastAsia" w:hAnsiTheme="minorHAnsi" w:cstheme="minorBidi"/>
            </w:rPr>
          </w:pPr>
          <w:hyperlink w:anchor="_Toc37845697" w:history="1">
            <w:r w:rsidR="006F0CA3" w:rsidRPr="00473300">
              <w:rPr>
                <w:rStyle w:val="Hyperlink"/>
                <w:b/>
                <w:smallCaps/>
              </w:rPr>
              <w:t>Comparator Details</w:t>
            </w:r>
            <w:r w:rsidR="006F0CA3">
              <w:rPr>
                <w:webHidden/>
              </w:rPr>
              <w:tab/>
            </w:r>
            <w:r w:rsidR="006F0CA3">
              <w:rPr>
                <w:webHidden/>
              </w:rPr>
              <w:fldChar w:fldCharType="begin"/>
            </w:r>
            <w:r w:rsidR="006F0CA3">
              <w:rPr>
                <w:webHidden/>
              </w:rPr>
              <w:instrText xml:space="preserve"> PAGEREF _Toc37845697 \h </w:instrText>
            </w:r>
            <w:r w:rsidR="006F0CA3">
              <w:rPr>
                <w:webHidden/>
              </w:rPr>
            </w:r>
            <w:r w:rsidR="006F0CA3">
              <w:rPr>
                <w:webHidden/>
              </w:rPr>
              <w:fldChar w:fldCharType="separate"/>
            </w:r>
            <w:r w:rsidR="00EA5DC1">
              <w:rPr>
                <w:webHidden/>
              </w:rPr>
              <w:t>3</w:t>
            </w:r>
            <w:r w:rsidR="006F0CA3">
              <w:rPr>
                <w:webHidden/>
              </w:rPr>
              <w:fldChar w:fldCharType="end"/>
            </w:r>
          </w:hyperlink>
        </w:p>
        <w:p w14:paraId="54503D6E" w14:textId="0320ACFC" w:rsidR="006F0CA3" w:rsidRDefault="00515153">
          <w:pPr>
            <w:pStyle w:val="TOC3"/>
            <w:rPr>
              <w:rFonts w:asciiTheme="minorHAnsi" w:eastAsiaTheme="minorEastAsia" w:hAnsiTheme="minorHAnsi" w:cstheme="minorBidi"/>
            </w:rPr>
          </w:pPr>
          <w:hyperlink w:anchor="_Toc37845698" w:history="1">
            <w:r w:rsidR="006F0CA3" w:rsidRPr="00473300">
              <w:rPr>
                <w:rStyle w:val="Hyperlink"/>
                <w:b/>
                <w:smallCaps/>
              </w:rPr>
              <w:t>Clinical management algorithm(s)</w:t>
            </w:r>
            <w:r w:rsidR="006F0CA3">
              <w:rPr>
                <w:webHidden/>
              </w:rPr>
              <w:tab/>
            </w:r>
            <w:r w:rsidR="006F0CA3">
              <w:rPr>
                <w:webHidden/>
              </w:rPr>
              <w:fldChar w:fldCharType="begin"/>
            </w:r>
            <w:r w:rsidR="006F0CA3">
              <w:rPr>
                <w:webHidden/>
              </w:rPr>
              <w:instrText xml:space="preserve"> PAGEREF _Toc37845698 \h </w:instrText>
            </w:r>
            <w:r w:rsidR="006F0CA3">
              <w:rPr>
                <w:webHidden/>
              </w:rPr>
            </w:r>
            <w:r w:rsidR="006F0CA3">
              <w:rPr>
                <w:webHidden/>
              </w:rPr>
              <w:fldChar w:fldCharType="separate"/>
            </w:r>
            <w:r w:rsidR="00EA5DC1">
              <w:rPr>
                <w:webHidden/>
              </w:rPr>
              <w:t>3</w:t>
            </w:r>
            <w:r w:rsidR="006F0CA3">
              <w:rPr>
                <w:webHidden/>
              </w:rPr>
              <w:fldChar w:fldCharType="end"/>
            </w:r>
          </w:hyperlink>
        </w:p>
        <w:p w14:paraId="25518492" w14:textId="5EE43F0E" w:rsidR="006F0CA3" w:rsidRDefault="00515153">
          <w:pPr>
            <w:pStyle w:val="TOC3"/>
            <w:rPr>
              <w:rFonts w:asciiTheme="minorHAnsi" w:eastAsiaTheme="minorEastAsia" w:hAnsiTheme="minorHAnsi" w:cstheme="minorBidi"/>
            </w:rPr>
          </w:pPr>
          <w:hyperlink w:anchor="_Toc37845699" w:history="1">
            <w:r w:rsidR="006F0CA3" w:rsidRPr="00473300">
              <w:rPr>
                <w:rStyle w:val="Hyperlink"/>
                <w:b/>
                <w:smallCaps/>
              </w:rPr>
              <w:t>Key Differences in the Delivery of the Proposed Medical Service and the Main Comparator</w:t>
            </w:r>
            <w:r w:rsidR="006F0CA3">
              <w:rPr>
                <w:webHidden/>
              </w:rPr>
              <w:tab/>
            </w:r>
            <w:r w:rsidR="006F0CA3">
              <w:rPr>
                <w:webHidden/>
              </w:rPr>
              <w:fldChar w:fldCharType="begin"/>
            </w:r>
            <w:r w:rsidR="006F0CA3">
              <w:rPr>
                <w:webHidden/>
              </w:rPr>
              <w:instrText xml:space="preserve"> PAGEREF _Toc37845699 \h </w:instrText>
            </w:r>
            <w:r w:rsidR="006F0CA3">
              <w:rPr>
                <w:webHidden/>
              </w:rPr>
            </w:r>
            <w:r w:rsidR="006F0CA3">
              <w:rPr>
                <w:webHidden/>
              </w:rPr>
              <w:fldChar w:fldCharType="separate"/>
            </w:r>
            <w:r w:rsidR="00EA5DC1">
              <w:rPr>
                <w:webHidden/>
              </w:rPr>
              <w:t>3</w:t>
            </w:r>
            <w:r w:rsidR="006F0CA3">
              <w:rPr>
                <w:webHidden/>
              </w:rPr>
              <w:fldChar w:fldCharType="end"/>
            </w:r>
          </w:hyperlink>
        </w:p>
        <w:p w14:paraId="4357A630" w14:textId="2E312087" w:rsidR="006F0CA3" w:rsidRDefault="00515153">
          <w:pPr>
            <w:pStyle w:val="TOC3"/>
            <w:rPr>
              <w:rFonts w:asciiTheme="minorHAnsi" w:eastAsiaTheme="minorEastAsia" w:hAnsiTheme="minorHAnsi" w:cstheme="minorBidi"/>
            </w:rPr>
          </w:pPr>
          <w:hyperlink w:anchor="_Toc37845700" w:history="1">
            <w:r w:rsidR="006F0CA3" w:rsidRPr="00473300">
              <w:rPr>
                <w:rStyle w:val="Hyperlink"/>
              </w:rPr>
              <w:t>Clinical Claim</w:t>
            </w:r>
            <w:r w:rsidR="006F0CA3">
              <w:rPr>
                <w:webHidden/>
              </w:rPr>
              <w:tab/>
            </w:r>
            <w:r w:rsidR="006F0CA3">
              <w:rPr>
                <w:webHidden/>
              </w:rPr>
              <w:fldChar w:fldCharType="begin"/>
            </w:r>
            <w:r w:rsidR="006F0CA3">
              <w:rPr>
                <w:webHidden/>
              </w:rPr>
              <w:instrText xml:space="preserve"> PAGEREF _Toc37845700 \h </w:instrText>
            </w:r>
            <w:r w:rsidR="006F0CA3">
              <w:rPr>
                <w:webHidden/>
              </w:rPr>
            </w:r>
            <w:r w:rsidR="006F0CA3">
              <w:rPr>
                <w:webHidden/>
              </w:rPr>
              <w:fldChar w:fldCharType="separate"/>
            </w:r>
            <w:r w:rsidR="00EA5DC1">
              <w:rPr>
                <w:webHidden/>
              </w:rPr>
              <w:t>4</w:t>
            </w:r>
            <w:r w:rsidR="006F0CA3">
              <w:rPr>
                <w:webHidden/>
              </w:rPr>
              <w:fldChar w:fldCharType="end"/>
            </w:r>
          </w:hyperlink>
        </w:p>
        <w:p w14:paraId="148F4E6A" w14:textId="459433D9" w:rsidR="006F0CA3" w:rsidRDefault="00515153">
          <w:pPr>
            <w:pStyle w:val="TOC3"/>
            <w:rPr>
              <w:rFonts w:asciiTheme="minorHAnsi" w:eastAsiaTheme="minorEastAsia" w:hAnsiTheme="minorHAnsi" w:cstheme="minorBidi"/>
            </w:rPr>
          </w:pPr>
          <w:hyperlink w:anchor="_Toc37845701" w:history="1">
            <w:r w:rsidR="006F0CA3" w:rsidRPr="00473300">
              <w:rPr>
                <w:rStyle w:val="Hyperlink"/>
              </w:rPr>
              <w:t>Approach Taken to the Evidence Assessment</w:t>
            </w:r>
            <w:r w:rsidR="006F0CA3">
              <w:rPr>
                <w:webHidden/>
              </w:rPr>
              <w:tab/>
            </w:r>
            <w:r w:rsidR="006F0CA3">
              <w:rPr>
                <w:webHidden/>
              </w:rPr>
              <w:fldChar w:fldCharType="begin"/>
            </w:r>
            <w:r w:rsidR="006F0CA3">
              <w:rPr>
                <w:webHidden/>
              </w:rPr>
              <w:instrText xml:space="preserve"> PAGEREF _Toc37845701 \h </w:instrText>
            </w:r>
            <w:r w:rsidR="006F0CA3">
              <w:rPr>
                <w:webHidden/>
              </w:rPr>
            </w:r>
            <w:r w:rsidR="006F0CA3">
              <w:rPr>
                <w:webHidden/>
              </w:rPr>
              <w:fldChar w:fldCharType="separate"/>
            </w:r>
            <w:r w:rsidR="00EA5DC1">
              <w:rPr>
                <w:webHidden/>
              </w:rPr>
              <w:t>4</w:t>
            </w:r>
            <w:r w:rsidR="006F0CA3">
              <w:rPr>
                <w:webHidden/>
              </w:rPr>
              <w:fldChar w:fldCharType="end"/>
            </w:r>
          </w:hyperlink>
        </w:p>
        <w:p w14:paraId="58BFFD37" w14:textId="4C76A1BA" w:rsidR="006F0CA3" w:rsidRDefault="00515153">
          <w:pPr>
            <w:pStyle w:val="TOC3"/>
            <w:rPr>
              <w:rFonts w:asciiTheme="minorHAnsi" w:eastAsiaTheme="minorEastAsia" w:hAnsiTheme="minorHAnsi" w:cstheme="minorBidi"/>
            </w:rPr>
          </w:pPr>
          <w:hyperlink w:anchor="_Toc37845702" w:history="1">
            <w:r w:rsidR="006F0CA3" w:rsidRPr="00473300">
              <w:rPr>
                <w:rStyle w:val="Hyperlink"/>
              </w:rPr>
              <w:t>Characteristics of the Evidence Base</w:t>
            </w:r>
            <w:r w:rsidR="006F0CA3">
              <w:rPr>
                <w:webHidden/>
              </w:rPr>
              <w:tab/>
            </w:r>
            <w:r w:rsidR="006F0CA3">
              <w:rPr>
                <w:webHidden/>
              </w:rPr>
              <w:fldChar w:fldCharType="begin"/>
            </w:r>
            <w:r w:rsidR="006F0CA3">
              <w:rPr>
                <w:webHidden/>
              </w:rPr>
              <w:instrText xml:space="preserve"> PAGEREF _Toc37845702 \h </w:instrText>
            </w:r>
            <w:r w:rsidR="006F0CA3">
              <w:rPr>
                <w:webHidden/>
              </w:rPr>
            </w:r>
            <w:r w:rsidR="006F0CA3">
              <w:rPr>
                <w:webHidden/>
              </w:rPr>
              <w:fldChar w:fldCharType="separate"/>
            </w:r>
            <w:r w:rsidR="00EA5DC1">
              <w:rPr>
                <w:webHidden/>
              </w:rPr>
              <w:t>5</w:t>
            </w:r>
            <w:r w:rsidR="006F0CA3">
              <w:rPr>
                <w:webHidden/>
              </w:rPr>
              <w:fldChar w:fldCharType="end"/>
            </w:r>
          </w:hyperlink>
        </w:p>
        <w:p w14:paraId="58621679" w14:textId="43A9916F" w:rsidR="006F0CA3" w:rsidRDefault="00515153">
          <w:pPr>
            <w:pStyle w:val="TOC3"/>
            <w:rPr>
              <w:rFonts w:asciiTheme="minorHAnsi" w:eastAsiaTheme="minorEastAsia" w:hAnsiTheme="minorHAnsi" w:cstheme="minorBidi"/>
            </w:rPr>
          </w:pPr>
          <w:hyperlink w:anchor="_Toc37845703" w:history="1">
            <w:r w:rsidR="006F0CA3" w:rsidRPr="00473300">
              <w:rPr>
                <w:rStyle w:val="Hyperlink"/>
              </w:rPr>
              <w:t>Results</w:t>
            </w:r>
            <w:r w:rsidR="006F0CA3">
              <w:rPr>
                <w:webHidden/>
              </w:rPr>
              <w:tab/>
            </w:r>
            <w:r w:rsidR="006F0CA3">
              <w:rPr>
                <w:webHidden/>
              </w:rPr>
              <w:fldChar w:fldCharType="begin"/>
            </w:r>
            <w:r w:rsidR="006F0CA3">
              <w:rPr>
                <w:webHidden/>
              </w:rPr>
              <w:instrText xml:space="preserve"> PAGEREF _Toc37845703 \h </w:instrText>
            </w:r>
            <w:r w:rsidR="006F0CA3">
              <w:rPr>
                <w:webHidden/>
              </w:rPr>
            </w:r>
            <w:r w:rsidR="006F0CA3">
              <w:rPr>
                <w:webHidden/>
              </w:rPr>
              <w:fldChar w:fldCharType="separate"/>
            </w:r>
            <w:r w:rsidR="00EA5DC1">
              <w:rPr>
                <w:webHidden/>
              </w:rPr>
              <w:t>5</w:t>
            </w:r>
            <w:r w:rsidR="006F0CA3">
              <w:rPr>
                <w:webHidden/>
              </w:rPr>
              <w:fldChar w:fldCharType="end"/>
            </w:r>
          </w:hyperlink>
        </w:p>
        <w:p w14:paraId="46050496" w14:textId="54D3FCC1" w:rsidR="006F0CA3" w:rsidRDefault="00515153">
          <w:pPr>
            <w:pStyle w:val="TOC3"/>
            <w:rPr>
              <w:rFonts w:asciiTheme="minorHAnsi" w:eastAsiaTheme="minorEastAsia" w:hAnsiTheme="minorHAnsi" w:cstheme="minorBidi"/>
            </w:rPr>
          </w:pPr>
          <w:hyperlink w:anchor="_Toc37845704" w:history="1">
            <w:r w:rsidR="006F0CA3" w:rsidRPr="00473300">
              <w:rPr>
                <w:rStyle w:val="Hyperlink"/>
              </w:rPr>
              <w:t>Translation Issues</w:t>
            </w:r>
            <w:r w:rsidR="006F0CA3">
              <w:rPr>
                <w:webHidden/>
              </w:rPr>
              <w:tab/>
            </w:r>
            <w:r w:rsidR="006F0CA3">
              <w:rPr>
                <w:webHidden/>
              </w:rPr>
              <w:fldChar w:fldCharType="begin"/>
            </w:r>
            <w:r w:rsidR="006F0CA3">
              <w:rPr>
                <w:webHidden/>
              </w:rPr>
              <w:instrText xml:space="preserve"> PAGEREF _Toc37845704 \h </w:instrText>
            </w:r>
            <w:r w:rsidR="006F0CA3">
              <w:rPr>
                <w:webHidden/>
              </w:rPr>
            </w:r>
            <w:r w:rsidR="006F0CA3">
              <w:rPr>
                <w:webHidden/>
              </w:rPr>
              <w:fldChar w:fldCharType="separate"/>
            </w:r>
            <w:r w:rsidR="00EA5DC1">
              <w:rPr>
                <w:webHidden/>
              </w:rPr>
              <w:t>6</w:t>
            </w:r>
            <w:r w:rsidR="006F0CA3">
              <w:rPr>
                <w:webHidden/>
              </w:rPr>
              <w:fldChar w:fldCharType="end"/>
            </w:r>
          </w:hyperlink>
        </w:p>
        <w:p w14:paraId="498DC628" w14:textId="50126188" w:rsidR="006F0CA3" w:rsidRDefault="00515153">
          <w:pPr>
            <w:pStyle w:val="TOC3"/>
            <w:rPr>
              <w:rFonts w:asciiTheme="minorHAnsi" w:eastAsiaTheme="minorEastAsia" w:hAnsiTheme="minorHAnsi" w:cstheme="minorBidi"/>
            </w:rPr>
          </w:pPr>
          <w:hyperlink w:anchor="_Toc37845705" w:history="1">
            <w:r w:rsidR="006F0CA3" w:rsidRPr="00473300">
              <w:rPr>
                <w:rStyle w:val="Hyperlink"/>
              </w:rPr>
              <w:t>Economic Evaluation</w:t>
            </w:r>
            <w:r w:rsidR="006F0CA3">
              <w:rPr>
                <w:webHidden/>
              </w:rPr>
              <w:tab/>
            </w:r>
            <w:r w:rsidR="006F0CA3">
              <w:rPr>
                <w:webHidden/>
              </w:rPr>
              <w:fldChar w:fldCharType="begin"/>
            </w:r>
            <w:r w:rsidR="006F0CA3">
              <w:rPr>
                <w:webHidden/>
              </w:rPr>
              <w:instrText xml:space="preserve"> PAGEREF _Toc37845705 \h </w:instrText>
            </w:r>
            <w:r w:rsidR="006F0CA3">
              <w:rPr>
                <w:webHidden/>
              </w:rPr>
            </w:r>
            <w:r w:rsidR="006F0CA3">
              <w:rPr>
                <w:webHidden/>
              </w:rPr>
              <w:fldChar w:fldCharType="separate"/>
            </w:r>
            <w:r w:rsidR="00EA5DC1">
              <w:rPr>
                <w:webHidden/>
              </w:rPr>
              <w:t>8</w:t>
            </w:r>
            <w:r w:rsidR="006F0CA3">
              <w:rPr>
                <w:webHidden/>
              </w:rPr>
              <w:fldChar w:fldCharType="end"/>
            </w:r>
          </w:hyperlink>
        </w:p>
        <w:p w14:paraId="5EF7DA4D" w14:textId="33BC5D25" w:rsidR="006F0CA3" w:rsidRDefault="00515153">
          <w:pPr>
            <w:pStyle w:val="TOC3"/>
            <w:rPr>
              <w:rFonts w:asciiTheme="minorHAnsi" w:eastAsiaTheme="minorEastAsia" w:hAnsiTheme="minorHAnsi" w:cstheme="minorBidi"/>
            </w:rPr>
          </w:pPr>
          <w:hyperlink w:anchor="_Toc37845706" w:history="1">
            <w:r w:rsidR="006F0CA3" w:rsidRPr="00473300">
              <w:rPr>
                <w:rStyle w:val="Hyperlink"/>
              </w:rPr>
              <w:t>Estimated Extent of Use and Financial Implications</w:t>
            </w:r>
            <w:r w:rsidR="006F0CA3">
              <w:rPr>
                <w:webHidden/>
              </w:rPr>
              <w:tab/>
            </w:r>
            <w:r w:rsidR="006F0CA3">
              <w:rPr>
                <w:webHidden/>
              </w:rPr>
              <w:fldChar w:fldCharType="begin"/>
            </w:r>
            <w:r w:rsidR="006F0CA3">
              <w:rPr>
                <w:webHidden/>
              </w:rPr>
              <w:instrText xml:space="preserve"> PAGEREF _Toc37845706 \h </w:instrText>
            </w:r>
            <w:r w:rsidR="006F0CA3">
              <w:rPr>
                <w:webHidden/>
              </w:rPr>
            </w:r>
            <w:r w:rsidR="006F0CA3">
              <w:rPr>
                <w:webHidden/>
              </w:rPr>
              <w:fldChar w:fldCharType="separate"/>
            </w:r>
            <w:r w:rsidR="00EA5DC1">
              <w:rPr>
                <w:webHidden/>
              </w:rPr>
              <w:t>12</w:t>
            </w:r>
            <w:r w:rsidR="006F0CA3">
              <w:rPr>
                <w:webHidden/>
              </w:rPr>
              <w:fldChar w:fldCharType="end"/>
            </w:r>
          </w:hyperlink>
        </w:p>
        <w:p w14:paraId="657E99C8" w14:textId="3F214884" w:rsidR="006F0CA3" w:rsidRDefault="00515153">
          <w:pPr>
            <w:pStyle w:val="TOC3"/>
            <w:rPr>
              <w:rFonts w:asciiTheme="minorHAnsi" w:eastAsiaTheme="minorEastAsia" w:hAnsiTheme="minorHAnsi" w:cstheme="minorBidi"/>
            </w:rPr>
          </w:pPr>
          <w:hyperlink w:anchor="_Toc37845707" w:history="1">
            <w:r w:rsidR="006F0CA3" w:rsidRPr="00473300">
              <w:rPr>
                <w:rStyle w:val="Hyperlink"/>
              </w:rPr>
              <w:t>Consumer impact summary</w:t>
            </w:r>
            <w:r w:rsidR="006F0CA3">
              <w:rPr>
                <w:webHidden/>
              </w:rPr>
              <w:tab/>
            </w:r>
            <w:r w:rsidR="006F0CA3">
              <w:rPr>
                <w:webHidden/>
              </w:rPr>
              <w:fldChar w:fldCharType="begin"/>
            </w:r>
            <w:r w:rsidR="006F0CA3">
              <w:rPr>
                <w:webHidden/>
              </w:rPr>
              <w:instrText xml:space="preserve"> PAGEREF _Toc37845707 \h </w:instrText>
            </w:r>
            <w:r w:rsidR="006F0CA3">
              <w:rPr>
                <w:webHidden/>
              </w:rPr>
            </w:r>
            <w:r w:rsidR="006F0CA3">
              <w:rPr>
                <w:webHidden/>
              </w:rPr>
              <w:fldChar w:fldCharType="separate"/>
            </w:r>
            <w:r w:rsidR="00EA5DC1">
              <w:rPr>
                <w:webHidden/>
              </w:rPr>
              <w:t>13</w:t>
            </w:r>
            <w:r w:rsidR="006F0CA3">
              <w:rPr>
                <w:webHidden/>
              </w:rPr>
              <w:fldChar w:fldCharType="end"/>
            </w:r>
          </w:hyperlink>
        </w:p>
        <w:p w14:paraId="44DE7761" w14:textId="2AAAF19B" w:rsidR="006F0CA3" w:rsidRDefault="00515153">
          <w:pPr>
            <w:pStyle w:val="TOC1"/>
            <w:rPr>
              <w:rFonts w:asciiTheme="minorHAnsi" w:eastAsiaTheme="minorEastAsia" w:hAnsiTheme="minorHAnsi" w:cstheme="minorBidi"/>
              <w:b w:val="0"/>
            </w:rPr>
          </w:pPr>
          <w:hyperlink w:anchor="_Toc37845708" w:history="1">
            <w:r w:rsidR="006F0CA3" w:rsidRPr="00473300">
              <w:rPr>
                <w:rStyle w:val="Hyperlink"/>
              </w:rPr>
              <w:t>Acronyms and Abbreviations</w:t>
            </w:r>
            <w:r w:rsidR="006F0CA3">
              <w:rPr>
                <w:webHidden/>
              </w:rPr>
              <w:tab/>
            </w:r>
            <w:r w:rsidR="006F0CA3">
              <w:rPr>
                <w:webHidden/>
              </w:rPr>
              <w:fldChar w:fldCharType="begin"/>
            </w:r>
            <w:r w:rsidR="006F0CA3">
              <w:rPr>
                <w:webHidden/>
              </w:rPr>
              <w:instrText xml:space="preserve"> PAGEREF _Toc37845708 \h </w:instrText>
            </w:r>
            <w:r w:rsidR="006F0CA3">
              <w:rPr>
                <w:webHidden/>
              </w:rPr>
            </w:r>
            <w:r w:rsidR="006F0CA3">
              <w:rPr>
                <w:webHidden/>
              </w:rPr>
              <w:fldChar w:fldCharType="separate"/>
            </w:r>
            <w:r w:rsidR="00EA5DC1">
              <w:rPr>
                <w:webHidden/>
              </w:rPr>
              <w:t>15</w:t>
            </w:r>
            <w:r w:rsidR="006F0CA3">
              <w:rPr>
                <w:webHidden/>
              </w:rPr>
              <w:fldChar w:fldCharType="end"/>
            </w:r>
          </w:hyperlink>
        </w:p>
        <w:p w14:paraId="2596A965" w14:textId="556C7EEC" w:rsidR="006F0CA3" w:rsidRDefault="00515153">
          <w:pPr>
            <w:pStyle w:val="TOC1"/>
            <w:rPr>
              <w:rFonts w:asciiTheme="minorHAnsi" w:eastAsiaTheme="minorEastAsia" w:hAnsiTheme="minorHAnsi" w:cstheme="minorBidi"/>
              <w:b w:val="0"/>
            </w:rPr>
          </w:pPr>
          <w:hyperlink w:anchor="_Toc37845709" w:history="1">
            <w:r w:rsidR="006F0CA3" w:rsidRPr="00473300">
              <w:rPr>
                <w:rStyle w:val="Hyperlink"/>
              </w:rPr>
              <w:t>Section A</w:t>
            </w:r>
            <w:r w:rsidR="006F0CA3">
              <w:rPr>
                <w:rFonts w:asciiTheme="minorHAnsi" w:eastAsiaTheme="minorEastAsia" w:hAnsiTheme="minorHAnsi" w:cstheme="minorBidi"/>
                <w:b w:val="0"/>
              </w:rPr>
              <w:tab/>
            </w:r>
            <w:r w:rsidR="006F0CA3" w:rsidRPr="00473300">
              <w:rPr>
                <w:rStyle w:val="Hyperlink"/>
              </w:rPr>
              <w:t>Context</w:t>
            </w:r>
            <w:r w:rsidR="006F0CA3">
              <w:rPr>
                <w:webHidden/>
              </w:rPr>
              <w:tab/>
            </w:r>
            <w:r w:rsidR="006F0CA3">
              <w:rPr>
                <w:webHidden/>
              </w:rPr>
              <w:fldChar w:fldCharType="begin"/>
            </w:r>
            <w:r w:rsidR="006F0CA3">
              <w:rPr>
                <w:webHidden/>
              </w:rPr>
              <w:instrText xml:space="preserve"> PAGEREF _Toc37845709 \h </w:instrText>
            </w:r>
            <w:r w:rsidR="006F0CA3">
              <w:rPr>
                <w:webHidden/>
              </w:rPr>
            </w:r>
            <w:r w:rsidR="006F0CA3">
              <w:rPr>
                <w:webHidden/>
              </w:rPr>
              <w:fldChar w:fldCharType="separate"/>
            </w:r>
            <w:r w:rsidR="00EA5DC1">
              <w:rPr>
                <w:webHidden/>
              </w:rPr>
              <w:t>17</w:t>
            </w:r>
            <w:r w:rsidR="006F0CA3">
              <w:rPr>
                <w:webHidden/>
              </w:rPr>
              <w:fldChar w:fldCharType="end"/>
            </w:r>
          </w:hyperlink>
        </w:p>
        <w:p w14:paraId="1FED4369" w14:textId="55109384" w:rsidR="006F0CA3" w:rsidRDefault="00515153">
          <w:pPr>
            <w:pStyle w:val="TOC2"/>
            <w:tabs>
              <w:tab w:val="left" w:pos="1540"/>
            </w:tabs>
            <w:rPr>
              <w:rFonts w:asciiTheme="minorHAnsi" w:eastAsiaTheme="minorEastAsia" w:hAnsiTheme="minorHAnsi" w:cstheme="minorBidi"/>
            </w:rPr>
          </w:pPr>
          <w:hyperlink w:anchor="_Toc37845710" w:history="1">
            <w:r w:rsidR="006F0CA3" w:rsidRPr="00473300">
              <w:rPr>
                <w:rStyle w:val="Hyperlink"/>
              </w:rPr>
              <w:t>A.1.</w:t>
            </w:r>
            <w:r w:rsidR="006F0CA3">
              <w:rPr>
                <w:rFonts w:asciiTheme="minorHAnsi" w:eastAsiaTheme="minorEastAsia" w:hAnsiTheme="minorHAnsi" w:cstheme="minorBidi"/>
              </w:rPr>
              <w:tab/>
            </w:r>
            <w:r w:rsidR="006F0CA3" w:rsidRPr="00473300">
              <w:rPr>
                <w:rStyle w:val="Hyperlink"/>
              </w:rPr>
              <w:t>Items in the agreed PICO Confirmation</w:t>
            </w:r>
            <w:r w:rsidR="006F0CA3">
              <w:rPr>
                <w:webHidden/>
              </w:rPr>
              <w:tab/>
            </w:r>
            <w:r w:rsidR="006F0CA3">
              <w:rPr>
                <w:webHidden/>
              </w:rPr>
              <w:fldChar w:fldCharType="begin"/>
            </w:r>
            <w:r w:rsidR="006F0CA3">
              <w:rPr>
                <w:webHidden/>
              </w:rPr>
              <w:instrText xml:space="preserve"> PAGEREF _Toc37845710 \h </w:instrText>
            </w:r>
            <w:r w:rsidR="006F0CA3">
              <w:rPr>
                <w:webHidden/>
              </w:rPr>
            </w:r>
            <w:r w:rsidR="006F0CA3">
              <w:rPr>
                <w:webHidden/>
              </w:rPr>
              <w:fldChar w:fldCharType="separate"/>
            </w:r>
            <w:r w:rsidR="00EA5DC1">
              <w:rPr>
                <w:webHidden/>
              </w:rPr>
              <w:t>18</w:t>
            </w:r>
            <w:r w:rsidR="006F0CA3">
              <w:rPr>
                <w:webHidden/>
              </w:rPr>
              <w:fldChar w:fldCharType="end"/>
            </w:r>
          </w:hyperlink>
        </w:p>
        <w:p w14:paraId="6C3FE411" w14:textId="0347D079" w:rsidR="006F0CA3" w:rsidRDefault="00515153">
          <w:pPr>
            <w:pStyle w:val="TOC2"/>
            <w:tabs>
              <w:tab w:val="left" w:pos="1540"/>
            </w:tabs>
            <w:rPr>
              <w:rFonts w:asciiTheme="minorHAnsi" w:eastAsiaTheme="minorEastAsia" w:hAnsiTheme="minorHAnsi" w:cstheme="minorBidi"/>
            </w:rPr>
          </w:pPr>
          <w:hyperlink w:anchor="_Toc37845711" w:history="1">
            <w:r w:rsidR="006F0CA3" w:rsidRPr="00473300">
              <w:rPr>
                <w:rStyle w:val="Hyperlink"/>
              </w:rPr>
              <w:t>A.2.</w:t>
            </w:r>
            <w:r w:rsidR="006F0CA3">
              <w:rPr>
                <w:rFonts w:asciiTheme="minorHAnsi" w:eastAsiaTheme="minorEastAsia" w:hAnsiTheme="minorHAnsi" w:cstheme="minorBidi"/>
              </w:rPr>
              <w:tab/>
            </w:r>
            <w:r w:rsidR="006F0CA3" w:rsidRPr="00473300">
              <w:rPr>
                <w:rStyle w:val="Hyperlink"/>
              </w:rPr>
              <w:t>Medical Service reviewed</w:t>
            </w:r>
            <w:r w:rsidR="006F0CA3">
              <w:rPr>
                <w:webHidden/>
              </w:rPr>
              <w:tab/>
            </w:r>
            <w:r w:rsidR="006F0CA3">
              <w:rPr>
                <w:webHidden/>
              </w:rPr>
              <w:fldChar w:fldCharType="begin"/>
            </w:r>
            <w:r w:rsidR="006F0CA3">
              <w:rPr>
                <w:webHidden/>
              </w:rPr>
              <w:instrText xml:space="preserve"> PAGEREF _Toc37845711 \h </w:instrText>
            </w:r>
            <w:r w:rsidR="006F0CA3">
              <w:rPr>
                <w:webHidden/>
              </w:rPr>
            </w:r>
            <w:r w:rsidR="006F0CA3">
              <w:rPr>
                <w:webHidden/>
              </w:rPr>
              <w:fldChar w:fldCharType="separate"/>
            </w:r>
            <w:r w:rsidR="00EA5DC1">
              <w:rPr>
                <w:webHidden/>
              </w:rPr>
              <w:t>18</w:t>
            </w:r>
            <w:r w:rsidR="006F0CA3">
              <w:rPr>
                <w:webHidden/>
              </w:rPr>
              <w:fldChar w:fldCharType="end"/>
            </w:r>
          </w:hyperlink>
        </w:p>
        <w:p w14:paraId="6A1D409B" w14:textId="4E7FC06A" w:rsidR="006F0CA3" w:rsidRDefault="00515153">
          <w:pPr>
            <w:pStyle w:val="TOC3"/>
            <w:rPr>
              <w:rFonts w:asciiTheme="minorHAnsi" w:eastAsiaTheme="minorEastAsia" w:hAnsiTheme="minorHAnsi" w:cstheme="minorBidi"/>
            </w:rPr>
          </w:pPr>
          <w:hyperlink w:anchor="_Toc37845712" w:history="1">
            <w:r w:rsidR="006F0CA3" w:rsidRPr="00473300">
              <w:rPr>
                <w:rStyle w:val="Hyperlink"/>
                <w:rFonts w:eastAsia="MS Gothic"/>
                <w:lang w:eastAsia="en-US"/>
              </w:rPr>
              <w:t>Dosage and frequency</w:t>
            </w:r>
            <w:r w:rsidR="006F0CA3">
              <w:rPr>
                <w:webHidden/>
              </w:rPr>
              <w:tab/>
            </w:r>
            <w:r w:rsidR="006F0CA3">
              <w:rPr>
                <w:webHidden/>
              </w:rPr>
              <w:fldChar w:fldCharType="begin"/>
            </w:r>
            <w:r w:rsidR="006F0CA3">
              <w:rPr>
                <w:webHidden/>
              </w:rPr>
              <w:instrText xml:space="preserve"> PAGEREF _Toc37845712 \h </w:instrText>
            </w:r>
            <w:r w:rsidR="006F0CA3">
              <w:rPr>
                <w:webHidden/>
              </w:rPr>
            </w:r>
            <w:r w:rsidR="006F0CA3">
              <w:rPr>
                <w:webHidden/>
              </w:rPr>
              <w:fldChar w:fldCharType="separate"/>
            </w:r>
            <w:r w:rsidR="00EA5DC1">
              <w:rPr>
                <w:webHidden/>
              </w:rPr>
              <w:t>19</w:t>
            </w:r>
            <w:r w:rsidR="006F0CA3">
              <w:rPr>
                <w:webHidden/>
              </w:rPr>
              <w:fldChar w:fldCharType="end"/>
            </w:r>
          </w:hyperlink>
        </w:p>
        <w:p w14:paraId="7F4471D1" w14:textId="6D96DBF2" w:rsidR="006F0CA3" w:rsidRDefault="00515153">
          <w:pPr>
            <w:pStyle w:val="TOC3"/>
            <w:rPr>
              <w:rFonts w:asciiTheme="minorHAnsi" w:eastAsiaTheme="minorEastAsia" w:hAnsiTheme="minorHAnsi" w:cstheme="minorBidi"/>
            </w:rPr>
          </w:pPr>
          <w:hyperlink w:anchor="_Toc37845713" w:history="1">
            <w:r w:rsidR="006F0CA3" w:rsidRPr="00473300">
              <w:rPr>
                <w:rStyle w:val="Hyperlink"/>
              </w:rPr>
              <w:t>Marketing status of Intravenous Ig</w:t>
            </w:r>
            <w:r w:rsidR="006F0CA3">
              <w:rPr>
                <w:webHidden/>
              </w:rPr>
              <w:tab/>
            </w:r>
            <w:r w:rsidR="006F0CA3">
              <w:rPr>
                <w:webHidden/>
              </w:rPr>
              <w:fldChar w:fldCharType="begin"/>
            </w:r>
            <w:r w:rsidR="006F0CA3">
              <w:rPr>
                <w:webHidden/>
              </w:rPr>
              <w:instrText xml:space="preserve"> PAGEREF _Toc37845713 \h </w:instrText>
            </w:r>
            <w:r w:rsidR="006F0CA3">
              <w:rPr>
                <w:webHidden/>
              </w:rPr>
            </w:r>
            <w:r w:rsidR="006F0CA3">
              <w:rPr>
                <w:webHidden/>
              </w:rPr>
              <w:fldChar w:fldCharType="separate"/>
            </w:r>
            <w:r w:rsidR="00EA5DC1">
              <w:rPr>
                <w:webHidden/>
              </w:rPr>
              <w:t>20</w:t>
            </w:r>
            <w:r w:rsidR="006F0CA3">
              <w:rPr>
                <w:webHidden/>
              </w:rPr>
              <w:fldChar w:fldCharType="end"/>
            </w:r>
          </w:hyperlink>
        </w:p>
        <w:p w14:paraId="7FCF5443" w14:textId="1C3B7721" w:rsidR="006F0CA3" w:rsidRDefault="00515153">
          <w:pPr>
            <w:pStyle w:val="TOC3"/>
            <w:rPr>
              <w:rFonts w:asciiTheme="minorHAnsi" w:eastAsiaTheme="minorEastAsia" w:hAnsiTheme="minorHAnsi" w:cstheme="minorBidi"/>
            </w:rPr>
          </w:pPr>
          <w:hyperlink w:anchor="_Toc37845714" w:history="1">
            <w:r w:rsidR="006F0CA3" w:rsidRPr="00473300">
              <w:rPr>
                <w:rStyle w:val="Hyperlink"/>
                <w:rFonts w:eastAsia="MS Gothic"/>
                <w:lang w:eastAsia="en-US"/>
              </w:rPr>
              <w:t>Service delivery</w:t>
            </w:r>
            <w:r w:rsidR="006F0CA3">
              <w:rPr>
                <w:webHidden/>
              </w:rPr>
              <w:tab/>
            </w:r>
            <w:r w:rsidR="006F0CA3">
              <w:rPr>
                <w:webHidden/>
              </w:rPr>
              <w:fldChar w:fldCharType="begin"/>
            </w:r>
            <w:r w:rsidR="006F0CA3">
              <w:rPr>
                <w:webHidden/>
              </w:rPr>
              <w:instrText xml:space="preserve"> PAGEREF _Toc37845714 \h </w:instrText>
            </w:r>
            <w:r w:rsidR="006F0CA3">
              <w:rPr>
                <w:webHidden/>
              </w:rPr>
            </w:r>
            <w:r w:rsidR="006F0CA3">
              <w:rPr>
                <w:webHidden/>
              </w:rPr>
              <w:fldChar w:fldCharType="separate"/>
            </w:r>
            <w:r w:rsidR="00EA5DC1">
              <w:rPr>
                <w:webHidden/>
              </w:rPr>
              <w:t>21</w:t>
            </w:r>
            <w:r w:rsidR="006F0CA3">
              <w:rPr>
                <w:webHidden/>
              </w:rPr>
              <w:fldChar w:fldCharType="end"/>
            </w:r>
          </w:hyperlink>
        </w:p>
        <w:p w14:paraId="4FE07990" w14:textId="6DD275E3" w:rsidR="006F0CA3" w:rsidRDefault="00515153">
          <w:pPr>
            <w:pStyle w:val="TOC3"/>
            <w:rPr>
              <w:rFonts w:asciiTheme="minorHAnsi" w:eastAsiaTheme="minorEastAsia" w:hAnsiTheme="minorHAnsi" w:cstheme="minorBidi"/>
            </w:rPr>
          </w:pPr>
          <w:hyperlink w:anchor="_Toc37845715" w:history="1">
            <w:r w:rsidR="006F0CA3" w:rsidRPr="00473300">
              <w:rPr>
                <w:rStyle w:val="Hyperlink"/>
                <w:rFonts w:eastAsia="MS Gothic"/>
                <w:lang w:eastAsia="en-US"/>
              </w:rPr>
              <w:t>Current usage of intravenous Ig therapy for MMN in Australia</w:t>
            </w:r>
            <w:r w:rsidR="006F0CA3">
              <w:rPr>
                <w:webHidden/>
              </w:rPr>
              <w:tab/>
            </w:r>
            <w:r w:rsidR="006F0CA3">
              <w:rPr>
                <w:webHidden/>
              </w:rPr>
              <w:fldChar w:fldCharType="begin"/>
            </w:r>
            <w:r w:rsidR="006F0CA3">
              <w:rPr>
                <w:webHidden/>
              </w:rPr>
              <w:instrText xml:space="preserve"> PAGEREF _Toc37845715 \h </w:instrText>
            </w:r>
            <w:r w:rsidR="006F0CA3">
              <w:rPr>
                <w:webHidden/>
              </w:rPr>
            </w:r>
            <w:r w:rsidR="006F0CA3">
              <w:rPr>
                <w:webHidden/>
              </w:rPr>
              <w:fldChar w:fldCharType="separate"/>
            </w:r>
            <w:r w:rsidR="00EA5DC1">
              <w:rPr>
                <w:webHidden/>
              </w:rPr>
              <w:t>22</w:t>
            </w:r>
            <w:r w:rsidR="006F0CA3">
              <w:rPr>
                <w:webHidden/>
              </w:rPr>
              <w:fldChar w:fldCharType="end"/>
            </w:r>
          </w:hyperlink>
        </w:p>
        <w:p w14:paraId="71A46074" w14:textId="574752C6" w:rsidR="006F0CA3" w:rsidRDefault="00515153">
          <w:pPr>
            <w:pStyle w:val="TOC3"/>
            <w:rPr>
              <w:rFonts w:asciiTheme="minorHAnsi" w:eastAsiaTheme="minorEastAsia" w:hAnsiTheme="minorHAnsi" w:cstheme="minorBidi"/>
            </w:rPr>
          </w:pPr>
          <w:hyperlink w:anchor="_Toc37845716" w:history="1">
            <w:r w:rsidR="006F0CA3" w:rsidRPr="00473300">
              <w:rPr>
                <w:rStyle w:val="Hyperlink"/>
              </w:rPr>
              <w:t>Conditions for the funding of Ig</w:t>
            </w:r>
            <w:r w:rsidR="006F0CA3">
              <w:rPr>
                <w:webHidden/>
              </w:rPr>
              <w:tab/>
            </w:r>
            <w:r w:rsidR="006F0CA3">
              <w:rPr>
                <w:webHidden/>
              </w:rPr>
              <w:fldChar w:fldCharType="begin"/>
            </w:r>
            <w:r w:rsidR="006F0CA3">
              <w:rPr>
                <w:webHidden/>
              </w:rPr>
              <w:instrText xml:space="preserve"> PAGEREF _Toc37845716 \h </w:instrText>
            </w:r>
            <w:r w:rsidR="006F0CA3">
              <w:rPr>
                <w:webHidden/>
              </w:rPr>
            </w:r>
            <w:r w:rsidR="006F0CA3">
              <w:rPr>
                <w:webHidden/>
              </w:rPr>
              <w:fldChar w:fldCharType="separate"/>
            </w:r>
            <w:r w:rsidR="00EA5DC1">
              <w:rPr>
                <w:webHidden/>
              </w:rPr>
              <w:t>22</w:t>
            </w:r>
            <w:r w:rsidR="006F0CA3">
              <w:rPr>
                <w:webHidden/>
              </w:rPr>
              <w:fldChar w:fldCharType="end"/>
            </w:r>
          </w:hyperlink>
        </w:p>
        <w:p w14:paraId="4A15257F" w14:textId="24FB34B7" w:rsidR="006F0CA3" w:rsidRDefault="00515153">
          <w:pPr>
            <w:pStyle w:val="TOC3"/>
            <w:rPr>
              <w:rFonts w:asciiTheme="minorHAnsi" w:eastAsiaTheme="minorEastAsia" w:hAnsiTheme="minorHAnsi" w:cstheme="minorBidi"/>
            </w:rPr>
          </w:pPr>
          <w:hyperlink w:anchor="_Toc37845717" w:history="1">
            <w:r w:rsidR="006F0CA3" w:rsidRPr="00473300">
              <w:rPr>
                <w:rStyle w:val="Hyperlink"/>
              </w:rPr>
              <w:t>Current funding</w:t>
            </w:r>
            <w:r w:rsidR="006F0CA3">
              <w:rPr>
                <w:webHidden/>
              </w:rPr>
              <w:tab/>
            </w:r>
            <w:r w:rsidR="006F0CA3">
              <w:rPr>
                <w:webHidden/>
              </w:rPr>
              <w:fldChar w:fldCharType="begin"/>
            </w:r>
            <w:r w:rsidR="006F0CA3">
              <w:rPr>
                <w:webHidden/>
              </w:rPr>
              <w:instrText xml:space="preserve"> PAGEREF _Toc37845717 \h </w:instrText>
            </w:r>
            <w:r w:rsidR="006F0CA3">
              <w:rPr>
                <w:webHidden/>
              </w:rPr>
            </w:r>
            <w:r w:rsidR="006F0CA3">
              <w:rPr>
                <w:webHidden/>
              </w:rPr>
              <w:fldChar w:fldCharType="separate"/>
            </w:r>
            <w:r w:rsidR="00EA5DC1">
              <w:rPr>
                <w:webHidden/>
              </w:rPr>
              <w:t>25</w:t>
            </w:r>
            <w:r w:rsidR="006F0CA3">
              <w:rPr>
                <w:webHidden/>
              </w:rPr>
              <w:fldChar w:fldCharType="end"/>
            </w:r>
          </w:hyperlink>
        </w:p>
        <w:p w14:paraId="284C4D95" w14:textId="3BF55206" w:rsidR="006F0CA3" w:rsidRDefault="00515153">
          <w:pPr>
            <w:pStyle w:val="TOC2"/>
            <w:tabs>
              <w:tab w:val="left" w:pos="1540"/>
            </w:tabs>
            <w:rPr>
              <w:rFonts w:asciiTheme="minorHAnsi" w:eastAsiaTheme="minorEastAsia" w:hAnsiTheme="minorHAnsi" w:cstheme="minorBidi"/>
            </w:rPr>
          </w:pPr>
          <w:hyperlink w:anchor="_Toc37845718" w:history="1">
            <w:r w:rsidR="006F0CA3" w:rsidRPr="00473300">
              <w:rPr>
                <w:rStyle w:val="Hyperlink"/>
              </w:rPr>
              <w:t>A.3.</w:t>
            </w:r>
            <w:r w:rsidR="006F0CA3">
              <w:rPr>
                <w:rFonts w:asciiTheme="minorHAnsi" w:eastAsiaTheme="minorEastAsia" w:hAnsiTheme="minorHAnsi" w:cstheme="minorBidi"/>
              </w:rPr>
              <w:tab/>
            </w:r>
            <w:r w:rsidR="006F0CA3" w:rsidRPr="00473300">
              <w:rPr>
                <w:rStyle w:val="Hyperlink"/>
              </w:rPr>
              <w:t>Public Funding</w:t>
            </w:r>
            <w:r w:rsidR="006F0CA3">
              <w:rPr>
                <w:webHidden/>
              </w:rPr>
              <w:tab/>
            </w:r>
            <w:r w:rsidR="006F0CA3">
              <w:rPr>
                <w:webHidden/>
              </w:rPr>
              <w:fldChar w:fldCharType="begin"/>
            </w:r>
            <w:r w:rsidR="006F0CA3">
              <w:rPr>
                <w:webHidden/>
              </w:rPr>
              <w:instrText xml:space="preserve"> PAGEREF _Toc37845718 \h </w:instrText>
            </w:r>
            <w:r w:rsidR="006F0CA3">
              <w:rPr>
                <w:webHidden/>
              </w:rPr>
            </w:r>
            <w:r w:rsidR="006F0CA3">
              <w:rPr>
                <w:webHidden/>
              </w:rPr>
              <w:fldChar w:fldCharType="separate"/>
            </w:r>
            <w:r w:rsidR="00EA5DC1">
              <w:rPr>
                <w:webHidden/>
              </w:rPr>
              <w:t>25</w:t>
            </w:r>
            <w:r w:rsidR="006F0CA3">
              <w:rPr>
                <w:webHidden/>
              </w:rPr>
              <w:fldChar w:fldCharType="end"/>
            </w:r>
          </w:hyperlink>
        </w:p>
        <w:p w14:paraId="12491BCF" w14:textId="59184EF6" w:rsidR="006F0CA3" w:rsidRDefault="00515153">
          <w:pPr>
            <w:pStyle w:val="TOC2"/>
            <w:tabs>
              <w:tab w:val="left" w:pos="1540"/>
            </w:tabs>
            <w:rPr>
              <w:rFonts w:asciiTheme="minorHAnsi" w:eastAsiaTheme="minorEastAsia" w:hAnsiTheme="minorHAnsi" w:cstheme="minorBidi"/>
            </w:rPr>
          </w:pPr>
          <w:hyperlink w:anchor="_Toc37845719" w:history="1">
            <w:r w:rsidR="006F0CA3" w:rsidRPr="00473300">
              <w:rPr>
                <w:rStyle w:val="Hyperlink"/>
              </w:rPr>
              <w:t>A.4.</w:t>
            </w:r>
            <w:r w:rsidR="006F0CA3">
              <w:rPr>
                <w:rFonts w:asciiTheme="minorHAnsi" w:eastAsiaTheme="minorEastAsia" w:hAnsiTheme="minorHAnsi" w:cstheme="minorBidi"/>
              </w:rPr>
              <w:tab/>
            </w:r>
            <w:r w:rsidR="006F0CA3" w:rsidRPr="00473300">
              <w:rPr>
                <w:rStyle w:val="Hyperlink"/>
              </w:rPr>
              <w:t>population</w:t>
            </w:r>
            <w:r w:rsidR="006F0CA3">
              <w:rPr>
                <w:webHidden/>
              </w:rPr>
              <w:tab/>
            </w:r>
            <w:r w:rsidR="006F0CA3">
              <w:rPr>
                <w:webHidden/>
              </w:rPr>
              <w:fldChar w:fldCharType="begin"/>
            </w:r>
            <w:r w:rsidR="006F0CA3">
              <w:rPr>
                <w:webHidden/>
              </w:rPr>
              <w:instrText xml:space="preserve"> PAGEREF _Toc37845719 \h </w:instrText>
            </w:r>
            <w:r w:rsidR="006F0CA3">
              <w:rPr>
                <w:webHidden/>
              </w:rPr>
            </w:r>
            <w:r w:rsidR="006F0CA3">
              <w:rPr>
                <w:webHidden/>
              </w:rPr>
              <w:fldChar w:fldCharType="separate"/>
            </w:r>
            <w:r w:rsidR="00EA5DC1">
              <w:rPr>
                <w:webHidden/>
              </w:rPr>
              <w:t>25</w:t>
            </w:r>
            <w:r w:rsidR="006F0CA3">
              <w:rPr>
                <w:webHidden/>
              </w:rPr>
              <w:fldChar w:fldCharType="end"/>
            </w:r>
          </w:hyperlink>
        </w:p>
        <w:p w14:paraId="19BC7D0A" w14:textId="7649CCCB" w:rsidR="006F0CA3" w:rsidRDefault="00515153">
          <w:pPr>
            <w:pStyle w:val="TOC3"/>
            <w:rPr>
              <w:rFonts w:asciiTheme="minorHAnsi" w:eastAsiaTheme="minorEastAsia" w:hAnsiTheme="minorHAnsi" w:cstheme="minorBidi"/>
            </w:rPr>
          </w:pPr>
          <w:hyperlink w:anchor="_Toc37845720" w:history="1">
            <w:r w:rsidR="006F0CA3" w:rsidRPr="00473300">
              <w:rPr>
                <w:rStyle w:val="Hyperlink"/>
                <w:rFonts w:eastAsia="MS Gothic"/>
                <w:lang w:eastAsia="en-US"/>
              </w:rPr>
              <w:t>Epidemiology of MMN and patient characteristics</w:t>
            </w:r>
            <w:r w:rsidR="006F0CA3">
              <w:rPr>
                <w:webHidden/>
              </w:rPr>
              <w:tab/>
            </w:r>
            <w:r w:rsidR="006F0CA3">
              <w:rPr>
                <w:webHidden/>
              </w:rPr>
              <w:fldChar w:fldCharType="begin"/>
            </w:r>
            <w:r w:rsidR="006F0CA3">
              <w:rPr>
                <w:webHidden/>
              </w:rPr>
              <w:instrText xml:space="preserve"> PAGEREF _Toc37845720 \h </w:instrText>
            </w:r>
            <w:r w:rsidR="006F0CA3">
              <w:rPr>
                <w:webHidden/>
              </w:rPr>
            </w:r>
            <w:r w:rsidR="006F0CA3">
              <w:rPr>
                <w:webHidden/>
              </w:rPr>
              <w:fldChar w:fldCharType="separate"/>
            </w:r>
            <w:r w:rsidR="00EA5DC1">
              <w:rPr>
                <w:webHidden/>
              </w:rPr>
              <w:t>25</w:t>
            </w:r>
            <w:r w:rsidR="006F0CA3">
              <w:rPr>
                <w:webHidden/>
              </w:rPr>
              <w:fldChar w:fldCharType="end"/>
            </w:r>
          </w:hyperlink>
        </w:p>
        <w:p w14:paraId="6F159BE2" w14:textId="78108D81" w:rsidR="006F0CA3" w:rsidRDefault="00515153">
          <w:pPr>
            <w:pStyle w:val="TOC3"/>
            <w:rPr>
              <w:rFonts w:asciiTheme="minorHAnsi" w:eastAsiaTheme="minorEastAsia" w:hAnsiTheme="minorHAnsi" w:cstheme="minorBidi"/>
            </w:rPr>
          </w:pPr>
          <w:hyperlink w:anchor="_Toc37845721" w:history="1">
            <w:r w:rsidR="006F0CA3" w:rsidRPr="00473300">
              <w:rPr>
                <w:rStyle w:val="Hyperlink"/>
                <w:rFonts w:eastAsia="MS Gothic"/>
                <w:lang w:eastAsia="en-US"/>
              </w:rPr>
              <w:t>How are patients diagnosed?</w:t>
            </w:r>
            <w:r w:rsidR="006F0CA3">
              <w:rPr>
                <w:webHidden/>
              </w:rPr>
              <w:tab/>
            </w:r>
            <w:r w:rsidR="006F0CA3">
              <w:rPr>
                <w:webHidden/>
              </w:rPr>
              <w:fldChar w:fldCharType="begin"/>
            </w:r>
            <w:r w:rsidR="006F0CA3">
              <w:rPr>
                <w:webHidden/>
              </w:rPr>
              <w:instrText xml:space="preserve"> PAGEREF _Toc37845721 \h </w:instrText>
            </w:r>
            <w:r w:rsidR="006F0CA3">
              <w:rPr>
                <w:webHidden/>
              </w:rPr>
            </w:r>
            <w:r w:rsidR="006F0CA3">
              <w:rPr>
                <w:webHidden/>
              </w:rPr>
              <w:fldChar w:fldCharType="separate"/>
            </w:r>
            <w:r w:rsidR="00EA5DC1">
              <w:rPr>
                <w:webHidden/>
              </w:rPr>
              <w:t>27</w:t>
            </w:r>
            <w:r w:rsidR="006F0CA3">
              <w:rPr>
                <w:webHidden/>
              </w:rPr>
              <w:fldChar w:fldCharType="end"/>
            </w:r>
          </w:hyperlink>
        </w:p>
        <w:p w14:paraId="2B0A103C" w14:textId="73FC830E" w:rsidR="006F0CA3" w:rsidRDefault="00515153">
          <w:pPr>
            <w:pStyle w:val="TOC2"/>
            <w:tabs>
              <w:tab w:val="left" w:pos="1540"/>
            </w:tabs>
            <w:rPr>
              <w:rFonts w:asciiTheme="minorHAnsi" w:eastAsiaTheme="minorEastAsia" w:hAnsiTheme="minorHAnsi" w:cstheme="minorBidi"/>
            </w:rPr>
          </w:pPr>
          <w:hyperlink w:anchor="_Toc37845722" w:history="1">
            <w:r w:rsidR="006F0CA3" w:rsidRPr="00473300">
              <w:rPr>
                <w:rStyle w:val="Hyperlink"/>
              </w:rPr>
              <w:t>A.5.</w:t>
            </w:r>
            <w:r w:rsidR="006F0CA3">
              <w:rPr>
                <w:rFonts w:asciiTheme="minorHAnsi" w:eastAsiaTheme="minorEastAsia" w:hAnsiTheme="minorHAnsi" w:cstheme="minorBidi"/>
              </w:rPr>
              <w:tab/>
            </w:r>
            <w:r w:rsidR="006F0CA3" w:rsidRPr="00473300">
              <w:rPr>
                <w:rStyle w:val="Hyperlink"/>
              </w:rPr>
              <w:t>Comparator details</w:t>
            </w:r>
            <w:r w:rsidR="006F0CA3">
              <w:rPr>
                <w:webHidden/>
              </w:rPr>
              <w:tab/>
            </w:r>
            <w:r w:rsidR="006F0CA3">
              <w:rPr>
                <w:webHidden/>
              </w:rPr>
              <w:fldChar w:fldCharType="begin"/>
            </w:r>
            <w:r w:rsidR="006F0CA3">
              <w:rPr>
                <w:webHidden/>
              </w:rPr>
              <w:instrText xml:space="preserve"> PAGEREF _Toc37845722 \h </w:instrText>
            </w:r>
            <w:r w:rsidR="006F0CA3">
              <w:rPr>
                <w:webHidden/>
              </w:rPr>
            </w:r>
            <w:r w:rsidR="006F0CA3">
              <w:rPr>
                <w:webHidden/>
              </w:rPr>
              <w:fldChar w:fldCharType="separate"/>
            </w:r>
            <w:r w:rsidR="00EA5DC1">
              <w:rPr>
                <w:webHidden/>
              </w:rPr>
              <w:t>29</w:t>
            </w:r>
            <w:r w:rsidR="006F0CA3">
              <w:rPr>
                <w:webHidden/>
              </w:rPr>
              <w:fldChar w:fldCharType="end"/>
            </w:r>
          </w:hyperlink>
        </w:p>
        <w:p w14:paraId="3C1D8D43" w14:textId="641F286D" w:rsidR="006F0CA3" w:rsidRDefault="00515153">
          <w:pPr>
            <w:pStyle w:val="TOC3"/>
            <w:rPr>
              <w:rFonts w:asciiTheme="minorHAnsi" w:eastAsiaTheme="minorEastAsia" w:hAnsiTheme="minorHAnsi" w:cstheme="minorBidi"/>
            </w:rPr>
          </w:pPr>
          <w:hyperlink w:anchor="_Toc37845723" w:history="1">
            <w:r w:rsidR="006F0CA3" w:rsidRPr="00473300">
              <w:rPr>
                <w:rStyle w:val="Hyperlink"/>
                <w:rFonts w:eastAsia="MS Gothic"/>
                <w:lang w:eastAsia="en-US"/>
              </w:rPr>
              <w:t>No Ig with best supportive care</w:t>
            </w:r>
            <w:r w:rsidR="006F0CA3">
              <w:rPr>
                <w:webHidden/>
              </w:rPr>
              <w:tab/>
            </w:r>
            <w:r w:rsidR="006F0CA3">
              <w:rPr>
                <w:webHidden/>
              </w:rPr>
              <w:fldChar w:fldCharType="begin"/>
            </w:r>
            <w:r w:rsidR="006F0CA3">
              <w:rPr>
                <w:webHidden/>
              </w:rPr>
              <w:instrText xml:space="preserve"> PAGEREF _Toc37845723 \h </w:instrText>
            </w:r>
            <w:r w:rsidR="006F0CA3">
              <w:rPr>
                <w:webHidden/>
              </w:rPr>
            </w:r>
            <w:r w:rsidR="006F0CA3">
              <w:rPr>
                <w:webHidden/>
              </w:rPr>
              <w:fldChar w:fldCharType="separate"/>
            </w:r>
            <w:r w:rsidR="00EA5DC1">
              <w:rPr>
                <w:webHidden/>
              </w:rPr>
              <w:t>29</w:t>
            </w:r>
            <w:r w:rsidR="006F0CA3">
              <w:rPr>
                <w:webHidden/>
              </w:rPr>
              <w:fldChar w:fldCharType="end"/>
            </w:r>
          </w:hyperlink>
        </w:p>
        <w:p w14:paraId="54C11769" w14:textId="3EA1B602" w:rsidR="006F0CA3" w:rsidRDefault="00515153">
          <w:pPr>
            <w:pStyle w:val="TOC2"/>
            <w:tabs>
              <w:tab w:val="left" w:pos="1540"/>
            </w:tabs>
            <w:rPr>
              <w:rFonts w:asciiTheme="minorHAnsi" w:eastAsiaTheme="minorEastAsia" w:hAnsiTheme="minorHAnsi" w:cstheme="minorBidi"/>
            </w:rPr>
          </w:pPr>
          <w:hyperlink w:anchor="_Toc37845724" w:history="1">
            <w:r w:rsidR="006F0CA3" w:rsidRPr="00473300">
              <w:rPr>
                <w:rStyle w:val="Hyperlink"/>
              </w:rPr>
              <w:t>A.6.</w:t>
            </w:r>
            <w:r w:rsidR="006F0CA3">
              <w:rPr>
                <w:rFonts w:asciiTheme="minorHAnsi" w:eastAsiaTheme="minorEastAsia" w:hAnsiTheme="minorHAnsi" w:cstheme="minorBidi"/>
              </w:rPr>
              <w:tab/>
            </w:r>
            <w:r w:rsidR="006F0CA3" w:rsidRPr="00473300">
              <w:rPr>
                <w:rStyle w:val="Hyperlink"/>
              </w:rPr>
              <w:t>Clinical management Algorithm(s)</w:t>
            </w:r>
            <w:r w:rsidR="006F0CA3">
              <w:rPr>
                <w:webHidden/>
              </w:rPr>
              <w:tab/>
            </w:r>
            <w:r w:rsidR="006F0CA3">
              <w:rPr>
                <w:webHidden/>
              </w:rPr>
              <w:fldChar w:fldCharType="begin"/>
            </w:r>
            <w:r w:rsidR="006F0CA3">
              <w:rPr>
                <w:webHidden/>
              </w:rPr>
              <w:instrText xml:space="preserve"> PAGEREF _Toc37845724 \h </w:instrText>
            </w:r>
            <w:r w:rsidR="006F0CA3">
              <w:rPr>
                <w:webHidden/>
              </w:rPr>
            </w:r>
            <w:r w:rsidR="006F0CA3">
              <w:rPr>
                <w:webHidden/>
              </w:rPr>
              <w:fldChar w:fldCharType="separate"/>
            </w:r>
            <w:r w:rsidR="00EA5DC1">
              <w:rPr>
                <w:webHidden/>
              </w:rPr>
              <w:t>30</w:t>
            </w:r>
            <w:r w:rsidR="006F0CA3">
              <w:rPr>
                <w:webHidden/>
              </w:rPr>
              <w:fldChar w:fldCharType="end"/>
            </w:r>
          </w:hyperlink>
        </w:p>
        <w:p w14:paraId="0EABE958" w14:textId="3A28BFC6" w:rsidR="006F0CA3" w:rsidRDefault="00515153">
          <w:pPr>
            <w:pStyle w:val="TOC2"/>
            <w:tabs>
              <w:tab w:val="left" w:pos="1540"/>
            </w:tabs>
            <w:rPr>
              <w:rFonts w:asciiTheme="minorHAnsi" w:eastAsiaTheme="minorEastAsia" w:hAnsiTheme="minorHAnsi" w:cstheme="minorBidi"/>
            </w:rPr>
          </w:pPr>
          <w:hyperlink w:anchor="_Toc37845725" w:history="1">
            <w:r w:rsidR="006F0CA3" w:rsidRPr="00473300">
              <w:rPr>
                <w:rStyle w:val="Hyperlink"/>
              </w:rPr>
              <w:t>A.7.</w:t>
            </w:r>
            <w:r w:rsidR="006F0CA3">
              <w:rPr>
                <w:rFonts w:asciiTheme="minorHAnsi" w:eastAsiaTheme="minorEastAsia" w:hAnsiTheme="minorHAnsi" w:cstheme="minorBidi"/>
              </w:rPr>
              <w:tab/>
            </w:r>
            <w:r w:rsidR="006F0CA3" w:rsidRPr="00473300">
              <w:rPr>
                <w:rStyle w:val="Hyperlink"/>
              </w:rPr>
              <w:t>Key Differences in the Delivery of the Proposed Medical Service and the Main Comparator</w:t>
            </w:r>
            <w:r w:rsidR="006F0CA3">
              <w:rPr>
                <w:webHidden/>
              </w:rPr>
              <w:tab/>
            </w:r>
            <w:r w:rsidR="006F0CA3">
              <w:rPr>
                <w:webHidden/>
              </w:rPr>
              <w:fldChar w:fldCharType="begin"/>
            </w:r>
            <w:r w:rsidR="006F0CA3">
              <w:rPr>
                <w:webHidden/>
              </w:rPr>
              <w:instrText xml:space="preserve"> PAGEREF _Toc37845725 \h </w:instrText>
            </w:r>
            <w:r w:rsidR="006F0CA3">
              <w:rPr>
                <w:webHidden/>
              </w:rPr>
            </w:r>
            <w:r w:rsidR="006F0CA3">
              <w:rPr>
                <w:webHidden/>
              </w:rPr>
              <w:fldChar w:fldCharType="separate"/>
            </w:r>
            <w:r w:rsidR="00EA5DC1">
              <w:rPr>
                <w:webHidden/>
              </w:rPr>
              <w:t>35</w:t>
            </w:r>
            <w:r w:rsidR="006F0CA3">
              <w:rPr>
                <w:webHidden/>
              </w:rPr>
              <w:fldChar w:fldCharType="end"/>
            </w:r>
          </w:hyperlink>
        </w:p>
        <w:p w14:paraId="74239268" w14:textId="09E2B92A" w:rsidR="006F0CA3" w:rsidRDefault="00515153">
          <w:pPr>
            <w:pStyle w:val="TOC2"/>
            <w:tabs>
              <w:tab w:val="left" w:pos="1540"/>
            </w:tabs>
            <w:rPr>
              <w:rFonts w:asciiTheme="minorHAnsi" w:eastAsiaTheme="minorEastAsia" w:hAnsiTheme="minorHAnsi" w:cstheme="minorBidi"/>
            </w:rPr>
          </w:pPr>
          <w:hyperlink w:anchor="_Toc37845726" w:history="1">
            <w:r w:rsidR="006F0CA3" w:rsidRPr="00473300">
              <w:rPr>
                <w:rStyle w:val="Hyperlink"/>
              </w:rPr>
              <w:t>A.8.</w:t>
            </w:r>
            <w:r w:rsidR="006F0CA3">
              <w:rPr>
                <w:rFonts w:asciiTheme="minorHAnsi" w:eastAsiaTheme="minorEastAsia" w:hAnsiTheme="minorHAnsi" w:cstheme="minorBidi"/>
              </w:rPr>
              <w:tab/>
            </w:r>
            <w:r w:rsidR="006F0CA3" w:rsidRPr="00473300">
              <w:rPr>
                <w:rStyle w:val="Hyperlink"/>
              </w:rPr>
              <w:t>Clinical Claim</w:t>
            </w:r>
            <w:r w:rsidR="006F0CA3">
              <w:rPr>
                <w:webHidden/>
              </w:rPr>
              <w:tab/>
            </w:r>
            <w:r w:rsidR="006F0CA3">
              <w:rPr>
                <w:webHidden/>
              </w:rPr>
              <w:fldChar w:fldCharType="begin"/>
            </w:r>
            <w:r w:rsidR="006F0CA3">
              <w:rPr>
                <w:webHidden/>
              </w:rPr>
              <w:instrText xml:space="preserve"> PAGEREF _Toc37845726 \h </w:instrText>
            </w:r>
            <w:r w:rsidR="006F0CA3">
              <w:rPr>
                <w:webHidden/>
              </w:rPr>
            </w:r>
            <w:r w:rsidR="006F0CA3">
              <w:rPr>
                <w:webHidden/>
              </w:rPr>
              <w:fldChar w:fldCharType="separate"/>
            </w:r>
            <w:r w:rsidR="00EA5DC1">
              <w:rPr>
                <w:webHidden/>
              </w:rPr>
              <w:t>35</w:t>
            </w:r>
            <w:r w:rsidR="006F0CA3">
              <w:rPr>
                <w:webHidden/>
              </w:rPr>
              <w:fldChar w:fldCharType="end"/>
            </w:r>
          </w:hyperlink>
        </w:p>
        <w:p w14:paraId="13B49DE3" w14:textId="6F0268FA" w:rsidR="006F0CA3" w:rsidRDefault="00515153">
          <w:pPr>
            <w:pStyle w:val="TOC2"/>
            <w:tabs>
              <w:tab w:val="left" w:pos="1540"/>
            </w:tabs>
            <w:rPr>
              <w:rFonts w:asciiTheme="minorHAnsi" w:eastAsiaTheme="minorEastAsia" w:hAnsiTheme="minorHAnsi" w:cstheme="minorBidi"/>
            </w:rPr>
          </w:pPr>
          <w:hyperlink w:anchor="_Toc37845727" w:history="1">
            <w:r w:rsidR="006F0CA3" w:rsidRPr="00473300">
              <w:rPr>
                <w:rStyle w:val="Hyperlink"/>
              </w:rPr>
              <w:t>A.9.</w:t>
            </w:r>
            <w:r w:rsidR="006F0CA3">
              <w:rPr>
                <w:rFonts w:asciiTheme="minorHAnsi" w:eastAsiaTheme="minorEastAsia" w:hAnsiTheme="minorHAnsi" w:cstheme="minorBidi"/>
              </w:rPr>
              <w:tab/>
            </w:r>
            <w:r w:rsidR="006F0CA3" w:rsidRPr="00473300">
              <w:rPr>
                <w:rStyle w:val="Hyperlink"/>
              </w:rPr>
              <w:t>Summary of the PICO</w:t>
            </w:r>
            <w:r w:rsidR="006F0CA3">
              <w:rPr>
                <w:webHidden/>
              </w:rPr>
              <w:tab/>
            </w:r>
            <w:r w:rsidR="006F0CA3">
              <w:rPr>
                <w:webHidden/>
              </w:rPr>
              <w:fldChar w:fldCharType="begin"/>
            </w:r>
            <w:r w:rsidR="006F0CA3">
              <w:rPr>
                <w:webHidden/>
              </w:rPr>
              <w:instrText xml:space="preserve"> PAGEREF _Toc37845727 \h </w:instrText>
            </w:r>
            <w:r w:rsidR="006F0CA3">
              <w:rPr>
                <w:webHidden/>
              </w:rPr>
            </w:r>
            <w:r w:rsidR="006F0CA3">
              <w:rPr>
                <w:webHidden/>
              </w:rPr>
              <w:fldChar w:fldCharType="separate"/>
            </w:r>
            <w:r w:rsidR="00EA5DC1">
              <w:rPr>
                <w:webHidden/>
              </w:rPr>
              <w:t>35</w:t>
            </w:r>
            <w:r w:rsidR="006F0CA3">
              <w:rPr>
                <w:webHidden/>
              </w:rPr>
              <w:fldChar w:fldCharType="end"/>
            </w:r>
          </w:hyperlink>
        </w:p>
        <w:p w14:paraId="1319DBEB" w14:textId="7DCD6822" w:rsidR="006F0CA3" w:rsidRDefault="00515153">
          <w:pPr>
            <w:pStyle w:val="TOC2"/>
            <w:tabs>
              <w:tab w:val="left" w:pos="1540"/>
            </w:tabs>
            <w:rPr>
              <w:rFonts w:asciiTheme="minorHAnsi" w:eastAsiaTheme="minorEastAsia" w:hAnsiTheme="minorHAnsi" w:cstheme="minorBidi"/>
            </w:rPr>
          </w:pPr>
          <w:hyperlink w:anchor="_Toc37845728" w:history="1">
            <w:r w:rsidR="006F0CA3" w:rsidRPr="00473300">
              <w:rPr>
                <w:rStyle w:val="Hyperlink"/>
              </w:rPr>
              <w:t>A.10.</w:t>
            </w:r>
            <w:r w:rsidR="006F0CA3">
              <w:rPr>
                <w:rFonts w:asciiTheme="minorHAnsi" w:eastAsiaTheme="minorEastAsia" w:hAnsiTheme="minorHAnsi" w:cstheme="minorBidi"/>
              </w:rPr>
              <w:tab/>
            </w:r>
            <w:r w:rsidR="006F0CA3" w:rsidRPr="00473300">
              <w:rPr>
                <w:rStyle w:val="Hyperlink"/>
              </w:rPr>
              <w:t>Consumer impact statement</w:t>
            </w:r>
            <w:r w:rsidR="006F0CA3">
              <w:rPr>
                <w:webHidden/>
              </w:rPr>
              <w:tab/>
            </w:r>
            <w:r w:rsidR="006F0CA3">
              <w:rPr>
                <w:webHidden/>
              </w:rPr>
              <w:fldChar w:fldCharType="begin"/>
            </w:r>
            <w:r w:rsidR="006F0CA3">
              <w:rPr>
                <w:webHidden/>
              </w:rPr>
              <w:instrText xml:space="preserve"> PAGEREF _Toc37845728 \h </w:instrText>
            </w:r>
            <w:r w:rsidR="006F0CA3">
              <w:rPr>
                <w:webHidden/>
              </w:rPr>
            </w:r>
            <w:r w:rsidR="006F0CA3">
              <w:rPr>
                <w:webHidden/>
              </w:rPr>
              <w:fldChar w:fldCharType="separate"/>
            </w:r>
            <w:r w:rsidR="00EA5DC1">
              <w:rPr>
                <w:webHidden/>
              </w:rPr>
              <w:t>36</w:t>
            </w:r>
            <w:r w:rsidR="006F0CA3">
              <w:rPr>
                <w:webHidden/>
              </w:rPr>
              <w:fldChar w:fldCharType="end"/>
            </w:r>
          </w:hyperlink>
        </w:p>
        <w:p w14:paraId="621680AA" w14:textId="236AA3E3" w:rsidR="006F0CA3" w:rsidRDefault="00515153">
          <w:pPr>
            <w:pStyle w:val="TOC1"/>
            <w:rPr>
              <w:rFonts w:asciiTheme="minorHAnsi" w:eastAsiaTheme="minorEastAsia" w:hAnsiTheme="minorHAnsi" w:cstheme="minorBidi"/>
              <w:b w:val="0"/>
            </w:rPr>
          </w:pPr>
          <w:hyperlink w:anchor="_Toc37845729" w:history="1">
            <w:r w:rsidR="006F0CA3" w:rsidRPr="00473300">
              <w:rPr>
                <w:rStyle w:val="Hyperlink"/>
              </w:rPr>
              <w:t>Section B</w:t>
            </w:r>
            <w:r w:rsidR="006F0CA3">
              <w:rPr>
                <w:rFonts w:asciiTheme="minorHAnsi" w:eastAsiaTheme="minorEastAsia" w:hAnsiTheme="minorHAnsi" w:cstheme="minorBidi"/>
                <w:b w:val="0"/>
              </w:rPr>
              <w:tab/>
            </w:r>
            <w:r w:rsidR="006F0CA3" w:rsidRPr="00473300">
              <w:rPr>
                <w:rStyle w:val="Hyperlink"/>
              </w:rPr>
              <w:t>Clinical Evaluation</w:t>
            </w:r>
            <w:r w:rsidR="006F0CA3">
              <w:rPr>
                <w:webHidden/>
              </w:rPr>
              <w:tab/>
            </w:r>
            <w:r w:rsidR="006F0CA3">
              <w:rPr>
                <w:webHidden/>
              </w:rPr>
              <w:fldChar w:fldCharType="begin"/>
            </w:r>
            <w:r w:rsidR="006F0CA3">
              <w:rPr>
                <w:webHidden/>
              </w:rPr>
              <w:instrText xml:space="preserve"> PAGEREF _Toc37845729 \h </w:instrText>
            </w:r>
            <w:r w:rsidR="006F0CA3">
              <w:rPr>
                <w:webHidden/>
              </w:rPr>
            </w:r>
            <w:r w:rsidR="006F0CA3">
              <w:rPr>
                <w:webHidden/>
              </w:rPr>
              <w:fldChar w:fldCharType="separate"/>
            </w:r>
            <w:r w:rsidR="00EA5DC1">
              <w:rPr>
                <w:webHidden/>
              </w:rPr>
              <w:t>38</w:t>
            </w:r>
            <w:r w:rsidR="006F0CA3">
              <w:rPr>
                <w:webHidden/>
              </w:rPr>
              <w:fldChar w:fldCharType="end"/>
            </w:r>
          </w:hyperlink>
        </w:p>
        <w:p w14:paraId="1452DFBD" w14:textId="10B201BC" w:rsidR="006F0CA3" w:rsidRDefault="00515153">
          <w:pPr>
            <w:pStyle w:val="TOC2"/>
            <w:tabs>
              <w:tab w:val="left" w:pos="1418"/>
            </w:tabs>
            <w:rPr>
              <w:rFonts w:asciiTheme="minorHAnsi" w:eastAsiaTheme="minorEastAsia" w:hAnsiTheme="minorHAnsi" w:cstheme="minorBidi"/>
            </w:rPr>
          </w:pPr>
          <w:hyperlink w:anchor="_Toc37845730" w:history="1">
            <w:r w:rsidR="006F0CA3" w:rsidRPr="00473300">
              <w:rPr>
                <w:rStyle w:val="Hyperlink"/>
              </w:rPr>
              <w:t>B.1.</w:t>
            </w:r>
            <w:r w:rsidR="006F0CA3">
              <w:rPr>
                <w:rFonts w:asciiTheme="minorHAnsi" w:eastAsiaTheme="minorEastAsia" w:hAnsiTheme="minorHAnsi" w:cstheme="minorBidi"/>
              </w:rPr>
              <w:tab/>
            </w:r>
            <w:r w:rsidR="006F0CA3" w:rsidRPr="00473300">
              <w:rPr>
                <w:rStyle w:val="Hyperlink"/>
              </w:rPr>
              <w:t>Literature Sources and Search Strategies</w:t>
            </w:r>
            <w:r w:rsidR="006F0CA3">
              <w:rPr>
                <w:webHidden/>
              </w:rPr>
              <w:tab/>
            </w:r>
            <w:r w:rsidR="006F0CA3">
              <w:rPr>
                <w:webHidden/>
              </w:rPr>
              <w:fldChar w:fldCharType="begin"/>
            </w:r>
            <w:r w:rsidR="006F0CA3">
              <w:rPr>
                <w:webHidden/>
              </w:rPr>
              <w:instrText xml:space="preserve"> PAGEREF _Toc37845730 \h </w:instrText>
            </w:r>
            <w:r w:rsidR="006F0CA3">
              <w:rPr>
                <w:webHidden/>
              </w:rPr>
            </w:r>
            <w:r w:rsidR="006F0CA3">
              <w:rPr>
                <w:webHidden/>
              </w:rPr>
              <w:fldChar w:fldCharType="separate"/>
            </w:r>
            <w:r w:rsidR="00EA5DC1">
              <w:rPr>
                <w:webHidden/>
              </w:rPr>
              <w:t>38</w:t>
            </w:r>
            <w:r w:rsidR="006F0CA3">
              <w:rPr>
                <w:webHidden/>
              </w:rPr>
              <w:fldChar w:fldCharType="end"/>
            </w:r>
          </w:hyperlink>
        </w:p>
        <w:p w14:paraId="4A5E114E" w14:textId="501EA3C8" w:rsidR="006F0CA3" w:rsidRDefault="00515153">
          <w:pPr>
            <w:pStyle w:val="TOC2"/>
            <w:tabs>
              <w:tab w:val="left" w:pos="1418"/>
            </w:tabs>
            <w:rPr>
              <w:rFonts w:asciiTheme="minorHAnsi" w:eastAsiaTheme="minorEastAsia" w:hAnsiTheme="minorHAnsi" w:cstheme="minorBidi"/>
            </w:rPr>
          </w:pPr>
          <w:hyperlink w:anchor="_Toc37845731" w:history="1">
            <w:r w:rsidR="006F0CA3" w:rsidRPr="00473300">
              <w:rPr>
                <w:rStyle w:val="Hyperlink"/>
              </w:rPr>
              <w:t>B.2.</w:t>
            </w:r>
            <w:r w:rsidR="006F0CA3">
              <w:rPr>
                <w:rFonts w:asciiTheme="minorHAnsi" w:eastAsiaTheme="minorEastAsia" w:hAnsiTheme="minorHAnsi" w:cstheme="minorBidi"/>
              </w:rPr>
              <w:tab/>
            </w:r>
            <w:r w:rsidR="006F0CA3" w:rsidRPr="00473300">
              <w:rPr>
                <w:rStyle w:val="Hyperlink"/>
              </w:rPr>
              <w:t>Results of Literature Search</w:t>
            </w:r>
            <w:r w:rsidR="006F0CA3">
              <w:rPr>
                <w:webHidden/>
              </w:rPr>
              <w:tab/>
            </w:r>
            <w:r w:rsidR="006F0CA3">
              <w:rPr>
                <w:webHidden/>
              </w:rPr>
              <w:fldChar w:fldCharType="begin"/>
            </w:r>
            <w:r w:rsidR="006F0CA3">
              <w:rPr>
                <w:webHidden/>
              </w:rPr>
              <w:instrText xml:space="preserve"> PAGEREF _Toc37845731 \h </w:instrText>
            </w:r>
            <w:r w:rsidR="006F0CA3">
              <w:rPr>
                <w:webHidden/>
              </w:rPr>
            </w:r>
            <w:r w:rsidR="006F0CA3">
              <w:rPr>
                <w:webHidden/>
              </w:rPr>
              <w:fldChar w:fldCharType="separate"/>
            </w:r>
            <w:r w:rsidR="00EA5DC1">
              <w:rPr>
                <w:webHidden/>
              </w:rPr>
              <w:t>38</w:t>
            </w:r>
            <w:r w:rsidR="006F0CA3">
              <w:rPr>
                <w:webHidden/>
              </w:rPr>
              <w:fldChar w:fldCharType="end"/>
            </w:r>
          </w:hyperlink>
        </w:p>
        <w:p w14:paraId="15CAA74B" w14:textId="79223497" w:rsidR="006F0CA3" w:rsidRDefault="00515153">
          <w:pPr>
            <w:pStyle w:val="TOC3"/>
            <w:rPr>
              <w:rFonts w:asciiTheme="minorHAnsi" w:eastAsiaTheme="minorEastAsia" w:hAnsiTheme="minorHAnsi" w:cstheme="minorBidi"/>
            </w:rPr>
          </w:pPr>
          <w:hyperlink w:anchor="_Toc37845732" w:history="1">
            <w:r w:rsidR="006F0CA3" w:rsidRPr="00473300">
              <w:rPr>
                <w:rStyle w:val="Hyperlink"/>
              </w:rPr>
              <w:t>Appraisal of the evidence</w:t>
            </w:r>
            <w:r w:rsidR="006F0CA3">
              <w:rPr>
                <w:webHidden/>
              </w:rPr>
              <w:tab/>
            </w:r>
            <w:r w:rsidR="006F0CA3">
              <w:rPr>
                <w:webHidden/>
              </w:rPr>
              <w:fldChar w:fldCharType="begin"/>
            </w:r>
            <w:r w:rsidR="006F0CA3">
              <w:rPr>
                <w:webHidden/>
              </w:rPr>
              <w:instrText xml:space="preserve"> PAGEREF _Toc37845732 \h </w:instrText>
            </w:r>
            <w:r w:rsidR="006F0CA3">
              <w:rPr>
                <w:webHidden/>
              </w:rPr>
            </w:r>
            <w:r w:rsidR="006F0CA3">
              <w:rPr>
                <w:webHidden/>
              </w:rPr>
              <w:fldChar w:fldCharType="separate"/>
            </w:r>
            <w:r w:rsidR="00EA5DC1">
              <w:rPr>
                <w:webHidden/>
              </w:rPr>
              <w:t>43</w:t>
            </w:r>
            <w:r w:rsidR="006F0CA3">
              <w:rPr>
                <w:webHidden/>
              </w:rPr>
              <w:fldChar w:fldCharType="end"/>
            </w:r>
          </w:hyperlink>
        </w:p>
        <w:p w14:paraId="1A80A670" w14:textId="66486319" w:rsidR="006F0CA3" w:rsidRDefault="00515153">
          <w:pPr>
            <w:pStyle w:val="TOC2"/>
            <w:tabs>
              <w:tab w:val="left" w:pos="1418"/>
            </w:tabs>
            <w:rPr>
              <w:rFonts w:asciiTheme="minorHAnsi" w:eastAsiaTheme="minorEastAsia" w:hAnsiTheme="minorHAnsi" w:cstheme="minorBidi"/>
            </w:rPr>
          </w:pPr>
          <w:hyperlink w:anchor="_Toc37845733" w:history="1">
            <w:r w:rsidR="006F0CA3" w:rsidRPr="00473300">
              <w:rPr>
                <w:rStyle w:val="Hyperlink"/>
              </w:rPr>
              <w:t>B.3.</w:t>
            </w:r>
            <w:r w:rsidR="006F0CA3">
              <w:rPr>
                <w:rFonts w:asciiTheme="minorHAnsi" w:eastAsiaTheme="minorEastAsia" w:hAnsiTheme="minorHAnsi" w:cstheme="minorBidi"/>
              </w:rPr>
              <w:tab/>
            </w:r>
            <w:r w:rsidR="006F0CA3" w:rsidRPr="00473300">
              <w:rPr>
                <w:rStyle w:val="Hyperlink"/>
              </w:rPr>
              <w:t>Risk of Bias Assessment</w:t>
            </w:r>
            <w:r w:rsidR="006F0CA3">
              <w:rPr>
                <w:webHidden/>
              </w:rPr>
              <w:tab/>
            </w:r>
            <w:r w:rsidR="006F0CA3">
              <w:rPr>
                <w:webHidden/>
              </w:rPr>
              <w:fldChar w:fldCharType="begin"/>
            </w:r>
            <w:r w:rsidR="006F0CA3">
              <w:rPr>
                <w:webHidden/>
              </w:rPr>
              <w:instrText xml:space="preserve"> PAGEREF _Toc37845733 \h </w:instrText>
            </w:r>
            <w:r w:rsidR="006F0CA3">
              <w:rPr>
                <w:webHidden/>
              </w:rPr>
            </w:r>
            <w:r w:rsidR="006F0CA3">
              <w:rPr>
                <w:webHidden/>
              </w:rPr>
              <w:fldChar w:fldCharType="separate"/>
            </w:r>
            <w:r w:rsidR="00EA5DC1">
              <w:rPr>
                <w:webHidden/>
              </w:rPr>
              <w:t>44</w:t>
            </w:r>
            <w:r w:rsidR="006F0CA3">
              <w:rPr>
                <w:webHidden/>
              </w:rPr>
              <w:fldChar w:fldCharType="end"/>
            </w:r>
          </w:hyperlink>
        </w:p>
        <w:p w14:paraId="547DE762" w14:textId="05E4A931" w:rsidR="006F0CA3" w:rsidRDefault="00515153">
          <w:pPr>
            <w:pStyle w:val="TOC3"/>
            <w:rPr>
              <w:rFonts w:asciiTheme="minorHAnsi" w:eastAsiaTheme="minorEastAsia" w:hAnsiTheme="minorHAnsi" w:cstheme="minorBidi"/>
            </w:rPr>
          </w:pPr>
          <w:hyperlink w:anchor="_Toc37845734" w:history="1">
            <w:r w:rsidR="006F0CA3" w:rsidRPr="00473300">
              <w:rPr>
                <w:rStyle w:val="Hyperlink"/>
              </w:rPr>
              <w:t>Randomised studies</w:t>
            </w:r>
            <w:r w:rsidR="006F0CA3">
              <w:rPr>
                <w:webHidden/>
              </w:rPr>
              <w:tab/>
            </w:r>
            <w:r w:rsidR="006F0CA3">
              <w:rPr>
                <w:webHidden/>
              </w:rPr>
              <w:fldChar w:fldCharType="begin"/>
            </w:r>
            <w:r w:rsidR="006F0CA3">
              <w:rPr>
                <w:webHidden/>
              </w:rPr>
              <w:instrText xml:space="preserve"> PAGEREF _Toc37845734 \h </w:instrText>
            </w:r>
            <w:r w:rsidR="006F0CA3">
              <w:rPr>
                <w:webHidden/>
              </w:rPr>
            </w:r>
            <w:r w:rsidR="006F0CA3">
              <w:rPr>
                <w:webHidden/>
              </w:rPr>
              <w:fldChar w:fldCharType="separate"/>
            </w:r>
            <w:r w:rsidR="00EA5DC1">
              <w:rPr>
                <w:webHidden/>
              </w:rPr>
              <w:t>44</w:t>
            </w:r>
            <w:r w:rsidR="006F0CA3">
              <w:rPr>
                <w:webHidden/>
              </w:rPr>
              <w:fldChar w:fldCharType="end"/>
            </w:r>
          </w:hyperlink>
        </w:p>
        <w:p w14:paraId="7D228C7D" w14:textId="738B99BD" w:rsidR="006F0CA3" w:rsidRDefault="00515153">
          <w:pPr>
            <w:pStyle w:val="TOC3"/>
            <w:rPr>
              <w:rFonts w:asciiTheme="minorHAnsi" w:eastAsiaTheme="minorEastAsia" w:hAnsiTheme="minorHAnsi" w:cstheme="minorBidi"/>
            </w:rPr>
          </w:pPr>
          <w:hyperlink w:anchor="_Toc37845735" w:history="1">
            <w:r w:rsidR="006F0CA3" w:rsidRPr="00473300">
              <w:rPr>
                <w:rStyle w:val="Hyperlink"/>
                <w:b/>
                <w:smallCaps/>
              </w:rPr>
              <w:t>Single arm studies</w:t>
            </w:r>
            <w:r w:rsidR="006F0CA3">
              <w:rPr>
                <w:webHidden/>
              </w:rPr>
              <w:tab/>
            </w:r>
            <w:r w:rsidR="006F0CA3">
              <w:rPr>
                <w:webHidden/>
              </w:rPr>
              <w:fldChar w:fldCharType="begin"/>
            </w:r>
            <w:r w:rsidR="006F0CA3">
              <w:rPr>
                <w:webHidden/>
              </w:rPr>
              <w:instrText xml:space="preserve"> PAGEREF _Toc37845735 \h </w:instrText>
            </w:r>
            <w:r w:rsidR="006F0CA3">
              <w:rPr>
                <w:webHidden/>
              </w:rPr>
            </w:r>
            <w:r w:rsidR="006F0CA3">
              <w:rPr>
                <w:webHidden/>
              </w:rPr>
              <w:fldChar w:fldCharType="separate"/>
            </w:r>
            <w:r w:rsidR="00EA5DC1">
              <w:rPr>
                <w:webHidden/>
              </w:rPr>
              <w:t>45</w:t>
            </w:r>
            <w:r w:rsidR="006F0CA3">
              <w:rPr>
                <w:webHidden/>
              </w:rPr>
              <w:fldChar w:fldCharType="end"/>
            </w:r>
          </w:hyperlink>
        </w:p>
        <w:p w14:paraId="31749B36" w14:textId="0B7E0478" w:rsidR="006F0CA3" w:rsidRDefault="00515153">
          <w:pPr>
            <w:pStyle w:val="TOC2"/>
            <w:tabs>
              <w:tab w:val="left" w:pos="1418"/>
            </w:tabs>
            <w:rPr>
              <w:rFonts w:asciiTheme="minorHAnsi" w:eastAsiaTheme="minorEastAsia" w:hAnsiTheme="minorHAnsi" w:cstheme="minorBidi"/>
            </w:rPr>
          </w:pPr>
          <w:hyperlink w:anchor="_Toc37845736" w:history="1">
            <w:r w:rsidR="006F0CA3" w:rsidRPr="00473300">
              <w:rPr>
                <w:rStyle w:val="Hyperlink"/>
              </w:rPr>
              <w:t>B.4.</w:t>
            </w:r>
            <w:r w:rsidR="006F0CA3">
              <w:rPr>
                <w:rFonts w:asciiTheme="minorHAnsi" w:eastAsiaTheme="minorEastAsia" w:hAnsiTheme="minorHAnsi" w:cstheme="minorBidi"/>
              </w:rPr>
              <w:tab/>
            </w:r>
            <w:r w:rsidR="006F0CA3" w:rsidRPr="00473300">
              <w:rPr>
                <w:rStyle w:val="Hyperlink"/>
              </w:rPr>
              <w:t>Characteristics of the Evidence Base</w:t>
            </w:r>
            <w:r w:rsidR="006F0CA3">
              <w:rPr>
                <w:webHidden/>
              </w:rPr>
              <w:tab/>
            </w:r>
            <w:r w:rsidR="006F0CA3">
              <w:rPr>
                <w:webHidden/>
              </w:rPr>
              <w:fldChar w:fldCharType="begin"/>
            </w:r>
            <w:r w:rsidR="006F0CA3">
              <w:rPr>
                <w:webHidden/>
              </w:rPr>
              <w:instrText xml:space="preserve"> PAGEREF _Toc37845736 \h </w:instrText>
            </w:r>
            <w:r w:rsidR="006F0CA3">
              <w:rPr>
                <w:webHidden/>
              </w:rPr>
            </w:r>
            <w:r w:rsidR="006F0CA3">
              <w:rPr>
                <w:webHidden/>
              </w:rPr>
              <w:fldChar w:fldCharType="separate"/>
            </w:r>
            <w:r w:rsidR="00EA5DC1">
              <w:rPr>
                <w:webHidden/>
              </w:rPr>
              <w:t>46</w:t>
            </w:r>
            <w:r w:rsidR="006F0CA3">
              <w:rPr>
                <w:webHidden/>
              </w:rPr>
              <w:fldChar w:fldCharType="end"/>
            </w:r>
          </w:hyperlink>
        </w:p>
        <w:p w14:paraId="61732D93" w14:textId="0C17721B" w:rsidR="006F0CA3" w:rsidRDefault="00515153">
          <w:pPr>
            <w:pStyle w:val="TOC3"/>
            <w:rPr>
              <w:rFonts w:asciiTheme="minorHAnsi" w:eastAsiaTheme="minorEastAsia" w:hAnsiTheme="minorHAnsi" w:cstheme="minorBidi"/>
            </w:rPr>
          </w:pPr>
          <w:hyperlink w:anchor="_Toc37845737" w:history="1">
            <w:r w:rsidR="006F0CA3" w:rsidRPr="00473300">
              <w:rPr>
                <w:rStyle w:val="Hyperlink"/>
              </w:rPr>
              <w:t>Randomised studies</w:t>
            </w:r>
            <w:r w:rsidR="006F0CA3">
              <w:rPr>
                <w:webHidden/>
              </w:rPr>
              <w:tab/>
            </w:r>
            <w:r w:rsidR="006F0CA3">
              <w:rPr>
                <w:webHidden/>
              </w:rPr>
              <w:fldChar w:fldCharType="begin"/>
            </w:r>
            <w:r w:rsidR="006F0CA3">
              <w:rPr>
                <w:webHidden/>
              </w:rPr>
              <w:instrText xml:space="preserve"> PAGEREF _Toc37845737 \h </w:instrText>
            </w:r>
            <w:r w:rsidR="006F0CA3">
              <w:rPr>
                <w:webHidden/>
              </w:rPr>
            </w:r>
            <w:r w:rsidR="006F0CA3">
              <w:rPr>
                <w:webHidden/>
              </w:rPr>
              <w:fldChar w:fldCharType="separate"/>
            </w:r>
            <w:r w:rsidR="00EA5DC1">
              <w:rPr>
                <w:webHidden/>
              </w:rPr>
              <w:t>46</w:t>
            </w:r>
            <w:r w:rsidR="006F0CA3">
              <w:rPr>
                <w:webHidden/>
              </w:rPr>
              <w:fldChar w:fldCharType="end"/>
            </w:r>
          </w:hyperlink>
        </w:p>
        <w:p w14:paraId="1AA83AC5" w14:textId="481F66EF" w:rsidR="006F0CA3" w:rsidRDefault="00515153">
          <w:pPr>
            <w:pStyle w:val="TOC3"/>
            <w:rPr>
              <w:rFonts w:asciiTheme="minorHAnsi" w:eastAsiaTheme="minorEastAsia" w:hAnsiTheme="minorHAnsi" w:cstheme="minorBidi"/>
            </w:rPr>
          </w:pPr>
          <w:hyperlink w:anchor="_Toc37845738" w:history="1">
            <w:r w:rsidR="006F0CA3" w:rsidRPr="00473300">
              <w:rPr>
                <w:rStyle w:val="Hyperlink"/>
                <w:b/>
                <w:smallCaps/>
              </w:rPr>
              <w:t>Single arm studies</w:t>
            </w:r>
            <w:r w:rsidR="006F0CA3">
              <w:rPr>
                <w:webHidden/>
              </w:rPr>
              <w:tab/>
            </w:r>
            <w:r w:rsidR="006F0CA3">
              <w:rPr>
                <w:webHidden/>
              </w:rPr>
              <w:fldChar w:fldCharType="begin"/>
            </w:r>
            <w:r w:rsidR="006F0CA3">
              <w:rPr>
                <w:webHidden/>
              </w:rPr>
              <w:instrText xml:space="preserve"> PAGEREF _Toc37845738 \h </w:instrText>
            </w:r>
            <w:r w:rsidR="006F0CA3">
              <w:rPr>
                <w:webHidden/>
              </w:rPr>
            </w:r>
            <w:r w:rsidR="006F0CA3">
              <w:rPr>
                <w:webHidden/>
              </w:rPr>
              <w:fldChar w:fldCharType="separate"/>
            </w:r>
            <w:r w:rsidR="00EA5DC1">
              <w:rPr>
                <w:webHidden/>
              </w:rPr>
              <w:t>49</w:t>
            </w:r>
            <w:r w:rsidR="006F0CA3">
              <w:rPr>
                <w:webHidden/>
              </w:rPr>
              <w:fldChar w:fldCharType="end"/>
            </w:r>
          </w:hyperlink>
        </w:p>
        <w:p w14:paraId="42E34D4A" w14:textId="1CB7B26F" w:rsidR="006F0CA3" w:rsidRDefault="00515153">
          <w:pPr>
            <w:pStyle w:val="TOC2"/>
            <w:tabs>
              <w:tab w:val="left" w:pos="1418"/>
            </w:tabs>
            <w:rPr>
              <w:rFonts w:asciiTheme="minorHAnsi" w:eastAsiaTheme="minorEastAsia" w:hAnsiTheme="minorHAnsi" w:cstheme="minorBidi"/>
            </w:rPr>
          </w:pPr>
          <w:hyperlink w:anchor="_Toc37845739" w:history="1">
            <w:r w:rsidR="006F0CA3" w:rsidRPr="00473300">
              <w:rPr>
                <w:rStyle w:val="Hyperlink"/>
              </w:rPr>
              <w:t>B.5.</w:t>
            </w:r>
            <w:r w:rsidR="006F0CA3">
              <w:rPr>
                <w:rFonts w:asciiTheme="minorHAnsi" w:eastAsiaTheme="minorEastAsia" w:hAnsiTheme="minorHAnsi" w:cstheme="minorBidi"/>
              </w:rPr>
              <w:tab/>
            </w:r>
            <w:r w:rsidR="006F0CA3" w:rsidRPr="00473300">
              <w:rPr>
                <w:rStyle w:val="Hyperlink"/>
              </w:rPr>
              <w:t>Outcome Measures and Analysis</w:t>
            </w:r>
            <w:r w:rsidR="006F0CA3">
              <w:rPr>
                <w:webHidden/>
              </w:rPr>
              <w:tab/>
            </w:r>
            <w:r w:rsidR="006F0CA3">
              <w:rPr>
                <w:webHidden/>
              </w:rPr>
              <w:fldChar w:fldCharType="begin"/>
            </w:r>
            <w:r w:rsidR="006F0CA3">
              <w:rPr>
                <w:webHidden/>
              </w:rPr>
              <w:instrText xml:space="preserve"> PAGEREF _Toc37845739 \h </w:instrText>
            </w:r>
            <w:r w:rsidR="006F0CA3">
              <w:rPr>
                <w:webHidden/>
              </w:rPr>
            </w:r>
            <w:r w:rsidR="006F0CA3">
              <w:rPr>
                <w:webHidden/>
              </w:rPr>
              <w:fldChar w:fldCharType="separate"/>
            </w:r>
            <w:r w:rsidR="00EA5DC1">
              <w:rPr>
                <w:webHidden/>
              </w:rPr>
              <w:t>51</w:t>
            </w:r>
            <w:r w:rsidR="006F0CA3">
              <w:rPr>
                <w:webHidden/>
              </w:rPr>
              <w:fldChar w:fldCharType="end"/>
            </w:r>
          </w:hyperlink>
        </w:p>
        <w:p w14:paraId="2518F2CA" w14:textId="4AB10F24" w:rsidR="006F0CA3" w:rsidRDefault="00515153">
          <w:pPr>
            <w:pStyle w:val="TOC3"/>
            <w:rPr>
              <w:rFonts w:asciiTheme="minorHAnsi" w:eastAsiaTheme="minorEastAsia" w:hAnsiTheme="minorHAnsi" w:cstheme="minorBidi"/>
            </w:rPr>
          </w:pPr>
          <w:hyperlink w:anchor="_Toc37845740" w:history="1">
            <w:r w:rsidR="006F0CA3" w:rsidRPr="00473300">
              <w:rPr>
                <w:rStyle w:val="Hyperlink"/>
              </w:rPr>
              <w:t>Outcomes from RCTs</w:t>
            </w:r>
            <w:r w:rsidR="006F0CA3">
              <w:rPr>
                <w:webHidden/>
              </w:rPr>
              <w:tab/>
            </w:r>
            <w:r w:rsidR="006F0CA3">
              <w:rPr>
                <w:webHidden/>
              </w:rPr>
              <w:fldChar w:fldCharType="begin"/>
            </w:r>
            <w:r w:rsidR="006F0CA3">
              <w:rPr>
                <w:webHidden/>
              </w:rPr>
              <w:instrText xml:space="preserve"> PAGEREF _Toc37845740 \h </w:instrText>
            </w:r>
            <w:r w:rsidR="006F0CA3">
              <w:rPr>
                <w:webHidden/>
              </w:rPr>
            </w:r>
            <w:r w:rsidR="006F0CA3">
              <w:rPr>
                <w:webHidden/>
              </w:rPr>
              <w:fldChar w:fldCharType="separate"/>
            </w:r>
            <w:r w:rsidR="00EA5DC1">
              <w:rPr>
                <w:webHidden/>
              </w:rPr>
              <w:t>51</w:t>
            </w:r>
            <w:r w:rsidR="006F0CA3">
              <w:rPr>
                <w:webHidden/>
              </w:rPr>
              <w:fldChar w:fldCharType="end"/>
            </w:r>
          </w:hyperlink>
        </w:p>
        <w:p w14:paraId="4927003B" w14:textId="347E11A6" w:rsidR="006F0CA3" w:rsidRDefault="00515153">
          <w:pPr>
            <w:pStyle w:val="TOC3"/>
            <w:rPr>
              <w:rFonts w:asciiTheme="minorHAnsi" w:eastAsiaTheme="minorEastAsia" w:hAnsiTheme="minorHAnsi" w:cstheme="minorBidi"/>
            </w:rPr>
          </w:pPr>
          <w:hyperlink w:anchor="_Toc37845741" w:history="1">
            <w:r w:rsidR="006F0CA3" w:rsidRPr="00473300">
              <w:rPr>
                <w:rStyle w:val="Hyperlink"/>
              </w:rPr>
              <w:t>Outcomes from single arm studies</w:t>
            </w:r>
            <w:r w:rsidR="006F0CA3">
              <w:rPr>
                <w:webHidden/>
              </w:rPr>
              <w:tab/>
            </w:r>
            <w:r w:rsidR="006F0CA3">
              <w:rPr>
                <w:webHidden/>
              </w:rPr>
              <w:fldChar w:fldCharType="begin"/>
            </w:r>
            <w:r w:rsidR="006F0CA3">
              <w:rPr>
                <w:webHidden/>
              </w:rPr>
              <w:instrText xml:space="preserve"> PAGEREF _Toc37845741 \h </w:instrText>
            </w:r>
            <w:r w:rsidR="006F0CA3">
              <w:rPr>
                <w:webHidden/>
              </w:rPr>
            </w:r>
            <w:r w:rsidR="006F0CA3">
              <w:rPr>
                <w:webHidden/>
              </w:rPr>
              <w:fldChar w:fldCharType="separate"/>
            </w:r>
            <w:r w:rsidR="00EA5DC1">
              <w:rPr>
                <w:webHidden/>
              </w:rPr>
              <w:t>51</w:t>
            </w:r>
            <w:r w:rsidR="006F0CA3">
              <w:rPr>
                <w:webHidden/>
              </w:rPr>
              <w:fldChar w:fldCharType="end"/>
            </w:r>
          </w:hyperlink>
        </w:p>
        <w:p w14:paraId="7840B0E5" w14:textId="0619F417" w:rsidR="006F0CA3" w:rsidRDefault="00515153">
          <w:pPr>
            <w:pStyle w:val="TOC2"/>
            <w:tabs>
              <w:tab w:val="left" w:pos="1418"/>
            </w:tabs>
            <w:rPr>
              <w:rFonts w:asciiTheme="minorHAnsi" w:eastAsiaTheme="minorEastAsia" w:hAnsiTheme="minorHAnsi" w:cstheme="minorBidi"/>
            </w:rPr>
          </w:pPr>
          <w:hyperlink w:anchor="_Toc37845742" w:history="1">
            <w:r w:rsidR="006F0CA3" w:rsidRPr="00473300">
              <w:rPr>
                <w:rStyle w:val="Hyperlink"/>
              </w:rPr>
              <w:t>B.6.</w:t>
            </w:r>
            <w:r w:rsidR="006F0CA3">
              <w:rPr>
                <w:rFonts w:asciiTheme="minorHAnsi" w:eastAsiaTheme="minorEastAsia" w:hAnsiTheme="minorHAnsi" w:cstheme="minorBidi"/>
              </w:rPr>
              <w:tab/>
            </w:r>
            <w:r w:rsidR="006F0CA3" w:rsidRPr="00473300">
              <w:rPr>
                <w:rStyle w:val="Hyperlink"/>
              </w:rPr>
              <w:t>Results of the Systematic Literature review</w:t>
            </w:r>
            <w:r w:rsidR="006F0CA3">
              <w:rPr>
                <w:webHidden/>
              </w:rPr>
              <w:tab/>
            </w:r>
            <w:r w:rsidR="006F0CA3">
              <w:rPr>
                <w:webHidden/>
              </w:rPr>
              <w:fldChar w:fldCharType="begin"/>
            </w:r>
            <w:r w:rsidR="006F0CA3">
              <w:rPr>
                <w:webHidden/>
              </w:rPr>
              <w:instrText xml:space="preserve"> PAGEREF _Toc37845742 \h </w:instrText>
            </w:r>
            <w:r w:rsidR="006F0CA3">
              <w:rPr>
                <w:webHidden/>
              </w:rPr>
            </w:r>
            <w:r w:rsidR="006F0CA3">
              <w:rPr>
                <w:webHidden/>
              </w:rPr>
              <w:fldChar w:fldCharType="separate"/>
            </w:r>
            <w:r w:rsidR="00EA5DC1">
              <w:rPr>
                <w:webHidden/>
              </w:rPr>
              <w:t>52</w:t>
            </w:r>
            <w:r w:rsidR="006F0CA3">
              <w:rPr>
                <w:webHidden/>
              </w:rPr>
              <w:fldChar w:fldCharType="end"/>
            </w:r>
          </w:hyperlink>
        </w:p>
        <w:p w14:paraId="64CF3CBF" w14:textId="523E2262" w:rsidR="006F0CA3" w:rsidRDefault="00515153">
          <w:pPr>
            <w:pStyle w:val="TOC3"/>
            <w:rPr>
              <w:rFonts w:asciiTheme="minorHAnsi" w:eastAsiaTheme="minorEastAsia" w:hAnsiTheme="minorHAnsi" w:cstheme="minorBidi"/>
            </w:rPr>
          </w:pPr>
          <w:hyperlink w:anchor="_Toc37845743" w:history="1">
            <w:r w:rsidR="006F0CA3" w:rsidRPr="00473300">
              <w:rPr>
                <w:rStyle w:val="Hyperlink"/>
              </w:rPr>
              <w:t>Is it safe?</w:t>
            </w:r>
            <w:r w:rsidR="006F0CA3">
              <w:rPr>
                <w:webHidden/>
              </w:rPr>
              <w:tab/>
            </w:r>
            <w:r w:rsidR="006F0CA3">
              <w:rPr>
                <w:webHidden/>
              </w:rPr>
              <w:fldChar w:fldCharType="begin"/>
            </w:r>
            <w:r w:rsidR="006F0CA3">
              <w:rPr>
                <w:webHidden/>
              </w:rPr>
              <w:instrText xml:space="preserve"> PAGEREF _Toc37845743 \h </w:instrText>
            </w:r>
            <w:r w:rsidR="006F0CA3">
              <w:rPr>
                <w:webHidden/>
              </w:rPr>
            </w:r>
            <w:r w:rsidR="006F0CA3">
              <w:rPr>
                <w:webHidden/>
              </w:rPr>
              <w:fldChar w:fldCharType="separate"/>
            </w:r>
            <w:r w:rsidR="00EA5DC1">
              <w:rPr>
                <w:webHidden/>
              </w:rPr>
              <w:t>52</w:t>
            </w:r>
            <w:r w:rsidR="006F0CA3">
              <w:rPr>
                <w:webHidden/>
              </w:rPr>
              <w:fldChar w:fldCharType="end"/>
            </w:r>
          </w:hyperlink>
        </w:p>
        <w:p w14:paraId="7D5A5974" w14:textId="59714211" w:rsidR="006F0CA3" w:rsidRDefault="00515153">
          <w:pPr>
            <w:pStyle w:val="TOC3"/>
            <w:rPr>
              <w:rFonts w:asciiTheme="minorHAnsi" w:eastAsiaTheme="minorEastAsia" w:hAnsiTheme="minorHAnsi" w:cstheme="minorBidi"/>
            </w:rPr>
          </w:pPr>
          <w:hyperlink w:anchor="_Toc37845744" w:history="1">
            <w:r w:rsidR="006F0CA3" w:rsidRPr="00473300">
              <w:rPr>
                <w:rStyle w:val="Hyperlink"/>
              </w:rPr>
              <w:t>Is it effective?</w:t>
            </w:r>
            <w:r w:rsidR="006F0CA3">
              <w:rPr>
                <w:webHidden/>
              </w:rPr>
              <w:tab/>
            </w:r>
            <w:r w:rsidR="006F0CA3">
              <w:rPr>
                <w:webHidden/>
              </w:rPr>
              <w:fldChar w:fldCharType="begin"/>
            </w:r>
            <w:r w:rsidR="006F0CA3">
              <w:rPr>
                <w:webHidden/>
              </w:rPr>
              <w:instrText xml:space="preserve"> PAGEREF _Toc37845744 \h </w:instrText>
            </w:r>
            <w:r w:rsidR="006F0CA3">
              <w:rPr>
                <w:webHidden/>
              </w:rPr>
            </w:r>
            <w:r w:rsidR="006F0CA3">
              <w:rPr>
                <w:webHidden/>
              </w:rPr>
              <w:fldChar w:fldCharType="separate"/>
            </w:r>
            <w:r w:rsidR="00EA5DC1">
              <w:rPr>
                <w:webHidden/>
              </w:rPr>
              <w:t>58</w:t>
            </w:r>
            <w:r w:rsidR="006F0CA3">
              <w:rPr>
                <w:webHidden/>
              </w:rPr>
              <w:fldChar w:fldCharType="end"/>
            </w:r>
          </w:hyperlink>
        </w:p>
        <w:p w14:paraId="0E26B0D4" w14:textId="51C8E496" w:rsidR="006F0CA3" w:rsidRDefault="00515153">
          <w:pPr>
            <w:pStyle w:val="TOC3"/>
            <w:rPr>
              <w:rFonts w:asciiTheme="minorHAnsi" w:eastAsiaTheme="minorEastAsia" w:hAnsiTheme="minorHAnsi" w:cstheme="minorBidi"/>
            </w:rPr>
          </w:pPr>
          <w:hyperlink w:anchor="_Toc37845745" w:history="1">
            <w:r w:rsidR="006F0CA3" w:rsidRPr="00473300">
              <w:rPr>
                <w:rStyle w:val="Hyperlink"/>
              </w:rPr>
              <w:t>Effectiveness on disability</w:t>
            </w:r>
            <w:r w:rsidR="006F0CA3">
              <w:rPr>
                <w:webHidden/>
              </w:rPr>
              <w:tab/>
            </w:r>
            <w:r w:rsidR="006F0CA3">
              <w:rPr>
                <w:webHidden/>
              </w:rPr>
              <w:fldChar w:fldCharType="begin"/>
            </w:r>
            <w:r w:rsidR="006F0CA3">
              <w:rPr>
                <w:webHidden/>
              </w:rPr>
              <w:instrText xml:space="preserve"> PAGEREF _Toc37845745 \h </w:instrText>
            </w:r>
            <w:r w:rsidR="006F0CA3">
              <w:rPr>
                <w:webHidden/>
              </w:rPr>
            </w:r>
            <w:r w:rsidR="006F0CA3">
              <w:rPr>
                <w:webHidden/>
              </w:rPr>
              <w:fldChar w:fldCharType="separate"/>
            </w:r>
            <w:r w:rsidR="00EA5DC1">
              <w:rPr>
                <w:webHidden/>
              </w:rPr>
              <w:t>59</w:t>
            </w:r>
            <w:r w:rsidR="006F0CA3">
              <w:rPr>
                <w:webHidden/>
              </w:rPr>
              <w:fldChar w:fldCharType="end"/>
            </w:r>
          </w:hyperlink>
        </w:p>
        <w:p w14:paraId="7D5A67E3" w14:textId="5853981A" w:rsidR="006F0CA3" w:rsidRDefault="00515153">
          <w:pPr>
            <w:pStyle w:val="TOC3"/>
            <w:rPr>
              <w:rFonts w:asciiTheme="minorHAnsi" w:eastAsiaTheme="minorEastAsia" w:hAnsiTheme="minorHAnsi" w:cstheme="minorBidi"/>
            </w:rPr>
          </w:pPr>
          <w:hyperlink w:anchor="_Toc37845746" w:history="1">
            <w:r w:rsidR="006F0CA3" w:rsidRPr="00473300">
              <w:rPr>
                <w:rStyle w:val="Hyperlink"/>
              </w:rPr>
              <w:t>Effectiveness measured as improvement in muscle strength</w:t>
            </w:r>
            <w:r w:rsidR="006F0CA3">
              <w:rPr>
                <w:webHidden/>
              </w:rPr>
              <w:tab/>
            </w:r>
            <w:r w:rsidR="006F0CA3">
              <w:rPr>
                <w:webHidden/>
              </w:rPr>
              <w:fldChar w:fldCharType="begin"/>
            </w:r>
            <w:r w:rsidR="006F0CA3">
              <w:rPr>
                <w:webHidden/>
              </w:rPr>
              <w:instrText xml:space="preserve"> PAGEREF _Toc37845746 \h </w:instrText>
            </w:r>
            <w:r w:rsidR="006F0CA3">
              <w:rPr>
                <w:webHidden/>
              </w:rPr>
            </w:r>
            <w:r w:rsidR="006F0CA3">
              <w:rPr>
                <w:webHidden/>
              </w:rPr>
              <w:fldChar w:fldCharType="separate"/>
            </w:r>
            <w:r w:rsidR="00EA5DC1">
              <w:rPr>
                <w:webHidden/>
              </w:rPr>
              <w:t>62</w:t>
            </w:r>
            <w:r w:rsidR="006F0CA3">
              <w:rPr>
                <w:webHidden/>
              </w:rPr>
              <w:fldChar w:fldCharType="end"/>
            </w:r>
          </w:hyperlink>
        </w:p>
        <w:p w14:paraId="10507C7C" w14:textId="66F9AAD3" w:rsidR="006F0CA3" w:rsidRDefault="00515153">
          <w:pPr>
            <w:pStyle w:val="TOC3"/>
            <w:rPr>
              <w:rFonts w:asciiTheme="minorHAnsi" w:eastAsiaTheme="minorEastAsia" w:hAnsiTheme="minorHAnsi" w:cstheme="minorBidi"/>
            </w:rPr>
          </w:pPr>
          <w:hyperlink w:anchor="_Toc37845747" w:history="1">
            <w:r w:rsidR="006F0CA3" w:rsidRPr="00473300">
              <w:rPr>
                <w:rStyle w:val="Hyperlink"/>
              </w:rPr>
              <w:t>Quality of life</w:t>
            </w:r>
            <w:r w:rsidR="006F0CA3">
              <w:rPr>
                <w:webHidden/>
              </w:rPr>
              <w:tab/>
            </w:r>
            <w:r w:rsidR="006F0CA3">
              <w:rPr>
                <w:webHidden/>
              </w:rPr>
              <w:fldChar w:fldCharType="begin"/>
            </w:r>
            <w:r w:rsidR="006F0CA3">
              <w:rPr>
                <w:webHidden/>
              </w:rPr>
              <w:instrText xml:space="preserve"> PAGEREF _Toc37845747 \h </w:instrText>
            </w:r>
            <w:r w:rsidR="006F0CA3">
              <w:rPr>
                <w:webHidden/>
              </w:rPr>
            </w:r>
            <w:r w:rsidR="006F0CA3">
              <w:rPr>
                <w:webHidden/>
              </w:rPr>
              <w:fldChar w:fldCharType="separate"/>
            </w:r>
            <w:r w:rsidR="00EA5DC1">
              <w:rPr>
                <w:webHidden/>
              </w:rPr>
              <w:t>64</w:t>
            </w:r>
            <w:r w:rsidR="006F0CA3">
              <w:rPr>
                <w:webHidden/>
              </w:rPr>
              <w:fldChar w:fldCharType="end"/>
            </w:r>
          </w:hyperlink>
        </w:p>
        <w:p w14:paraId="7AC44ED3" w14:textId="1AD894D2" w:rsidR="006F0CA3" w:rsidRDefault="00515153">
          <w:pPr>
            <w:pStyle w:val="TOC1"/>
            <w:rPr>
              <w:rFonts w:asciiTheme="minorHAnsi" w:eastAsiaTheme="minorEastAsia" w:hAnsiTheme="minorHAnsi" w:cstheme="minorBidi"/>
              <w:b w:val="0"/>
            </w:rPr>
          </w:pPr>
          <w:hyperlink w:anchor="_Toc37845748" w:history="1">
            <w:r w:rsidR="006F0CA3" w:rsidRPr="00473300">
              <w:rPr>
                <w:rStyle w:val="Hyperlink"/>
              </w:rPr>
              <w:t>Section C</w:t>
            </w:r>
            <w:r w:rsidR="006F0CA3">
              <w:rPr>
                <w:rFonts w:asciiTheme="minorHAnsi" w:eastAsiaTheme="minorEastAsia" w:hAnsiTheme="minorHAnsi" w:cstheme="minorBidi"/>
                <w:b w:val="0"/>
              </w:rPr>
              <w:tab/>
            </w:r>
            <w:r w:rsidR="006F0CA3" w:rsidRPr="00473300">
              <w:rPr>
                <w:rStyle w:val="Hyperlink"/>
              </w:rPr>
              <w:t>Translation Issues</w:t>
            </w:r>
            <w:r w:rsidR="006F0CA3">
              <w:rPr>
                <w:webHidden/>
              </w:rPr>
              <w:tab/>
            </w:r>
            <w:r w:rsidR="006F0CA3">
              <w:rPr>
                <w:webHidden/>
              </w:rPr>
              <w:fldChar w:fldCharType="begin"/>
            </w:r>
            <w:r w:rsidR="006F0CA3">
              <w:rPr>
                <w:webHidden/>
              </w:rPr>
              <w:instrText xml:space="preserve"> PAGEREF _Toc37845748 \h </w:instrText>
            </w:r>
            <w:r w:rsidR="006F0CA3">
              <w:rPr>
                <w:webHidden/>
              </w:rPr>
            </w:r>
            <w:r w:rsidR="006F0CA3">
              <w:rPr>
                <w:webHidden/>
              </w:rPr>
              <w:fldChar w:fldCharType="separate"/>
            </w:r>
            <w:r w:rsidR="00EA5DC1">
              <w:rPr>
                <w:webHidden/>
              </w:rPr>
              <w:t>67</w:t>
            </w:r>
            <w:r w:rsidR="006F0CA3">
              <w:rPr>
                <w:webHidden/>
              </w:rPr>
              <w:fldChar w:fldCharType="end"/>
            </w:r>
          </w:hyperlink>
        </w:p>
        <w:p w14:paraId="5810F42E" w14:textId="71579C4C" w:rsidR="006F0CA3" w:rsidRDefault="00515153">
          <w:pPr>
            <w:pStyle w:val="TOC2"/>
            <w:tabs>
              <w:tab w:val="left" w:pos="1418"/>
            </w:tabs>
            <w:rPr>
              <w:rFonts w:asciiTheme="minorHAnsi" w:eastAsiaTheme="minorEastAsia" w:hAnsiTheme="minorHAnsi" w:cstheme="minorBidi"/>
            </w:rPr>
          </w:pPr>
          <w:hyperlink w:anchor="_Toc37845749" w:history="1">
            <w:r w:rsidR="006F0CA3" w:rsidRPr="00473300">
              <w:rPr>
                <w:rStyle w:val="Hyperlink"/>
              </w:rPr>
              <w:t>C.1.</w:t>
            </w:r>
            <w:r w:rsidR="006F0CA3">
              <w:rPr>
                <w:rFonts w:asciiTheme="minorHAnsi" w:eastAsiaTheme="minorEastAsia" w:hAnsiTheme="minorHAnsi" w:cstheme="minorBidi"/>
              </w:rPr>
              <w:tab/>
            </w:r>
            <w:r w:rsidR="006F0CA3" w:rsidRPr="00473300">
              <w:rPr>
                <w:rStyle w:val="Hyperlink"/>
              </w:rPr>
              <w:t>Overview</w:t>
            </w:r>
            <w:r w:rsidR="006F0CA3">
              <w:rPr>
                <w:webHidden/>
              </w:rPr>
              <w:tab/>
            </w:r>
            <w:r w:rsidR="006F0CA3">
              <w:rPr>
                <w:webHidden/>
              </w:rPr>
              <w:fldChar w:fldCharType="begin"/>
            </w:r>
            <w:r w:rsidR="006F0CA3">
              <w:rPr>
                <w:webHidden/>
              </w:rPr>
              <w:instrText xml:space="preserve"> PAGEREF _Toc37845749 \h </w:instrText>
            </w:r>
            <w:r w:rsidR="006F0CA3">
              <w:rPr>
                <w:webHidden/>
              </w:rPr>
            </w:r>
            <w:r w:rsidR="006F0CA3">
              <w:rPr>
                <w:webHidden/>
              </w:rPr>
              <w:fldChar w:fldCharType="separate"/>
            </w:r>
            <w:r w:rsidR="00EA5DC1">
              <w:rPr>
                <w:webHidden/>
              </w:rPr>
              <w:t>67</w:t>
            </w:r>
            <w:r w:rsidR="006F0CA3">
              <w:rPr>
                <w:webHidden/>
              </w:rPr>
              <w:fldChar w:fldCharType="end"/>
            </w:r>
          </w:hyperlink>
        </w:p>
        <w:p w14:paraId="1D74688C" w14:textId="225BFF7B" w:rsidR="006F0CA3" w:rsidRDefault="00515153">
          <w:pPr>
            <w:pStyle w:val="TOC2"/>
            <w:tabs>
              <w:tab w:val="left" w:pos="1418"/>
            </w:tabs>
            <w:rPr>
              <w:rFonts w:asciiTheme="minorHAnsi" w:eastAsiaTheme="minorEastAsia" w:hAnsiTheme="minorHAnsi" w:cstheme="minorBidi"/>
            </w:rPr>
          </w:pPr>
          <w:hyperlink w:anchor="_Toc37845750" w:history="1">
            <w:r w:rsidR="006F0CA3" w:rsidRPr="00473300">
              <w:rPr>
                <w:rStyle w:val="Hyperlink"/>
              </w:rPr>
              <w:t>C.2.</w:t>
            </w:r>
            <w:r w:rsidR="006F0CA3">
              <w:rPr>
                <w:rFonts w:asciiTheme="minorHAnsi" w:eastAsiaTheme="minorEastAsia" w:hAnsiTheme="minorHAnsi" w:cstheme="minorBidi"/>
              </w:rPr>
              <w:tab/>
            </w:r>
            <w:r w:rsidR="006F0CA3" w:rsidRPr="00473300">
              <w:rPr>
                <w:rStyle w:val="Hyperlink"/>
              </w:rPr>
              <w:t>Applicability translation issues</w:t>
            </w:r>
            <w:r w:rsidR="006F0CA3">
              <w:rPr>
                <w:webHidden/>
              </w:rPr>
              <w:tab/>
            </w:r>
            <w:r w:rsidR="006F0CA3">
              <w:rPr>
                <w:webHidden/>
              </w:rPr>
              <w:fldChar w:fldCharType="begin"/>
            </w:r>
            <w:r w:rsidR="006F0CA3">
              <w:rPr>
                <w:webHidden/>
              </w:rPr>
              <w:instrText xml:space="preserve"> PAGEREF _Toc37845750 \h </w:instrText>
            </w:r>
            <w:r w:rsidR="006F0CA3">
              <w:rPr>
                <w:webHidden/>
              </w:rPr>
            </w:r>
            <w:r w:rsidR="006F0CA3">
              <w:rPr>
                <w:webHidden/>
              </w:rPr>
              <w:fldChar w:fldCharType="separate"/>
            </w:r>
            <w:r w:rsidR="00EA5DC1">
              <w:rPr>
                <w:webHidden/>
              </w:rPr>
              <w:t>68</w:t>
            </w:r>
            <w:r w:rsidR="006F0CA3">
              <w:rPr>
                <w:webHidden/>
              </w:rPr>
              <w:fldChar w:fldCharType="end"/>
            </w:r>
          </w:hyperlink>
        </w:p>
        <w:p w14:paraId="15DB828D" w14:textId="3CAFD343" w:rsidR="006F0CA3" w:rsidRDefault="00515153">
          <w:pPr>
            <w:pStyle w:val="TOC3"/>
            <w:rPr>
              <w:rFonts w:asciiTheme="minorHAnsi" w:eastAsiaTheme="minorEastAsia" w:hAnsiTheme="minorHAnsi" w:cstheme="minorBidi"/>
            </w:rPr>
          </w:pPr>
          <w:hyperlink w:anchor="_Toc37845751" w:history="1">
            <w:r w:rsidR="006F0CA3" w:rsidRPr="00473300">
              <w:rPr>
                <w:rStyle w:val="Hyperlink"/>
              </w:rPr>
              <w:t>C.2.1 Inclusion and exclusion criteria versus current Version 3 of the criteria</w:t>
            </w:r>
            <w:r w:rsidR="006F0CA3">
              <w:rPr>
                <w:webHidden/>
              </w:rPr>
              <w:tab/>
            </w:r>
            <w:r w:rsidR="006F0CA3">
              <w:rPr>
                <w:webHidden/>
              </w:rPr>
              <w:fldChar w:fldCharType="begin"/>
            </w:r>
            <w:r w:rsidR="006F0CA3">
              <w:rPr>
                <w:webHidden/>
              </w:rPr>
              <w:instrText xml:space="preserve"> PAGEREF _Toc37845751 \h </w:instrText>
            </w:r>
            <w:r w:rsidR="006F0CA3">
              <w:rPr>
                <w:webHidden/>
              </w:rPr>
            </w:r>
            <w:r w:rsidR="006F0CA3">
              <w:rPr>
                <w:webHidden/>
              </w:rPr>
              <w:fldChar w:fldCharType="separate"/>
            </w:r>
            <w:r w:rsidR="00EA5DC1">
              <w:rPr>
                <w:webHidden/>
              </w:rPr>
              <w:t>68</w:t>
            </w:r>
            <w:r w:rsidR="006F0CA3">
              <w:rPr>
                <w:webHidden/>
              </w:rPr>
              <w:fldChar w:fldCharType="end"/>
            </w:r>
          </w:hyperlink>
        </w:p>
        <w:p w14:paraId="212C1DD6" w14:textId="3AC54D3C" w:rsidR="006F0CA3" w:rsidRDefault="00515153">
          <w:pPr>
            <w:pStyle w:val="TOC3"/>
            <w:rPr>
              <w:rFonts w:asciiTheme="minorHAnsi" w:eastAsiaTheme="minorEastAsia" w:hAnsiTheme="minorHAnsi" w:cstheme="minorBidi"/>
            </w:rPr>
          </w:pPr>
          <w:hyperlink w:anchor="_Toc37845752" w:history="1">
            <w:r w:rsidR="006F0CA3" w:rsidRPr="00473300">
              <w:rPr>
                <w:rStyle w:val="Hyperlink"/>
              </w:rPr>
              <w:t>C.2.2 IVIg dosing and frequency of administration.</w:t>
            </w:r>
            <w:r w:rsidR="006F0CA3">
              <w:rPr>
                <w:webHidden/>
              </w:rPr>
              <w:tab/>
            </w:r>
            <w:r w:rsidR="006F0CA3">
              <w:rPr>
                <w:webHidden/>
              </w:rPr>
              <w:fldChar w:fldCharType="begin"/>
            </w:r>
            <w:r w:rsidR="006F0CA3">
              <w:rPr>
                <w:webHidden/>
              </w:rPr>
              <w:instrText xml:space="preserve"> PAGEREF _Toc37845752 \h </w:instrText>
            </w:r>
            <w:r w:rsidR="006F0CA3">
              <w:rPr>
                <w:webHidden/>
              </w:rPr>
            </w:r>
            <w:r w:rsidR="006F0CA3">
              <w:rPr>
                <w:webHidden/>
              </w:rPr>
              <w:fldChar w:fldCharType="separate"/>
            </w:r>
            <w:r w:rsidR="00EA5DC1">
              <w:rPr>
                <w:webHidden/>
              </w:rPr>
              <w:t>72</w:t>
            </w:r>
            <w:r w:rsidR="006F0CA3">
              <w:rPr>
                <w:webHidden/>
              </w:rPr>
              <w:fldChar w:fldCharType="end"/>
            </w:r>
          </w:hyperlink>
        </w:p>
        <w:p w14:paraId="34816094" w14:textId="7305A045" w:rsidR="006F0CA3" w:rsidRDefault="00515153">
          <w:pPr>
            <w:pStyle w:val="TOC3"/>
            <w:rPr>
              <w:rFonts w:asciiTheme="minorHAnsi" w:eastAsiaTheme="minorEastAsia" w:hAnsiTheme="minorHAnsi" w:cstheme="minorBidi"/>
            </w:rPr>
          </w:pPr>
          <w:hyperlink w:anchor="_Toc37845753" w:history="1">
            <w:r w:rsidR="006F0CA3" w:rsidRPr="00473300">
              <w:rPr>
                <w:rStyle w:val="Hyperlink"/>
              </w:rPr>
              <w:t>C.2.3 Patient demographics and settings</w:t>
            </w:r>
            <w:r w:rsidR="006F0CA3">
              <w:rPr>
                <w:webHidden/>
              </w:rPr>
              <w:tab/>
            </w:r>
            <w:r w:rsidR="006F0CA3">
              <w:rPr>
                <w:webHidden/>
              </w:rPr>
              <w:fldChar w:fldCharType="begin"/>
            </w:r>
            <w:r w:rsidR="006F0CA3">
              <w:rPr>
                <w:webHidden/>
              </w:rPr>
              <w:instrText xml:space="preserve"> PAGEREF _Toc37845753 \h </w:instrText>
            </w:r>
            <w:r w:rsidR="006F0CA3">
              <w:rPr>
                <w:webHidden/>
              </w:rPr>
            </w:r>
            <w:r w:rsidR="006F0CA3">
              <w:rPr>
                <w:webHidden/>
              </w:rPr>
              <w:fldChar w:fldCharType="separate"/>
            </w:r>
            <w:r w:rsidR="00EA5DC1">
              <w:rPr>
                <w:webHidden/>
              </w:rPr>
              <w:t>74</w:t>
            </w:r>
            <w:r w:rsidR="006F0CA3">
              <w:rPr>
                <w:webHidden/>
              </w:rPr>
              <w:fldChar w:fldCharType="end"/>
            </w:r>
          </w:hyperlink>
        </w:p>
        <w:p w14:paraId="6262CC54" w14:textId="3F290DD9" w:rsidR="006F0CA3" w:rsidRDefault="00515153">
          <w:pPr>
            <w:pStyle w:val="TOC3"/>
            <w:rPr>
              <w:rFonts w:asciiTheme="minorHAnsi" w:eastAsiaTheme="minorEastAsia" w:hAnsiTheme="minorHAnsi" w:cstheme="minorBidi"/>
            </w:rPr>
          </w:pPr>
          <w:hyperlink w:anchor="_Toc37845754" w:history="1">
            <w:r w:rsidR="006F0CA3" w:rsidRPr="00473300">
              <w:rPr>
                <w:rStyle w:val="Hyperlink"/>
              </w:rPr>
              <w:t>C.2.4 Outcome measurement tools</w:t>
            </w:r>
            <w:r w:rsidR="006F0CA3">
              <w:rPr>
                <w:webHidden/>
              </w:rPr>
              <w:tab/>
            </w:r>
            <w:r w:rsidR="006F0CA3">
              <w:rPr>
                <w:webHidden/>
              </w:rPr>
              <w:fldChar w:fldCharType="begin"/>
            </w:r>
            <w:r w:rsidR="006F0CA3">
              <w:rPr>
                <w:webHidden/>
              </w:rPr>
              <w:instrText xml:space="preserve"> PAGEREF _Toc37845754 \h </w:instrText>
            </w:r>
            <w:r w:rsidR="006F0CA3">
              <w:rPr>
                <w:webHidden/>
              </w:rPr>
            </w:r>
            <w:r w:rsidR="006F0CA3">
              <w:rPr>
                <w:webHidden/>
              </w:rPr>
              <w:fldChar w:fldCharType="separate"/>
            </w:r>
            <w:r w:rsidR="00EA5DC1">
              <w:rPr>
                <w:webHidden/>
              </w:rPr>
              <w:t>74</w:t>
            </w:r>
            <w:r w:rsidR="006F0CA3">
              <w:rPr>
                <w:webHidden/>
              </w:rPr>
              <w:fldChar w:fldCharType="end"/>
            </w:r>
          </w:hyperlink>
        </w:p>
        <w:p w14:paraId="0345A60F" w14:textId="4D3F2C1E" w:rsidR="006F0CA3" w:rsidRDefault="00515153">
          <w:pPr>
            <w:pStyle w:val="TOC3"/>
            <w:rPr>
              <w:rFonts w:asciiTheme="minorHAnsi" w:eastAsiaTheme="minorEastAsia" w:hAnsiTheme="minorHAnsi" w:cstheme="minorBidi"/>
            </w:rPr>
          </w:pPr>
          <w:hyperlink w:anchor="_Toc37845755" w:history="1">
            <w:r w:rsidR="006F0CA3" w:rsidRPr="00473300">
              <w:rPr>
                <w:rStyle w:val="Hyperlink"/>
              </w:rPr>
              <w:t>C.2.5 Treatment duration</w:t>
            </w:r>
            <w:r w:rsidR="006F0CA3">
              <w:rPr>
                <w:webHidden/>
              </w:rPr>
              <w:tab/>
            </w:r>
            <w:r w:rsidR="006F0CA3">
              <w:rPr>
                <w:webHidden/>
              </w:rPr>
              <w:fldChar w:fldCharType="begin"/>
            </w:r>
            <w:r w:rsidR="006F0CA3">
              <w:rPr>
                <w:webHidden/>
              </w:rPr>
              <w:instrText xml:space="preserve"> PAGEREF _Toc37845755 \h </w:instrText>
            </w:r>
            <w:r w:rsidR="006F0CA3">
              <w:rPr>
                <w:webHidden/>
              </w:rPr>
            </w:r>
            <w:r w:rsidR="006F0CA3">
              <w:rPr>
                <w:webHidden/>
              </w:rPr>
              <w:fldChar w:fldCharType="separate"/>
            </w:r>
            <w:r w:rsidR="00EA5DC1">
              <w:rPr>
                <w:webHidden/>
              </w:rPr>
              <w:t>76</w:t>
            </w:r>
            <w:r w:rsidR="006F0CA3">
              <w:rPr>
                <w:webHidden/>
              </w:rPr>
              <w:fldChar w:fldCharType="end"/>
            </w:r>
          </w:hyperlink>
        </w:p>
        <w:p w14:paraId="22004460" w14:textId="20009AD4" w:rsidR="006F0CA3" w:rsidRDefault="00515153">
          <w:pPr>
            <w:pStyle w:val="TOC2"/>
            <w:tabs>
              <w:tab w:val="left" w:pos="1418"/>
            </w:tabs>
            <w:rPr>
              <w:rFonts w:asciiTheme="minorHAnsi" w:eastAsiaTheme="minorEastAsia" w:hAnsiTheme="minorHAnsi" w:cstheme="minorBidi"/>
            </w:rPr>
          </w:pPr>
          <w:hyperlink w:anchor="_Toc37845756" w:history="1">
            <w:r w:rsidR="006F0CA3" w:rsidRPr="00473300">
              <w:rPr>
                <w:rStyle w:val="Hyperlink"/>
              </w:rPr>
              <w:t>C.3.</w:t>
            </w:r>
            <w:r w:rsidR="006F0CA3">
              <w:rPr>
                <w:rFonts w:asciiTheme="minorHAnsi" w:eastAsiaTheme="minorEastAsia" w:hAnsiTheme="minorHAnsi" w:cstheme="minorBidi"/>
              </w:rPr>
              <w:tab/>
            </w:r>
            <w:r w:rsidR="006F0CA3" w:rsidRPr="00473300">
              <w:rPr>
                <w:rStyle w:val="Hyperlink"/>
              </w:rPr>
              <w:t>Extrapolation translation issues</w:t>
            </w:r>
            <w:r w:rsidR="006F0CA3">
              <w:rPr>
                <w:webHidden/>
              </w:rPr>
              <w:tab/>
            </w:r>
            <w:r w:rsidR="006F0CA3">
              <w:rPr>
                <w:webHidden/>
              </w:rPr>
              <w:fldChar w:fldCharType="begin"/>
            </w:r>
            <w:r w:rsidR="006F0CA3">
              <w:rPr>
                <w:webHidden/>
              </w:rPr>
              <w:instrText xml:space="preserve"> PAGEREF _Toc37845756 \h </w:instrText>
            </w:r>
            <w:r w:rsidR="006F0CA3">
              <w:rPr>
                <w:webHidden/>
              </w:rPr>
            </w:r>
            <w:r w:rsidR="006F0CA3">
              <w:rPr>
                <w:webHidden/>
              </w:rPr>
              <w:fldChar w:fldCharType="separate"/>
            </w:r>
            <w:r w:rsidR="00EA5DC1">
              <w:rPr>
                <w:webHidden/>
              </w:rPr>
              <w:t>78</w:t>
            </w:r>
            <w:r w:rsidR="006F0CA3">
              <w:rPr>
                <w:webHidden/>
              </w:rPr>
              <w:fldChar w:fldCharType="end"/>
            </w:r>
          </w:hyperlink>
        </w:p>
        <w:p w14:paraId="7F4BCFD2" w14:textId="0E44BE4D" w:rsidR="006F0CA3" w:rsidRDefault="00515153">
          <w:pPr>
            <w:pStyle w:val="TOC3"/>
            <w:rPr>
              <w:rFonts w:asciiTheme="minorHAnsi" w:eastAsiaTheme="minorEastAsia" w:hAnsiTheme="minorHAnsi" w:cstheme="minorBidi"/>
            </w:rPr>
          </w:pPr>
          <w:hyperlink w:anchor="_Toc37845757" w:history="1">
            <w:r w:rsidR="006F0CA3" w:rsidRPr="00473300">
              <w:rPr>
                <w:rStyle w:val="Hyperlink"/>
              </w:rPr>
              <w:t>C.3.1 Treatment effect duration</w:t>
            </w:r>
            <w:r w:rsidR="006F0CA3">
              <w:rPr>
                <w:webHidden/>
              </w:rPr>
              <w:tab/>
            </w:r>
            <w:r w:rsidR="006F0CA3">
              <w:rPr>
                <w:webHidden/>
              </w:rPr>
              <w:fldChar w:fldCharType="begin"/>
            </w:r>
            <w:r w:rsidR="006F0CA3">
              <w:rPr>
                <w:webHidden/>
              </w:rPr>
              <w:instrText xml:space="preserve"> PAGEREF _Toc37845757 \h </w:instrText>
            </w:r>
            <w:r w:rsidR="006F0CA3">
              <w:rPr>
                <w:webHidden/>
              </w:rPr>
            </w:r>
            <w:r w:rsidR="006F0CA3">
              <w:rPr>
                <w:webHidden/>
              </w:rPr>
              <w:fldChar w:fldCharType="separate"/>
            </w:r>
            <w:r w:rsidR="00EA5DC1">
              <w:rPr>
                <w:webHidden/>
              </w:rPr>
              <w:t>78</w:t>
            </w:r>
            <w:r w:rsidR="006F0CA3">
              <w:rPr>
                <w:webHidden/>
              </w:rPr>
              <w:fldChar w:fldCharType="end"/>
            </w:r>
          </w:hyperlink>
        </w:p>
        <w:p w14:paraId="1A709DEF" w14:textId="40D7D45B" w:rsidR="006F0CA3" w:rsidRDefault="00515153">
          <w:pPr>
            <w:pStyle w:val="TOC2"/>
            <w:tabs>
              <w:tab w:val="left" w:pos="1418"/>
            </w:tabs>
            <w:rPr>
              <w:rFonts w:asciiTheme="minorHAnsi" w:eastAsiaTheme="minorEastAsia" w:hAnsiTheme="minorHAnsi" w:cstheme="minorBidi"/>
            </w:rPr>
          </w:pPr>
          <w:hyperlink w:anchor="_Toc37845758" w:history="1">
            <w:r w:rsidR="006F0CA3" w:rsidRPr="00473300">
              <w:rPr>
                <w:rStyle w:val="Hyperlink"/>
              </w:rPr>
              <w:t>C.4.</w:t>
            </w:r>
            <w:r w:rsidR="006F0CA3">
              <w:rPr>
                <w:rFonts w:asciiTheme="minorHAnsi" w:eastAsiaTheme="minorEastAsia" w:hAnsiTheme="minorHAnsi" w:cstheme="minorBidi"/>
              </w:rPr>
              <w:tab/>
            </w:r>
            <w:r w:rsidR="006F0CA3" w:rsidRPr="00473300">
              <w:rPr>
                <w:rStyle w:val="Hyperlink"/>
              </w:rPr>
              <w:t>Transformation issues</w:t>
            </w:r>
            <w:r w:rsidR="006F0CA3">
              <w:rPr>
                <w:webHidden/>
              </w:rPr>
              <w:tab/>
            </w:r>
            <w:r w:rsidR="006F0CA3">
              <w:rPr>
                <w:webHidden/>
              </w:rPr>
              <w:fldChar w:fldCharType="begin"/>
            </w:r>
            <w:r w:rsidR="006F0CA3">
              <w:rPr>
                <w:webHidden/>
              </w:rPr>
              <w:instrText xml:space="preserve"> PAGEREF _Toc37845758 \h </w:instrText>
            </w:r>
            <w:r w:rsidR="006F0CA3">
              <w:rPr>
                <w:webHidden/>
              </w:rPr>
            </w:r>
            <w:r w:rsidR="006F0CA3">
              <w:rPr>
                <w:webHidden/>
              </w:rPr>
              <w:fldChar w:fldCharType="separate"/>
            </w:r>
            <w:r w:rsidR="00EA5DC1">
              <w:rPr>
                <w:webHidden/>
              </w:rPr>
              <w:t>79</w:t>
            </w:r>
            <w:r w:rsidR="006F0CA3">
              <w:rPr>
                <w:webHidden/>
              </w:rPr>
              <w:fldChar w:fldCharType="end"/>
            </w:r>
          </w:hyperlink>
        </w:p>
        <w:p w14:paraId="6D678A00" w14:textId="505ABBC7" w:rsidR="006F0CA3" w:rsidRDefault="00515153">
          <w:pPr>
            <w:pStyle w:val="TOC3"/>
            <w:rPr>
              <w:rFonts w:asciiTheme="minorHAnsi" w:eastAsiaTheme="minorEastAsia" w:hAnsiTheme="minorHAnsi" w:cstheme="minorBidi"/>
            </w:rPr>
          </w:pPr>
          <w:hyperlink w:anchor="_Toc37845759" w:history="1">
            <w:r w:rsidR="006F0CA3" w:rsidRPr="00473300">
              <w:rPr>
                <w:rStyle w:val="Hyperlink"/>
              </w:rPr>
              <w:t>C.4.1 Transformation of clinical outcome to a patient relevant outcome</w:t>
            </w:r>
            <w:r w:rsidR="006F0CA3">
              <w:rPr>
                <w:webHidden/>
              </w:rPr>
              <w:tab/>
            </w:r>
            <w:r w:rsidR="006F0CA3">
              <w:rPr>
                <w:webHidden/>
              </w:rPr>
              <w:fldChar w:fldCharType="begin"/>
            </w:r>
            <w:r w:rsidR="006F0CA3">
              <w:rPr>
                <w:webHidden/>
              </w:rPr>
              <w:instrText xml:space="preserve"> PAGEREF _Toc37845759 \h </w:instrText>
            </w:r>
            <w:r w:rsidR="006F0CA3">
              <w:rPr>
                <w:webHidden/>
              </w:rPr>
            </w:r>
            <w:r w:rsidR="006F0CA3">
              <w:rPr>
                <w:webHidden/>
              </w:rPr>
              <w:fldChar w:fldCharType="separate"/>
            </w:r>
            <w:r w:rsidR="00EA5DC1">
              <w:rPr>
                <w:webHidden/>
              </w:rPr>
              <w:t>79</w:t>
            </w:r>
            <w:r w:rsidR="006F0CA3">
              <w:rPr>
                <w:webHidden/>
              </w:rPr>
              <w:fldChar w:fldCharType="end"/>
            </w:r>
          </w:hyperlink>
        </w:p>
        <w:p w14:paraId="38261A56" w14:textId="6658052E" w:rsidR="006F0CA3" w:rsidRDefault="00515153">
          <w:pPr>
            <w:pStyle w:val="TOC2"/>
            <w:tabs>
              <w:tab w:val="left" w:pos="1418"/>
            </w:tabs>
            <w:rPr>
              <w:rFonts w:asciiTheme="minorHAnsi" w:eastAsiaTheme="minorEastAsia" w:hAnsiTheme="minorHAnsi" w:cstheme="minorBidi"/>
            </w:rPr>
          </w:pPr>
          <w:hyperlink w:anchor="_Toc37845760" w:history="1">
            <w:r w:rsidR="006F0CA3" w:rsidRPr="00473300">
              <w:rPr>
                <w:rStyle w:val="Hyperlink"/>
              </w:rPr>
              <w:t>C.5.</w:t>
            </w:r>
            <w:r w:rsidR="006F0CA3">
              <w:rPr>
                <w:rFonts w:asciiTheme="minorHAnsi" w:eastAsiaTheme="minorEastAsia" w:hAnsiTheme="minorHAnsi" w:cstheme="minorBidi"/>
              </w:rPr>
              <w:tab/>
            </w:r>
            <w:r w:rsidR="006F0CA3" w:rsidRPr="00473300">
              <w:rPr>
                <w:rStyle w:val="Hyperlink"/>
              </w:rPr>
              <w:t>Relationship of each Pre-Modelling Study to the Economic Evaluation</w:t>
            </w:r>
            <w:r w:rsidR="006F0CA3">
              <w:rPr>
                <w:webHidden/>
              </w:rPr>
              <w:tab/>
            </w:r>
            <w:r w:rsidR="006F0CA3">
              <w:rPr>
                <w:webHidden/>
              </w:rPr>
              <w:fldChar w:fldCharType="begin"/>
            </w:r>
            <w:r w:rsidR="006F0CA3">
              <w:rPr>
                <w:webHidden/>
              </w:rPr>
              <w:instrText xml:space="preserve"> PAGEREF _Toc37845760 \h </w:instrText>
            </w:r>
            <w:r w:rsidR="006F0CA3">
              <w:rPr>
                <w:webHidden/>
              </w:rPr>
            </w:r>
            <w:r w:rsidR="006F0CA3">
              <w:rPr>
                <w:webHidden/>
              </w:rPr>
              <w:fldChar w:fldCharType="separate"/>
            </w:r>
            <w:r w:rsidR="00EA5DC1">
              <w:rPr>
                <w:webHidden/>
              </w:rPr>
              <w:t>81</w:t>
            </w:r>
            <w:r w:rsidR="006F0CA3">
              <w:rPr>
                <w:webHidden/>
              </w:rPr>
              <w:fldChar w:fldCharType="end"/>
            </w:r>
          </w:hyperlink>
        </w:p>
        <w:p w14:paraId="28CD244B" w14:textId="71CD6034" w:rsidR="006F0CA3" w:rsidRDefault="00515153">
          <w:pPr>
            <w:pStyle w:val="TOC1"/>
            <w:rPr>
              <w:rFonts w:asciiTheme="minorHAnsi" w:eastAsiaTheme="minorEastAsia" w:hAnsiTheme="minorHAnsi" w:cstheme="minorBidi"/>
              <w:b w:val="0"/>
            </w:rPr>
          </w:pPr>
          <w:hyperlink w:anchor="_Toc37845761" w:history="1">
            <w:r w:rsidR="006F0CA3" w:rsidRPr="00473300">
              <w:rPr>
                <w:rStyle w:val="Hyperlink"/>
              </w:rPr>
              <w:t>Section D</w:t>
            </w:r>
            <w:r w:rsidR="006F0CA3">
              <w:rPr>
                <w:rFonts w:asciiTheme="minorHAnsi" w:eastAsiaTheme="minorEastAsia" w:hAnsiTheme="minorHAnsi" w:cstheme="minorBidi"/>
                <w:b w:val="0"/>
              </w:rPr>
              <w:tab/>
            </w:r>
            <w:r w:rsidR="006F0CA3" w:rsidRPr="00473300">
              <w:rPr>
                <w:rStyle w:val="Hyperlink"/>
              </w:rPr>
              <w:t>Economic Evaluation</w:t>
            </w:r>
            <w:r w:rsidR="006F0CA3">
              <w:rPr>
                <w:webHidden/>
              </w:rPr>
              <w:tab/>
            </w:r>
            <w:r w:rsidR="006F0CA3">
              <w:rPr>
                <w:webHidden/>
              </w:rPr>
              <w:fldChar w:fldCharType="begin"/>
            </w:r>
            <w:r w:rsidR="006F0CA3">
              <w:rPr>
                <w:webHidden/>
              </w:rPr>
              <w:instrText xml:space="preserve"> PAGEREF _Toc37845761 \h </w:instrText>
            </w:r>
            <w:r w:rsidR="006F0CA3">
              <w:rPr>
                <w:webHidden/>
              </w:rPr>
            </w:r>
            <w:r w:rsidR="006F0CA3">
              <w:rPr>
                <w:webHidden/>
              </w:rPr>
              <w:fldChar w:fldCharType="separate"/>
            </w:r>
            <w:r w:rsidR="00EA5DC1">
              <w:rPr>
                <w:webHidden/>
              </w:rPr>
              <w:t>84</w:t>
            </w:r>
            <w:r w:rsidR="006F0CA3">
              <w:rPr>
                <w:webHidden/>
              </w:rPr>
              <w:fldChar w:fldCharType="end"/>
            </w:r>
          </w:hyperlink>
        </w:p>
        <w:p w14:paraId="60F61CEC" w14:textId="1DA1FA5A" w:rsidR="006F0CA3" w:rsidRDefault="00515153">
          <w:pPr>
            <w:pStyle w:val="TOC2"/>
            <w:tabs>
              <w:tab w:val="left" w:pos="1540"/>
            </w:tabs>
            <w:rPr>
              <w:rFonts w:asciiTheme="minorHAnsi" w:eastAsiaTheme="minorEastAsia" w:hAnsiTheme="minorHAnsi" w:cstheme="minorBidi"/>
            </w:rPr>
          </w:pPr>
          <w:hyperlink w:anchor="_Toc37845762" w:history="1">
            <w:r w:rsidR="006F0CA3" w:rsidRPr="00473300">
              <w:rPr>
                <w:rStyle w:val="Hyperlink"/>
              </w:rPr>
              <w:t>D.1.</w:t>
            </w:r>
            <w:r w:rsidR="006F0CA3">
              <w:rPr>
                <w:rFonts w:asciiTheme="minorHAnsi" w:eastAsiaTheme="minorEastAsia" w:hAnsiTheme="minorHAnsi" w:cstheme="minorBidi"/>
              </w:rPr>
              <w:tab/>
            </w:r>
            <w:r w:rsidR="006F0CA3" w:rsidRPr="00473300">
              <w:rPr>
                <w:rStyle w:val="Hyperlink"/>
              </w:rPr>
              <w:t>Overview</w:t>
            </w:r>
            <w:r w:rsidR="006F0CA3">
              <w:rPr>
                <w:webHidden/>
              </w:rPr>
              <w:tab/>
            </w:r>
            <w:r w:rsidR="006F0CA3">
              <w:rPr>
                <w:webHidden/>
              </w:rPr>
              <w:fldChar w:fldCharType="begin"/>
            </w:r>
            <w:r w:rsidR="006F0CA3">
              <w:rPr>
                <w:webHidden/>
              </w:rPr>
              <w:instrText xml:space="preserve"> PAGEREF _Toc37845762 \h </w:instrText>
            </w:r>
            <w:r w:rsidR="006F0CA3">
              <w:rPr>
                <w:webHidden/>
              </w:rPr>
            </w:r>
            <w:r w:rsidR="006F0CA3">
              <w:rPr>
                <w:webHidden/>
              </w:rPr>
              <w:fldChar w:fldCharType="separate"/>
            </w:r>
            <w:r w:rsidR="00EA5DC1">
              <w:rPr>
                <w:webHidden/>
              </w:rPr>
              <w:t>84</w:t>
            </w:r>
            <w:r w:rsidR="006F0CA3">
              <w:rPr>
                <w:webHidden/>
              </w:rPr>
              <w:fldChar w:fldCharType="end"/>
            </w:r>
          </w:hyperlink>
        </w:p>
        <w:p w14:paraId="5CC0751B" w14:textId="3AEE302F" w:rsidR="006F0CA3" w:rsidRDefault="00515153">
          <w:pPr>
            <w:pStyle w:val="TOC2"/>
            <w:tabs>
              <w:tab w:val="left" w:pos="1540"/>
            </w:tabs>
            <w:rPr>
              <w:rFonts w:asciiTheme="minorHAnsi" w:eastAsiaTheme="minorEastAsia" w:hAnsiTheme="minorHAnsi" w:cstheme="minorBidi"/>
            </w:rPr>
          </w:pPr>
          <w:hyperlink w:anchor="_Toc37845763" w:history="1">
            <w:r w:rsidR="006F0CA3" w:rsidRPr="00473300">
              <w:rPr>
                <w:rStyle w:val="Hyperlink"/>
              </w:rPr>
              <w:t>D.2.</w:t>
            </w:r>
            <w:r w:rsidR="006F0CA3">
              <w:rPr>
                <w:rFonts w:asciiTheme="minorHAnsi" w:eastAsiaTheme="minorEastAsia" w:hAnsiTheme="minorHAnsi" w:cstheme="minorBidi"/>
              </w:rPr>
              <w:tab/>
            </w:r>
            <w:r w:rsidR="006F0CA3" w:rsidRPr="00473300">
              <w:rPr>
                <w:rStyle w:val="Hyperlink"/>
              </w:rPr>
              <w:t>Populations and settings</w:t>
            </w:r>
            <w:r w:rsidR="006F0CA3">
              <w:rPr>
                <w:webHidden/>
              </w:rPr>
              <w:tab/>
            </w:r>
            <w:r w:rsidR="006F0CA3">
              <w:rPr>
                <w:webHidden/>
              </w:rPr>
              <w:fldChar w:fldCharType="begin"/>
            </w:r>
            <w:r w:rsidR="006F0CA3">
              <w:rPr>
                <w:webHidden/>
              </w:rPr>
              <w:instrText xml:space="preserve"> PAGEREF _Toc37845763 \h </w:instrText>
            </w:r>
            <w:r w:rsidR="006F0CA3">
              <w:rPr>
                <w:webHidden/>
              </w:rPr>
            </w:r>
            <w:r w:rsidR="006F0CA3">
              <w:rPr>
                <w:webHidden/>
              </w:rPr>
              <w:fldChar w:fldCharType="separate"/>
            </w:r>
            <w:r w:rsidR="00EA5DC1">
              <w:rPr>
                <w:webHidden/>
              </w:rPr>
              <w:t>85</w:t>
            </w:r>
            <w:r w:rsidR="006F0CA3">
              <w:rPr>
                <w:webHidden/>
              </w:rPr>
              <w:fldChar w:fldCharType="end"/>
            </w:r>
          </w:hyperlink>
        </w:p>
        <w:p w14:paraId="5E5971CF" w14:textId="550E5729" w:rsidR="006F0CA3" w:rsidRDefault="00515153">
          <w:pPr>
            <w:pStyle w:val="TOC2"/>
            <w:tabs>
              <w:tab w:val="left" w:pos="1540"/>
            </w:tabs>
            <w:rPr>
              <w:rFonts w:asciiTheme="minorHAnsi" w:eastAsiaTheme="minorEastAsia" w:hAnsiTheme="minorHAnsi" w:cstheme="minorBidi"/>
            </w:rPr>
          </w:pPr>
          <w:hyperlink w:anchor="_Toc37845764" w:history="1">
            <w:r w:rsidR="006F0CA3" w:rsidRPr="00473300">
              <w:rPr>
                <w:rStyle w:val="Hyperlink"/>
              </w:rPr>
              <w:t>D.3.</w:t>
            </w:r>
            <w:r w:rsidR="006F0CA3">
              <w:rPr>
                <w:rFonts w:asciiTheme="minorHAnsi" w:eastAsiaTheme="minorEastAsia" w:hAnsiTheme="minorHAnsi" w:cstheme="minorBidi"/>
              </w:rPr>
              <w:tab/>
            </w:r>
            <w:r w:rsidR="006F0CA3" w:rsidRPr="00473300">
              <w:rPr>
                <w:rStyle w:val="Hyperlink"/>
              </w:rPr>
              <w:t>Structure and rationale of the economic evaluation</w:t>
            </w:r>
            <w:r w:rsidR="006F0CA3">
              <w:rPr>
                <w:webHidden/>
              </w:rPr>
              <w:tab/>
            </w:r>
            <w:r w:rsidR="006F0CA3">
              <w:rPr>
                <w:webHidden/>
              </w:rPr>
              <w:fldChar w:fldCharType="begin"/>
            </w:r>
            <w:r w:rsidR="006F0CA3">
              <w:rPr>
                <w:webHidden/>
              </w:rPr>
              <w:instrText xml:space="preserve"> PAGEREF _Toc37845764 \h </w:instrText>
            </w:r>
            <w:r w:rsidR="006F0CA3">
              <w:rPr>
                <w:webHidden/>
              </w:rPr>
            </w:r>
            <w:r w:rsidR="006F0CA3">
              <w:rPr>
                <w:webHidden/>
              </w:rPr>
              <w:fldChar w:fldCharType="separate"/>
            </w:r>
            <w:r w:rsidR="00EA5DC1">
              <w:rPr>
                <w:webHidden/>
              </w:rPr>
              <w:t>86</w:t>
            </w:r>
            <w:r w:rsidR="006F0CA3">
              <w:rPr>
                <w:webHidden/>
              </w:rPr>
              <w:fldChar w:fldCharType="end"/>
            </w:r>
          </w:hyperlink>
        </w:p>
        <w:p w14:paraId="28700CB5" w14:textId="0AD04C82" w:rsidR="006F0CA3" w:rsidRDefault="00515153">
          <w:pPr>
            <w:pStyle w:val="TOC3"/>
            <w:rPr>
              <w:rFonts w:asciiTheme="minorHAnsi" w:eastAsiaTheme="minorEastAsia" w:hAnsiTheme="minorHAnsi" w:cstheme="minorBidi"/>
            </w:rPr>
          </w:pPr>
          <w:hyperlink w:anchor="_Toc37845765" w:history="1">
            <w:r w:rsidR="006F0CA3" w:rsidRPr="00473300">
              <w:rPr>
                <w:rStyle w:val="Hyperlink"/>
              </w:rPr>
              <w:t>Literature review</w:t>
            </w:r>
            <w:r w:rsidR="006F0CA3">
              <w:rPr>
                <w:webHidden/>
              </w:rPr>
              <w:tab/>
            </w:r>
            <w:r w:rsidR="006F0CA3">
              <w:rPr>
                <w:webHidden/>
              </w:rPr>
              <w:fldChar w:fldCharType="begin"/>
            </w:r>
            <w:r w:rsidR="006F0CA3">
              <w:rPr>
                <w:webHidden/>
              </w:rPr>
              <w:instrText xml:space="preserve"> PAGEREF _Toc37845765 \h </w:instrText>
            </w:r>
            <w:r w:rsidR="006F0CA3">
              <w:rPr>
                <w:webHidden/>
              </w:rPr>
            </w:r>
            <w:r w:rsidR="006F0CA3">
              <w:rPr>
                <w:webHidden/>
              </w:rPr>
              <w:fldChar w:fldCharType="separate"/>
            </w:r>
            <w:r w:rsidR="00EA5DC1">
              <w:rPr>
                <w:webHidden/>
              </w:rPr>
              <w:t>86</w:t>
            </w:r>
            <w:r w:rsidR="006F0CA3">
              <w:rPr>
                <w:webHidden/>
              </w:rPr>
              <w:fldChar w:fldCharType="end"/>
            </w:r>
          </w:hyperlink>
        </w:p>
        <w:p w14:paraId="6DA454EB" w14:textId="3420C669" w:rsidR="006F0CA3" w:rsidRDefault="00515153">
          <w:pPr>
            <w:pStyle w:val="TOC3"/>
            <w:rPr>
              <w:rFonts w:asciiTheme="minorHAnsi" w:eastAsiaTheme="minorEastAsia" w:hAnsiTheme="minorHAnsi" w:cstheme="minorBidi"/>
            </w:rPr>
          </w:pPr>
          <w:hyperlink w:anchor="_Toc37845766" w:history="1">
            <w:r w:rsidR="006F0CA3" w:rsidRPr="00473300">
              <w:rPr>
                <w:rStyle w:val="Hyperlink"/>
              </w:rPr>
              <w:t>Structure of the economic evaluation</w:t>
            </w:r>
            <w:r w:rsidR="006F0CA3">
              <w:rPr>
                <w:webHidden/>
              </w:rPr>
              <w:tab/>
            </w:r>
            <w:r w:rsidR="006F0CA3">
              <w:rPr>
                <w:webHidden/>
              </w:rPr>
              <w:fldChar w:fldCharType="begin"/>
            </w:r>
            <w:r w:rsidR="006F0CA3">
              <w:rPr>
                <w:webHidden/>
              </w:rPr>
              <w:instrText xml:space="preserve"> PAGEREF _Toc37845766 \h </w:instrText>
            </w:r>
            <w:r w:rsidR="006F0CA3">
              <w:rPr>
                <w:webHidden/>
              </w:rPr>
            </w:r>
            <w:r w:rsidR="006F0CA3">
              <w:rPr>
                <w:webHidden/>
              </w:rPr>
              <w:fldChar w:fldCharType="separate"/>
            </w:r>
            <w:r w:rsidR="00EA5DC1">
              <w:rPr>
                <w:webHidden/>
              </w:rPr>
              <w:t>87</w:t>
            </w:r>
            <w:r w:rsidR="006F0CA3">
              <w:rPr>
                <w:webHidden/>
              </w:rPr>
              <w:fldChar w:fldCharType="end"/>
            </w:r>
          </w:hyperlink>
        </w:p>
        <w:p w14:paraId="545A9B0E" w14:textId="0CE1291E" w:rsidR="006F0CA3" w:rsidRDefault="00515153">
          <w:pPr>
            <w:pStyle w:val="TOC3"/>
            <w:rPr>
              <w:rFonts w:asciiTheme="minorHAnsi" w:eastAsiaTheme="minorEastAsia" w:hAnsiTheme="minorHAnsi" w:cstheme="minorBidi"/>
            </w:rPr>
          </w:pPr>
          <w:hyperlink w:anchor="_Toc37845767" w:history="1">
            <w:r w:rsidR="006F0CA3" w:rsidRPr="00473300">
              <w:rPr>
                <w:rStyle w:val="Hyperlink"/>
              </w:rPr>
              <w:t>Model assumptions</w:t>
            </w:r>
            <w:r w:rsidR="006F0CA3">
              <w:rPr>
                <w:webHidden/>
              </w:rPr>
              <w:tab/>
            </w:r>
            <w:r w:rsidR="006F0CA3">
              <w:rPr>
                <w:webHidden/>
              </w:rPr>
              <w:fldChar w:fldCharType="begin"/>
            </w:r>
            <w:r w:rsidR="006F0CA3">
              <w:rPr>
                <w:webHidden/>
              </w:rPr>
              <w:instrText xml:space="preserve"> PAGEREF _Toc37845767 \h </w:instrText>
            </w:r>
            <w:r w:rsidR="006F0CA3">
              <w:rPr>
                <w:webHidden/>
              </w:rPr>
            </w:r>
            <w:r w:rsidR="006F0CA3">
              <w:rPr>
                <w:webHidden/>
              </w:rPr>
              <w:fldChar w:fldCharType="separate"/>
            </w:r>
            <w:r w:rsidR="00EA5DC1">
              <w:rPr>
                <w:webHidden/>
              </w:rPr>
              <w:t>89</w:t>
            </w:r>
            <w:r w:rsidR="006F0CA3">
              <w:rPr>
                <w:webHidden/>
              </w:rPr>
              <w:fldChar w:fldCharType="end"/>
            </w:r>
          </w:hyperlink>
        </w:p>
        <w:p w14:paraId="32FB4047" w14:textId="6F303463" w:rsidR="006F0CA3" w:rsidRDefault="00515153">
          <w:pPr>
            <w:pStyle w:val="TOC2"/>
            <w:tabs>
              <w:tab w:val="left" w:pos="1540"/>
            </w:tabs>
            <w:rPr>
              <w:rFonts w:asciiTheme="minorHAnsi" w:eastAsiaTheme="minorEastAsia" w:hAnsiTheme="minorHAnsi" w:cstheme="minorBidi"/>
            </w:rPr>
          </w:pPr>
          <w:hyperlink w:anchor="_Toc37845768" w:history="1">
            <w:r w:rsidR="006F0CA3" w:rsidRPr="00473300">
              <w:rPr>
                <w:rStyle w:val="Hyperlink"/>
              </w:rPr>
              <w:t>D.4.</w:t>
            </w:r>
            <w:r w:rsidR="006F0CA3">
              <w:rPr>
                <w:rFonts w:asciiTheme="minorHAnsi" w:eastAsiaTheme="minorEastAsia" w:hAnsiTheme="minorHAnsi" w:cstheme="minorBidi"/>
              </w:rPr>
              <w:tab/>
            </w:r>
            <w:r w:rsidR="006F0CA3" w:rsidRPr="00473300">
              <w:rPr>
                <w:rStyle w:val="Hyperlink"/>
              </w:rPr>
              <w:t>Inputs to the economic evaluation</w:t>
            </w:r>
            <w:r w:rsidR="006F0CA3">
              <w:rPr>
                <w:webHidden/>
              </w:rPr>
              <w:tab/>
            </w:r>
            <w:r w:rsidR="006F0CA3">
              <w:rPr>
                <w:webHidden/>
              </w:rPr>
              <w:fldChar w:fldCharType="begin"/>
            </w:r>
            <w:r w:rsidR="006F0CA3">
              <w:rPr>
                <w:webHidden/>
              </w:rPr>
              <w:instrText xml:space="preserve"> PAGEREF _Toc37845768 \h </w:instrText>
            </w:r>
            <w:r w:rsidR="006F0CA3">
              <w:rPr>
                <w:webHidden/>
              </w:rPr>
            </w:r>
            <w:r w:rsidR="006F0CA3">
              <w:rPr>
                <w:webHidden/>
              </w:rPr>
              <w:fldChar w:fldCharType="separate"/>
            </w:r>
            <w:r w:rsidR="00EA5DC1">
              <w:rPr>
                <w:webHidden/>
              </w:rPr>
              <w:t>91</w:t>
            </w:r>
            <w:r w:rsidR="006F0CA3">
              <w:rPr>
                <w:webHidden/>
              </w:rPr>
              <w:fldChar w:fldCharType="end"/>
            </w:r>
          </w:hyperlink>
        </w:p>
        <w:p w14:paraId="6BDDB59D" w14:textId="41E97B22" w:rsidR="006F0CA3" w:rsidRDefault="00515153">
          <w:pPr>
            <w:pStyle w:val="TOC3"/>
            <w:rPr>
              <w:rFonts w:asciiTheme="minorHAnsi" w:eastAsiaTheme="minorEastAsia" w:hAnsiTheme="minorHAnsi" w:cstheme="minorBidi"/>
            </w:rPr>
          </w:pPr>
          <w:hyperlink w:anchor="_Toc37845769" w:history="1">
            <w:r w:rsidR="006F0CA3" w:rsidRPr="00473300">
              <w:rPr>
                <w:rStyle w:val="Hyperlink"/>
              </w:rPr>
              <w:t>Clinical management inputs</w:t>
            </w:r>
            <w:r w:rsidR="006F0CA3">
              <w:rPr>
                <w:webHidden/>
              </w:rPr>
              <w:tab/>
            </w:r>
            <w:r w:rsidR="006F0CA3">
              <w:rPr>
                <w:webHidden/>
              </w:rPr>
              <w:fldChar w:fldCharType="begin"/>
            </w:r>
            <w:r w:rsidR="006F0CA3">
              <w:rPr>
                <w:webHidden/>
              </w:rPr>
              <w:instrText xml:space="preserve"> PAGEREF _Toc37845769 \h </w:instrText>
            </w:r>
            <w:r w:rsidR="006F0CA3">
              <w:rPr>
                <w:webHidden/>
              </w:rPr>
            </w:r>
            <w:r w:rsidR="006F0CA3">
              <w:rPr>
                <w:webHidden/>
              </w:rPr>
              <w:fldChar w:fldCharType="separate"/>
            </w:r>
            <w:r w:rsidR="00EA5DC1">
              <w:rPr>
                <w:webHidden/>
              </w:rPr>
              <w:t>94</w:t>
            </w:r>
            <w:r w:rsidR="006F0CA3">
              <w:rPr>
                <w:webHidden/>
              </w:rPr>
              <w:fldChar w:fldCharType="end"/>
            </w:r>
          </w:hyperlink>
        </w:p>
        <w:p w14:paraId="338D2F5D" w14:textId="7CFC651F" w:rsidR="006F0CA3" w:rsidRDefault="00515153">
          <w:pPr>
            <w:pStyle w:val="TOC3"/>
            <w:rPr>
              <w:rFonts w:asciiTheme="minorHAnsi" w:eastAsiaTheme="minorEastAsia" w:hAnsiTheme="minorHAnsi" w:cstheme="minorBidi"/>
            </w:rPr>
          </w:pPr>
          <w:hyperlink w:anchor="_Toc37845770" w:history="1">
            <w:r w:rsidR="006F0CA3" w:rsidRPr="00473300">
              <w:rPr>
                <w:rStyle w:val="Hyperlink"/>
              </w:rPr>
              <w:t>Adverse events and clinical output inputs</w:t>
            </w:r>
            <w:r w:rsidR="006F0CA3">
              <w:rPr>
                <w:webHidden/>
              </w:rPr>
              <w:tab/>
            </w:r>
            <w:r w:rsidR="006F0CA3">
              <w:rPr>
                <w:webHidden/>
              </w:rPr>
              <w:fldChar w:fldCharType="begin"/>
            </w:r>
            <w:r w:rsidR="006F0CA3">
              <w:rPr>
                <w:webHidden/>
              </w:rPr>
              <w:instrText xml:space="preserve"> PAGEREF _Toc37845770 \h </w:instrText>
            </w:r>
            <w:r w:rsidR="006F0CA3">
              <w:rPr>
                <w:webHidden/>
              </w:rPr>
            </w:r>
            <w:r w:rsidR="006F0CA3">
              <w:rPr>
                <w:webHidden/>
              </w:rPr>
              <w:fldChar w:fldCharType="separate"/>
            </w:r>
            <w:r w:rsidR="00EA5DC1">
              <w:rPr>
                <w:webHidden/>
              </w:rPr>
              <w:t>95</w:t>
            </w:r>
            <w:r w:rsidR="006F0CA3">
              <w:rPr>
                <w:webHidden/>
              </w:rPr>
              <w:fldChar w:fldCharType="end"/>
            </w:r>
          </w:hyperlink>
        </w:p>
        <w:p w14:paraId="4A5EC8D8" w14:textId="5F946980" w:rsidR="006F0CA3" w:rsidRDefault="00515153">
          <w:pPr>
            <w:pStyle w:val="TOC3"/>
            <w:rPr>
              <w:rFonts w:asciiTheme="minorHAnsi" w:eastAsiaTheme="minorEastAsia" w:hAnsiTheme="minorHAnsi" w:cstheme="minorBidi"/>
            </w:rPr>
          </w:pPr>
          <w:hyperlink w:anchor="_Toc37845771" w:history="1">
            <w:r w:rsidR="006F0CA3" w:rsidRPr="00473300">
              <w:rPr>
                <w:rStyle w:val="Hyperlink"/>
              </w:rPr>
              <w:t>Resource use</w:t>
            </w:r>
            <w:r w:rsidR="006F0CA3">
              <w:rPr>
                <w:webHidden/>
              </w:rPr>
              <w:tab/>
            </w:r>
            <w:r w:rsidR="006F0CA3">
              <w:rPr>
                <w:webHidden/>
              </w:rPr>
              <w:fldChar w:fldCharType="begin"/>
            </w:r>
            <w:r w:rsidR="006F0CA3">
              <w:rPr>
                <w:webHidden/>
              </w:rPr>
              <w:instrText xml:space="preserve"> PAGEREF _Toc37845771 \h </w:instrText>
            </w:r>
            <w:r w:rsidR="006F0CA3">
              <w:rPr>
                <w:webHidden/>
              </w:rPr>
            </w:r>
            <w:r w:rsidR="006F0CA3">
              <w:rPr>
                <w:webHidden/>
              </w:rPr>
              <w:fldChar w:fldCharType="separate"/>
            </w:r>
            <w:r w:rsidR="00EA5DC1">
              <w:rPr>
                <w:webHidden/>
              </w:rPr>
              <w:t>95</w:t>
            </w:r>
            <w:r w:rsidR="006F0CA3">
              <w:rPr>
                <w:webHidden/>
              </w:rPr>
              <w:fldChar w:fldCharType="end"/>
            </w:r>
          </w:hyperlink>
        </w:p>
        <w:p w14:paraId="314BD9F1" w14:textId="2D371A6A" w:rsidR="006F0CA3" w:rsidRDefault="00515153">
          <w:pPr>
            <w:pStyle w:val="TOC3"/>
            <w:rPr>
              <w:rFonts w:asciiTheme="minorHAnsi" w:eastAsiaTheme="minorEastAsia" w:hAnsiTheme="minorHAnsi" w:cstheme="minorBidi"/>
            </w:rPr>
          </w:pPr>
          <w:hyperlink w:anchor="_Toc37845772" w:history="1">
            <w:r w:rsidR="006F0CA3" w:rsidRPr="00473300">
              <w:rPr>
                <w:rStyle w:val="Hyperlink"/>
              </w:rPr>
              <w:t>Health outcomes</w:t>
            </w:r>
            <w:r w:rsidR="006F0CA3">
              <w:rPr>
                <w:webHidden/>
              </w:rPr>
              <w:tab/>
            </w:r>
            <w:r w:rsidR="006F0CA3">
              <w:rPr>
                <w:webHidden/>
              </w:rPr>
              <w:fldChar w:fldCharType="begin"/>
            </w:r>
            <w:r w:rsidR="006F0CA3">
              <w:rPr>
                <w:webHidden/>
              </w:rPr>
              <w:instrText xml:space="preserve"> PAGEREF _Toc37845772 \h </w:instrText>
            </w:r>
            <w:r w:rsidR="006F0CA3">
              <w:rPr>
                <w:webHidden/>
              </w:rPr>
            </w:r>
            <w:r w:rsidR="006F0CA3">
              <w:rPr>
                <w:webHidden/>
              </w:rPr>
              <w:fldChar w:fldCharType="separate"/>
            </w:r>
            <w:r w:rsidR="00EA5DC1">
              <w:rPr>
                <w:webHidden/>
              </w:rPr>
              <w:t>96</w:t>
            </w:r>
            <w:r w:rsidR="006F0CA3">
              <w:rPr>
                <w:webHidden/>
              </w:rPr>
              <w:fldChar w:fldCharType="end"/>
            </w:r>
          </w:hyperlink>
        </w:p>
        <w:p w14:paraId="45F4B35D" w14:textId="4A0DBEDA" w:rsidR="006F0CA3" w:rsidRDefault="00515153">
          <w:pPr>
            <w:pStyle w:val="TOC2"/>
            <w:tabs>
              <w:tab w:val="left" w:pos="1540"/>
            </w:tabs>
            <w:rPr>
              <w:rFonts w:asciiTheme="minorHAnsi" w:eastAsiaTheme="minorEastAsia" w:hAnsiTheme="minorHAnsi" w:cstheme="minorBidi"/>
            </w:rPr>
          </w:pPr>
          <w:hyperlink w:anchor="_Toc37845773" w:history="1">
            <w:r w:rsidR="006F0CA3" w:rsidRPr="00473300">
              <w:rPr>
                <w:rStyle w:val="Hyperlink"/>
              </w:rPr>
              <w:t>D.5.</w:t>
            </w:r>
            <w:r w:rsidR="006F0CA3">
              <w:rPr>
                <w:rFonts w:asciiTheme="minorHAnsi" w:eastAsiaTheme="minorEastAsia" w:hAnsiTheme="minorHAnsi" w:cstheme="minorBidi"/>
              </w:rPr>
              <w:tab/>
            </w:r>
            <w:r w:rsidR="006F0CA3" w:rsidRPr="00473300">
              <w:rPr>
                <w:rStyle w:val="Hyperlink"/>
              </w:rPr>
              <w:t>Results of the Economic Evaluation</w:t>
            </w:r>
            <w:r w:rsidR="006F0CA3">
              <w:rPr>
                <w:webHidden/>
              </w:rPr>
              <w:tab/>
            </w:r>
            <w:r w:rsidR="006F0CA3">
              <w:rPr>
                <w:webHidden/>
              </w:rPr>
              <w:fldChar w:fldCharType="begin"/>
            </w:r>
            <w:r w:rsidR="006F0CA3">
              <w:rPr>
                <w:webHidden/>
              </w:rPr>
              <w:instrText xml:space="preserve"> PAGEREF _Toc37845773 \h </w:instrText>
            </w:r>
            <w:r w:rsidR="006F0CA3">
              <w:rPr>
                <w:webHidden/>
              </w:rPr>
            </w:r>
            <w:r w:rsidR="006F0CA3">
              <w:rPr>
                <w:webHidden/>
              </w:rPr>
              <w:fldChar w:fldCharType="separate"/>
            </w:r>
            <w:r w:rsidR="00EA5DC1">
              <w:rPr>
                <w:webHidden/>
              </w:rPr>
              <w:t>97</w:t>
            </w:r>
            <w:r w:rsidR="006F0CA3">
              <w:rPr>
                <w:webHidden/>
              </w:rPr>
              <w:fldChar w:fldCharType="end"/>
            </w:r>
          </w:hyperlink>
        </w:p>
        <w:p w14:paraId="5791D532" w14:textId="49F817D6" w:rsidR="006F0CA3" w:rsidRDefault="00515153">
          <w:pPr>
            <w:pStyle w:val="TOC3"/>
            <w:rPr>
              <w:rFonts w:asciiTheme="minorHAnsi" w:eastAsiaTheme="minorEastAsia" w:hAnsiTheme="minorHAnsi" w:cstheme="minorBidi"/>
            </w:rPr>
          </w:pPr>
          <w:hyperlink w:anchor="_Toc37845774" w:history="1">
            <w:r w:rsidR="006F0CA3" w:rsidRPr="00473300">
              <w:rPr>
                <w:rStyle w:val="Hyperlink"/>
              </w:rPr>
              <w:t>Markov traces</w:t>
            </w:r>
            <w:r w:rsidR="006F0CA3">
              <w:rPr>
                <w:webHidden/>
              </w:rPr>
              <w:tab/>
            </w:r>
            <w:r w:rsidR="006F0CA3">
              <w:rPr>
                <w:webHidden/>
              </w:rPr>
              <w:fldChar w:fldCharType="begin"/>
            </w:r>
            <w:r w:rsidR="006F0CA3">
              <w:rPr>
                <w:webHidden/>
              </w:rPr>
              <w:instrText xml:space="preserve"> PAGEREF _Toc37845774 \h </w:instrText>
            </w:r>
            <w:r w:rsidR="006F0CA3">
              <w:rPr>
                <w:webHidden/>
              </w:rPr>
            </w:r>
            <w:r w:rsidR="006F0CA3">
              <w:rPr>
                <w:webHidden/>
              </w:rPr>
              <w:fldChar w:fldCharType="separate"/>
            </w:r>
            <w:r w:rsidR="00EA5DC1">
              <w:rPr>
                <w:webHidden/>
              </w:rPr>
              <w:t>97</w:t>
            </w:r>
            <w:r w:rsidR="006F0CA3">
              <w:rPr>
                <w:webHidden/>
              </w:rPr>
              <w:fldChar w:fldCharType="end"/>
            </w:r>
          </w:hyperlink>
        </w:p>
        <w:p w14:paraId="10ACB3E9" w14:textId="0AD0D72B" w:rsidR="006F0CA3" w:rsidRDefault="00515153">
          <w:pPr>
            <w:pStyle w:val="TOC3"/>
            <w:rPr>
              <w:rFonts w:asciiTheme="minorHAnsi" w:eastAsiaTheme="minorEastAsia" w:hAnsiTheme="minorHAnsi" w:cstheme="minorBidi"/>
            </w:rPr>
          </w:pPr>
          <w:hyperlink w:anchor="_Toc37845775" w:history="1">
            <w:r w:rsidR="006F0CA3" w:rsidRPr="00473300">
              <w:rPr>
                <w:rStyle w:val="Hyperlink"/>
              </w:rPr>
              <w:t>Stepped economic evaluation</w:t>
            </w:r>
            <w:r w:rsidR="006F0CA3">
              <w:rPr>
                <w:webHidden/>
              </w:rPr>
              <w:tab/>
            </w:r>
            <w:r w:rsidR="006F0CA3">
              <w:rPr>
                <w:webHidden/>
              </w:rPr>
              <w:fldChar w:fldCharType="begin"/>
            </w:r>
            <w:r w:rsidR="006F0CA3">
              <w:rPr>
                <w:webHidden/>
              </w:rPr>
              <w:instrText xml:space="preserve"> PAGEREF _Toc37845775 \h </w:instrText>
            </w:r>
            <w:r w:rsidR="006F0CA3">
              <w:rPr>
                <w:webHidden/>
              </w:rPr>
            </w:r>
            <w:r w:rsidR="006F0CA3">
              <w:rPr>
                <w:webHidden/>
              </w:rPr>
              <w:fldChar w:fldCharType="separate"/>
            </w:r>
            <w:r w:rsidR="00EA5DC1">
              <w:rPr>
                <w:webHidden/>
              </w:rPr>
              <w:t>99</w:t>
            </w:r>
            <w:r w:rsidR="006F0CA3">
              <w:rPr>
                <w:webHidden/>
              </w:rPr>
              <w:fldChar w:fldCharType="end"/>
            </w:r>
          </w:hyperlink>
        </w:p>
        <w:p w14:paraId="4C7EB5D4" w14:textId="5CF4DF3D" w:rsidR="006F0CA3" w:rsidRDefault="00515153">
          <w:pPr>
            <w:pStyle w:val="TOC2"/>
            <w:tabs>
              <w:tab w:val="left" w:pos="1540"/>
            </w:tabs>
            <w:rPr>
              <w:rFonts w:asciiTheme="minorHAnsi" w:eastAsiaTheme="minorEastAsia" w:hAnsiTheme="minorHAnsi" w:cstheme="minorBidi"/>
            </w:rPr>
          </w:pPr>
          <w:hyperlink w:anchor="_Toc37845776" w:history="1">
            <w:r w:rsidR="006F0CA3" w:rsidRPr="00473300">
              <w:rPr>
                <w:rStyle w:val="Hyperlink"/>
              </w:rPr>
              <w:t>D.6.</w:t>
            </w:r>
            <w:r w:rsidR="006F0CA3">
              <w:rPr>
                <w:rFonts w:asciiTheme="minorHAnsi" w:eastAsiaTheme="minorEastAsia" w:hAnsiTheme="minorHAnsi" w:cstheme="minorBidi"/>
              </w:rPr>
              <w:tab/>
            </w:r>
            <w:r w:rsidR="006F0CA3" w:rsidRPr="00473300">
              <w:rPr>
                <w:rStyle w:val="Hyperlink"/>
              </w:rPr>
              <w:t>Sensitivity analyses</w:t>
            </w:r>
            <w:r w:rsidR="006F0CA3">
              <w:rPr>
                <w:webHidden/>
              </w:rPr>
              <w:tab/>
            </w:r>
            <w:r w:rsidR="006F0CA3">
              <w:rPr>
                <w:webHidden/>
              </w:rPr>
              <w:fldChar w:fldCharType="begin"/>
            </w:r>
            <w:r w:rsidR="006F0CA3">
              <w:rPr>
                <w:webHidden/>
              </w:rPr>
              <w:instrText xml:space="preserve"> PAGEREF _Toc37845776 \h </w:instrText>
            </w:r>
            <w:r w:rsidR="006F0CA3">
              <w:rPr>
                <w:webHidden/>
              </w:rPr>
            </w:r>
            <w:r w:rsidR="006F0CA3">
              <w:rPr>
                <w:webHidden/>
              </w:rPr>
              <w:fldChar w:fldCharType="separate"/>
            </w:r>
            <w:r w:rsidR="00EA5DC1">
              <w:rPr>
                <w:webHidden/>
              </w:rPr>
              <w:t>99</w:t>
            </w:r>
            <w:r w:rsidR="006F0CA3">
              <w:rPr>
                <w:webHidden/>
              </w:rPr>
              <w:fldChar w:fldCharType="end"/>
            </w:r>
          </w:hyperlink>
        </w:p>
        <w:p w14:paraId="34126B18" w14:textId="5BC0ED61" w:rsidR="006F0CA3" w:rsidRDefault="00515153">
          <w:pPr>
            <w:pStyle w:val="TOC1"/>
            <w:rPr>
              <w:rFonts w:asciiTheme="minorHAnsi" w:eastAsiaTheme="minorEastAsia" w:hAnsiTheme="minorHAnsi" w:cstheme="minorBidi"/>
              <w:b w:val="0"/>
            </w:rPr>
          </w:pPr>
          <w:hyperlink w:anchor="_Toc37845777" w:history="1">
            <w:r w:rsidR="006F0CA3" w:rsidRPr="00473300">
              <w:rPr>
                <w:rStyle w:val="Hyperlink"/>
              </w:rPr>
              <w:t>Section E</w:t>
            </w:r>
            <w:r w:rsidR="006F0CA3">
              <w:rPr>
                <w:rFonts w:asciiTheme="minorHAnsi" w:eastAsiaTheme="minorEastAsia" w:hAnsiTheme="minorHAnsi" w:cstheme="minorBidi"/>
                <w:b w:val="0"/>
              </w:rPr>
              <w:tab/>
            </w:r>
            <w:r w:rsidR="006F0CA3" w:rsidRPr="00473300">
              <w:rPr>
                <w:rStyle w:val="Hyperlink"/>
              </w:rPr>
              <w:t>Financial Implications</w:t>
            </w:r>
            <w:r w:rsidR="006F0CA3">
              <w:rPr>
                <w:webHidden/>
              </w:rPr>
              <w:tab/>
            </w:r>
            <w:r w:rsidR="006F0CA3">
              <w:rPr>
                <w:webHidden/>
              </w:rPr>
              <w:fldChar w:fldCharType="begin"/>
            </w:r>
            <w:r w:rsidR="006F0CA3">
              <w:rPr>
                <w:webHidden/>
              </w:rPr>
              <w:instrText xml:space="preserve"> PAGEREF _Toc37845777 \h </w:instrText>
            </w:r>
            <w:r w:rsidR="006F0CA3">
              <w:rPr>
                <w:webHidden/>
              </w:rPr>
            </w:r>
            <w:r w:rsidR="006F0CA3">
              <w:rPr>
                <w:webHidden/>
              </w:rPr>
              <w:fldChar w:fldCharType="separate"/>
            </w:r>
            <w:r w:rsidR="00EA5DC1">
              <w:rPr>
                <w:webHidden/>
              </w:rPr>
              <w:t>103</w:t>
            </w:r>
            <w:r w:rsidR="006F0CA3">
              <w:rPr>
                <w:webHidden/>
              </w:rPr>
              <w:fldChar w:fldCharType="end"/>
            </w:r>
          </w:hyperlink>
        </w:p>
        <w:p w14:paraId="41A352D5" w14:textId="50A962A1" w:rsidR="006F0CA3" w:rsidRDefault="00515153">
          <w:pPr>
            <w:pStyle w:val="TOC2"/>
            <w:tabs>
              <w:tab w:val="left" w:pos="1418"/>
            </w:tabs>
            <w:rPr>
              <w:rFonts w:asciiTheme="minorHAnsi" w:eastAsiaTheme="minorEastAsia" w:hAnsiTheme="minorHAnsi" w:cstheme="minorBidi"/>
            </w:rPr>
          </w:pPr>
          <w:hyperlink w:anchor="_Toc37845778" w:history="1">
            <w:r w:rsidR="006F0CA3" w:rsidRPr="00473300">
              <w:rPr>
                <w:rStyle w:val="Hyperlink"/>
              </w:rPr>
              <w:t>E.1.</w:t>
            </w:r>
            <w:r w:rsidR="006F0CA3">
              <w:rPr>
                <w:rFonts w:asciiTheme="minorHAnsi" w:eastAsiaTheme="minorEastAsia" w:hAnsiTheme="minorHAnsi" w:cstheme="minorBidi"/>
              </w:rPr>
              <w:tab/>
            </w:r>
            <w:r w:rsidR="006F0CA3" w:rsidRPr="00473300">
              <w:rPr>
                <w:rStyle w:val="Hyperlink"/>
              </w:rPr>
              <w:t>Justification of the Selection of Sources of Data</w:t>
            </w:r>
            <w:r w:rsidR="006F0CA3">
              <w:rPr>
                <w:webHidden/>
              </w:rPr>
              <w:tab/>
            </w:r>
            <w:r w:rsidR="006F0CA3">
              <w:rPr>
                <w:webHidden/>
              </w:rPr>
              <w:fldChar w:fldCharType="begin"/>
            </w:r>
            <w:r w:rsidR="006F0CA3">
              <w:rPr>
                <w:webHidden/>
              </w:rPr>
              <w:instrText xml:space="preserve"> PAGEREF _Toc37845778 \h </w:instrText>
            </w:r>
            <w:r w:rsidR="006F0CA3">
              <w:rPr>
                <w:webHidden/>
              </w:rPr>
            </w:r>
            <w:r w:rsidR="006F0CA3">
              <w:rPr>
                <w:webHidden/>
              </w:rPr>
              <w:fldChar w:fldCharType="separate"/>
            </w:r>
            <w:r w:rsidR="00EA5DC1">
              <w:rPr>
                <w:webHidden/>
              </w:rPr>
              <w:t>103</w:t>
            </w:r>
            <w:r w:rsidR="006F0CA3">
              <w:rPr>
                <w:webHidden/>
              </w:rPr>
              <w:fldChar w:fldCharType="end"/>
            </w:r>
          </w:hyperlink>
        </w:p>
        <w:p w14:paraId="31AD8A6C" w14:textId="73587F11" w:rsidR="006F0CA3" w:rsidRDefault="00515153">
          <w:pPr>
            <w:pStyle w:val="TOC2"/>
            <w:tabs>
              <w:tab w:val="left" w:pos="1418"/>
            </w:tabs>
            <w:rPr>
              <w:rFonts w:asciiTheme="minorHAnsi" w:eastAsiaTheme="minorEastAsia" w:hAnsiTheme="minorHAnsi" w:cstheme="minorBidi"/>
            </w:rPr>
          </w:pPr>
          <w:hyperlink w:anchor="_Toc37845779" w:history="1">
            <w:r w:rsidR="006F0CA3" w:rsidRPr="00473300">
              <w:rPr>
                <w:rStyle w:val="Hyperlink"/>
              </w:rPr>
              <w:t>E.2.</w:t>
            </w:r>
            <w:r w:rsidR="006F0CA3">
              <w:rPr>
                <w:rFonts w:asciiTheme="minorHAnsi" w:eastAsiaTheme="minorEastAsia" w:hAnsiTheme="minorHAnsi" w:cstheme="minorBidi"/>
              </w:rPr>
              <w:tab/>
            </w:r>
            <w:r w:rsidR="006F0CA3" w:rsidRPr="00473300">
              <w:rPr>
                <w:rStyle w:val="Hyperlink"/>
              </w:rPr>
              <w:t>Use and Costs of intravenous Ig for the treatment of MMN</w:t>
            </w:r>
            <w:r w:rsidR="006F0CA3">
              <w:rPr>
                <w:webHidden/>
              </w:rPr>
              <w:tab/>
            </w:r>
            <w:r w:rsidR="006F0CA3">
              <w:rPr>
                <w:webHidden/>
              </w:rPr>
              <w:fldChar w:fldCharType="begin"/>
            </w:r>
            <w:r w:rsidR="006F0CA3">
              <w:rPr>
                <w:webHidden/>
              </w:rPr>
              <w:instrText xml:space="preserve"> PAGEREF _Toc37845779 \h </w:instrText>
            </w:r>
            <w:r w:rsidR="006F0CA3">
              <w:rPr>
                <w:webHidden/>
              </w:rPr>
            </w:r>
            <w:r w:rsidR="006F0CA3">
              <w:rPr>
                <w:webHidden/>
              </w:rPr>
              <w:fldChar w:fldCharType="separate"/>
            </w:r>
            <w:r w:rsidR="00EA5DC1">
              <w:rPr>
                <w:webHidden/>
              </w:rPr>
              <w:t>105</w:t>
            </w:r>
            <w:r w:rsidR="006F0CA3">
              <w:rPr>
                <w:webHidden/>
              </w:rPr>
              <w:fldChar w:fldCharType="end"/>
            </w:r>
          </w:hyperlink>
        </w:p>
        <w:p w14:paraId="69A4314A" w14:textId="63E503B6" w:rsidR="006F0CA3" w:rsidRDefault="00515153">
          <w:pPr>
            <w:pStyle w:val="TOC3"/>
            <w:rPr>
              <w:rFonts w:asciiTheme="minorHAnsi" w:eastAsiaTheme="minorEastAsia" w:hAnsiTheme="minorHAnsi" w:cstheme="minorBidi"/>
            </w:rPr>
          </w:pPr>
          <w:hyperlink w:anchor="_Toc37845780" w:history="1">
            <w:r w:rsidR="006F0CA3" w:rsidRPr="00473300">
              <w:rPr>
                <w:rStyle w:val="Hyperlink"/>
              </w:rPr>
              <w:t>Number of MMN patients eligible to receive intravenous Ig</w:t>
            </w:r>
            <w:r w:rsidR="006F0CA3">
              <w:rPr>
                <w:webHidden/>
              </w:rPr>
              <w:tab/>
            </w:r>
            <w:r w:rsidR="006F0CA3">
              <w:rPr>
                <w:webHidden/>
              </w:rPr>
              <w:fldChar w:fldCharType="begin"/>
            </w:r>
            <w:r w:rsidR="006F0CA3">
              <w:rPr>
                <w:webHidden/>
              </w:rPr>
              <w:instrText xml:space="preserve"> PAGEREF _Toc37845780 \h </w:instrText>
            </w:r>
            <w:r w:rsidR="006F0CA3">
              <w:rPr>
                <w:webHidden/>
              </w:rPr>
            </w:r>
            <w:r w:rsidR="006F0CA3">
              <w:rPr>
                <w:webHidden/>
              </w:rPr>
              <w:fldChar w:fldCharType="separate"/>
            </w:r>
            <w:r w:rsidR="00EA5DC1">
              <w:rPr>
                <w:webHidden/>
              </w:rPr>
              <w:t>105</w:t>
            </w:r>
            <w:r w:rsidR="006F0CA3">
              <w:rPr>
                <w:webHidden/>
              </w:rPr>
              <w:fldChar w:fldCharType="end"/>
            </w:r>
          </w:hyperlink>
        </w:p>
        <w:p w14:paraId="5B03DED7" w14:textId="2DA43852" w:rsidR="006F0CA3" w:rsidRDefault="00515153">
          <w:pPr>
            <w:pStyle w:val="TOC3"/>
            <w:rPr>
              <w:rFonts w:asciiTheme="minorHAnsi" w:eastAsiaTheme="minorEastAsia" w:hAnsiTheme="minorHAnsi" w:cstheme="minorBidi"/>
            </w:rPr>
          </w:pPr>
          <w:hyperlink w:anchor="_Toc37845781" w:history="1">
            <w:r w:rsidR="006F0CA3" w:rsidRPr="00473300">
              <w:rPr>
                <w:rStyle w:val="Hyperlink"/>
              </w:rPr>
              <w:t>Estimated intravenous Ig grams per patient</w:t>
            </w:r>
            <w:r w:rsidR="006F0CA3">
              <w:rPr>
                <w:webHidden/>
              </w:rPr>
              <w:tab/>
            </w:r>
            <w:r w:rsidR="006F0CA3">
              <w:rPr>
                <w:webHidden/>
              </w:rPr>
              <w:fldChar w:fldCharType="begin"/>
            </w:r>
            <w:r w:rsidR="006F0CA3">
              <w:rPr>
                <w:webHidden/>
              </w:rPr>
              <w:instrText xml:space="preserve"> PAGEREF _Toc37845781 \h </w:instrText>
            </w:r>
            <w:r w:rsidR="006F0CA3">
              <w:rPr>
                <w:webHidden/>
              </w:rPr>
            </w:r>
            <w:r w:rsidR="006F0CA3">
              <w:rPr>
                <w:webHidden/>
              </w:rPr>
              <w:fldChar w:fldCharType="separate"/>
            </w:r>
            <w:r w:rsidR="00EA5DC1">
              <w:rPr>
                <w:webHidden/>
              </w:rPr>
              <w:t>105</w:t>
            </w:r>
            <w:r w:rsidR="006F0CA3">
              <w:rPr>
                <w:webHidden/>
              </w:rPr>
              <w:fldChar w:fldCharType="end"/>
            </w:r>
          </w:hyperlink>
        </w:p>
        <w:p w14:paraId="3E88BAB8" w14:textId="0A1F7CE5" w:rsidR="006F0CA3" w:rsidRDefault="00515153">
          <w:pPr>
            <w:pStyle w:val="TOC3"/>
            <w:rPr>
              <w:rFonts w:asciiTheme="minorHAnsi" w:eastAsiaTheme="minorEastAsia" w:hAnsiTheme="minorHAnsi" w:cstheme="minorBidi"/>
            </w:rPr>
          </w:pPr>
          <w:hyperlink w:anchor="_Toc37845782" w:history="1">
            <w:r w:rsidR="006F0CA3" w:rsidRPr="00473300">
              <w:rPr>
                <w:rStyle w:val="Hyperlink"/>
              </w:rPr>
              <w:t>Estimated cost of intravenous Ig</w:t>
            </w:r>
            <w:r w:rsidR="006F0CA3">
              <w:rPr>
                <w:webHidden/>
              </w:rPr>
              <w:tab/>
            </w:r>
            <w:r w:rsidR="006F0CA3">
              <w:rPr>
                <w:webHidden/>
              </w:rPr>
              <w:fldChar w:fldCharType="begin"/>
            </w:r>
            <w:r w:rsidR="006F0CA3">
              <w:rPr>
                <w:webHidden/>
              </w:rPr>
              <w:instrText xml:space="preserve"> PAGEREF _Toc37845782 \h </w:instrText>
            </w:r>
            <w:r w:rsidR="006F0CA3">
              <w:rPr>
                <w:webHidden/>
              </w:rPr>
            </w:r>
            <w:r w:rsidR="006F0CA3">
              <w:rPr>
                <w:webHidden/>
              </w:rPr>
              <w:fldChar w:fldCharType="separate"/>
            </w:r>
            <w:r w:rsidR="00EA5DC1">
              <w:rPr>
                <w:webHidden/>
              </w:rPr>
              <w:t>107</w:t>
            </w:r>
            <w:r w:rsidR="006F0CA3">
              <w:rPr>
                <w:webHidden/>
              </w:rPr>
              <w:fldChar w:fldCharType="end"/>
            </w:r>
          </w:hyperlink>
        </w:p>
        <w:p w14:paraId="1E6FEBCE" w14:textId="2DA3C470" w:rsidR="006F0CA3" w:rsidRDefault="00515153">
          <w:pPr>
            <w:pStyle w:val="TOC2"/>
            <w:tabs>
              <w:tab w:val="left" w:pos="1418"/>
            </w:tabs>
            <w:rPr>
              <w:rFonts w:asciiTheme="minorHAnsi" w:eastAsiaTheme="minorEastAsia" w:hAnsiTheme="minorHAnsi" w:cstheme="minorBidi"/>
            </w:rPr>
          </w:pPr>
          <w:hyperlink w:anchor="_Toc37845783" w:history="1">
            <w:r w:rsidR="006F0CA3" w:rsidRPr="00473300">
              <w:rPr>
                <w:rStyle w:val="Hyperlink"/>
              </w:rPr>
              <w:t>E.3.</w:t>
            </w:r>
            <w:r w:rsidR="006F0CA3">
              <w:rPr>
                <w:rFonts w:asciiTheme="minorHAnsi" w:eastAsiaTheme="minorEastAsia" w:hAnsiTheme="minorHAnsi" w:cstheme="minorBidi"/>
              </w:rPr>
              <w:tab/>
            </w:r>
            <w:r w:rsidR="006F0CA3" w:rsidRPr="00473300">
              <w:rPr>
                <w:rStyle w:val="Hyperlink"/>
              </w:rPr>
              <w:t>Changes in Use and Cost of Other Medical Services</w:t>
            </w:r>
            <w:r w:rsidR="006F0CA3">
              <w:rPr>
                <w:webHidden/>
              </w:rPr>
              <w:tab/>
            </w:r>
            <w:r w:rsidR="006F0CA3">
              <w:rPr>
                <w:webHidden/>
              </w:rPr>
              <w:fldChar w:fldCharType="begin"/>
            </w:r>
            <w:r w:rsidR="006F0CA3">
              <w:rPr>
                <w:webHidden/>
              </w:rPr>
              <w:instrText xml:space="preserve"> PAGEREF _Toc37845783 \h </w:instrText>
            </w:r>
            <w:r w:rsidR="006F0CA3">
              <w:rPr>
                <w:webHidden/>
              </w:rPr>
            </w:r>
            <w:r w:rsidR="006F0CA3">
              <w:rPr>
                <w:webHidden/>
              </w:rPr>
              <w:fldChar w:fldCharType="separate"/>
            </w:r>
            <w:r w:rsidR="00EA5DC1">
              <w:rPr>
                <w:webHidden/>
              </w:rPr>
              <w:t>107</w:t>
            </w:r>
            <w:r w:rsidR="006F0CA3">
              <w:rPr>
                <w:webHidden/>
              </w:rPr>
              <w:fldChar w:fldCharType="end"/>
            </w:r>
          </w:hyperlink>
        </w:p>
        <w:p w14:paraId="46B5F1D6" w14:textId="51F524D6" w:rsidR="006F0CA3" w:rsidRDefault="00515153">
          <w:pPr>
            <w:pStyle w:val="TOC3"/>
            <w:rPr>
              <w:rFonts w:asciiTheme="minorHAnsi" w:eastAsiaTheme="minorEastAsia" w:hAnsiTheme="minorHAnsi" w:cstheme="minorBidi"/>
            </w:rPr>
          </w:pPr>
          <w:hyperlink w:anchor="_Toc37845784" w:history="1">
            <w:r w:rsidR="006F0CA3" w:rsidRPr="00473300">
              <w:rPr>
                <w:rStyle w:val="Hyperlink"/>
              </w:rPr>
              <w:t>Intravenous Ig administration related costs</w:t>
            </w:r>
            <w:r w:rsidR="006F0CA3">
              <w:rPr>
                <w:webHidden/>
              </w:rPr>
              <w:tab/>
            </w:r>
            <w:r w:rsidR="006F0CA3">
              <w:rPr>
                <w:webHidden/>
              </w:rPr>
              <w:fldChar w:fldCharType="begin"/>
            </w:r>
            <w:r w:rsidR="006F0CA3">
              <w:rPr>
                <w:webHidden/>
              </w:rPr>
              <w:instrText xml:space="preserve"> PAGEREF _Toc37845784 \h </w:instrText>
            </w:r>
            <w:r w:rsidR="006F0CA3">
              <w:rPr>
                <w:webHidden/>
              </w:rPr>
            </w:r>
            <w:r w:rsidR="006F0CA3">
              <w:rPr>
                <w:webHidden/>
              </w:rPr>
              <w:fldChar w:fldCharType="separate"/>
            </w:r>
            <w:r w:rsidR="00EA5DC1">
              <w:rPr>
                <w:webHidden/>
              </w:rPr>
              <w:t>107</w:t>
            </w:r>
            <w:r w:rsidR="006F0CA3">
              <w:rPr>
                <w:webHidden/>
              </w:rPr>
              <w:fldChar w:fldCharType="end"/>
            </w:r>
          </w:hyperlink>
        </w:p>
        <w:p w14:paraId="4D0B7AD4" w14:textId="5A579B47" w:rsidR="006F0CA3" w:rsidRDefault="00515153">
          <w:pPr>
            <w:pStyle w:val="TOC3"/>
            <w:rPr>
              <w:rFonts w:asciiTheme="minorHAnsi" w:eastAsiaTheme="minorEastAsia" w:hAnsiTheme="minorHAnsi" w:cstheme="minorBidi"/>
            </w:rPr>
          </w:pPr>
          <w:hyperlink w:anchor="_Toc37845785" w:history="1">
            <w:r w:rsidR="006F0CA3" w:rsidRPr="00473300">
              <w:rPr>
                <w:rStyle w:val="Hyperlink"/>
              </w:rPr>
              <w:t>Disease monitoring and patient follow-up related costs</w:t>
            </w:r>
            <w:r w:rsidR="006F0CA3">
              <w:rPr>
                <w:webHidden/>
              </w:rPr>
              <w:tab/>
            </w:r>
            <w:r w:rsidR="006F0CA3">
              <w:rPr>
                <w:webHidden/>
              </w:rPr>
              <w:fldChar w:fldCharType="begin"/>
            </w:r>
            <w:r w:rsidR="006F0CA3">
              <w:rPr>
                <w:webHidden/>
              </w:rPr>
              <w:instrText xml:space="preserve"> PAGEREF _Toc37845785 \h </w:instrText>
            </w:r>
            <w:r w:rsidR="006F0CA3">
              <w:rPr>
                <w:webHidden/>
              </w:rPr>
            </w:r>
            <w:r w:rsidR="006F0CA3">
              <w:rPr>
                <w:webHidden/>
              </w:rPr>
              <w:fldChar w:fldCharType="separate"/>
            </w:r>
            <w:r w:rsidR="00EA5DC1">
              <w:rPr>
                <w:webHidden/>
              </w:rPr>
              <w:t>108</w:t>
            </w:r>
            <w:r w:rsidR="006F0CA3">
              <w:rPr>
                <w:webHidden/>
              </w:rPr>
              <w:fldChar w:fldCharType="end"/>
            </w:r>
          </w:hyperlink>
        </w:p>
        <w:p w14:paraId="4C73F9EC" w14:textId="3175E8E3" w:rsidR="006F0CA3" w:rsidRDefault="00515153">
          <w:pPr>
            <w:pStyle w:val="TOC3"/>
            <w:rPr>
              <w:rFonts w:asciiTheme="minorHAnsi" w:eastAsiaTheme="minorEastAsia" w:hAnsiTheme="minorHAnsi" w:cstheme="minorBidi"/>
            </w:rPr>
          </w:pPr>
          <w:hyperlink w:anchor="_Toc37845786" w:history="1">
            <w:r w:rsidR="006F0CA3" w:rsidRPr="00473300">
              <w:rPr>
                <w:rStyle w:val="Hyperlink"/>
              </w:rPr>
              <w:t>Changes in costs associated with AEs caused by the use of intravenous Ig</w:t>
            </w:r>
            <w:r w:rsidR="006F0CA3">
              <w:rPr>
                <w:webHidden/>
              </w:rPr>
              <w:tab/>
            </w:r>
            <w:r w:rsidR="006F0CA3">
              <w:rPr>
                <w:webHidden/>
              </w:rPr>
              <w:fldChar w:fldCharType="begin"/>
            </w:r>
            <w:r w:rsidR="006F0CA3">
              <w:rPr>
                <w:webHidden/>
              </w:rPr>
              <w:instrText xml:space="preserve"> PAGEREF _Toc37845786 \h </w:instrText>
            </w:r>
            <w:r w:rsidR="006F0CA3">
              <w:rPr>
                <w:webHidden/>
              </w:rPr>
            </w:r>
            <w:r w:rsidR="006F0CA3">
              <w:rPr>
                <w:webHidden/>
              </w:rPr>
              <w:fldChar w:fldCharType="separate"/>
            </w:r>
            <w:r w:rsidR="00EA5DC1">
              <w:rPr>
                <w:webHidden/>
              </w:rPr>
              <w:t>109</w:t>
            </w:r>
            <w:r w:rsidR="006F0CA3">
              <w:rPr>
                <w:webHidden/>
              </w:rPr>
              <w:fldChar w:fldCharType="end"/>
            </w:r>
          </w:hyperlink>
        </w:p>
        <w:p w14:paraId="1847A396" w14:textId="6605FD03" w:rsidR="006F0CA3" w:rsidRDefault="00515153">
          <w:pPr>
            <w:pStyle w:val="TOC2"/>
            <w:tabs>
              <w:tab w:val="left" w:pos="1418"/>
            </w:tabs>
            <w:rPr>
              <w:rFonts w:asciiTheme="minorHAnsi" w:eastAsiaTheme="minorEastAsia" w:hAnsiTheme="minorHAnsi" w:cstheme="minorBidi"/>
            </w:rPr>
          </w:pPr>
          <w:hyperlink w:anchor="_Toc37845787" w:history="1">
            <w:r w:rsidR="006F0CA3" w:rsidRPr="00473300">
              <w:rPr>
                <w:rStyle w:val="Hyperlink"/>
              </w:rPr>
              <w:t>E.4.</w:t>
            </w:r>
            <w:r w:rsidR="006F0CA3">
              <w:rPr>
                <w:rFonts w:asciiTheme="minorHAnsi" w:eastAsiaTheme="minorEastAsia" w:hAnsiTheme="minorHAnsi" w:cstheme="minorBidi"/>
              </w:rPr>
              <w:tab/>
            </w:r>
            <w:r w:rsidR="006F0CA3" w:rsidRPr="00473300">
              <w:rPr>
                <w:rStyle w:val="Hyperlink"/>
              </w:rPr>
              <w:t>Financial Implications for the MBS</w:t>
            </w:r>
            <w:r w:rsidR="006F0CA3">
              <w:rPr>
                <w:webHidden/>
              </w:rPr>
              <w:tab/>
            </w:r>
            <w:r w:rsidR="006F0CA3">
              <w:rPr>
                <w:webHidden/>
              </w:rPr>
              <w:fldChar w:fldCharType="begin"/>
            </w:r>
            <w:r w:rsidR="006F0CA3">
              <w:rPr>
                <w:webHidden/>
              </w:rPr>
              <w:instrText xml:space="preserve"> PAGEREF _Toc37845787 \h </w:instrText>
            </w:r>
            <w:r w:rsidR="006F0CA3">
              <w:rPr>
                <w:webHidden/>
              </w:rPr>
            </w:r>
            <w:r w:rsidR="006F0CA3">
              <w:rPr>
                <w:webHidden/>
              </w:rPr>
              <w:fldChar w:fldCharType="separate"/>
            </w:r>
            <w:r w:rsidR="00EA5DC1">
              <w:rPr>
                <w:webHidden/>
              </w:rPr>
              <w:t>110</w:t>
            </w:r>
            <w:r w:rsidR="006F0CA3">
              <w:rPr>
                <w:webHidden/>
              </w:rPr>
              <w:fldChar w:fldCharType="end"/>
            </w:r>
          </w:hyperlink>
        </w:p>
        <w:p w14:paraId="0F5B6499" w14:textId="33EBE490" w:rsidR="006F0CA3" w:rsidRDefault="00515153">
          <w:pPr>
            <w:pStyle w:val="TOC2"/>
            <w:tabs>
              <w:tab w:val="left" w:pos="1418"/>
            </w:tabs>
            <w:rPr>
              <w:rFonts w:asciiTheme="minorHAnsi" w:eastAsiaTheme="minorEastAsia" w:hAnsiTheme="minorHAnsi" w:cstheme="minorBidi"/>
            </w:rPr>
          </w:pPr>
          <w:hyperlink w:anchor="_Toc37845788" w:history="1">
            <w:r w:rsidR="006F0CA3" w:rsidRPr="00473300">
              <w:rPr>
                <w:rStyle w:val="Hyperlink"/>
              </w:rPr>
              <w:t>E.5.</w:t>
            </w:r>
            <w:r w:rsidR="006F0CA3">
              <w:rPr>
                <w:rFonts w:asciiTheme="minorHAnsi" w:eastAsiaTheme="minorEastAsia" w:hAnsiTheme="minorHAnsi" w:cstheme="minorBidi"/>
              </w:rPr>
              <w:tab/>
            </w:r>
            <w:r w:rsidR="006F0CA3" w:rsidRPr="00473300">
              <w:rPr>
                <w:rStyle w:val="Hyperlink"/>
              </w:rPr>
              <w:t>Financial Implications for the Government Health Budget</w:t>
            </w:r>
            <w:r w:rsidR="006F0CA3">
              <w:rPr>
                <w:webHidden/>
              </w:rPr>
              <w:tab/>
            </w:r>
            <w:r w:rsidR="006F0CA3">
              <w:rPr>
                <w:webHidden/>
              </w:rPr>
              <w:fldChar w:fldCharType="begin"/>
            </w:r>
            <w:r w:rsidR="006F0CA3">
              <w:rPr>
                <w:webHidden/>
              </w:rPr>
              <w:instrText xml:space="preserve"> PAGEREF _Toc37845788 \h </w:instrText>
            </w:r>
            <w:r w:rsidR="006F0CA3">
              <w:rPr>
                <w:webHidden/>
              </w:rPr>
            </w:r>
            <w:r w:rsidR="006F0CA3">
              <w:rPr>
                <w:webHidden/>
              </w:rPr>
              <w:fldChar w:fldCharType="separate"/>
            </w:r>
            <w:r w:rsidR="00EA5DC1">
              <w:rPr>
                <w:webHidden/>
              </w:rPr>
              <w:t>110</w:t>
            </w:r>
            <w:r w:rsidR="006F0CA3">
              <w:rPr>
                <w:webHidden/>
              </w:rPr>
              <w:fldChar w:fldCharType="end"/>
            </w:r>
          </w:hyperlink>
        </w:p>
        <w:p w14:paraId="402EF06A" w14:textId="1805BFC7" w:rsidR="006F0CA3" w:rsidRDefault="00515153">
          <w:pPr>
            <w:pStyle w:val="TOC3"/>
            <w:rPr>
              <w:rFonts w:asciiTheme="minorHAnsi" w:eastAsiaTheme="minorEastAsia" w:hAnsiTheme="minorHAnsi" w:cstheme="minorBidi"/>
            </w:rPr>
          </w:pPr>
          <w:hyperlink w:anchor="_Toc37845789" w:history="1">
            <w:r w:rsidR="006F0CA3" w:rsidRPr="00473300">
              <w:rPr>
                <w:rStyle w:val="Hyperlink"/>
              </w:rPr>
              <w:t>Other Government Impacts</w:t>
            </w:r>
            <w:r w:rsidR="006F0CA3">
              <w:rPr>
                <w:webHidden/>
              </w:rPr>
              <w:tab/>
            </w:r>
            <w:r w:rsidR="006F0CA3">
              <w:rPr>
                <w:webHidden/>
              </w:rPr>
              <w:fldChar w:fldCharType="begin"/>
            </w:r>
            <w:r w:rsidR="006F0CA3">
              <w:rPr>
                <w:webHidden/>
              </w:rPr>
              <w:instrText xml:space="preserve"> PAGEREF _Toc37845789 \h </w:instrText>
            </w:r>
            <w:r w:rsidR="006F0CA3">
              <w:rPr>
                <w:webHidden/>
              </w:rPr>
            </w:r>
            <w:r w:rsidR="006F0CA3">
              <w:rPr>
                <w:webHidden/>
              </w:rPr>
              <w:fldChar w:fldCharType="separate"/>
            </w:r>
            <w:r w:rsidR="00EA5DC1">
              <w:rPr>
                <w:webHidden/>
              </w:rPr>
              <w:t>110</w:t>
            </w:r>
            <w:r w:rsidR="006F0CA3">
              <w:rPr>
                <w:webHidden/>
              </w:rPr>
              <w:fldChar w:fldCharType="end"/>
            </w:r>
          </w:hyperlink>
        </w:p>
        <w:p w14:paraId="63C9DA23" w14:textId="6600124E" w:rsidR="006F0CA3" w:rsidRDefault="00515153">
          <w:pPr>
            <w:pStyle w:val="TOC2"/>
            <w:tabs>
              <w:tab w:val="left" w:pos="1418"/>
            </w:tabs>
            <w:rPr>
              <w:rFonts w:asciiTheme="minorHAnsi" w:eastAsiaTheme="minorEastAsia" w:hAnsiTheme="minorHAnsi" w:cstheme="minorBidi"/>
            </w:rPr>
          </w:pPr>
          <w:hyperlink w:anchor="_Toc37845790" w:history="1">
            <w:r w:rsidR="006F0CA3" w:rsidRPr="00473300">
              <w:rPr>
                <w:rStyle w:val="Hyperlink"/>
              </w:rPr>
              <w:t>E.6.</w:t>
            </w:r>
            <w:r w:rsidR="006F0CA3">
              <w:rPr>
                <w:rFonts w:asciiTheme="minorHAnsi" w:eastAsiaTheme="minorEastAsia" w:hAnsiTheme="minorHAnsi" w:cstheme="minorBidi"/>
              </w:rPr>
              <w:tab/>
            </w:r>
            <w:r w:rsidR="006F0CA3" w:rsidRPr="00473300">
              <w:rPr>
                <w:rStyle w:val="Hyperlink"/>
              </w:rPr>
              <w:t>Identification, Estimation and Reduction of Uncertainty</w:t>
            </w:r>
            <w:r w:rsidR="006F0CA3">
              <w:rPr>
                <w:webHidden/>
              </w:rPr>
              <w:tab/>
            </w:r>
            <w:r w:rsidR="006F0CA3">
              <w:rPr>
                <w:webHidden/>
              </w:rPr>
              <w:fldChar w:fldCharType="begin"/>
            </w:r>
            <w:r w:rsidR="006F0CA3">
              <w:rPr>
                <w:webHidden/>
              </w:rPr>
              <w:instrText xml:space="preserve"> PAGEREF _Toc37845790 \h </w:instrText>
            </w:r>
            <w:r w:rsidR="006F0CA3">
              <w:rPr>
                <w:webHidden/>
              </w:rPr>
            </w:r>
            <w:r w:rsidR="006F0CA3">
              <w:rPr>
                <w:webHidden/>
              </w:rPr>
              <w:fldChar w:fldCharType="separate"/>
            </w:r>
            <w:r w:rsidR="00EA5DC1">
              <w:rPr>
                <w:webHidden/>
              </w:rPr>
              <w:t>111</w:t>
            </w:r>
            <w:r w:rsidR="006F0CA3">
              <w:rPr>
                <w:webHidden/>
              </w:rPr>
              <w:fldChar w:fldCharType="end"/>
            </w:r>
          </w:hyperlink>
        </w:p>
        <w:p w14:paraId="51C2636E" w14:textId="2A3C03BA" w:rsidR="006F0CA3" w:rsidRDefault="00515153">
          <w:pPr>
            <w:pStyle w:val="TOC1"/>
            <w:rPr>
              <w:rFonts w:asciiTheme="minorHAnsi" w:eastAsiaTheme="minorEastAsia" w:hAnsiTheme="minorHAnsi" w:cstheme="minorBidi"/>
              <w:b w:val="0"/>
            </w:rPr>
          </w:pPr>
          <w:hyperlink w:anchor="_Toc37845791" w:history="1">
            <w:r w:rsidR="006F0CA3" w:rsidRPr="00473300">
              <w:rPr>
                <w:rStyle w:val="Hyperlink"/>
              </w:rPr>
              <w:t>Appendix A</w:t>
            </w:r>
            <w:r w:rsidR="006F0CA3">
              <w:rPr>
                <w:rFonts w:asciiTheme="minorHAnsi" w:eastAsiaTheme="minorEastAsia" w:hAnsiTheme="minorHAnsi" w:cstheme="minorBidi"/>
                <w:b w:val="0"/>
              </w:rPr>
              <w:tab/>
            </w:r>
            <w:r w:rsidR="006F0CA3" w:rsidRPr="00473300">
              <w:rPr>
                <w:rStyle w:val="Hyperlink"/>
              </w:rPr>
              <w:t>People involved in the report</w:t>
            </w:r>
            <w:r w:rsidR="006F0CA3">
              <w:rPr>
                <w:webHidden/>
              </w:rPr>
              <w:tab/>
            </w:r>
            <w:r w:rsidR="006F0CA3">
              <w:rPr>
                <w:webHidden/>
              </w:rPr>
              <w:fldChar w:fldCharType="begin"/>
            </w:r>
            <w:r w:rsidR="006F0CA3">
              <w:rPr>
                <w:webHidden/>
              </w:rPr>
              <w:instrText xml:space="preserve"> PAGEREF _Toc37845791 \h </w:instrText>
            </w:r>
            <w:r w:rsidR="006F0CA3">
              <w:rPr>
                <w:webHidden/>
              </w:rPr>
            </w:r>
            <w:r w:rsidR="006F0CA3">
              <w:rPr>
                <w:webHidden/>
              </w:rPr>
              <w:fldChar w:fldCharType="separate"/>
            </w:r>
            <w:r w:rsidR="00EA5DC1">
              <w:rPr>
                <w:webHidden/>
              </w:rPr>
              <w:t>114</w:t>
            </w:r>
            <w:r w:rsidR="006F0CA3">
              <w:rPr>
                <w:webHidden/>
              </w:rPr>
              <w:fldChar w:fldCharType="end"/>
            </w:r>
          </w:hyperlink>
        </w:p>
        <w:p w14:paraId="296D5053" w14:textId="358E4207" w:rsidR="006F0CA3" w:rsidRDefault="00515153">
          <w:pPr>
            <w:pStyle w:val="TOC1"/>
            <w:rPr>
              <w:rFonts w:asciiTheme="minorHAnsi" w:eastAsiaTheme="minorEastAsia" w:hAnsiTheme="minorHAnsi" w:cstheme="minorBidi"/>
              <w:b w:val="0"/>
            </w:rPr>
          </w:pPr>
          <w:hyperlink w:anchor="_Toc37845792" w:history="1">
            <w:r w:rsidR="006F0CA3" w:rsidRPr="00473300">
              <w:rPr>
                <w:rStyle w:val="Hyperlink"/>
              </w:rPr>
              <w:t>Appendix B</w:t>
            </w:r>
            <w:r w:rsidR="006F0CA3">
              <w:rPr>
                <w:rFonts w:asciiTheme="minorHAnsi" w:eastAsiaTheme="minorEastAsia" w:hAnsiTheme="minorHAnsi" w:cstheme="minorBidi"/>
                <w:b w:val="0"/>
              </w:rPr>
              <w:tab/>
            </w:r>
            <w:r w:rsidR="006F0CA3" w:rsidRPr="00473300">
              <w:rPr>
                <w:rStyle w:val="Hyperlink"/>
              </w:rPr>
              <w:t>Search strategies</w:t>
            </w:r>
            <w:r w:rsidR="006F0CA3">
              <w:rPr>
                <w:webHidden/>
              </w:rPr>
              <w:tab/>
            </w:r>
            <w:r w:rsidR="006F0CA3">
              <w:rPr>
                <w:webHidden/>
              </w:rPr>
              <w:fldChar w:fldCharType="begin"/>
            </w:r>
            <w:r w:rsidR="006F0CA3">
              <w:rPr>
                <w:webHidden/>
              </w:rPr>
              <w:instrText xml:space="preserve"> PAGEREF _Toc37845792 \h </w:instrText>
            </w:r>
            <w:r w:rsidR="006F0CA3">
              <w:rPr>
                <w:webHidden/>
              </w:rPr>
            </w:r>
            <w:r w:rsidR="006F0CA3">
              <w:rPr>
                <w:webHidden/>
              </w:rPr>
              <w:fldChar w:fldCharType="separate"/>
            </w:r>
            <w:r w:rsidR="00EA5DC1">
              <w:rPr>
                <w:webHidden/>
              </w:rPr>
              <w:t>115</w:t>
            </w:r>
            <w:r w:rsidR="006F0CA3">
              <w:rPr>
                <w:webHidden/>
              </w:rPr>
              <w:fldChar w:fldCharType="end"/>
            </w:r>
          </w:hyperlink>
        </w:p>
        <w:p w14:paraId="61AF4010" w14:textId="51199CE0" w:rsidR="006F0CA3" w:rsidRDefault="00515153">
          <w:pPr>
            <w:pStyle w:val="TOC3"/>
            <w:rPr>
              <w:rFonts w:asciiTheme="minorHAnsi" w:eastAsiaTheme="minorEastAsia" w:hAnsiTheme="minorHAnsi" w:cstheme="minorBidi"/>
            </w:rPr>
          </w:pPr>
          <w:hyperlink w:anchor="_Toc37845793" w:history="1">
            <w:r w:rsidR="006F0CA3" w:rsidRPr="00473300">
              <w:rPr>
                <w:rStyle w:val="Hyperlink"/>
              </w:rPr>
              <w:t>Bibliographic databases</w:t>
            </w:r>
            <w:r w:rsidR="006F0CA3">
              <w:rPr>
                <w:webHidden/>
              </w:rPr>
              <w:tab/>
            </w:r>
            <w:r w:rsidR="006F0CA3">
              <w:rPr>
                <w:webHidden/>
              </w:rPr>
              <w:fldChar w:fldCharType="begin"/>
            </w:r>
            <w:r w:rsidR="006F0CA3">
              <w:rPr>
                <w:webHidden/>
              </w:rPr>
              <w:instrText xml:space="preserve"> PAGEREF _Toc37845793 \h </w:instrText>
            </w:r>
            <w:r w:rsidR="006F0CA3">
              <w:rPr>
                <w:webHidden/>
              </w:rPr>
            </w:r>
            <w:r w:rsidR="006F0CA3">
              <w:rPr>
                <w:webHidden/>
              </w:rPr>
              <w:fldChar w:fldCharType="separate"/>
            </w:r>
            <w:r w:rsidR="00EA5DC1">
              <w:rPr>
                <w:webHidden/>
              </w:rPr>
              <w:t>115</w:t>
            </w:r>
            <w:r w:rsidR="006F0CA3">
              <w:rPr>
                <w:webHidden/>
              </w:rPr>
              <w:fldChar w:fldCharType="end"/>
            </w:r>
          </w:hyperlink>
        </w:p>
        <w:p w14:paraId="1B39A3B2" w14:textId="5A09D468" w:rsidR="006F0CA3" w:rsidRDefault="00515153">
          <w:pPr>
            <w:pStyle w:val="TOC3"/>
            <w:rPr>
              <w:rFonts w:asciiTheme="minorHAnsi" w:eastAsiaTheme="minorEastAsia" w:hAnsiTheme="minorHAnsi" w:cstheme="minorBidi"/>
            </w:rPr>
          </w:pPr>
          <w:hyperlink w:anchor="_Toc37845794" w:history="1">
            <w:r w:rsidR="006F0CA3" w:rsidRPr="00473300">
              <w:rPr>
                <w:rStyle w:val="Hyperlink"/>
              </w:rPr>
              <w:t>Additional sources of literature (including websites)</w:t>
            </w:r>
            <w:r w:rsidR="006F0CA3">
              <w:rPr>
                <w:webHidden/>
              </w:rPr>
              <w:tab/>
            </w:r>
            <w:r w:rsidR="006F0CA3">
              <w:rPr>
                <w:webHidden/>
              </w:rPr>
              <w:fldChar w:fldCharType="begin"/>
            </w:r>
            <w:r w:rsidR="006F0CA3">
              <w:rPr>
                <w:webHidden/>
              </w:rPr>
              <w:instrText xml:space="preserve"> PAGEREF _Toc37845794 \h </w:instrText>
            </w:r>
            <w:r w:rsidR="006F0CA3">
              <w:rPr>
                <w:webHidden/>
              </w:rPr>
            </w:r>
            <w:r w:rsidR="006F0CA3">
              <w:rPr>
                <w:webHidden/>
              </w:rPr>
              <w:fldChar w:fldCharType="separate"/>
            </w:r>
            <w:r w:rsidR="00EA5DC1">
              <w:rPr>
                <w:webHidden/>
              </w:rPr>
              <w:t>115</w:t>
            </w:r>
            <w:r w:rsidR="006F0CA3">
              <w:rPr>
                <w:webHidden/>
              </w:rPr>
              <w:fldChar w:fldCharType="end"/>
            </w:r>
          </w:hyperlink>
        </w:p>
        <w:p w14:paraId="0D499D23" w14:textId="4F1F8A8D" w:rsidR="006F0CA3" w:rsidRDefault="00515153">
          <w:pPr>
            <w:pStyle w:val="TOC1"/>
            <w:rPr>
              <w:rFonts w:asciiTheme="minorHAnsi" w:eastAsiaTheme="minorEastAsia" w:hAnsiTheme="minorHAnsi" w:cstheme="minorBidi"/>
              <w:b w:val="0"/>
            </w:rPr>
          </w:pPr>
          <w:hyperlink w:anchor="_Toc37845795" w:history="1">
            <w:r w:rsidR="006F0CA3" w:rsidRPr="00473300">
              <w:rPr>
                <w:rStyle w:val="Hyperlink"/>
              </w:rPr>
              <w:t>Appendix C</w:t>
            </w:r>
            <w:r w:rsidR="006F0CA3">
              <w:rPr>
                <w:rFonts w:asciiTheme="minorHAnsi" w:eastAsiaTheme="minorEastAsia" w:hAnsiTheme="minorHAnsi" w:cstheme="minorBidi"/>
                <w:b w:val="0"/>
              </w:rPr>
              <w:tab/>
            </w:r>
            <w:r w:rsidR="006F0CA3" w:rsidRPr="00473300">
              <w:rPr>
                <w:rStyle w:val="Hyperlink"/>
              </w:rPr>
              <w:t>Studies included in the Systematic Review</w:t>
            </w:r>
            <w:r w:rsidR="006F0CA3">
              <w:rPr>
                <w:webHidden/>
              </w:rPr>
              <w:tab/>
            </w:r>
            <w:r w:rsidR="006F0CA3">
              <w:rPr>
                <w:webHidden/>
              </w:rPr>
              <w:fldChar w:fldCharType="begin"/>
            </w:r>
            <w:r w:rsidR="006F0CA3">
              <w:rPr>
                <w:webHidden/>
              </w:rPr>
              <w:instrText xml:space="preserve"> PAGEREF _Toc37845795 \h </w:instrText>
            </w:r>
            <w:r w:rsidR="006F0CA3">
              <w:rPr>
                <w:webHidden/>
              </w:rPr>
            </w:r>
            <w:r w:rsidR="006F0CA3">
              <w:rPr>
                <w:webHidden/>
              </w:rPr>
              <w:fldChar w:fldCharType="separate"/>
            </w:r>
            <w:r w:rsidR="00EA5DC1">
              <w:rPr>
                <w:webHidden/>
              </w:rPr>
              <w:t>117</w:t>
            </w:r>
            <w:r w:rsidR="006F0CA3">
              <w:rPr>
                <w:webHidden/>
              </w:rPr>
              <w:fldChar w:fldCharType="end"/>
            </w:r>
          </w:hyperlink>
        </w:p>
        <w:p w14:paraId="5C1E0767" w14:textId="5F68CAD4" w:rsidR="006F0CA3" w:rsidRDefault="00515153">
          <w:pPr>
            <w:pStyle w:val="TOC1"/>
            <w:rPr>
              <w:rFonts w:asciiTheme="minorHAnsi" w:eastAsiaTheme="minorEastAsia" w:hAnsiTheme="minorHAnsi" w:cstheme="minorBidi"/>
              <w:b w:val="0"/>
            </w:rPr>
          </w:pPr>
          <w:hyperlink w:anchor="_Toc37845796" w:history="1">
            <w:r w:rsidR="006F0CA3" w:rsidRPr="00473300">
              <w:rPr>
                <w:rStyle w:val="Hyperlink"/>
              </w:rPr>
              <w:t>Appendix D</w:t>
            </w:r>
            <w:r w:rsidR="006F0CA3">
              <w:rPr>
                <w:rFonts w:asciiTheme="minorHAnsi" w:eastAsiaTheme="minorEastAsia" w:hAnsiTheme="minorHAnsi" w:cstheme="minorBidi"/>
                <w:b w:val="0"/>
              </w:rPr>
              <w:tab/>
            </w:r>
            <w:r w:rsidR="006F0CA3" w:rsidRPr="00473300">
              <w:rPr>
                <w:rStyle w:val="Hyperlink"/>
              </w:rPr>
              <w:t>Evidence Profile Tables</w:t>
            </w:r>
            <w:r w:rsidR="006F0CA3">
              <w:rPr>
                <w:webHidden/>
              </w:rPr>
              <w:tab/>
            </w:r>
            <w:r w:rsidR="006F0CA3">
              <w:rPr>
                <w:webHidden/>
              </w:rPr>
              <w:fldChar w:fldCharType="begin"/>
            </w:r>
            <w:r w:rsidR="006F0CA3">
              <w:rPr>
                <w:webHidden/>
              </w:rPr>
              <w:instrText xml:space="preserve"> PAGEREF _Toc37845796 \h </w:instrText>
            </w:r>
            <w:r w:rsidR="006F0CA3">
              <w:rPr>
                <w:webHidden/>
              </w:rPr>
            </w:r>
            <w:r w:rsidR="006F0CA3">
              <w:rPr>
                <w:webHidden/>
              </w:rPr>
              <w:fldChar w:fldCharType="separate"/>
            </w:r>
            <w:r w:rsidR="00EA5DC1">
              <w:rPr>
                <w:webHidden/>
              </w:rPr>
              <w:t>142</w:t>
            </w:r>
            <w:r w:rsidR="006F0CA3">
              <w:rPr>
                <w:webHidden/>
              </w:rPr>
              <w:fldChar w:fldCharType="end"/>
            </w:r>
          </w:hyperlink>
        </w:p>
        <w:p w14:paraId="070EE365" w14:textId="19983CB2" w:rsidR="006F0CA3" w:rsidRDefault="00515153">
          <w:pPr>
            <w:pStyle w:val="TOC1"/>
            <w:rPr>
              <w:rFonts w:asciiTheme="minorHAnsi" w:eastAsiaTheme="minorEastAsia" w:hAnsiTheme="minorHAnsi" w:cstheme="minorBidi"/>
              <w:b w:val="0"/>
            </w:rPr>
          </w:pPr>
          <w:hyperlink w:anchor="_Toc37845797" w:history="1">
            <w:r w:rsidR="006F0CA3" w:rsidRPr="00473300">
              <w:rPr>
                <w:rStyle w:val="Hyperlink"/>
              </w:rPr>
              <w:t>Appendix E</w:t>
            </w:r>
            <w:r w:rsidR="006F0CA3">
              <w:rPr>
                <w:rFonts w:asciiTheme="minorHAnsi" w:eastAsiaTheme="minorEastAsia" w:hAnsiTheme="minorHAnsi" w:cstheme="minorBidi"/>
                <w:b w:val="0"/>
              </w:rPr>
              <w:tab/>
            </w:r>
            <w:r w:rsidR="006F0CA3" w:rsidRPr="00473300">
              <w:rPr>
                <w:rStyle w:val="Hyperlink"/>
              </w:rPr>
              <w:t>Excluded Studies</w:t>
            </w:r>
            <w:r w:rsidR="006F0CA3">
              <w:rPr>
                <w:webHidden/>
              </w:rPr>
              <w:tab/>
            </w:r>
            <w:r w:rsidR="006F0CA3">
              <w:rPr>
                <w:webHidden/>
              </w:rPr>
              <w:fldChar w:fldCharType="begin"/>
            </w:r>
            <w:r w:rsidR="006F0CA3">
              <w:rPr>
                <w:webHidden/>
              </w:rPr>
              <w:instrText xml:space="preserve"> PAGEREF _Toc37845797 \h </w:instrText>
            </w:r>
            <w:r w:rsidR="006F0CA3">
              <w:rPr>
                <w:webHidden/>
              </w:rPr>
            </w:r>
            <w:r w:rsidR="006F0CA3">
              <w:rPr>
                <w:webHidden/>
              </w:rPr>
              <w:fldChar w:fldCharType="separate"/>
            </w:r>
            <w:r w:rsidR="00EA5DC1">
              <w:rPr>
                <w:webHidden/>
              </w:rPr>
              <w:t>145</w:t>
            </w:r>
            <w:r w:rsidR="006F0CA3">
              <w:rPr>
                <w:webHidden/>
              </w:rPr>
              <w:fldChar w:fldCharType="end"/>
            </w:r>
          </w:hyperlink>
        </w:p>
        <w:p w14:paraId="61365F86" w14:textId="1150B44E" w:rsidR="006F0CA3" w:rsidRDefault="00515153">
          <w:pPr>
            <w:pStyle w:val="TOC1"/>
            <w:rPr>
              <w:rFonts w:asciiTheme="minorHAnsi" w:eastAsiaTheme="minorEastAsia" w:hAnsiTheme="minorHAnsi" w:cstheme="minorBidi"/>
              <w:b w:val="0"/>
            </w:rPr>
          </w:pPr>
          <w:hyperlink w:anchor="_Toc37845798" w:history="1">
            <w:r w:rsidR="006F0CA3" w:rsidRPr="00473300">
              <w:rPr>
                <w:rStyle w:val="Hyperlink"/>
              </w:rPr>
              <w:t>Appendix F</w:t>
            </w:r>
            <w:r w:rsidR="006F0CA3">
              <w:rPr>
                <w:rFonts w:asciiTheme="minorHAnsi" w:eastAsiaTheme="minorEastAsia" w:hAnsiTheme="minorHAnsi" w:cstheme="minorBidi"/>
                <w:b w:val="0"/>
              </w:rPr>
              <w:tab/>
            </w:r>
            <w:r w:rsidR="006F0CA3" w:rsidRPr="00473300">
              <w:rPr>
                <w:rStyle w:val="Hyperlink"/>
              </w:rPr>
              <w:t>Effectiveness outcomes</w:t>
            </w:r>
            <w:r w:rsidR="006F0CA3">
              <w:rPr>
                <w:webHidden/>
              </w:rPr>
              <w:tab/>
            </w:r>
            <w:r w:rsidR="006F0CA3">
              <w:rPr>
                <w:webHidden/>
              </w:rPr>
              <w:fldChar w:fldCharType="begin"/>
            </w:r>
            <w:r w:rsidR="006F0CA3">
              <w:rPr>
                <w:webHidden/>
              </w:rPr>
              <w:instrText xml:space="preserve"> PAGEREF _Toc37845798 \h </w:instrText>
            </w:r>
            <w:r w:rsidR="006F0CA3">
              <w:rPr>
                <w:webHidden/>
              </w:rPr>
            </w:r>
            <w:r w:rsidR="006F0CA3">
              <w:rPr>
                <w:webHidden/>
              </w:rPr>
              <w:fldChar w:fldCharType="separate"/>
            </w:r>
            <w:r w:rsidR="00EA5DC1">
              <w:rPr>
                <w:webHidden/>
              </w:rPr>
              <w:t>149</w:t>
            </w:r>
            <w:r w:rsidR="006F0CA3">
              <w:rPr>
                <w:webHidden/>
              </w:rPr>
              <w:fldChar w:fldCharType="end"/>
            </w:r>
          </w:hyperlink>
        </w:p>
        <w:p w14:paraId="7DFB7C9B" w14:textId="0C93843E" w:rsidR="006F0CA3" w:rsidRDefault="00515153">
          <w:pPr>
            <w:pStyle w:val="TOC2"/>
            <w:rPr>
              <w:rFonts w:asciiTheme="minorHAnsi" w:eastAsiaTheme="minorEastAsia" w:hAnsiTheme="minorHAnsi" w:cstheme="minorBidi"/>
            </w:rPr>
          </w:pPr>
          <w:hyperlink w:anchor="_Toc37845799" w:history="1">
            <w:r w:rsidR="006F0CA3" w:rsidRPr="00473300">
              <w:rPr>
                <w:rStyle w:val="Hyperlink"/>
              </w:rPr>
              <w:t>Fixed effect models</w:t>
            </w:r>
            <w:r w:rsidR="006F0CA3">
              <w:rPr>
                <w:webHidden/>
              </w:rPr>
              <w:tab/>
            </w:r>
            <w:r w:rsidR="006F0CA3">
              <w:rPr>
                <w:webHidden/>
              </w:rPr>
              <w:fldChar w:fldCharType="begin"/>
            </w:r>
            <w:r w:rsidR="006F0CA3">
              <w:rPr>
                <w:webHidden/>
              </w:rPr>
              <w:instrText xml:space="preserve"> PAGEREF _Toc37845799 \h </w:instrText>
            </w:r>
            <w:r w:rsidR="006F0CA3">
              <w:rPr>
                <w:webHidden/>
              </w:rPr>
            </w:r>
            <w:r w:rsidR="006F0CA3">
              <w:rPr>
                <w:webHidden/>
              </w:rPr>
              <w:fldChar w:fldCharType="separate"/>
            </w:r>
            <w:r w:rsidR="00EA5DC1">
              <w:rPr>
                <w:webHidden/>
              </w:rPr>
              <w:t>149</w:t>
            </w:r>
            <w:r w:rsidR="006F0CA3">
              <w:rPr>
                <w:webHidden/>
              </w:rPr>
              <w:fldChar w:fldCharType="end"/>
            </w:r>
          </w:hyperlink>
        </w:p>
        <w:p w14:paraId="33E839D9" w14:textId="78F3A7F4" w:rsidR="006F0CA3" w:rsidRDefault="00515153">
          <w:pPr>
            <w:pStyle w:val="TOC1"/>
            <w:rPr>
              <w:rFonts w:asciiTheme="minorHAnsi" w:eastAsiaTheme="minorEastAsia" w:hAnsiTheme="minorHAnsi" w:cstheme="minorBidi"/>
              <w:b w:val="0"/>
            </w:rPr>
          </w:pPr>
          <w:hyperlink w:anchor="_Toc37845800" w:history="1">
            <w:r w:rsidR="006F0CA3" w:rsidRPr="00473300">
              <w:rPr>
                <w:rStyle w:val="Hyperlink"/>
              </w:rPr>
              <w:t>Appendix G Economic analysis</w:t>
            </w:r>
            <w:r w:rsidR="006F0CA3">
              <w:rPr>
                <w:webHidden/>
              </w:rPr>
              <w:tab/>
            </w:r>
            <w:r w:rsidR="006F0CA3">
              <w:rPr>
                <w:webHidden/>
              </w:rPr>
              <w:fldChar w:fldCharType="begin"/>
            </w:r>
            <w:r w:rsidR="006F0CA3">
              <w:rPr>
                <w:webHidden/>
              </w:rPr>
              <w:instrText xml:space="preserve"> PAGEREF _Toc37845800 \h </w:instrText>
            </w:r>
            <w:r w:rsidR="006F0CA3">
              <w:rPr>
                <w:webHidden/>
              </w:rPr>
            </w:r>
            <w:r w:rsidR="006F0CA3">
              <w:rPr>
                <w:webHidden/>
              </w:rPr>
              <w:fldChar w:fldCharType="separate"/>
            </w:r>
            <w:r w:rsidR="00EA5DC1">
              <w:rPr>
                <w:webHidden/>
              </w:rPr>
              <w:t>150</w:t>
            </w:r>
            <w:r w:rsidR="006F0CA3">
              <w:rPr>
                <w:webHidden/>
              </w:rPr>
              <w:fldChar w:fldCharType="end"/>
            </w:r>
          </w:hyperlink>
        </w:p>
        <w:p w14:paraId="6F001744" w14:textId="4B44327D" w:rsidR="006F0CA3" w:rsidRDefault="00515153">
          <w:pPr>
            <w:pStyle w:val="TOC2"/>
            <w:rPr>
              <w:rFonts w:asciiTheme="minorHAnsi" w:eastAsiaTheme="minorEastAsia" w:hAnsiTheme="minorHAnsi" w:cstheme="minorBidi"/>
            </w:rPr>
          </w:pPr>
          <w:hyperlink w:anchor="_Toc37845801" w:history="1">
            <w:r w:rsidR="006F0CA3" w:rsidRPr="00473300">
              <w:rPr>
                <w:rStyle w:val="Hyperlink"/>
              </w:rPr>
              <w:t>Inputs to the economic evaluation (Base case analysis)</w:t>
            </w:r>
            <w:r w:rsidR="006F0CA3">
              <w:rPr>
                <w:webHidden/>
              </w:rPr>
              <w:tab/>
            </w:r>
            <w:r w:rsidR="006F0CA3">
              <w:rPr>
                <w:webHidden/>
              </w:rPr>
              <w:fldChar w:fldCharType="begin"/>
            </w:r>
            <w:r w:rsidR="006F0CA3">
              <w:rPr>
                <w:webHidden/>
              </w:rPr>
              <w:instrText xml:space="preserve"> PAGEREF _Toc37845801 \h </w:instrText>
            </w:r>
            <w:r w:rsidR="006F0CA3">
              <w:rPr>
                <w:webHidden/>
              </w:rPr>
            </w:r>
            <w:r w:rsidR="006F0CA3">
              <w:rPr>
                <w:webHidden/>
              </w:rPr>
              <w:fldChar w:fldCharType="separate"/>
            </w:r>
            <w:r w:rsidR="00EA5DC1">
              <w:rPr>
                <w:webHidden/>
              </w:rPr>
              <w:t>150</w:t>
            </w:r>
            <w:r w:rsidR="006F0CA3">
              <w:rPr>
                <w:webHidden/>
              </w:rPr>
              <w:fldChar w:fldCharType="end"/>
            </w:r>
          </w:hyperlink>
        </w:p>
        <w:p w14:paraId="718978F2" w14:textId="6381FEAC" w:rsidR="006F0CA3" w:rsidRDefault="00515153">
          <w:pPr>
            <w:pStyle w:val="TOC2"/>
            <w:rPr>
              <w:rFonts w:asciiTheme="minorHAnsi" w:eastAsiaTheme="minorEastAsia" w:hAnsiTheme="minorHAnsi" w:cstheme="minorBidi"/>
            </w:rPr>
          </w:pPr>
          <w:hyperlink w:anchor="_Toc37845802" w:history="1">
            <w:r w:rsidR="006F0CA3" w:rsidRPr="00473300">
              <w:rPr>
                <w:rStyle w:val="Hyperlink"/>
                <w:rFonts w:eastAsiaTheme="minorHAnsi"/>
                <w:lang w:eastAsia="en-US"/>
              </w:rPr>
              <w:t>Markov traces: Lifetime time horizon</w:t>
            </w:r>
            <w:r w:rsidR="006F0CA3">
              <w:rPr>
                <w:webHidden/>
              </w:rPr>
              <w:tab/>
            </w:r>
            <w:r w:rsidR="006F0CA3">
              <w:rPr>
                <w:webHidden/>
              </w:rPr>
              <w:fldChar w:fldCharType="begin"/>
            </w:r>
            <w:r w:rsidR="006F0CA3">
              <w:rPr>
                <w:webHidden/>
              </w:rPr>
              <w:instrText xml:space="preserve"> PAGEREF _Toc37845802 \h </w:instrText>
            </w:r>
            <w:r w:rsidR="006F0CA3">
              <w:rPr>
                <w:webHidden/>
              </w:rPr>
            </w:r>
            <w:r w:rsidR="006F0CA3">
              <w:rPr>
                <w:webHidden/>
              </w:rPr>
              <w:fldChar w:fldCharType="separate"/>
            </w:r>
            <w:r w:rsidR="00EA5DC1">
              <w:rPr>
                <w:webHidden/>
              </w:rPr>
              <w:t>152</w:t>
            </w:r>
            <w:r w:rsidR="006F0CA3">
              <w:rPr>
                <w:webHidden/>
              </w:rPr>
              <w:fldChar w:fldCharType="end"/>
            </w:r>
          </w:hyperlink>
        </w:p>
        <w:p w14:paraId="41F1D5D3" w14:textId="52B68A73" w:rsidR="006F0CA3" w:rsidRDefault="00515153">
          <w:pPr>
            <w:pStyle w:val="TOC1"/>
            <w:rPr>
              <w:rFonts w:asciiTheme="minorHAnsi" w:eastAsiaTheme="minorEastAsia" w:hAnsiTheme="minorHAnsi" w:cstheme="minorBidi"/>
              <w:b w:val="0"/>
            </w:rPr>
          </w:pPr>
          <w:hyperlink w:anchor="_Toc37845803" w:history="1">
            <w:r w:rsidR="006F0CA3" w:rsidRPr="00473300">
              <w:rPr>
                <w:rStyle w:val="Hyperlink"/>
              </w:rPr>
              <w:t>References</w:t>
            </w:r>
            <w:r w:rsidR="006F0CA3">
              <w:rPr>
                <w:webHidden/>
              </w:rPr>
              <w:tab/>
            </w:r>
            <w:r w:rsidR="006F0CA3">
              <w:rPr>
                <w:webHidden/>
              </w:rPr>
              <w:fldChar w:fldCharType="begin"/>
            </w:r>
            <w:r w:rsidR="006F0CA3">
              <w:rPr>
                <w:webHidden/>
              </w:rPr>
              <w:instrText xml:space="preserve"> PAGEREF _Toc37845803 \h </w:instrText>
            </w:r>
            <w:r w:rsidR="006F0CA3">
              <w:rPr>
                <w:webHidden/>
              </w:rPr>
            </w:r>
            <w:r w:rsidR="006F0CA3">
              <w:rPr>
                <w:webHidden/>
              </w:rPr>
              <w:fldChar w:fldCharType="separate"/>
            </w:r>
            <w:r w:rsidR="00EA5DC1">
              <w:rPr>
                <w:webHidden/>
              </w:rPr>
              <w:t>154</w:t>
            </w:r>
            <w:r w:rsidR="006F0CA3">
              <w:rPr>
                <w:webHidden/>
              </w:rPr>
              <w:fldChar w:fldCharType="end"/>
            </w:r>
          </w:hyperlink>
        </w:p>
        <w:p w14:paraId="0D4E97A7" w14:textId="6725E2EB" w:rsidR="00DD08A9" w:rsidRPr="00DA3C6E" w:rsidRDefault="00DD08A9" w:rsidP="00DD08A9">
          <w:r w:rsidRPr="00DA3C6E">
            <w:rPr>
              <w:b/>
              <w:bCs/>
              <w:noProof/>
            </w:rPr>
            <w:fldChar w:fldCharType="end"/>
          </w:r>
        </w:p>
      </w:sdtContent>
    </w:sdt>
    <w:p w14:paraId="1B1C8B7B" w14:textId="77777777" w:rsidR="00DD08A9" w:rsidRPr="00DA3C6E" w:rsidRDefault="00DD08A9" w:rsidP="00DD08A9">
      <w:pPr>
        <w:pStyle w:val="Heading2"/>
      </w:pPr>
      <w:r w:rsidRPr="00DA3C6E">
        <w:br w:type="page"/>
      </w:r>
      <w:bookmarkStart w:id="19" w:name="_Toc381796425"/>
      <w:bookmarkStart w:id="20" w:name="_Toc395200736"/>
      <w:bookmarkStart w:id="21" w:name="_Toc399247191"/>
      <w:bookmarkStart w:id="22" w:name="_Toc402884710"/>
      <w:bookmarkStart w:id="23" w:name="_Toc37845689"/>
      <w:r w:rsidRPr="00DA3C6E">
        <w:lastRenderedPageBreak/>
        <w:t>Tables</w:t>
      </w:r>
      <w:bookmarkEnd w:id="19"/>
      <w:bookmarkEnd w:id="20"/>
      <w:bookmarkEnd w:id="21"/>
      <w:bookmarkEnd w:id="22"/>
      <w:bookmarkEnd w:id="23"/>
    </w:p>
    <w:bookmarkStart w:id="24" w:name="_Toc381796426"/>
    <w:bookmarkStart w:id="25" w:name="_Toc395200737"/>
    <w:p w14:paraId="3644DA98" w14:textId="2D39A0D8" w:rsidR="006F0CA3" w:rsidRDefault="00DD08A9">
      <w:pPr>
        <w:pStyle w:val="TableofFigures"/>
        <w:rPr>
          <w:rFonts w:asciiTheme="minorHAnsi" w:eastAsiaTheme="minorEastAsia" w:hAnsiTheme="minorHAnsi" w:cstheme="minorBidi"/>
        </w:rPr>
      </w:pPr>
      <w:r w:rsidRPr="00DA3C6E">
        <w:rPr>
          <w:rFonts w:asciiTheme="minorHAnsi" w:eastAsiaTheme="minorEastAsia" w:hAnsiTheme="minorHAnsi" w:cstheme="minorBidi"/>
          <w:b/>
          <w:smallCaps/>
        </w:rPr>
        <w:fldChar w:fldCharType="begin"/>
      </w:r>
      <w:r w:rsidRPr="00DA3C6E">
        <w:rPr>
          <w:rFonts w:asciiTheme="minorHAnsi" w:eastAsiaTheme="minorEastAsia" w:hAnsiTheme="minorHAnsi" w:cstheme="minorBidi"/>
          <w:b/>
          <w:smallCaps/>
        </w:rPr>
        <w:instrText xml:space="preserve"> TOC \h \z \c "Table" </w:instrText>
      </w:r>
      <w:r w:rsidRPr="00DA3C6E">
        <w:rPr>
          <w:rFonts w:asciiTheme="minorHAnsi" w:eastAsiaTheme="minorEastAsia" w:hAnsiTheme="minorHAnsi" w:cstheme="minorBidi"/>
          <w:b/>
          <w:smallCaps/>
        </w:rPr>
        <w:fldChar w:fldCharType="separate"/>
      </w:r>
      <w:hyperlink w:anchor="_Toc37845804" w:history="1">
        <w:r w:rsidR="006F0CA3" w:rsidRPr="009B3CD3">
          <w:rPr>
            <w:rStyle w:val="Hyperlink"/>
          </w:rPr>
          <w:t>Table 1</w:t>
        </w:r>
        <w:r w:rsidR="006F0CA3" w:rsidRPr="009B3CD3">
          <w:rPr>
            <w:rStyle w:val="Hyperlink"/>
            <w:rFonts w:eastAsia="Calibri" w:cs="Times New Roman"/>
            <w:lang w:eastAsia="en-US"/>
          </w:rPr>
          <w:t>: Current effective dose of intravenous Ig for MMN in Australia as established in The Criteria V3</w:t>
        </w:r>
        <w:r w:rsidR="006F0CA3" w:rsidRPr="009B3CD3">
          <w:rPr>
            <w:rStyle w:val="Hyperlink"/>
            <w:rFonts w:eastAsia="Calibri" w:cs="Times New Roman"/>
            <w:i/>
            <w:lang w:eastAsia="en-US"/>
          </w:rPr>
          <w:t>.</w:t>
        </w:r>
        <w:r w:rsidR="006F0CA3">
          <w:rPr>
            <w:webHidden/>
          </w:rPr>
          <w:tab/>
        </w:r>
        <w:r w:rsidR="006F0CA3">
          <w:rPr>
            <w:webHidden/>
          </w:rPr>
          <w:fldChar w:fldCharType="begin"/>
        </w:r>
        <w:r w:rsidR="006F0CA3">
          <w:rPr>
            <w:webHidden/>
          </w:rPr>
          <w:instrText xml:space="preserve"> PAGEREF _Toc37845804 \h </w:instrText>
        </w:r>
        <w:r w:rsidR="006F0CA3">
          <w:rPr>
            <w:webHidden/>
          </w:rPr>
        </w:r>
        <w:r w:rsidR="006F0CA3">
          <w:rPr>
            <w:webHidden/>
          </w:rPr>
          <w:fldChar w:fldCharType="separate"/>
        </w:r>
        <w:r w:rsidR="00EA5DC1">
          <w:rPr>
            <w:webHidden/>
          </w:rPr>
          <w:t>19</w:t>
        </w:r>
        <w:r w:rsidR="006F0CA3">
          <w:rPr>
            <w:webHidden/>
          </w:rPr>
          <w:fldChar w:fldCharType="end"/>
        </w:r>
      </w:hyperlink>
    </w:p>
    <w:p w14:paraId="0A82C32D" w14:textId="1971EE36" w:rsidR="006F0CA3" w:rsidRDefault="00515153">
      <w:pPr>
        <w:pStyle w:val="TableofFigures"/>
        <w:rPr>
          <w:rFonts w:asciiTheme="minorHAnsi" w:eastAsiaTheme="minorEastAsia" w:hAnsiTheme="minorHAnsi" w:cstheme="minorBidi"/>
        </w:rPr>
      </w:pPr>
      <w:hyperlink w:anchor="_Toc37845805" w:history="1">
        <w:r w:rsidR="006F0CA3" w:rsidRPr="009B3CD3">
          <w:rPr>
            <w:rStyle w:val="Hyperlink"/>
          </w:rPr>
          <w:t>Table 2</w:t>
        </w:r>
        <w:r w:rsidR="006F0CA3" w:rsidRPr="009B3CD3">
          <w:rPr>
            <w:rStyle w:val="Hyperlink"/>
            <w:rFonts w:eastAsia="Calibri" w:cs="Times New Roman"/>
            <w:lang w:eastAsia="en-US"/>
          </w:rPr>
          <w:t>: Intravenous Ig products registered in the TGA potentially relevant for the treatment of MMN</w:t>
        </w:r>
        <w:r w:rsidR="006F0CA3">
          <w:rPr>
            <w:webHidden/>
          </w:rPr>
          <w:tab/>
        </w:r>
        <w:r w:rsidR="006F0CA3">
          <w:rPr>
            <w:webHidden/>
          </w:rPr>
          <w:fldChar w:fldCharType="begin"/>
        </w:r>
        <w:r w:rsidR="006F0CA3">
          <w:rPr>
            <w:webHidden/>
          </w:rPr>
          <w:instrText xml:space="preserve"> PAGEREF _Toc37845805 \h </w:instrText>
        </w:r>
        <w:r w:rsidR="006F0CA3">
          <w:rPr>
            <w:webHidden/>
          </w:rPr>
        </w:r>
        <w:r w:rsidR="006F0CA3">
          <w:rPr>
            <w:webHidden/>
          </w:rPr>
          <w:fldChar w:fldCharType="separate"/>
        </w:r>
        <w:r w:rsidR="00EA5DC1">
          <w:rPr>
            <w:webHidden/>
          </w:rPr>
          <w:t>20</w:t>
        </w:r>
        <w:r w:rsidR="006F0CA3">
          <w:rPr>
            <w:webHidden/>
          </w:rPr>
          <w:fldChar w:fldCharType="end"/>
        </w:r>
      </w:hyperlink>
    </w:p>
    <w:p w14:paraId="5586538A" w14:textId="32A1D39B" w:rsidR="006F0CA3" w:rsidRDefault="00515153">
      <w:pPr>
        <w:pStyle w:val="TableofFigures"/>
        <w:rPr>
          <w:rFonts w:asciiTheme="minorHAnsi" w:eastAsiaTheme="minorEastAsia" w:hAnsiTheme="minorHAnsi" w:cstheme="minorBidi"/>
        </w:rPr>
      </w:pPr>
      <w:hyperlink w:anchor="_Toc37845806" w:history="1">
        <w:r w:rsidR="006F0CA3" w:rsidRPr="009B3CD3">
          <w:rPr>
            <w:rStyle w:val="Hyperlink"/>
          </w:rPr>
          <w:t>Table 3</w:t>
        </w:r>
        <w:r w:rsidR="006F0CA3" w:rsidRPr="009B3CD3">
          <w:rPr>
            <w:rStyle w:val="Hyperlink"/>
            <w:rFonts w:eastAsia="Calibri" w:cs="Times New Roman"/>
            <w:lang w:eastAsia="en-US"/>
          </w:rPr>
          <w:t>: Usage of intravenous Ig therapy over recent years for the treatment of MMN based on of The Criteria V2 and V3.</w:t>
        </w:r>
        <w:r w:rsidR="006F0CA3">
          <w:rPr>
            <w:webHidden/>
          </w:rPr>
          <w:tab/>
        </w:r>
        <w:r w:rsidR="006F0CA3">
          <w:rPr>
            <w:webHidden/>
          </w:rPr>
          <w:fldChar w:fldCharType="begin"/>
        </w:r>
        <w:r w:rsidR="006F0CA3">
          <w:rPr>
            <w:webHidden/>
          </w:rPr>
          <w:instrText xml:space="preserve"> PAGEREF _Toc37845806 \h </w:instrText>
        </w:r>
        <w:r w:rsidR="006F0CA3">
          <w:rPr>
            <w:webHidden/>
          </w:rPr>
        </w:r>
        <w:r w:rsidR="006F0CA3">
          <w:rPr>
            <w:webHidden/>
          </w:rPr>
          <w:fldChar w:fldCharType="separate"/>
        </w:r>
        <w:r w:rsidR="00EA5DC1">
          <w:rPr>
            <w:webHidden/>
          </w:rPr>
          <w:t>22</w:t>
        </w:r>
        <w:r w:rsidR="006F0CA3">
          <w:rPr>
            <w:webHidden/>
          </w:rPr>
          <w:fldChar w:fldCharType="end"/>
        </w:r>
      </w:hyperlink>
    </w:p>
    <w:p w14:paraId="1D3FA5D5" w14:textId="76693017" w:rsidR="006F0CA3" w:rsidRDefault="00515153">
      <w:pPr>
        <w:pStyle w:val="TableofFigures"/>
        <w:rPr>
          <w:rFonts w:asciiTheme="minorHAnsi" w:eastAsiaTheme="minorEastAsia" w:hAnsiTheme="minorHAnsi" w:cstheme="minorBidi"/>
        </w:rPr>
      </w:pPr>
      <w:hyperlink w:anchor="_Toc37845807" w:history="1">
        <w:r w:rsidR="006F0CA3" w:rsidRPr="009B3CD3">
          <w:rPr>
            <w:rStyle w:val="Hyperlink"/>
          </w:rPr>
          <w:t>Table 4</w:t>
        </w:r>
        <w:r w:rsidR="006F0CA3" w:rsidRPr="009B3CD3">
          <w:rPr>
            <w:rStyle w:val="Hyperlink"/>
            <w:rFonts w:eastAsia="Calibri" w:cs="Times New Roman"/>
            <w:lang w:eastAsia="en-US"/>
          </w:rPr>
          <w:t>: Review criteria for assessing the effectiveness of intravenous Ig therapy use in MMN as established in Version 3 of the ‘Criteria for Clinical Use of Immunoglobulin in Australia’</w:t>
        </w:r>
        <w:r w:rsidR="006F0CA3">
          <w:rPr>
            <w:webHidden/>
          </w:rPr>
          <w:tab/>
        </w:r>
        <w:r w:rsidR="006F0CA3">
          <w:rPr>
            <w:webHidden/>
          </w:rPr>
          <w:fldChar w:fldCharType="begin"/>
        </w:r>
        <w:r w:rsidR="006F0CA3">
          <w:rPr>
            <w:webHidden/>
          </w:rPr>
          <w:instrText xml:space="preserve"> PAGEREF _Toc37845807 \h </w:instrText>
        </w:r>
        <w:r w:rsidR="006F0CA3">
          <w:rPr>
            <w:webHidden/>
          </w:rPr>
        </w:r>
        <w:r w:rsidR="006F0CA3">
          <w:rPr>
            <w:webHidden/>
          </w:rPr>
          <w:fldChar w:fldCharType="separate"/>
        </w:r>
        <w:r w:rsidR="00EA5DC1">
          <w:rPr>
            <w:webHidden/>
          </w:rPr>
          <w:t>23</w:t>
        </w:r>
        <w:r w:rsidR="006F0CA3">
          <w:rPr>
            <w:webHidden/>
          </w:rPr>
          <w:fldChar w:fldCharType="end"/>
        </w:r>
      </w:hyperlink>
    </w:p>
    <w:p w14:paraId="2DC9A7E8" w14:textId="4FAFD4E8" w:rsidR="006F0CA3" w:rsidRDefault="00515153">
      <w:pPr>
        <w:pStyle w:val="TableofFigures"/>
        <w:rPr>
          <w:rFonts w:asciiTheme="minorHAnsi" w:eastAsiaTheme="minorEastAsia" w:hAnsiTheme="minorHAnsi" w:cstheme="minorBidi"/>
        </w:rPr>
      </w:pPr>
      <w:hyperlink w:anchor="_Toc37845808" w:history="1">
        <w:r w:rsidR="006F0CA3" w:rsidRPr="009B3CD3">
          <w:rPr>
            <w:rStyle w:val="Hyperlink"/>
          </w:rPr>
          <w:t>Table 5</w:t>
        </w:r>
        <w:r w:rsidR="006F0CA3" w:rsidRPr="009B3CD3">
          <w:rPr>
            <w:rStyle w:val="Hyperlink"/>
            <w:rFonts w:eastAsia="Calibri" w:cs="Times New Roman"/>
            <w:lang w:eastAsia="en-US"/>
          </w:rPr>
          <w:t>: Overview of MMN prevalence estimates in the literature</w:t>
        </w:r>
        <w:r w:rsidR="006F0CA3">
          <w:rPr>
            <w:webHidden/>
          </w:rPr>
          <w:tab/>
        </w:r>
        <w:r w:rsidR="006F0CA3">
          <w:rPr>
            <w:webHidden/>
          </w:rPr>
          <w:fldChar w:fldCharType="begin"/>
        </w:r>
        <w:r w:rsidR="006F0CA3">
          <w:rPr>
            <w:webHidden/>
          </w:rPr>
          <w:instrText xml:space="preserve"> PAGEREF _Toc37845808 \h </w:instrText>
        </w:r>
        <w:r w:rsidR="006F0CA3">
          <w:rPr>
            <w:webHidden/>
          </w:rPr>
        </w:r>
        <w:r w:rsidR="006F0CA3">
          <w:rPr>
            <w:webHidden/>
          </w:rPr>
          <w:fldChar w:fldCharType="separate"/>
        </w:r>
        <w:r w:rsidR="00EA5DC1">
          <w:rPr>
            <w:webHidden/>
          </w:rPr>
          <w:t>26</w:t>
        </w:r>
        <w:r w:rsidR="006F0CA3">
          <w:rPr>
            <w:webHidden/>
          </w:rPr>
          <w:fldChar w:fldCharType="end"/>
        </w:r>
      </w:hyperlink>
    </w:p>
    <w:p w14:paraId="2C3B4CB8" w14:textId="1D26459D" w:rsidR="006F0CA3" w:rsidRDefault="00515153">
      <w:pPr>
        <w:pStyle w:val="TableofFigures"/>
        <w:rPr>
          <w:rFonts w:asciiTheme="minorHAnsi" w:eastAsiaTheme="minorEastAsia" w:hAnsiTheme="minorHAnsi" w:cstheme="minorBidi"/>
        </w:rPr>
      </w:pPr>
      <w:hyperlink w:anchor="_Toc37845809" w:history="1">
        <w:r w:rsidR="006F0CA3" w:rsidRPr="009B3CD3">
          <w:rPr>
            <w:rStyle w:val="Hyperlink"/>
          </w:rPr>
          <w:t>Table 6</w:t>
        </w:r>
        <w:r w:rsidR="006F0CA3" w:rsidRPr="009B3CD3">
          <w:rPr>
            <w:rStyle w:val="Hyperlink"/>
            <w:rFonts w:eastAsia="Calibri" w:cs="Times New Roman"/>
            <w:lang w:eastAsia="en-US"/>
          </w:rPr>
          <w:t>: Diagnostic criteria and diagnostic tests for MMN as presented in the 2010 EFNS/PNS guideline (18)</w:t>
        </w:r>
        <w:r w:rsidR="006F0CA3">
          <w:rPr>
            <w:webHidden/>
          </w:rPr>
          <w:tab/>
        </w:r>
        <w:r w:rsidR="006F0CA3">
          <w:rPr>
            <w:webHidden/>
          </w:rPr>
          <w:fldChar w:fldCharType="begin"/>
        </w:r>
        <w:r w:rsidR="006F0CA3">
          <w:rPr>
            <w:webHidden/>
          </w:rPr>
          <w:instrText xml:space="preserve"> PAGEREF _Toc37845809 \h </w:instrText>
        </w:r>
        <w:r w:rsidR="006F0CA3">
          <w:rPr>
            <w:webHidden/>
          </w:rPr>
        </w:r>
        <w:r w:rsidR="006F0CA3">
          <w:rPr>
            <w:webHidden/>
          </w:rPr>
          <w:fldChar w:fldCharType="separate"/>
        </w:r>
        <w:r w:rsidR="00EA5DC1">
          <w:rPr>
            <w:webHidden/>
          </w:rPr>
          <w:t>28</w:t>
        </w:r>
        <w:r w:rsidR="006F0CA3">
          <w:rPr>
            <w:webHidden/>
          </w:rPr>
          <w:fldChar w:fldCharType="end"/>
        </w:r>
      </w:hyperlink>
    </w:p>
    <w:p w14:paraId="79FAF5B9" w14:textId="76E59221" w:rsidR="006F0CA3" w:rsidRDefault="00515153">
      <w:pPr>
        <w:pStyle w:val="TableofFigures"/>
        <w:rPr>
          <w:rFonts w:asciiTheme="minorHAnsi" w:eastAsiaTheme="minorEastAsia" w:hAnsiTheme="minorHAnsi" w:cstheme="minorBidi"/>
        </w:rPr>
      </w:pPr>
      <w:hyperlink w:anchor="_Toc37845810" w:history="1">
        <w:r w:rsidR="006F0CA3" w:rsidRPr="009B3CD3">
          <w:rPr>
            <w:rStyle w:val="Hyperlink"/>
          </w:rPr>
          <w:t>Table 7: Summary of PICO</w:t>
        </w:r>
        <w:r w:rsidR="006F0CA3">
          <w:rPr>
            <w:webHidden/>
          </w:rPr>
          <w:tab/>
        </w:r>
        <w:r w:rsidR="006F0CA3">
          <w:rPr>
            <w:webHidden/>
          </w:rPr>
          <w:fldChar w:fldCharType="begin"/>
        </w:r>
        <w:r w:rsidR="006F0CA3">
          <w:rPr>
            <w:webHidden/>
          </w:rPr>
          <w:instrText xml:space="preserve"> PAGEREF _Toc37845810 \h </w:instrText>
        </w:r>
        <w:r w:rsidR="006F0CA3">
          <w:rPr>
            <w:webHidden/>
          </w:rPr>
        </w:r>
        <w:r w:rsidR="006F0CA3">
          <w:rPr>
            <w:webHidden/>
          </w:rPr>
          <w:fldChar w:fldCharType="separate"/>
        </w:r>
        <w:r w:rsidR="00EA5DC1">
          <w:rPr>
            <w:webHidden/>
          </w:rPr>
          <w:t>35</w:t>
        </w:r>
        <w:r w:rsidR="006F0CA3">
          <w:rPr>
            <w:webHidden/>
          </w:rPr>
          <w:fldChar w:fldCharType="end"/>
        </w:r>
      </w:hyperlink>
    </w:p>
    <w:p w14:paraId="2BB1B3F8" w14:textId="5EDF5D83" w:rsidR="006F0CA3" w:rsidRDefault="00515153">
      <w:pPr>
        <w:pStyle w:val="TableofFigures"/>
        <w:rPr>
          <w:rFonts w:asciiTheme="minorHAnsi" w:eastAsiaTheme="minorEastAsia" w:hAnsiTheme="minorHAnsi" w:cstheme="minorBidi"/>
        </w:rPr>
      </w:pPr>
      <w:hyperlink w:anchor="_Toc37845811" w:history="1">
        <w:r w:rsidR="006F0CA3" w:rsidRPr="009B3CD3">
          <w:rPr>
            <w:rStyle w:val="Hyperlink"/>
          </w:rPr>
          <w:t>Table 8. Feedback provided by Sponsors on the PICO Confirmation</w:t>
        </w:r>
        <w:r w:rsidR="006F0CA3">
          <w:rPr>
            <w:webHidden/>
          </w:rPr>
          <w:tab/>
        </w:r>
        <w:r w:rsidR="006F0CA3">
          <w:rPr>
            <w:webHidden/>
          </w:rPr>
          <w:fldChar w:fldCharType="begin"/>
        </w:r>
        <w:r w:rsidR="006F0CA3">
          <w:rPr>
            <w:webHidden/>
          </w:rPr>
          <w:instrText xml:space="preserve"> PAGEREF _Toc37845811 \h </w:instrText>
        </w:r>
        <w:r w:rsidR="006F0CA3">
          <w:rPr>
            <w:webHidden/>
          </w:rPr>
        </w:r>
        <w:r w:rsidR="006F0CA3">
          <w:rPr>
            <w:webHidden/>
          </w:rPr>
          <w:fldChar w:fldCharType="separate"/>
        </w:r>
        <w:r w:rsidR="00EA5DC1">
          <w:rPr>
            <w:webHidden/>
          </w:rPr>
          <w:t>37</w:t>
        </w:r>
        <w:r w:rsidR="006F0CA3">
          <w:rPr>
            <w:webHidden/>
          </w:rPr>
          <w:fldChar w:fldCharType="end"/>
        </w:r>
      </w:hyperlink>
    </w:p>
    <w:p w14:paraId="5B51EB03" w14:textId="0FA827F9" w:rsidR="006F0CA3" w:rsidRDefault="00515153">
      <w:pPr>
        <w:pStyle w:val="TableofFigures"/>
        <w:rPr>
          <w:rFonts w:asciiTheme="minorHAnsi" w:eastAsiaTheme="minorEastAsia" w:hAnsiTheme="minorHAnsi" w:cstheme="minorBidi"/>
        </w:rPr>
      </w:pPr>
      <w:hyperlink w:anchor="_Toc37845812" w:history="1">
        <w:r w:rsidR="006F0CA3" w:rsidRPr="009B3CD3">
          <w:rPr>
            <w:rStyle w:val="Hyperlink"/>
          </w:rPr>
          <w:t>Table 9. Search terms used (Embase, Ovid Medline, Pubmed, the Cochrane library and clinical trials.com platform)</w:t>
        </w:r>
        <w:r w:rsidR="006F0CA3">
          <w:rPr>
            <w:webHidden/>
          </w:rPr>
          <w:tab/>
        </w:r>
        <w:r w:rsidR="006F0CA3">
          <w:rPr>
            <w:webHidden/>
          </w:rPr>
          <w:fldChar w:fldCharType="begin"/>
        </w:r>
        <w:r w:rsidR="006F0CA3">
          <w:rPr>
            <w:webHidden/>
          </w:rPr>
          <w:instrText xml:space="preserve"> PAGEREF _Toc37845812 \h </w:instrText>
        </w:r>
        <w:r w:rsidR="006F0CA3">
          <w:rPr>
            <w:webHidden/>
          </w:rPr>
        </w:r>
        <w:r w:rsidR="006F0CA3">
          <w:rPr>
            <w:webHidden/>
          </w:rPr>
          <w:fldChar w:fldCharType="separate"/>
        </w:r>
        <w:r w:rsidR="00EA5DC1">
          <w:rPr>
            <w:webHidden/>
          </w:rPr>
          <w:t>38</w:t>
        </w:r>
        <w:r w:rsidR="006F0CA3">
          <w:rPr>
            <w:webHidden/>
          </w:rPr>
          <w:fldChar w:fldCharType="end"/>
        </w:r>
      </w:hyperlink>
    </w:p>
    <w:p w14:paraId="70B1BB96" w14:textId="731227CF" w:rsidR="006F0CA3" w:rsidRDefault="00515153">
      <w:pPr>
        <w:pStyle w:val="TableofFigures"/>
        <w:rPr>
          <w:rFonts w:asciiTheme="minorHAnsi" w:eastAsiaTheme="minorEastAsia" w:hAnsiTheme="minorHAnsi" w:cstheme="minorBidi"/>
        </w:rPr>
      </w:pPr>
      <w:hyperlink w:anchor="_Toc37845813" w:history="1">
        <w:r w:rsidR="006F0CA3" w:rsidRPr="009B3CD3">
          <w:rPr>
            <w:rStyle w:val="Hyperlink"/>
          </w:rPr>
          <w:t>Table 10.</w:t>
        </w:r>
        <w:r w:rsidR="006F0CA3" w:rsidRPr="009B3CD3">
          <w:rPr>
            <w:rStyle w:val="Hyperlink"/>
            <w:rFonts w:cs="Arial"/>
          </w:rPr>
          <w:t xml:space="preserve"> </w:t>
        </w:r>
        <w:r w:rsidR="006F0CA3" w:rsidRPr="009B3CD3">
          <w:rPr>
            <w:rStyle w:val="Hyperlink"/>
          </w:rPr>
          <w:t>General characteristics of studies</w:t>
        </w:r>
        <w:r w:rsidR="006F0CA3">
          <w:rPr>
            <w:webHidden/>
          </w:rPr>
          <w:tab/>
        </w:r>
        <w:r w:rsidR="006F0CA3">
          <w:rPr>
            <w:webHidden/>
          </w:rPr>
          <w:fldChar w:fldCharType="begin"/>
        </w:r>
        <w:r w:rsidR="006F0CA3">
          <w:rPr>
            <w:webHidden/>
          </w:rPr>
          <w:instrText xml:space="preserve"> PAGEREF _Toc37845813 \h </w:instrText>
        </w:r>
        <w:r w:rsidR="006F0CA3">
          <w:rPr>
            <w:webHidden/>
          </w:rPr>
        </w:r>
        <w:r w:rsidR="006F0CA3">
          <w:rPr>
            <w:webHidden/>
          </w:rPr>
          <w:fldChar w:fldCharType="separate"/>
        </w:r>
        <w:r w:rsidR="00EA5DC1">
          <w:rPr>
            <w:webHidden/>
          </w:rPr>
          <w:t>41</w:t>
        </w:r>
        <w:r w:rsidR="006F0CA3">
          <w:rPr>
            <w:webHidden/>
          </w:rPr>
          <w:fldChar w:fldCharType="end"/>
        </w:r>
      </w:hyperlink>
    </w:p>
    <w:p w14:paraId="6D76601A" w14:textId="5CA44893" w:rsidR="006F0CA3" w:rsidRDefault="00515153">
      <w:pPr>
        <w:pStyle w:val="TableofFigures"/>
        <w:rPr>
          <w:rFonts w:asciiTheme="minorHAnsi" w:eastAsiaTheme="minorEastAsia" w:hAnsiTheme="minorHAnsi" w:cstheme="minorBidi"/>
        </w:rPr>
      </w:pPr>
      <w:hyperlink w:anchor="_Toc37845814" w:history="1">
        <w:r w:rsidR="006F0CA3" w:rsidRPr="009B3CD3">
          <w:rPr>
            <w:rStyle w:val="Hyperlink"/>
          </w:rPr>
          <w:t xml:space="preserve">Table 11. </w:t>
        </w:r>
        <w:r w:rsidR="006F0CA3" w:rsidRPr="009B3CD3">
          <w:rPr>
            <w:rStyle w:val="Hyperlink"/>
            <w:snapToGrid w:val="0"/>
            <w:lang w:eastAsia="en-US"/>
          </w:rPr>
          <w:t>Key features of the included evidence from RCTs comparing intravenous Ig with placebo</w:t>
        </w:r>
        <w:r w:rsidR="006F0CA3">
          <w:rPr>
            <w:webHidden/>
          </w:rPr>
          <w:tab/>
        </w:r>
        <w:r w:rsidR="006F0CA3">
          <w:rPr>
            <w:webHidden/>
          </w:rPr>
          <w:fldChar w:fldCharType="begin"/>
        </w:r>
        <w:r w:rsidR="006F0CA3">
          <w:rPr>
            <w:webHidden/>
          </w:rPr>
          <w:instrText xml:space="preserve"> PAGEREF _Toc37845814 \h </w:instrText>
        </w:r>
        <w:r w:rsidR="006F0CA3">
          <w:rPr>
            <w:webHidden/>
          </w:rPr>
        </w:r>
        <w:r w:rsidR="006F0CA3">
          <w:rPr>
            <w:webHidden/>
          </w:rPr>
          <w:fldChar w:fldCharType="separate"/>
        </w:r>
        <w:r w:rsidR="00EA5DC1">
          <w:rPr>
            <w:webHidden/>
          </w:rPr>
          <w:t>48</w:t>
        </w:r>
        <w:r w:rsidR="006F0CA3">
          <w:rPr>
            <w:webHidden/>
          </w:rPr>
          <w:fldChar w:fldCharType="end"/>
        </w:r>
      </w:hyperlink>
    </w:p>
    <w:p w14:paraId="7151B3F6" w14:textId="632F76FA" w:rsidR="006F0CA3" w:rsidRDefault="00515153">
      <w:pPr>
        <w:pStyle w:val="TableofFigures"/>
        <w:rPr>
          <w:rFonts w:asciiTheme="minorHAnsi" w:eastAsiaTheme="minorEastAsia" w:hAnsiTheme="minorHAnsi" w:cstheme="minorBidi"/>
        </w:rPr>
      </w:pPr>
      <w:hyperlink w:anchor="_Toc37845815" w:history="1">
        <w:r w:rsidR="006F0CA3" w:rsidRPr="009B3CD3">
          <w:rPr>
            <w:rStyle w:val="Hyperlink"/>
          </w:rPr>
          <w:t>Table 12. Baseline demographic characteristics of RCTs</w:t>
        </w:r>
        <w:r w:rsidR="006F0CA3">
          <w:rPr>
            <w:webHidden/>
          </w:rPr>
          <w:tab/>
        </w:r>
        <w:r w:rsidR="006F0CA3">
          <w:rPr>
            <w:webHidden/>
          </w:rPr>
          <w:fldChar w:fldCharType="begin"/>
        </w:r>
        <w:r w:rsidR="006F0CA3">
          <w:rPr>
            <w:webHidden/>
          </w:rPr>
          <w:instrText xml:space="preserve"> PAGEREF _Toc37845815 \h </w:instrText>
        </w:r>
        <w:r w:rsidR="006F0CA3">
          <w:rPr>
            <w:webHidden/>
          </w:rPr>
        </w:r>
        <w:r w:rsidR="006F0CA3">
          <w:rPr>
            <w:webHidden/>
          </w:rPr>
          <w:fldChar w:fldCharType="separate"/>
        </w:r>
        <w:r w:rsidR="00EA5DC1">
          <w:rPr>
            <w:webHidden/>
          </w:rPr>
          <w:t>49</w:t>
        </w:r>
        <w:r w:rsidR="006F0CA3">
          <w:rPr>
            <w:webHidden/>
          </w:rPr>
          <w:fldChar w:fldCharType="end"/>
        </w:r>
      </w:hyperlink>
    </w:p>
    <w:p w14:paraId="6671E192" w14:textId="6B9199D4" w:rsidR="006F0CA3" w:rsidRDefault="00515153">
      <w:pPr>
        <w:pStyle w:val="TableofFigures"/>
        <w:rPr>
          <w:rFonts w:asciiTheme="minorHAnsi" w:eastAsiaTheme="minorEastAsia" w:hAnsiTheme="minorHAnsi" w:cstheme="minorBidi"/>
        </w:rPr>
      </w:pPr>
      <w:hyperlink w:anchor="_Toc37845816" w:history="1">
        <w:r w:rsidR="006F0CA3" w:rsidRPr="009B3CD3">
          <w:rPr>
            <w:rStyle w:val="Hyperlink"/>
          </w:rPr>
          <w:t>Table 13. Summary characteristics of single arm studies</w:t>
        </w:r>
        <w:r w:rsidR="006F0CA3">
          <w:rPr>
            <w:webHidden/>
          </w:rPr>
          <w:tab/>
        </w:r>
        <w:r w:rsidR="006F0CA3">
          <w:rPr>
            <w:webHidden/>
          </w:rPr>
          <w:fldChar w:fldCharType="begin"/>
        </w:r>
        <w:r w:rsidR="006F0CA3">
          <w:rPr>
            <w:webHidden/>
          </w:rPr>
          <w:instrText xml:space="preserve"> PAGEREF _Toc37845816 \h </w:instrText>
        </w:r>
        <w:r w:rsidR="006F0CA3">
          <w:rPr>
            <w:webHidden/>
          </w:rPr>
        </w:r>
        <w:r w:rsidR="006F0CA3">
          <w:rPr>
            <w:webHidden/>
          </w:rPr>
          <w:fldChar w:fldCharType="separate"/>
        </w:r>
        <w:r w:rsidR="00EA5DC1">
          <w:rPr>
            <w:webHidden/>
          </w:rPr>
          <w:t>50</w:t>
        </w:r>
        <w:r w:rsidR="006F0CA3">
          <w:rPr>
            <w:webHidden/>
          </w:rPr>
          <w:fldChar w:fldCharType="end"/>
        </w:r>
      </w:hyperlink>
    </w:p>
    <w:p w14:paraId="39E78BF6" w14:textId="364DB12A" w:rsidR="006F0CA3" w:rsidRDefault="00515153">
      <w:pPr>
        <w:pStyle w:val="TableofFigures"/>
        <w:rPr>
          <w:rFonts w:asciiTheme="minorHAnsi" w:eastAsiaTheme="minorEastAsia" w:hAnsiTheme="minorHAnsi" w:cstheme="minorBidi"/>
        </w:rPr>
      </w:pPr>
      <w:hyperlink w:anchor="_Toc37845817" w:history="1">
        <w:r w:rsidR="006F0CA3" w:rsidRPr="009B3CD3">
          <w:rPr>
            <w:rStyle w:val="Hyperlink"/>
          </w:rPr>
          <w:t>Table 14. Summary of adverse events reported in randomised controlled trials.</w:t>
        </w:r>
        <w:r w:rsidR="006F0CA3">
          <w:rPr>
            <w:webHidden/>
          </w:rPr>
          <w:tab/>
        </w:r>
        <w:r w:rsidR="006F0CA3">
          <w:rPr>
            <w:webHidden/>
          </w:rPr>
          <w:fldChar w:fldCharType="begin"/>
        </w:r>
        <w:r w:rsidR="006F0CA3">
          <w:rPr>
            <w:webHidden/>
          </w:rPr>
          <w:instrText xml:space="preserve"> PAGEREF _Toc37845817 \h </w:instrText>
        </w:r>
        <w:r w:rsidR="006F0CA3">
          <w:rPr>
            <w:webHidden/>
          </w:rPr>
        </w:r>
        <w:r w:rsidR="006F0CA3">
          <w:rPr>
            <w:webHidden/>
          </w:rPr>
          <w:fldChar w:fldCharType="separate"/>
        </w:r>
        <w:r w:rsidR="00EA5DC1">
          <w:rPr>
            <w:webHidden/>
          </w:rPr>
          <w:t>53</w:t>
        </w:r>
        <w:r w:rsidR="006F0CA3">
          <w:rPr>
            <w:webHidden/>
          </w:rPr>
          <w:fldChar w:fldCharType="end"/>
        </w:r>
      </w:hyperlink>
    </w:p>
    <w:p w14:paraId="02F121C1" w14:textId="52C34233" w:rsidR="006F0CA3" w:rsidRDefault="00515153">
      <w:pPr>
        <w:pStyle w:val="TableofFigures"/>
        <w:rPr>
          <w:rFonts w:asciiTheme="minorHAnsi" w:eastAsiaTheme="minorEastAsia" w:hAnsiTheme="minorHAnsi" w:cstheme="minorBidi"/>
        </w:rPr>
      </w:pPr>
      <w:hyperlink w:anchor="_Toc37845818" w:history="1">
        <w:r w:rsidR="006F0CA3" w:rsidRPr="009B3CD3">
          <w:rPr>
            <w:rStyle w:val="Hyperlink"/>
          </w:rPr>
          <w:t>Table 15: Summary of adverse events reported in single arm studies.</w:t>
        </w:r>
        <w:r w:rsidR="006F0CA3">
          <w:rPr>
            <w:webHidden/>
          </w:rPr>
          <w:tab/>
        </w:r>
        <w:r w:rsidR="006F0CA3">
          <w:rPr>
            <w:webHidden/>
          </w:rPr>
          <w:fldChar w:fldCharType="begin"/>
        </w:r>
        <w:r w:rsidR="006F0CA3">
          <w:rPr>
            <w:webHidden/>
          </w:rPr>
          <w:instrText xml:space="preserve"> PAGEREF _Toc37845818 \h </w:instrText>
        </w:r>
        <w:r w:rsidR="006F0CA3">
          <w:rPr>
            <w:webHidden/>
          </w:rPr>
        </w:r>
        <w:r w:rsidR="006F0CA3">
          <w:rPr>
            <w:webHidden/>
          </w:rPr>
          <w:fldChar w:fldCharType="separate"/>
        </w:r>
        <w:r w:rsidR="00EA5DC1">
          <w:rPr>
            <w:webHidden/>
          </w:rPr>
          <w:t>54</w:t>
        </w:r>
        <w:r w:rsidR="006F0CA3">
          <w:rPr>
            <w:webHidden/>
          </w:rPr>
          <w:fldChar w:fldCharType="end"/>
        </w:r>
      </w:hyperlink>
    </w:p>
    <w:p w14:paraId="77A8A43B" w14:textId="5BDC703E" w:rsidR="006F0CA3" w:rsidRDefault="00515153">
      <w:pPr>
        <w:pStyle w:val="TableofFigures"/>
        <w:rPr>
          <w:rFonts w:asciiTheme="minorHAnsi" w:eastAsiaTheme="minorEastAsia" w:hAnsiTheme="minorHAnsi" w:cstheme="minorBidi"/>
        </w:rPr>
      </w:pPr>
      <w:hyperlink w:anchor="_Toc37845819" w:history="1">
        <w:r w:rsidR="006F0CA3" w:rsidRPr="009B3CD3">
          <w:rPr>
            <w:rStyle w:val="Hyperlink"/>
          </w:rPr>
          <w:t xml:space="preserve">Table 16. </w:t>
        </w:r>
        <w:r w:rsidR="006F0CA3" w:rsidRPr="009B3CD3">
          <w:rPr>
            <w:rStyle w:val="Hyperlink"/>
            <w:rFonts w:cs="Arial"/>
            <w:snapToGrid w:val="0"/>
            <w:lang w:eastAsia="en-US"/>
          </w:rPr>
          <w:t>Results of disability across randomised controlled trials</w:t>
        </w:r>
        <w:r w:rsidR="006F0CA3">
          <w:rPr>
            <w:webHidden/>
          </w:rPr>
          <w:tab/>
        </w:r>
        <w:r w:rsidR="006F0CA3">
          <w:rPr>
            <w:webHidden/>
          </w:rPr>
          <w:fldChar w:fldCharType="begin"/>
        </w:r>
        <w:r w:rsidR="006F0CA3">
          <w:rPr>
            <w:webHidden/>
          </w:rPr>
          <w:instrText xml:space="preserve"> PAGEREF _Toc37845819 \h </w:instrText>
        </w:r>
        <w:r w:rsidR="006F0CA3">
          <w:rPr>
            <w:webHidden/>
          </w:rPr>
        </w:r>
        <w:r w:rsidR="006F0CA3">
          <w:rPr>
            <w:webHidden/>
          </w:rPr>
          <w:fldChar w:fldCharType="separate"/>
        </w:r>
        <w:r w:rsidR="00EA5DC1">
          <w:rPr>
            <w:webHidden/>
          </w:rPr>
          <w:t>60</w:t>
        </w:r>
        <w:r w:rsidR="006F0CA3">
          <w:rPr>
            <w:webHidden/>
          </w:rPr>
          <w:fldChar w:fldCharType="end"/>
        </w:r>
      </w:hyperlink>
    </w:p>
    <w:p w14:paraId="1BB15157" w14:textId="2DE23BB0" w:rsidR="006F0CA3" w:rsidRDefault="00515153">
      <w:pPr>
        <w:pStyle w:val="TableofFigures"/>
        <w:rPr>
          <w:rFonts w:asciiTheme="minorHAnsi" w:eastAsiaTheme="minorEastAsia" w:hAnsiTheme="minorHAnsi" w:cstheme="minorBidi"/>
        </w:rPr>
      </w:pPr>
      <w:hyperlink w:anchor="_Toc37845820" w:history="1">
        <w:r w:rsidR="006F0CA3" w:rsidRPr="009B3CD3">
          <w:rPr>
            <w:rStyle w:val="Hyperlink"/>
          </w:rPr>
          <w:t xml:space="preserve">Table 17. </w:t>
        </w:r>
        <w:r w:rsidR="006F0CA3" w:rsidRPr="009B3CD3">
          <w:rPr>
            <w:rStyle w:val="Hyperlink"/>
            <w:rFonts w:cs="Arial"/>
            <w:snapToGrid w:val="0"/>
            <w:lang w:eastAsia="en-US"/>
          </w:rPr>
          <w:t>Results of improvement and change in muscle strength across RCTs</w:t>
        </w:r>
        <w:r w:rsidR="006F0CA3">
          <w:rPr>
            <w:webHidden/>
          </w:rPr>
          <w:tab/>
        </w:r>
        <w:r w:rsidR="006F0CA3">
          <w:rPr>
            <w:webHidden/>
          </w:rPr>
          <w:fldChar w:fldCharType="begin"/>
        </w:r>
        <w:r w:rsidR="006F0CA3">
          <w:rPr>
            <w:webHidden/>
          </w:rPr>
          <w:instrText xml:space="preserve"> PAGEREF _Toc37845820 \h </w:instrText>
        </w:r>
        <w:r w:rsidR="006F0CA3">
          <w:rPr>
            <w:webHidden/>
          </w:rPr>
        </w:r>
        <w:r w:rsidR="006F0CA3">
          <w:rPr>
            <w:webHidden/>
          </w:rPr>
          <w:fldChar w:fldCharType="separate"/>
        </w:r>
        <w:r w:rsidR="00EA5DC1">
          <w:rPr>
            <w:webHidden/>
          </w:rPr>
          <w:t>63</w:t>
        </w:r>
        <w:r w:rsidR="006F0CA3">
          <w:rPr>
            <w:webHidden/>
          </w:rPr>
          <w:fldChar w:fldCharType="end"/>
        </w:r>
      </w:hyperlink>
    </w:p>
    <w:p w14:paraId="7C8A425B" w14:textId="57FC3AE9" w:rsidR="006F0CA3" w:rsidRDefault="00515153">
      <w:pPr>
        <w:pStyle w:val="TableofFigures"/>
        <w:rPr>
          <w:rFonts w:asciiTheme="minorHAnsi" w:eastAsiaTheme="minorEastAsia" w:hAnsiTheme="minorHAnsi" w:cstheme="minorBidi"/>
        </w:rPr>
      </w:pPr>
      <w:hyperlink w:anchor="_Toc37845821" w:history="1">
        <w:r w:rsidR="006F0CA3" w:rsidRPr="009B3CD3">
          <w:rPr>
            <w:rStyle w:val="Hyperlink"/>
          </w:rPr>
          <w:t>Table 18. List of studies that assessed QoL of patients with MMN treated with intravenous Ig and/or SCIg</w:t>
        </w:r>
        <w:r w:rsidR="006F0CA3">
          <w:rPr>
            <w:webHidden/>
          </w:rPr>
          <w:tab/>
        </w:r>
        <w:r w:rsidR="006F0CA3">
          <w:rPr>
            <w:webHidden/>
          </w:rPr>
          <w:fldChar w:fldCharType="begin"/>
        </w:r>
        <w:r w:rsidR="006F0CA3">
          <w:rPr>
            <w:webHidden/>
          </w:rPr>
          <w:instrText xml:space="preserve"> PAGEREF _Toc37845821 \h </w:instrText>
        </w:r>
        <w:r w:rsidR="006F0CA3">
          <w:rPr>
            <w:webHidden/>
          </w:rPr>
        </w:r>
        <w:r w:rsidR="006F0CA3">
          <w:rPr>
            <w:webHidden/>
          </w:rPr>
          <w:fldChar w:fldCharType="separate"/>
        </w:r>
        <w:r w:rsidR="00EA5DC1">
          <w:rPr>
            <w:webHidden/>
          </w:rPr>
          <w:t>65</w:t>
        </w:r>
        <w:r w:rsidR="006F0CA3">
          <w:rPr>
            <w:webHidden/>
          </w:rPr>
          <w:fldChar w:fldCharType="end"/>
        </w:r>
      </w:hyperlink>
    </w:p>
    <w:p w14:paraId="5F208F66" w14:textId="245345E2" w:rsidR="006F0CA3" w:rsidRDefault="00515153">
      <w:pPr>
        <w:pStyle w:val="TableofFigures"/>
        <w:rPr>
          <w:rFonts w:asciiTheme="minorHAnsi" w:eastAsiaTheme="minorEastAsia" w:hAnsiTheme="minorHAnsi" w:cstheme="minorBidi"/>
        </w:rPr>
      </w:pPr>
      <w:hyperlink w:anchor="_Toc37845822" w:history="1">
        <w:r w:rsidR="006F0CA3" w:rsidRPr="009B3CD3">
          <w:rPr>
            <w:rStyle w:val="Hyperlink"/>
          </w:rPr>
          <w:t>Table 19. QoL outcome measures in patients with MMN and CIDP.</w:t>
        </w:r>
        <w:r w:rsidR="006F0CA3">
          <w:rPr>
            <w:webHidden/>
          </w:rPr>
          <w:tab/>
        </w:r>
        <w:r w:rsidR="006F0CA3">
          <w:rPr>
            <w:webHidden/>
          </w:rPr>
          <w:fldChar w:fldCharType="begin"/>
        </w:r>
        <w:r w:rsidR="006F0CA3">
          <w:rPr>
            <w:webHidden/>
          </w:rPr>
          <w:instrText xml:space="preserve"> PAGEREF _Toc37845822 \h </w:instrText>
        </w:r>
        <w:r w:rsidR="006F0CA3">
          <w:rPr>
            <w:webHidden/>
          </w:rPr>
        </w:r>
        <w:r w:rsidR="006F0CA3">
          <w:rPr>
            <w:webHidden/>
          </w:rPr>
          <w:fldChar w:fldCharType="separate"/>
        </w:r>
        <w:r w:rsidR="00EA5DC1">
          <w:rPr>
            <w:webHidden/>
          </w:rPr>
          <w:t>66</w:t>
        </w:r>
        <w:r w:rsidR="006F0CA3">
          <w:rPr>
            <w:webHidden/>
          </w:rPr>
          <w:fldChar w:fldCharType="end"/>
        </w:r>
      </w:hyperlink>
    </w:p>
    <w:p w14:paraId="7F2A1D15" w14:textId="64639133" w:rsidR="006F0CA3" w:rsidRDefault="00515153">
      <w:pPr>
        <w:pStyle w:val="TableofFigures"/>
        <w:rPr>
          <w:rFonts w:asciiTheme="minorHAnsi" w:eastAsiaTheme="minorEastAsia" w:hAnsiTheme="minorHAnsi" w:cstheme="minorBidi"/>
        </w:rPr>
      </w:pPr>
      <w:hyperlink w:anchor="_Toc37845823" w:history="1">
        <w:r w:rsidR="006F0CA3" w:rsidRPr="009B3CD3">
          <w:rPr>
            <w:rStyle w:val="Hyperlink"/>
          </w:rPr>
          <w:t>Table 20. Differences between the clinical evidence from RCTs and the Australian setting</w:t>
        </w:r>
        <w:r w:rsidR="006F0CA3">
          <w:rPr>
            <w:webHidden/>
          </w:rPr>
          <w:tab/>
        </w:r>
        <w:r w:rsidR="006F0CA3">
          <w:rPr>
            <w:webHidden/>
          </w:rPr>
          <w:fldChar w:fldCharType="begin"/>
        </w:r>
        <w:r w:rsidR="006F0CA3">
          <w:rPr>
            <w:webHidden/>
          </w:rPr>
          <w:instrText xml:space="preserve"> PAGEREF _Toc37845823 \h </w:instrText>
        </w:r>
        <w:r w:rsidR="006F0CA3">
          <w:rPr>
            <w:webHidden/>
          </w:rPr>
        </w:r>
        <w:r w:rsidR="006F0CA3">
          <w:rPr>
            <w:webHidden/>
          </w:rPr>
          <w:fldChar w:fldCharType="separate"/>
        </w:r>
        <w:r w:rsidR="00EA5DC1">
          <w:rPr>
            <w:webHidden/>
          </w:rPr>
          <w:t>69</w:t>
        </w:r>
        <w:r w:rsidR="006F0CA3">
          <w:rPr>
            <w:webHidden/>
          </w:rPr>
          <w:fldChar w:fldCharType="end"/>
        </w:r>
      </w:hyperlink>
    </w:p>
    <w:p w14:paraId="0DAAB774" w14:textId="00C23815" w:rsidR="006F0CA3" w:rsidRDefault="00515153">
      <w:pPr>
        <w:pStyle w:val="TableofFigures"/>
        <w:rPr>
          <w:rFonts w:asciiTheme="minorHAnsi" w:eastAsiaTheme="minorEastAsia" w:hAnsiTheme="minorHAnsi" w:cstheme="minorBidi"/>
        </w:rPr>
      </w:pPr>
      <w:hyperlink w:anchor="_Toc37845824" w:history="1">
        <w:r w:rsidR="006F0CA3" w:rsidRPr="009B3CD3">
          <w:rPr>
            <w:rStyle w:val="Hyperlink"/>
          </w:rPr>
          <w:t>Table 21. A comparison of the doses used and frequency of administration recommended in the Australian population for patients treated with intravenous Ig for MMN to that used in the clinical randomised evidence.</w:t>
        </w:r>
        <w:r w:rsidR="006F0CA3">
          <w:rPr>
            <w:webHidden/>
          </w:rPr>
          <w:tab/>
        </w:r>
        <w:r w:rsidR="006F0CA3">
          <w:rPr>
            <w:webHidden/>
          </w:rPr>
          <w:fldChar w:fldCharType="begin"/>
        </w:r>
        <w:r w:rsidR="006F0CA3">
          <w:rPr>
            <w:webHidden/>
          </w:rPr>
          <w:instrText xml:space="preserve"> PAGEREF _Toc37845824 \h </w:instrText>
        </w:r>
        <w:r w:rsidR="006F0CA3">
          <w:rPr>
            <w:webHidden/>
          </w:rPr>
        </w:r>
        <w:r w:rsidR="006F0CA3">
          <w:rPr>
            <w:webHidden/>
          </w:rPr>
          <w:fldChar w:fldCharType="separate"/>
        </w:r>
        <w:r w:rsidR="00EA5DC1">
          <w:rPr>
            <w:webHidden/>
          </w:rPr>
          <w:t>73</w:t>
        </w:r>
        <w:r w:rsidR="006F0CA3">
          <w:rPr>
            <w:webHidden/>
          </w:rPr>
          <w:fldChar w:fldCharType="end"/>
        </w:r>
      </w:hyperlink>
    </w:p>
    <w:p w14:paraId="694C8453" w14:textId="0C633B8E" w:rsidR="006F0CA3" w:rsidRDefault="00515153">
      <w:pPr>
        <w:pStyle w:val="TableofFigures"/>
        <w:rPr>
          <w:rFonts w:asciiTheme="minorHAnsi" w:eastAsiaTheme="minorEastAsia" w:hAnsiTheme="minorHAnsi" w:cstheme="minorBidi"/>
        </w:rPr>
      </w:pPr>
      <w:hyperlink w:anchor="_Toc37845825" w:history="1">
        <w:r w:rsidR="006F0CA3" w:rsidRPr="009B3CD3">
          <w:rPr>
            <w:rStyle w:val="Hyperlink"/>
          </w:rPr>
          <w:t>Table 22. Demographics of the MMN population as per the RCTs versus the Australian population</w:t>
        </w:r>
        <w:r w:rsidR="006F0CA3">
          <w:rPr>
            <w:webHidden/>
          </w:rPr>
          <w:tab/>
        </w:r>
        <w:r w:rsidR="006F0CA3">
          <w:rPr>
            <w:webHidden/>
          </w:rPr>
          <w:fldChar w:fldCharType="begin"/>
        </w:r>
        <w:r w:rsidR="006F0CA3">
          <w:rPr>
            <w:webHidden/>
          </w:rPr>
          <w:instrText xml:space="preserve"> PAGEREF _Toc37845825 \h </w:instrText>
        </w:r>
        <w:r w:rsidR="006F0CA3">
          <w:rPr>
            <w:webHidden/>
          </w:rPr>
        </w:r>
        <w:r w:rsidR="006F0CA3">
          <w:rPr>
            <w:webHidden/>
          </w:rPr>
          <w:fldChar w:fldCharType="separate"/>
        </w:r>
        <w:r w:rsidR="00EA5DC1">
          <w:rPr>
            <w:webHidden/>
          </w:rPr>
          <w:t>74</w:t>
        </w:r>
        <w:r w:rsidR="006F0CA3">
          <w:rPr>
            <w:webHidden/>
          </w:rPr>
          <w:fldChar w:fldCharType="end"/>
        </w:r>
      </w:hyperlink>
    </w:p>
    <w:p w14:paraId="377D6448" w14:textId="05D0BA94" w:rsidR="006F0CA3" w:rsidRDefault="00515153">
      <w:pPr>
        <w:pStyle w:val="TableofFigures"/>
        <w:rPr>
          <w:rFonts w:asciiTheme="minorHAnsi" w:eastAsiaTheme="minorEastAsia" w:hAnsiTheme="minorHAnsi" w:cstheme="minorBidi"/>
        </w:rPr>
      </w:pPr>
      <w:hyperlink w:anchor="_Toc37845826" w:history="1">
        <w:r w:rsidR="006F0CA3" w:rsidRPr="009B3CD3">
          <w:rPr>
            <w:rStyle w:val="Hyperlink"/>
          </w:rPr>
          <w:t>Table 23. Measurement tools to assess muscle strength, disability and overall response to treatment in the Australian setting compared to the clinical evidence.</w:t>
        </w:r>
        <w:r w:rsidR="006F0CA3">
          <w:rPr>
            <w:webHidden/>
          </w:rPr>
          <w:tab/>
        </w:r>
        <w:r w:rsidR="006F0CA3">
          <w:rPr>
            <w:webHidden/>
          </w:rPr>
          <w:fldChar w:fldCharType="begin"/>
        </w:r>
        <w:r w:rsidR="006F0CA3">
          <w:rPr>
            <w:webHidden/>
          </w:rPr>
          <w:instrText xml:space="preserve"> PAGEREF _Toc37845826 \h </w:instrText>
        </w:r>
        <w:r w:rsidR="006F0CA3">
          <w:rPr>
            <w:webHidden/>
          </w:rPr>
        </w:r>
        <w:r w:rsidR="006F0CA3">
          <w:rPr>
            <w:webHidden/>
          </w:rPr>
          <w:fldChar w:fldCharType="separate"/>
        </w:r>
        <w:r w:rsidR="00EA5DC1">
          <w:rPr>
            <w:webHidden/>
          </w:rPr>
          <w:t>76</w:t>
        </w:r>
        <w:r w:rsidR="006F0CA3">
          <w:rPr>
            <w:webHidden/>
          </w:rPr>
          <w:fldChar w:fldCharType="end"/>
        </w:r>
      </w:hyperlink>
    </w:p>
    <w:p w14:paraId="607CE8DC" w14:textId="162AAE60" w:rsidR="006F0CA3" w:rsidRDefault="00515153">
      <w:pPr>
        <w:pStyle w:val="TableofFigures"/>
        <w:rPr>
          <w:rFonts w:asciiTheme="minorHAnsi" w:eastAsiaTheme="minorEastAsia" w:hAnsiTheme="minorHAnsi" w:cstheme="minorBidi"/>
        </w:rPr>
      </w:pPr>
      <w:hyperlink w:anchor="_Toc37845827" w:history="1">
        <w:r w:rsidR="006F0CA3" w:rsidRPr="009B3CD3">
          <w:rPr>
            <w:rStyle w:val="Hyperlink"/>
          </w:rPr>
          <w:t>Table 24. IVIg treatment duration from RCTs and single arm studies.</w:t>
        </w:r>
        <w:r w:rsidR="006F0CA3">
          <w:rPr>
            <w:webHidden/>
          </w:rPr>
          <w:tab/>
        </w:r>
        <w:r w:rsidR="006F0CA3">
          <w:rPr>
            <w:webHidden/>
          </w:rPr>
          <w:fldChar w:fldCharType="begin"/>
        </w:r>
        <w:r w:rsidR="006F0CA3">
          <w:rPr>
            <w:webHidden/>
          </w:rPr>
          <w:instrText xml:space="preserve"> PAGEREF _Toc37845827 \h </w:instrText>
        </w:r>
        <w:r w:rsidR="006F0CA3">
          <w:rPr>
            <w:webHidden/>
          </w:rPr>
        </w:r>
        <w:r w:rsidR="006F0CA3">
          <w:rPr>
            <w:webHidden/>
          </w:rPr>
          <w:fldChar w:fldCharType="separate"/>
        </w:r>
        <w:r w:rsidR="00EA5DC1">
          <w:rPr>
            <w:webHidden/>
          </w:rPr>
          <w:t>78</w:t>
        </w:r>
        <w:r w:rsidR="006F0CA3">
          <w:rPr>
            <w:webHidden/>
          </w:rPr>
          <w:fldChar w:fldCharType="end"/>
        </w:r>
      </w:hyperlink>
    </w:p>
    <w:p w14:paraId="32FE1D6F" w14:textId="392A5C75" w:rsidR="006F0CA3" w:rsidRDefault="00515153">
      <w:pPr>
        <w:pStyle w:val="TableofFigures"/>
        <w:rPr>
          <w:rFonts w:asciiTheme="minorHAnsi" w:eastAsiaTheme="minorEastAsia" w:hAnsiTheme="minorHAnsi" w:cstheme="minorBidi"/>
        </w:rPr>
      </w:pPr>
      <w:hyperlink w:anchor="_Toc37845828" w:history="1">
        <w:r w:rsidR="006F0CA3" w:rsidRPr="009B3CD3">
          <w:rPr>
            <w:rStyle w:val="Hyperlink"/>
          </w:rPr>
          <w:t>Table 25. List of studies that reported QoL outcomes in patients with CIDP.</w:t>
        </w:r>
        <w:r w:rsidR="006F0CA3">
          <w:rPr>
            <w:webHidden/>
          </w:rPr>
          <w:tab/>
        </w:r>
        <w:r w:rsidR="006F0CA3">
          <w:rPr>
            <w:webHidden/>
          </w:rPr>
          <w:fldChar w:fldCharType="begin"/>
        </w:r>
        <w:r w:rsidR="006F0CA3">
          <w:rPr>
            <w:webHidden/>
          </w:rPr>
          <w:instrText xml:space="preserve"> PAGEREF _Toc37845828 \h </w:instrText>
        </w:r>
        <w:r w:rsidR="006F0CA3">
          <w:rPr>
            <w:webHidden/>
          </w:rPr>
        </w:r>
        <w:r w:rsidR="006F0CA3">
          <w:rPr>
            <w:webHidden/>
          </w:rPr>
          <w:fldChar w:fldCharType="separate"/>
        </w:r>
        <w:r w:rsidR="00EA5DC1">
          <w:rPr>
            <w:webHidden/>
          </w:rPr>
          <w:t>81</w:t>
        </w:r>
        <w:r w:rsidR="006F0CA3">
          <w:rPr>
            <w:webHidden/>
          </w:rPr>
          <w:fldChar w:fldCharType="end"/>
        </w:r>
      </w:hyperlink>
    </w:p>
    <w:p w14:paraId="59BBF92C" w14:textId="43092136" w:rsidR="006F0CA3" w:rsidRDefault="00515153">
      <w:pPr>
        <w:pStyle w:val="TableofFigures"/>
        <w:rPr>
          <w:rFonts w:asciiTheme="minorHAnsi" w:eastAsiaTheme="minorEastAsia" w:hAnsiTheme="minorHAnsi" w:cstheme="minorBidi"/>
        </w:rPr>
      </w:pPr>
      <w:hyperlink w:anchor="_Toc37845829" w:history="1">
        <w:r w:rsidR="006F0CA3" w:rsidRPr="009B3CD3">
          <w:rPr>
            <w:rStyle w:val="Hyperlink"/>
          </w:rPr>
          <w:t>Table 26. Summary of results of pre-modelling studies and their uses in the economic evaluation</w:t>
        </w:r>
        <w:r w:rsidR="006F0CA3">
          <w:rPr>
            <w:webHidden/>
          </w:rPr>
          <w:tab/>
        </w:r>
        <w:r w:rsidR="006F0CA3">
          <w:rPr>
            <w:webHidden/>
          </w:rPr>
          <w:fldChar w:fldCharType="begin"/>
        </w:r>
        <w:r w:rsidR="006F0CA3">
          <w:rPr>
            <w:webHidden/>
          </w:rPr>
          <w:instrText xml:space="preserve"> PAGEREF _Toc37845829 \h </w:instrText>
        </w:r>
        <w:r w:rsidR="006F0CA3">
          <w:rPr>
            <w:webHidden/>
          </w:rPr>
        </w:r>
        <w:r w:rsidR="006F0CA3">
          <w:rPr>
            <w:webHidden/>
          </w:rPr>
          <w:fldChar w:fldCharType="separate"/>
        </w:r>
        <w:r w:rsidR="00EA5DC1">
          <w:rPr>
            <w:webHidden/>
          </w:rPr>
          <w:t>82</w:t>
        </w:r>
        <w:r w:rsidR="006F0CA3">
          <w:rPr>
            <w:webHidden/>
          </w:rPr>
          <w:fldChar w:fldCharType="end"/>
        </w:r>
      </w:hyperlink>
    </w:p>
    <w:p w14:paraId="1B5302A0" w14:textId="0BABD451" w:rsidR="006F0CA3" w:rsidRDefault="00515153">
      <w:pPr>
        <w:pStyle w:val="TableofFigures"/>
        <w:rPr>
          <w:rFonts w:asciiTheme="minorHAnsi" w:eastAsiaTheme="minorEastAsia" w:hAnsiTheme="minorHAnsi" w:cstheme="minorBidi"/>
        </w:rPr>
      </w:pPr>
      <w:hyperlink w:anchor="_Toc37845830" w:history="1">
        <w:r w:rsidR="006F0CA3" w:rsidRPr="009B3CD3">
          <w:rPr>
            <w:rStyle w:val="Hyperlink"/>
          </w:rPr>
          <w:t>Table 27. Classification of the comparative effectiveness and safety of the proposed therapeutic medical service compared with its main comparator and guide to the suitable type of economic evaluation</w:t>
        </w:r>
        <w:r w:rsidR="006F0CA3">
          <w:rPr>
            <w:webHidden/>
          </w:rPr>
          <w:tab/>
        </w:r>
        <w:r w:rsidR="006F0CA3">
          <w:rPr>
            <w:webHidden/>
          </w:rPr>
          <w:fldChar w:fldCharType="begin"/>
        </w:r>
        <w:r w:rsidR="006F0CA3">
          <w:rPr>
            <w:webHidden/>
          </w:rPr>
          <w:instrText xml:space="preserve"> PAGEREF _Toc37845830 \h </w:instrText>
        </w:r>
        <w:r w:rsidR="006F0CA3">
          <w:rPr>
            <w:webHidden/>
          </w:rPr>
        </w:r>
        <w:r w:rsidR="006F0CA3">
          <w:rPr>
            <w:webHidden/>
          </w:rPr>
          <w:fldChar w:fldCharType="separate"/>
        </w:r>
        <w:r w:rsidR="00EA5DC1">
          <w:rPr>
            <w:webHidden/>
          </w:rPr>
          <w:t>84</w:t>
        </w:r>
        <w:r w:rsidR="006F0CA3">
          <w:rPr>
            <w:webHidden/>
          </w:rPr>
          <w:fldChar w:fldCharType="end"/>
        </w:r>
      </w:hyperlink>
    </w:p>
    <w:p w14:paraId="5A986E58" w14:textId="56D94565" w:rsidR="006F0CA3" w:rsidRDefault="00515153">
      <w:pPr>
        <w:pStyle w:val="TableofFigures"/>
        <w:rPr>
          <w:rFonts w:asciiTheme="minorHAnsi" w:eastAsiaTheme="minorEastAsia" w:hAnsiTheme="minorHAnsi" w:cstheme="minorBidi"/>
        </w:rPr>
      </w:pPr>
      <w:hyperlink w:anchor="_Toc37845831" w:history="1">
        <w:r w:rsidR="006F0CA3" w:rsidRPr="009B3CD3">
          <w:rPr>
            <w:rStyle w:val="Hyperlink"/>
          </w:rPr>
          <w:t>Table 28. Stepped economic evaluation</w:t>
        </w:r>
        <w:r w:rsidR="006F0CA3">
          <w:rPr>
            <w:webHidden/>
          </w:rPr>
          <w:tab/>
        </w:r>
        <w:r w:rsidR="006F0CA3">
          <w:rPr>
            <w:webHidden/>
          </w:rPr>
          <w:fldChar w:fldCharType="begin"/>
        </w:r>
        <w:r w:rsidR="006F0CA3">
          <w:rPr>
            <w:webHidden/>
          </w:rPr>
          <w:instrText xml:space="preserve"> PAGEREF _Toc37845831 \h </w:instrText>
        </w:r>
        <w:r w:rsidR="006F0CA3">
          <w:rPr>
            <w:webHidden/>
          </w:rPr>
        </w:r>
        <w:r w:rsidR="006F0CA3">
          <w:rPr>
            <w:webHidden/>
          </w:rPr>
          <w:fldChar w:fldCharType="separate"/>
        </w:r>
        <w:r w:rsidR="00EA5DC1">
          <w:rPr>
            <w:webHidden/>
          </w:rPr>
          <w:t>84</w:t>
        </w:r>
        <w:r w:rsidR="006F0CA3">
          <w:rPr>
            <w:webHidden/>
          </w:rPr>
          <w:fldChar w:fldCharType="end"/>
        </w:r>
      </w:hyperlink>
    </w:p>
    <w:p w14:paraId="24CE04FB" w14:textId="32834651" w:rsidR="006F0CA3" w:rsidRDefault="00515153">
      <w:pPr>
        <w:pStyle w:val="TableofFigures"/>
        <w:rPr>
          <w:rFonts w:asciiTheme="minorHAnsi" w:eastAsiaTheme="minorEastAsia" w:hAnsiTheme="minorHAnsi" w:cstheme="minorBidi"/>
        </w:rPr>
      </w:pPr>
      <w:hyperlink w:anchor="_Toc37845832" w:history="1">
        <w:r w:rsidR="006F0CA3" w:rsidRPr="009B3CD3">
          <w:rPr>
            <w:rStyle w:val="Hyperlink"/>
          </w:rPr>
          <w:t>Table 29. Summary of the economic evaluation</w:t>
        </w:r>
        <w:r w:rsidR="006F0CA3">
          <w:rPr>
            <w:webHidden/>
          </w:rPr>
          <w:tab/>
        </w:r>
        <w:r w:rsidR="006F0CA3">
          <w:rPr>
            <w:webHidden/>
          </w:rPr>
          <w:fldChar w:fldCharType="begin"/>
        </w:r>
        <w:r w:rsidR="006F0CA3">
          <w:rPr>
            <w:webHidden/>
          </w:rPr>
          <w:instrText xml:space="preserve"> PAGEREF _Toc37845832 \h </w:instrText>
        </w:r>
        <w:r w:rsidR="006F0CA3">
          <w:rPr>
            <w:webHidden/>
          </w:rPr>
        </w:r>
        <w:r w:rsidR="006F0CA3">
          <w:rPr>
            <w:webHidden/>
          </w:rPr>
          <w:fldChar w:fldCharType="separate"/>
        </w:r>
        <w:r w:rsidR="00EA5DC1">
          <w:rPr>
            <w:webHidden/>
          </w:rPr>
          <w:t>86</w:t>
        </w:r>
        <w:r w:rsidR="006F0CA3">
          <w:rPr>
            <w:webHidden/>
          </w:rPr>
          <w:fldChar w:fldCharType="end"/>
        </w:r>
      </w:hyperlink>
    </w:p>
    <w:p w14:paraId="0EA1D0F3" w14:textId="744B3A76" w:rsidR="006F0CA3" w:rsidRDefault="00515153">
      <w:pPr>
        <w:pStyle w:val="TableofFigures"/>
        <w:rPr>
          <w:rFonts w:asciiTheme="minorHAnsi" w:eastAsiaTheme="minorEastAsia" w:hAnsiTheme="minorHAnsi" w:cstheme="minorBidi"/>
        </w:rPr>
      </w:pPr>
      <w:hyperlink w:anchor="_Toc37845833" w:history="1">
        <w:r w:rsidR="006F0CA3" w:rsidRPr="009B3CD3">
          <w:rPr>
            <w:rStyle w:val="Hyperlink"/>
          </w:rPr>
          <w:t>Table 30. Description of health states</w:t>
        </w:r>
        <w:r w:rsidR="006F0CA3">
          <w:rPr>
            <w:webHidden/>
          </w:rPr>
          <w:tab/>
        </w:r>
        <w:r w:rsidR="006F0CA3">
          <w:rPr>
            <w:webHidden/>
          </w:rPr>
          <w:fldChar w:fldCharType="begin"/>
        </w:r>
        <w:r w:rsidR="006F0CA3">
          <w:rPr>
            <w:webHidden/>
          </w:rPr>
          <w:instrText xml:space="preserve"> PAGEREF _Toc37845833 \h </w:instrText>
        </w:r>
        <w:r w:rsidR="006F0CA3">
          <w:rPr>
            <w:webHidden/>
          </w:rPr>
        </w:r>
        <w:r w:rsidR="006F0CA3">
          <w:rPr>
            <w:webHidden/>
          </w:rPr>
          <w:fldChar w:fldCharType="separate"/>
        </w:r>
        <w:r w:rsidR="00EA5DC1">
          <w:rPr>
            <w:webHidden/>
          </w:rPr>
          <w:t>89</w:t>
        </w:r>
        <w:r w:rsidR="006F0CA3">
          <w:rPr>
            <w:webHidden/>
          </w:rPr>
          <w:fldChar w:fldCharType="end"/>
        </w:r>
      </w:hyperlink>
    </w:p>
    <w:p w14:paraId="70D9C3DB" w14:textId="2114ACAB" w:rsidR="006F0CA3" w:rsidRDefault="00515153">
      <w:pPr>
        <w:pStyle w:val="TableofFigures"/>
        <w:rPr>
          <w:rFonts w:asciiTheme="minorHAnsi" w:eastAsiaTheme="minorEastAsia" w:hAnsiTheme="minorHAnsi" w:cstheme="minorBidi"/>
        </w:rPr>
      </w:pPr>
      <w:hyperlink w:anchor="_Toc37845834" w:history="1">
        <w:r w:rsidR="006F0CA3" w:rsidRPr="009B3CD3">
          <w:rPr>
            <w:rStyle w:val="Hyperlink"/>
          </w:rPr>
          <w:t>Table 31 : Input parameters used in the economic model: base case and sensitivity analysis.</w:t>
        </w:r>
        <w:r w:rsidR="006F0CA3">
          <w:rPr>
            <w:webHidden/>
          </w:rPr>
          <w:tab/>
        </w:r>
        <w:r w:rsidR="006F0CA3">
          <w:rPr>
            <w:webHidden/>
          </w:rPr>
          <w:fldChar w:fldCharType="begin"/>
        </w:r>
        <w:r w:rsidR="006F0CA3">
          <w:rPr>
            <w:webHidden/>
          </w:rPr>
          <w:instrText xml:space="preserve"> PAGEREF _Toc37845834 \h </w:instrText>
        </w:r>
        <w:r w:rsidR="006F0CA3">
          <w:rPr>
            <w:webHidden/>
          </w:rPr>
        </w:r>
        <w:r w:rsidR="006F0CA3">
          <w:rPr>
            <w:webHidden/>
          </w:rPr>
          <w:fldChar w:fldCharType="separate"/>
        </w:r>
        <w:r w:rsidR="00EA5DC1">
          <w:rPr>
            <w:webHidden/>
          </w:rPr>
          <w:t>93</w:t>
        </w:r>
        <w:r w:rsidR="006F0CA3">
          <w:rPr>
            <w:webHidden/>
          </w:rPr>
          <w:fldChar w:fldCharType="end"/>
        </w:r>
      </w:hyperlink>
    </w:p>
    <w:p w14:paraId="6D3B90A2" w14:textId="3C2DE900" w:rsidR="006F0CA3" w:rsidRDefault="00515153">
      <w:pPr>
        <w:pStyle w:val="TableofFigures"/>
        <w:rPr>
          <w:rFonts w:asciiTheme="minorHAnsi" w:eastAsiaTheme="minorEastAsia" w:hAnsiTheme="minorHAnsi" w:cstheme="minorBidi"/>
        </w:rPr>
      </w:pPr>
      <w:hyperlink w:anchor="_Toc37845835" w:history="1">
        <w:r w:rsidR="006F0CA3" w:rsidRPr="009B3CD3">
          <w:rPr>
            <w:rStyle w:val="Hyperlink"/>
          </w:rPr>
          <w:t>Table 32: Results of stepped economic evaluation</w:t>
        </w:r>
        <w:r w:rsidR="006F0CA3">
          <w:rPr>
            <w:webHidden/>
          </w:rPr>
          <w:tab/>
        </w:r>
        <w:r w:rsidR="006F0CA3">
          <w:rPr>
            <w:webHidden/>
          </w:rPr>
          <w:fldChar w:fldCharType="begin"/>
        </w:r>
        <w:r w:rsidR="006F0CA3">
          <w:rPr>
            <w:webHidden/>
          </w:rPr>
          <w:instrText xml:space="preserve"> PAGEREF _Toc37845835 \h </w:instrText>
        </w:r>
        <w:r w:rsidR="006F0CA3">
          <w:rPr>
            <w:webHidden/>
          </w:rPr>
        </w:r>
        <w:r w:rsidR="006F0CA3">
          <w:rPr>
            <w:webHidden/>
          </w:rPr>
          <w:fldChar w:fldCharType="separate"/>
        </w:r>
        <w:r w:rsidR="00EA5DC1">
          <w:rPr>
            <w:webHidden/>
          </w:rPr>
          <w:t>99</w:t>
        </w:r>
        <w:r w:rsidR="006F0CA3">
          <w:rPr>
            <w:webHidden/>
          </w:rPr>
          <w:fldChar w:fldCharType="end"/>
        </w:r>
      </w:hyperlink>
    </w:p>
    <w:p w14:paraId="21287C3B" w14:textId="5183C245" w:rsidR="006F0CA3" w:rsidRDefault="00515153">
      <w:pPr>
        <w:pStyle w:val="TableofFigures"/>
        <w:rPr>
          <w:rFonts w:asciiTheme="minorHAnsi" w:eastAsiaTheme="minorEastAsia" w:hAnsiTheme="minorHAnsi" w:cstheme="minorBidi"/>
        </w:rPr>
      </w:pPr>
      <w:hyperlink w:anchor="_Toc37845836" w:history="1">
        <w:r w:rsidR="006F0CA3" w:rsidRPr="009B3CD3">
          <w:rPr>
            <w:rStyle w:val="Hyperlink"/>
          </w:rPr>
          <w:t>Table 33. Results of scenario analysis</w:t>
        </w:r>
        <w:r w:rsidR="006F0CA3">
          <w:rPr>
            <w:webHidden/>
          </w:rPr>
          <w:tab/>
        </w:r>
        <w:r w:rsidR="006F0CA3">
          <w:rPr>
            <w:webHidden/>
          </w:rPr>
          <w:fldChar w:fldCharType="begin"/>
        </w:r>
        <w:r w:rsidR="006F0CA3">
          <w:rPr>
            <w:webHidden/>
          </w:rPr>
          <w:instrText xml:space="preserve"> PAGEREF _Toc37845836 \h </w:instrText>
        </w:r>
        <w:r w:rsidR="006F0CA3">
          <w:rPr>
            <w:webHidden/>
          </w:rPr>
        </w:r>
        <w:r w:rsidR="006F0CA3">
          <w:rPr>
            <w:webHidden/>
          </w:rPr>
          <w:fldChar w:fldCharType="separate"/>
        </w:r>
        <w:r w:rsidR="00EA5DC1">
          <w:rPr>
            <w:webHidden/>
          </w:rPr>
          <w:t>100</w:t>
        </w:r>
        <w:r w:rsidR="006F0CA3">
          <w:rPr>
            <w:webHidden/>
          </w:rPr>
          <w:fldChar w:fldCharType="end"/>
        </w:r>
      </w:hyperlink>
    </w:p>
    <w:p w14:paraId="2932B422" w14:textId="6A6BE0CD" w:rsidR="006F0CA3" w:rsidRDefault="00515153">
      <w:pPr>
        <w:pStyle w:val="TableofFigures"/>
        <w:rPr>
          <w:rFonts w:asciiTheme="minorHAnsi" w:eastAsiaTheme="minorEastAsia" w:hAnsiTheme="minorHAnsi" w:cstheme="minorBidi"/>
        </w:rPr>
      </w:pPr>
      <w:hyperlink w:anchor="_Toc37845837" w:history="1">
        <w:r w:rsidR="006F0CA3" w:rsidRPr="009B3CD3">
          <w:rPr>
            <w:rStyle w:val="Hyperlink"/>
          </w:rPr>
          <w:t>Table 34: Key drivers of the economic model</w:t>
        </w:r>
        <w:r w:rsidR="006F0CA3">
          <w:rPr>
            <w:webHidden/>
          </w:rPr>
          <w:tab/>
        </w:r>
        <w:r w:rsidR="006F0CA3">
          <w:rPr>
            <w:webHidden/>
          </w:rPr>
          <w:fldChar w:fldCharType="begin"/>
        </w:r>
        <w:r w:rsidR="006F0CA3">
          <w:rPr>
            <w:webHidden/>
          </w:rPr>
          <w:instrText xml:space="preserve"> PAGEREF _Toc37845837 \h </w:instrText>
        </w:r>
        <w:r w:rsidR="006F0CA3">
          <w:rPr>
            <w:webHidden/>
          </w:rPr>
        </w:r>
        <w:r w:rsidR="006F0CA3">
          <w:rPr>
            <w:webHidden/>
          </w:rPr>
          <w:fldChar w:fldCharType="separate"/>
        </w:r>
        <w:r w:rsidR="00EA5DC1">
          <w:rPr>
            <w:webHidden/>
          </w:rPr>
          <w:t>102</w:t>
        </w:r>
        <w:r w:rsidR="006F0CA3">
          <w:rPr>
            <w:webHidden/>
          </w:rPr>
          <w:fldChar w:fldCharType="end"/>
        </w:r>
      </w:hyperlink>
    </w:p>
    <w:p w14:paraId="193547E2" w14:textId="4909E66D" w:rsidR="006F0CA3" w:rsidRDefault="00515153">
      <w:pPr>
        <w:pStyle w:val="TableofFigures"/>
        <w:rPr>
          <w:rFonts w:asciiTheme="minorHAnsi" w:eastAsiaTheme="minorEastAsia" w:hAnsiTheme="minorHAnsi" w:cstheme="minorBidi"/>
        </w:rPr>
      </w:pPr>
      <w:hyperlink w:anchor="_Toc37845838" w:history="1">
        <w:r w:rsidR="006F0CA3" w:rsidRPr="009B3CD3">
          <w:rPr>
            <w:rStyle w:val="Hyperlink"/>
          </w:rPr>
          <w:t>Table 35. Variables and data sources used in the analysis</w:t>
        </w:r>
        <w:r w:rsidR="006F0CA3">
          <w:rPr>
            <w:webHidden/>
          </w:rPr>
          <w:tab/>
        </w:r>
        <w:r w:rsidR="006F0CA3">
          <w:rPr>
            <w:webHidden/>
          </w:rPr>
          <w:fldChar w:fldCharType="begin"/>
        </w:r>
        <w:r w:rsidR="006F0CA3">
          <w:rPr>
            <w:webHidden/>
          </w:rPr>
          <w:instrText xml:space="preserve"> PAGEREF _Toc37845838 \h </w:instrText>
        </w:r>
        <w:r w:rsidR="006F0CA3">
          <w:rPr>
            <w:webHidden/>
          </w:rPr>
        </w:r>
        <w:r w:rsidR="006F0CA3">
          <w:rPr>
            <w:webHidden/>
          </w:rPr>
          <w:fldChar w:fldCharType="separate"/>
        </w:r>
        <w:r w:rsidR="00EA5DC1">
          <w:rPr>
            <w:webHidden/>
          </w:rPr>
          <w:t>103</w:t>
        </w:r>
        <w:r w:rsidR="006F0CA3">
          <w:rPr>
            <w:webHidden/>
          </w:rPr>
          <w:fldChar w:fldCharType="end"/>
        </w:r>
      </w:hyperlink>
    </w:p>
    <w:p w14:paraId="2C13602D" w14:textId="0C6D560B" w:rsidR="006F0CA3" w:rsidRDefault="00515153">
      <w:pPr>
        <w:pStyle w:val="TableofFigures"/>
        <w:rPr>
          <w:rFonts w:asciiTheme="minorHAnsi" w:eastAsiaTheme="minorEastAsia" w:hAnsiTheme="minorHAnsi" w:cstheme="minorBidi"/>
        </w:rPr>
      </w:pPr>
      <w:hyperlink w:anchor="_Toc37845839" w:history="1">
        <w:r w:rsidR="006F0CA3" w:rsidRPr="009B3CD3">
          <w:rPr>
            <w:rStyle w:val="Hyperlink"/>
          </w:rPr>
          <w:t>Table 36. Observed number of patients who received intravenous Ig, gram used and associated costs in patients diagnosed with MMN from 2013-19</w:t>
        </w:r>
        <w:r w:rsidR="006F0CA3">
          <w:rPr>
            <w:webHidden/>
          </w:rPr>
          <w:tab/>
        </w:r>
        <w:r w:rsidR="006F0CA3">
          <w:rPr>
            <w:webHidden/>
          </w:rPr>
          <w:fldChar w:fldCharType="begin"/>
        </w:r>
        <w:r w:rsidR="006F0CA3">
          <w:rPr>
            <w:webHidden/>
          </w:rPr>
          <w:instrText xml:space="preserve"> PAGEREF _Toc37845839 \h </w:instrText>
        </w:r>
        <w:r w:rsidR="006F0CA3">
          <w:rPr>
            <w:webHidden/>
          </w:rPr>
        </w:r>
        <w:r w:rsidR="006F0CA3">
          <w:rPr>
            <w:webHidden/>
          </w:rPr>
          <w:fldChar w:fldCharType="separate"/>
        </w:r>
        <w:r w:rsidR="00EA5DC1">
          <w:rPr>
            <w:webHidden/>
          </w:rPr>
          <w:t>104</w:t>
        </w:r>
        <w:r w:rsidR="006F0CA3">
          <w:rPr>
            <w:webHidden/>
          </w:rPr>
          <w:fldChar w:fldCharType="end"/>
        </w:r>
      </w:hyperlink>
    </w:p>
    <w:p w14:paraId="7E5D653A" w14:textId="3471B3AC" w:rsidR="006F0CA3" w:rsidRDefault="00515153">
      <w:pPr>
        <w:pStyle w:val="TableofFigures"/>
        <w:rPr>
          <w:rFonts w:asciiTheme="minorHAnsi" w:eastAsiaTheme="minorEastAsia" w:hAnsiTheme="minorHAnsi" w:cstheme="minorBidi"/>
        </w:rPr>
      </w:pPr>
      <w:hyperlink w:anchor="_Toc37845840" w:history="1">
        <w:r w:rsidR="006F0CA3" w:rsidRPr="009B3CD3">
          <w:rPr>
            <w:rStyle w:val="Hyperlink"/>
          </w:rPr>
          <w:t>Table 37. Projected intravenous Ig grams per year</w:t>
        </w:r>
        <w:r w:rsidR="006F0CA3">
          <w:rPr>
            <w:webHidden/>
          </w:rPr>
          <w:tab/>
        </w:r>
        <w:r w:rsidR="006F0CA3">
          <w:rPr>
            <w:webHidden/>
          </w:rPr>
          <w:fldChar w:fldCharType="begin"/>
        </w:r>
        <w:r w:rsidR="006F0CA3">
          <w:rPr>
            <w:webHidden/>
          </w:rPr>
          <w:instrText xml:space="preserve"> PAGEREF _Toc37845840 \h </w:instrText>
        </w:r>
        <w:r w:rsidR="006F0CA3">
          <w:rPr>
            <w:webHidden/>
          </w:rPr>
        </w:r>
        <w:r w:rsidR="006F0CA3">
          <w:rPr>
            <w:webHidden/>
          </w:rPr>
          <w:fldChar w:fldCharType="separate"/>
        </w:r>
        <w:r w:rsidR="00EA5DC1">
          <w:rPr>
            <w:webHidden/>
          </w:rPr>
          <w:t>106</w:t>
        </w:r>
        <w:r w:rsidR="006F0CA3">
          <w:rPr>
            <w:webHidden/>
          </w:rPr>
          <w:fldChar w:fldCharType="end"/>
        </w:r>
      </w:hyperlink>
    </w:p>
    <w:p w14:paraId="60015BD4" w14:textId="6053810E" w:rsidR="006F0CA3" w:rsidRDefault="00515153">
      <w:pPr>
        <w:pStyle w:val="TableofFigures"/>
        <w:rPr>
          <w:rFonts w:asciiTheme="minorHAnsi" w:eastAsiaTheme="minorEastAsia" w:hAnsiTheme="minorHAnsi" w:cstheme="minorBidi"/>
        </w:rPr>
      </w:pPr>
      <w:hyperlink w:anchor="_Toc37845841" w:history="1">
        <w:r w:rsidR="006F0CA3" w:rsidRPr="009B3CD3">
          <w:rPr>
            <w:rStyle w:val="Hyperlink"/>
          </w:rPr>
          <w:t>Table 38. Cost of intravenous Ig for the treatment of MMN patients, observed and projected estimates.</w:t>
        </w:r>
        <w:r w:rsidR="006F0CA3">
          <w:rPr>
            <w:webHidden/>
          </w:rPr>
          <w:tab/>
        </w:r>
        <w:r w:rsidR="006F0CA3">
          <w:rPr>
            <w:webHidden/>
          </w:rPr>
          <w:fldChar w:fldCharType="begin"/>
        </w:r>
        <w:r w:rsidR="006F0CA3">
          <w:rPr>
            <w:webHidden/>
          </w:rPr>
          <w:instrText xml:space="preserve"> PAGEREF _Toc37845841 \h </w:instrText>
        </w:r>
        <w:r w:rsidR="006F0CA3">
          <w:rPr>
            <w:webHidden/>
          </w:rPr>
        </w:r>
        <w:r w:rsidR="006F0CA3">
          <w:rPr>
            <w:webHidden/>
          </w:rPr>
          <w:fldChar w:fldCharType="separate"/>
        </w:r>
        <w:r w:rsidR="00EA5DC1">
          <w:rPr>
            <w:webHidden/>
          </w:rPr>
          <w:t>107</w:t>
        </w:r>
        <w:r w:rsidR="006F0CA3">
          <w:rPr>
            <w:webHidden/>
          </w:rPr>
          <w:fldChar w:fldCharType="end"/>
        </w:r>
      </w:hyperlink>
    </w:p>
    <w:p w14:paraId="2F2CB44D" w14:textId="2F90DAAD" w:rsidR="006F0CA3" w:rsidRDefault="00515153">
      <w:pPr>
        <w:pStyle w:val="TableofFigures"/>
        <w:rPr>
          <w:rFonts w:asciiTheme="minorHAnsi" w:eastAsiaTheme="minorEastAsia" w:hAnsiTheme="minorHAnsi" w:cstheme="minorBidi"/>
        </w:rPr>
      </w:pPr>
      <w:hyperlink w:anchor="_Toc37845842" w:history="1">
        <w:r w:rsidR="006F0CA3" w:rsidRPr="009B3CD3">
          <w:rPr>
            <w:rStyle w:val="Hyperlink"/>
          </w:rPr>
          <w:t>Table 39. Administration cost of intravenous Ig per treatment episode.</w:t>
        </w:r>
        <w:r w:rsidR="006F0CA3">
          <w:rPr>
            <w:webHidden/>
          </w:rPr>
          <w:tab/>
        </w:r>
        <w:r w:rsidR="006F0CA3">
          <w:rPr>
            <w:webHidden/>
          </w:rPr>
          <w:fldChar w:fldCharType="begin"/>
        </w:r>
        <w:r w:rsidR="006F0CA3">
          <w:rPr>
            <w:webHidden/>
          </w:rPr>
          <w:instrText xml:space="preserve"> PAGEREF _Toc37845842 \h </w:instrText>
        </w:r>
        <w:r w:rsidR="006F0CA3">
          <w:rPr>
            <w:webHidden/>
          </w:rPr>
        </w:r>
        <w:r w:rsidR="006F0CA3">
          <w:rPr>
            <w:webHidden/>
          </w:rPr>
          <w:fldChar w:fldCharType="separate"/>
        </w:r>
        <w:r w:rsidR="00EA5DC1">
          <w:rPr>
            <w:webHidden/>
          </w:rPr>
          <w:t>108</w:t>
        </w:r>
        <w:r w:rsidR="006F0CA3">
          <w:rPr>
            <w:webHidden/>
          </w:rPr>
          <w:fldChar w:fldCharType="end"/>
        </w:r>
      </w:hyperlink>
    </w:p>
    <w:p w14:paraId="610DB11B" w14:textId="252C7934" w:rsidR="006F0CA3" w:rsidRDefault="00515153">
      <w:pPr>
        <w:pStyle w:val="TableofFigures"/>
        <w:rPr>
          <w:rFonts w:asciiTheme="minorHAnsi" w:eastAsiaTheme="minorEastAsia" w:hAnsiTheme="minorHAnsi" w:cstheme="minorBidi"/>
        </w:rPr>
      </w:pPr>
      <w:hyperlink w:anchor="_Toc37845843" w:history="1">
        <w:r w:rsidR="006F0CA3" w:rsidRPr="009B3CD3">
          <w:rPr>
            <w:rStyle w:val="Hyperlink"/>
          </w:rPr>
          <w:t>Table 40. Estimated costs associated to the administration of intravenous Ig.</w:t>
        </w:r>
        <w:r w:rsidR="006F0CA3">
          <w:rPr>
            <w:webHidden/>
          </w:rPr>
          <w:tab/>
        </w:r>
        <w:r w:rsidR="006F0CA3">
          <w:rPr>
            <w:webHidden/>
          </w:rPr>
          <w:fldChar w:fldCharType="begin"/>
        </w:r>
        <w:r w:rsidR="006F0CA3">
          <w:rPr>
            <w:webHidden/>
          </w:rPr>
          <w:instrText xml:space="preserve"> PAGEREF _Toc37845843 \h </w:instrText>
        </w:r>
        <w:r w:rsidR="006F0CA3">
          <w:rPr>
            <w:webHidden/>
          </w:rPr>
        </w:r>
        <w:r w:rsidR="006F0CA3">
          <w:rPr>
            <w:webHidden/>
          </w:rPr>
          <w:fldChar w:fldCharType="separate"/>
        </w:r>
        <w:r w:rsidR="00EA5DC1">
          <w:rPr>
            <w:webHidden/>
          </w:rPr>
          <w:t>108</w:t>
        </w:r>
        <w:r w:rsidR="006F0CA3">
          <w:rPr>
            <w:webHidden/>
          </w:rPr>
          <w:fldChar w:fldCharType="end"/>
        </w:r>
      </w:hyperlink>
    </w:p>
    <w:p w14:paraId="65504F6B" w14:textId="4B7D4C6B" w:rsidR="006F0CA3" w:rsidRDefault="00515153">
      <w:pPr>
        <w:pStyle w:val="TableofFigures"/>
        <w:rPr>
          <w:rFonts w:asciiTheme="minorHAnsi" w:eastAsiaTheme="minorEastAsia" w:hAnsiTheme="minorHAnsi" w:cstheme="minorBidi"/>
        </w:rPr>
      </w:pPr>
      <w:hyperlink w:anchor="_Toc37845844" w:history="1">
        <w:r w:rsidR="006F0CA3" w:rsidRPr="009B3CD3">
          <w:rPr>
            <w:rStyle w:val="Hyperlink"/>
          </w:rPr>
          <w:t>Table 41. Estimated costs associated to follow-up/BSC of MMN patients treated with intravenous Ig per year per patient.</w:t>
        </w:r>
        <w:r w:rsidR="006F0CA3">
          <w:rPr>
            <w:webHidden/>
          </w:rPr>
          <w:tab/>
        </w:r>
        <w:r w:rsidR="006F0CA3">
          <w:rPr>
            <w:webHidden/>
          </w:rPr>
          <w:fldChar w:fldCharType="begin"/>
        </w:r>
        <w:r w:rsidR="006F0CA3">
          <w:rPr>
            <w:webHidden/>
          </w:rPr>
          <w:instrText xml:space="preserve"> PAGEREF _Toc37845844 \h </w:instrText>
        </w:r>
        <w:r w:rsidR="006F0CA3">
          <w:rPr>
            <w:webHidden/>
          </w:rPr>
        </w:r>
        <w:r w:rsidR="006F0CA3">
          <w:rPr>
            <w:webHidden/>
          </w:rPr>
          <w:fldChar w:fldCharType="separate"/>
        </w:r>
        <w:r w:rsidR="00EA5DC1">
          <w:rPr>
            <w:webHidden/>
          </w:rPr>
          <w:t>109</w:t>
        </w:r>
        <w:r w:rsidR="006F0CA3">
          <w:rPr>
            <w:webHidden/>
          </w:rPr>
          <w:fldChar w:fldCharType="end"/>
        </w:r>
      </w:hyperlink>
    </w:p>
    <w:p w14:paraId="5503AA50" w14:textId="3B10425F" w:rsidR="006F0CA3" w:rsidRDefault="00515153">
      <w:pPr>
        <w:pStyle w:val="TableofFigures"/>
        <w:rPr>
          <w:rFonts w:asciiTheme="minorHAnsi" w:eastAsiaTheme="minorEastAsia" w:hAnsiTheme="minorHAnsi" w:cstheme="minorBidi"/>
        </w:rPr>
      </w:pPr>
      <w:hyperlink w:anchor="_Toc37845845" w:history="1">
        <w:r w:rsidR="006F0CA3" w:rsidRPr="009B3CD3">
          <w:rPr>
            <w:rStyle w:val="Hyperlink"/>
          </w:rPr>
          <w:t>Table 42. Estimated costs associated to disease monitoring and patients follow-up per year.</w:t>
        </w:r>
        <w:r w:rsidR="006F0CA3">
          <w:rPr>
            <w:webHidden/>
          </w:rPr>
          <w:tab/>
        </w:r>
        <w:r w:rsidR="006F0CA3">
          <w:rPr>
            <w:webHidden/>
          </w:rPr>
          <w:fldChar w:fldCharType="begin"/>
        </w:r>
        <w:r w:rsidR="006F0CA3">
          <w:rPr>
            <w:webHidden/>
          </w:rPr>
          <w:instrText xml:space="preserve"> PAGEREF _Toc37845845 \h </w:instrText>
        </w:r>
        <w:r w:rsidR="006F0CA3">
          <w:rPr>
            <w:webHidden/>
          </w:rPr>
        </w:r>
        <w:r w:rsidR="006F0CA3">
          <w:rPr>
            <w:webHidden/>
          </w:rPr>
          <w:fldChar w:fldCharType="separate"/>
        </w:r>
        <w:r w:rsidR="00EA5DC1">
          <w:rPr>
            <w:webHidden/>
          </w:rPr>
          <w:t>109</w:t>
        </w:r>
        <w:r w:rsidR="006F0CA3">
          <w:rPr>
            <w:webHidden/>
          </w:rPr>
          <w:fldChar w:fldCharType="end"/>
        </w:r>
      </w:hyperlink>
    </w:p>
    <w:p w14:paraId="08A9B53A" w14:textId="18EF5025" w:rsidR="006F0CA3" w:rsidRDefault="00515153">
      <w:pPr>
        <w:pStyle w:val="TableofFigures"/>
        <w:rPr>
          <w:rFonts w:asciiTheme="minorHAnsi" w:eastAsiaTheme="minorEastAsia" w:hAnsiTheme="minorHAnsi" w:cstheme="minorBidi"/>
        </w:rPr>
      </w:pPr>
      <w:hyperlink w:anchor="_Toc37845846" w:history="1">
        <w:r w:rsidR="006F0CA3" w:rsidRPr="009B3CD3">
          <w:rPr>
            <w:rStyle w:val="Hyperlink"/>
          </w:rPr>
          <w:t>Table 43. Estimated costs to the health care budget</w:t>
        </w:r>
        <w:r w:rsidR="006F0CA3">
          <w:rPr>
            <w:webHidden/>
          </w:rPr>
          <w:tab/>
        </w:r>
        <w:r w:rsidR="006F0CA3">
          <w:rPr>
            <w:webHidden/>
          </w:rPr>
          <w:fldChar w:fldCharType="begin"/>
        </w:r>
        <w:r w:rsidR="006F0CA3">
          <w:rPr>
            <w:webHidden/>
          </w:rPr>
          <w:instrText xml:space="preserve"> PAGEREF _Toc37845846 \h </w:instrText>
        </w:r>
        <w:r w:rsidR="006F0CA3">
          <w:rPr>
            <w:webHidden/>
          </w:rPr>
        </w:r>
        <w:r w:rsidR="006F0CA3">
          <w:rPr>
            <w:webHidden/>
          </w:rPr>
          <w:fldChar w:fldCharType="separate"/>
        </w:r>
        <w:r w:rsidR="00EA5DC1">
          <w:rPr>
            <w:webHidden/>
          </w:rPr>
          <w:t>110</w:t>
        </w:r>
        <w:r w:rsidR="006F0CA3">
          <w:rPr>
            <w:webHidden/>
          </w:rPr>
          <w:fldChar w:fldCharType="end"/>
        </w:r>
      </w:hyperlink>
    </w:p>
    <w:p w14:paraId="719A36B4" w14:textId="18F753AA" w:rsidR="006F0CA3" w:rsidRDefault="00515153">
      <w:pPr>
        <w:pStyle w:val="TableofFigures"/>
        <w:rPr>
          <w:rFonts w:asciiTheme="minorHAnsi" w:eastAsiaTheme="minorEastAsia" w:hAnsiTheme="minorHAnsi" w:cstheme="minorBidi"/>
        </w:rPr>
      </w:pPr>
      <w:hyperlink w:anchor="_Toc37845847" w:history="1">
        <w:r w:rsidR="006F0CA3" w:rsidRPr="009B3CD3">
          <w:rPr>
            <w:rStyle w:val="Hyperlink"/>
          </w:rPr>
          <w:t>Table 44. Total costs to the MBS associated with delisting IVIg as a treatment option for MMN patients.</w:t>
        </w:r>
        <w:r w:rsidR="006F0CA3">
          <w:rPr>
            <w:webHidden/>
          </w:rPr>
          <w:tab/>
        </w:r>
        <w:r w:rsidR="006F0CA3">
          <w:rPr>
            <w:webHidden/>
          </w:rPr>
          <w:fldChar w:fldCharType="begin"/>
        </w:r>
        <w:r w:rsidR="006F0CA3">
          <w:rPr>
            <w:webHidden/>
          </w:rPr>
          <w:instrText xml:space="preserve"> PAGEREF _Toc37845847 \h </w:instrText>
        </w:r>
        <w:r w:rsidR="006F0CA3">
          <w:rPr>
            <w:webHidden/>
          </w:rPr>
        </w:r>
        <w:r w:rsidR="006F0CA3">
          <w:rPr>
            <w:webHidden/>
          </w:rPr>
          <w:fldChar w:fldCharType="separate"/>
        </w:r>
        <w:r w:rsidR="00EA5DC1">
          <w:rPr>
            <w:webHidden/>
          </w:rPr>
          <w:t>110</w:t>
        </w:r>
        <w:r w:rsidR="006F0CA3">
          <w:rPr>
            <w:webHidden/>
          </w:rPr>
          <w:fldChar w:fldCharType="end"/>
        </w:r>
      </w:hyperlink>
    </w:p>
    <w:p w14:paraId="44317FEA" w14:textId="452CF009" w:rsidR="006F0CA3" w:rsidRDefault="00515153">
      <w:pPr>
        <w:pStyle w:val="TableofFigures"/>
        <w:rPr>
          <w:rFonts w:asciiTheme="minorHAnsi" w:eastAsiaTheme="minorEastAsia" w:hAnsiTheme="minorHAnsi" w:cstheme="minorBidi"/>
        </w:rPr>
      </w:pPr>
      <w:hyperlink w:anchor="_Toc37845848" w:history="1">
        <w:r w:rsidR="006F0CA3" w:rsidRPr="009B3CD3">
          <w:rPr>
            <w:rStyle w:val="Hyperlink"/>
          </w:rPr>
          <w:t>Table 45. Estimated costs associated with the use of premedications for intravenous Ig related infusion reactions</w:t>
        </w:r>
        <w:r w:rsidR="006F0CA3">
          <w:rPr>
            <w:webHidden/>
          </w:rPr>
          <w:tab/>
        </w:r>
        <w:r w:rsidR="006F0CA3">
          <w:rPr>
            <w:webHidden/>
          </w:rPr>
          <w:fldChar w:fldCharType="begin"/>
        </w:r>
        <w:r w:rsidR="006F0CA3">
          <w:rPr>
            <w:webHidden/>
          </w:rPr>
          <w:instrText xml:space="preserve"> PAGEREF _Toc37845848 \h </w:instrText>
        </w:r>
        <w:r w:rsidR="006F0CA3">
          <w:rPr>
            <w:webHidden/>
          </w:rPr>
        </w:r>
        <w:r w:rsidR="006F0CA3">
          <w:rPr>
            <w:webHidden/>
          </w:rPr>
          <w:fldChar w:fldCharType="separate"/>
        </w:r>
        <w:r w:rsidR="00EA5DC1">
          <w:rPr>
            <w:webHidden/>
          </w:rPr>
          <w:t>110</w:t>
        </w:r>
        <w:r w:rsidR="006F0CA3">
          <w:rPr>
            <w:webHidden/>
          </w:rPr>
          <w:fldChar w:fldCharType="end"/>
        </w:r>
      </w:hyperlink>
    </w:p>
    <w:p w14:paraId="3A051CD5" w14:textId="15B49855" w:rsidR="006F0CA3" w:rsidRDefault="00515153">
      <w:pPr>
        <w:pStyle w:val="TableofFigures"/>
        <w:rPr>
          <w:rFonts w:asciiTheme="minorHAnsi" w:eastAsiaTheme="minorEastAsia" w:hAnsiTheme="minorHAnsi" w:cstheme="minorBidi"/>
        </w:rPr>
      </w:pPr>
      <w:hyperlink w:anchor="_Toc37845849" w:history="1">
        <w:r w:rsidR="006F0CA3" w:rsidRPr="009B3CD3">
          <w:rPr>
            <w:rStyle w:val="Hyperlink"/>
          </w:rPr>
          <w:t>Table 46. Net financial implications to government associated with the use of intravenous Ig for the treatment of MMN</w:t>
        </w:r>
        <w:r w:rsidR="006F0CA3">
          <w:rPr>
            <w:webHidden/>
          </w:rPr>
          <w:tab/>
        </w:r>
        <w:r w:rsidR="006F0CA3">
          <w:rPr>
            <w:webHidden/>
          </w:rPr>
          <w:fldChar w:fldCharType="begin"/>
        </w:r>
        <w:r w:rsidR="006F0CA3">
          <w:rPr>
            <w:webHidden/>
          </w:rPr>
          <w:instrText xml:space="preserve"> PAGEREF _Toc37845849 \h </w:instrText>
        </w:r>
        <w:r w:rsidR="006F0CA3">
          <w:rPr>
            <w:webHidden/>
          </w:rPr>
        </w:r>
        <w:r w:rsidR="006F0CA3">
          <w:rPr>
            <w:webHidden/>
          </w:rPr>
          <w:fldChar w:fldCharType="separate"/>
        </w:r>
        <w:r w:rsidR="00EA5DC1">
          <w:rPr>
            <w:webHidden/>
          </w:rPr>
          <w:t>111</w:t>
        </w:r>
        <w:r w:rsidR="006F0CA3">
          <w:rPr>
            <w:webHidden/>
          </w:rPr>
          <w:fldChar w:fldCharType="end"/>
        </w:r>
      </w:hyperlink>
    </w:p>
    <w:p w14:paraId="712FF5A3" w14:textId="03BE9CEC" w:rsidR="006F0CA3" w:rsidRDefault="00515153">
      <w:pPr>
        <w:pStyle w:val="TableofFigures"/>
        <w:rPr>
          <w:rFonts w:asciiTheme="minorHAnsi" w:eastAsiaTheme="minorEastAsia" w:hAnsiTheme="minorHAnsi" w:cstheme="minorBidi"/>
        </w:rPr>
      </w:pPr>
      <w:hyperlink w:anchor="_Toc37845850" w:history="1">
        <w:r w:rsidR="006F0CA3" w:rsidRPr="009B3CD3">
          <w:rPr>
            <w:rStyle w:val="Hyperlink"/>
          </w:rPr>
          <w:t>Table 47. Sensitivity analyses around the financial implication estimates.</w:t>
        </w:r>
        <w:r w:rsidR="006F0CA3">
          <w:rPr>
            <w:webHidden/>
          </w:rPr>
          <w:tab/>
        </w:r>
        <w:r w:rsidR="006F0CA3">
          <w:rPr>
            <w:webHidden/>
          </w:rPr>
          <w:fldChar w:fldCharType="begin"/>
        </w:r>
        <w:r w:rsidR="006F0CA3">
          <w:rPr>
            <w:webHidden/>
          </w:rPr>
          <w:instrText xml:space="preserve"> PAGEREF _Toc37845850 \h </w:instrText>
        </w:r>
        <w:r w:rsidR="006F0CA3">
          <w:rPr>
            <w:webHidden/>
          </w:rPr>
        </w:r>
        <w:r w:rsidR="006F0CA3">
          <w:rPr>
            <w:webHidden/>
          </w:rPr>
          <w:fldChar w:fldCharType="separate"/>
        </w:r>
        <w:r w:rsidR="00EA5DC1">
          <w:rPr>
            <w:webHidden/>
          </w:rPr>
          <w:t>112</w:t>
        </w:r>
        <w:r w:rsidR="006F0CA3">
          <w:rPr>
            <w:webHidden/>
          </w:rPr>
          <w:fldChar w:fldCharType="end"/>
        </w:r>
      </w:hyperlink>
    </w:p>
    <w:p w14:paraId="57EF5B62" w14:textId="2961AF42" w:rsidR="006F0CA3" w:rsidRDefault="00515153">
      <w:pPr>
        <w:pStyle w:val="TableofFigures"/>
        <w:rPr>
          <w:rFonts w:asciiTheme="minorHAnsi" w:eastAsiaTheme="minorEastAsia" w:hAnsiTheme="minorHAnsi" w:cstheme="minorBidi"/>
        </w:rPr>
      </w:pPr>
      <w:hyperlink w:anchor="_Toc37845851" w:history="1">
        <w:r w:rsidR="006F0CA3" w:rsidRPr="009B3CD3">
          <w:rPr>
            <w:rStyle w:val="Hyperlink"/>
          </w:rPr>
          <w:t>Table 48</w:t>
        </w:r>
        <w:r w:rsidR="006F0CA3" w:rsidRPr="009B3CD3">
          <w:rPr>
            <w:rStyle w:val="Hyperlink"/>
            <w:rFonts w:eastAsia="Calibri" w:cs="Times New Roman"/>
            <w:lang w:eastAsia="en-US"/>
          </w:rPr>
          <w:t>: Incidence and prevalence of MMN in Australia using data on the use of intravenous Ig therapy from the National Blood Authority based on The Criteria Version 2 and 3.</w:t>
        </w:r>
        <w:r w:rsidR="006F0CA3">
          <w:rPr>
            <w:webHidden/>
          </w:rPr>
          <w:tab/>
        </w:r>
        <w:r w:rsidR="006F0CA3">
          <w:rPr>
            <w:webHidden/>
          </w:rPr>
          <w:fldChar w:fldCharType="begin"/>
        </w:r>
        <w:r w:rsidR="006F0CA3">
          <w:rPr>
            <w:webHidden/>
          </w:rPr>
          <w:instrText xml:space="preserve"> PAGEREF _Toc37845851 \h </w:instrText>
        </w:r>
        <w:r w:rsidR="006F0CA3">
          <w:rPr>
            <w:webHidden/>
          </w:rPr>
        </w:r>
        <w:r w:rsidR="006F0CA3">
          <w:rPr>
            <w:webHidden/>
          </w:rPr>
          <w:fldChar w:fldCharType="separate"/>
        </w:r>
        <w:r w:rsidR="00EA5DC1">
          <w:rPr>
            <w:webHidden/>
          </w:rPr>
          <w:t>113</w:t>
        </w:r>
        <w:r w:rsidR="006F0CA3">
          <w:rPr>
            <w:webHidden/>
          </w:rPr>
          <w:fldChar w:fldCharType="end"/>
        </w:r>
      </w:hyperlink>
    </w:p>
    <w:p w14:paraId="1491B178" w14:textId="7FACF03B" w:rsidR="006F0CA3" w:rsidRDefault="00515153">
      <w:pPr>
        <w:pStyle w:val="TableofFigures"/>
        <w:rPr>
          <w:rFonts w:asciiTheme="minorHAnsi" w:eastAsiaTheme="minorEastAsia" w:hAnsiTheme="minorHAnsi" w:cstheme="minorBidi"/>
        </w:rPr>
      </w:pPr>
      <w:hyperlink w:anchor="_Toc37845852" w:history="1">
        <w:r w:rsidR="006F0CA3" w:rsidRPr="009B3CD3">
          <w:rPr>
            <w:rStyle w:val="Hyperlink"/>
          </w:rPr>
          <w:t>Table 49. Search terms used in the systematic literature search for intravenous Ig treatment for MMN patients</w:t>
        </w:r>
        <w:r w:rsidR="006F0CA3">
          <w:rPr>
            <w:webHidden/>
          </w:rPr>
          <w:tab/>
        </w:r>
        <w:r w:rsidR="006F0CA3">
          <w:rPr>
            <w:webHidden/>
          </w:rPr>
          <w:fldChar w:fldCharType="begin"/>
        </w:r>
        <w:r w:rsidR="006F0CA3">
          <w:rPr>
            <w:webHidden/>
          </w:rPr>
          <w:instrText xml:space="preserve"> PAGEREF _Toc37845852 \h </w:instrText>
        </w:r>
        <w:r w:rsidR="006F0CA3">
          <w:rPr>
            <w:webHidden/>
          </w:rPr>
        </w:r>
        <w:r w:rsidR="006F0CA3">
          <w:rPr>
            <w:webHidden/>
          </w:rPr>
          <w:fldChar w:fldCharType="separate"/>
        </w:r>
        <w:r w:rsidR="00EA5DC1">
          <w:rPr>
            <w:webHidden/>
          </w:rPr>
          <w:t>115</w:t>
        </w:r>
        <w:r w:rsidR="006F0CA3">
          <w:rPr>
            <w:webHidden/>
          </w:rPr>
          <w:fldChar w:fldCharType="end"/>
        </w:r>
      </w:hyperlink>
    </w:p>
    <w:p w14:paraId="34520D87" w14:textId="2D163D08" w:rsidR="006F0CA3" w:rsidRDefault="00515153">
      <w:pPr>
        <w:pStyle w:val="TableofFigures"/>
        <w:rPr>
          <w:rFonts w:asciiTheme="minorHAnsi" w:eastAsiaTheme="minorEastAsia" w:hAnsiTheme="minorHAnsi" w:cstheme="minorBidi"/>
        </w:rPr>
      </w:pPr>
      <w:hyperlink w:anchor="_Toc37845853" w:history="1">
        <w:r w:rsidR="006F0CA3" w:rsidRPr="009B3CD3">
          <w:rPr>
            <w:rStyle w:val="Hyperlink"/>
          </w:rPr>
          <w:t>Table 50. List of included studies</w:t>
        </w:r>
        <w:r w:rsidR="006F0CA3">
          <w:rPr>
            <w:webHidden/>
          </w:rPr>
          <w:tab/>
        </w:r>
        <w:r w:rsidR="006F0CA3">
          <w:rPr>
            <w:webHidden/>
          </w:rPr>
          <w:fldChar w:fldCharType="begin"/>
        </w:r>
        <w:r w:rsidR="006F0CA3">
          <w:rPr>
            <w:webHidden/>
          </w:rPr>
          <w:instrText xml:space="preserve"> PAGEREF _Toc37845853 \h </w:instrText>
        </w:r>
        <w:r w:rsidR="006F0CA3">
          <w:rPr>
            <w:webHidden/>
          </w:rPr>
        </w:r>
        <w:r w:rsidR="006F0CA3">
          <w:rPr>
            <w:webHidden/>
          </w:rPr>
          <w:fldChar w:fldCharType="separate"/>
        </w:r>
        <w:r w:rsidR="00EA5DC1">
          <w:rPr>
            <w:webHidden/>
          </w:rPr>
          <w:t>117</w:t>
        </w:r>
        <w:r w:rsidR="006F0CA3">
          <w:rPr>
            <w:webHidden/>
          </w:rPr>
          <w:fldChar w:fldCharType="end"/>
        </w:r>
      </w:hyperlink>
    </w:p>
    <w:p w14:paraId="4ADDD214" w14:textId="564077F3" w:rsidR="006F0CA3" w:rsidRDefault="00515153">
      <w:pPr>
        <w:pStyle w:val="TableofFigures"/>
        <w:rPr>
          <w:rFonts w:asciiTheme="minorHAnsi" w:eastAsiaTheme="minorEastAsia" w:hAnsiTheme="minorHAnsi" w:cstheme="minorBidi"/>
        </w:rPr>
      </w:pPr>
      <w:hyperlink w:anchor="_Toc37845854" w:history="1">
        <w:r w:rsidR="006F0CA3" w:rsidRPr="009B3CD3">
          <w:rPr>
            <w:rStyle w:val="Hyperlink"/>
          </w:rPr>
          <w:t>Table 51. Profiles of studies included in the systematic literature review</w:t>
        </w:r>
        <w:r w:rsidR="006F0CA3">
          <w:rPr>
            <w:webHidden/>
          </w:rPr>
          <w:tab/>
        </w:r>
        <w:r w:rsidR="006F0CA3">
          <w:rPr>
            <w:webHidden/>
          </w:rPr>
          <w:fldChar w:fldCharType="begin"/>
        </w:r>
        <w:r w:rsidR="006F0CA3">
          <w:rPr>
            <w:webHidden/>
          </w:rPr>
          <w:instrText xml:space="preserve"> PAGEREF _Toc37845854 \h </w:instrText>
        </w:r>
        <w:r w:rsidR="006F0CA3">
          <w:rPr>
            <w:webHidden/>
          </w:rPr>
        </w:r>
        <w:r w:rsidR="006F0CA3">
          <w:rPr>
            <w:webHidden/>
          </w:rPr>
          <w:fldChar w:fldCharType="separate"/>
        </w:r>
        <w:r w:rsidR="00EA5DC1">
          <w:rPr>
            <w:webHidden/>
          </w:rPr>
          <w:t>119</w:t>
        </w:r>
        <w:r w:rsidR="006F0CA3">
          <w:rPr>
            <w:webHidden/>
          </w:rPr>
          <w:fldChar w:fldCharType="end"/>
        </w:r>
      </w:hyperlink>
    </w:p>
    <w:p w14:paraId="3AD12188" w14:textId="6830B4EB" w:rsidR="006F0CA3" w:rsidRDefault="00515153">
      <w:pPr>
        <w:pStyle w:val="TableofFigures"/>
        <w:rPr>
          <w:rFonts w:asciiTheme="minorHAnsi" w:eastAsiaTheme="minorEastAsia" w:hAnsiTheme="minorHAnsi" w:cstheme="minorBidi"/>
        </w:rPr>
      </w:pPr>
      <w:hyperlink w:anchor="_Toc37845855" w:history="1">
        <w:r w:rsidR="006F0CA3" w:rsidRPr="009B3CD3">
          <w:rPr>
            <w:rStyle w:val="Hyperlink"/>
          </w:rPr>
          <w:t>Table 52. Profiles of single arm studies included in the systematic literature review.</w:t>
        </w:r>
        <w:r w:rsidR="006F0CA3">
          <w:rPr>
            <w:webHidden/>
          </w:rPr>
          <w:tab/>
        </w:r>
        <w:r w:rsidR="006F0CA3">
          <w:rPr>
            <w:webHidden/>
          </w:rPr>
          <w:fldChar w:fldCharType="begin"/>
        </w:r>
        <w:r w:rsidR="006F0CA3">
          <w:rPr>
            <w:webHidden/>
          </w:rPr>
          <w:instrText xml:space="preserve"> PAGEREF _Toc37845855 \h </w:instrText>
        </w:r>
        <w:r w:rsidR="006F0CA3">
          <w:rPr>
            <w:webHidden/>
          </w:rPr>
        </w:r>
        <w:r w:rsidR="006F0CA3">
          <w:rPr>
            <w:webHidden/>
          </w:rPr>
          <w:fldChar w:fldCharType="separate"/>
        </w:r>
        <w:r w:rsidR="00EA5DC1">
          <w:rPr>
            <w:webHidden/>
          </w:rPr>
          <w:t>128</w:t>
        </w:r>
        <w:r w:rsidR="006F0CA3">
          <w:rPr>
            <w:webHidden/>
          </w:rPr>
          <w:fldChar w:fldCharType="end"/>
        </w:r>
      </w:hyperlink>
    </w:p>
    <w:p w14:paraId="04003733" w14:textId="303D7E3F" w:rsidR="006F0CA3" w:rsidRDefault="00515153">
      <w:pPr>
        <w:pStyle w:val="TableofFigures"/>
        <w:rPr>
          <w:rFonts w:asciiTheme="minorHAnsi" w:eastAsiaTheme="minorEastAsia" w:hAnsiTheme="minorHAnsi" w:cstheme="minorBidi"/>
        </w:rPr>
      </w:pPr>
      <w:hyperlink w:anchor="_Toc37845856" w:history="1">
        <w:r w:rsidR="006F0CA3" w:rsidRPr="009B3CD3">
          <w:rPr>
            <w:rStyle w:val="Hyperlink"/>
          </w:rPr>
          <w:t>Table 53: Risk of bias assessment of randomised controlled studies using the Cochrane risk of bias tool</w:t>
        </w:r>
        <w:r w:rsidR="006F0CA3">
          <w:rPr>
            <w:webHidden/>
          </w:rPr>
          <w:tab/>
        </w:r>
        <w:r w:rsidR="006F0CA3">
          <w:rPr>
            <w:webHidden/>
          </w:rPr>
          <w:fldChar w:fldCharType="begin"/>
        </w:r>
        <w:r w:rsidR="006F0CA3">
          <w:rPr>
            <w:webHidden/>
          </w:rPr>
          <w:instrText xml:space="preserve"> PAGEREF _Toc37845856 \h </w:instrText>
        </w:r>
        <w:r w:rsidR="006F0CA3">
          <w:rPr>
            <w:webHidden/>
          </w:rPr>
        </w:r>
        <w:r w:rsidR="006F0CA3">
          <w:rPr>
            <w:webHidden/>
          </w:rPr>
          <w:fldChar w:fldCharType="separate"/>
        </w:r>
        <w:r w:rsidR="00EA5DC1">
          <w:rPr>
            <w:webHidden/>
          </w:rPr>
          <w:t>142</w:t>
        </w:r>
        <w:r w:rsidR="006F0CA3">
          <w:rPr>
            <w:webHidden/>
          </w:rPr>
          <w:fldChar w:fldCharType="end"/>
        </w:r>
      </w:hyperlink>
    </w:p>
    <w:p w14:paraId="17525C5F" w14:textId="077A990B" w:rsidR="006F0CA3" w:rsidRDefault="00515153">
      <w:pPr>
        <w:pStyle w:val="TableofFigures"/>
        <w:rPr>
          <w:rFonts w:asciiTheme="minorHAnsi" w:eastAsiaTheme="minorEastAsia" w:hAnsiTheme="minorHAnsi" w:cstheme="minorBidi"/>
        </w:rPr>
      </w:pPr>
      <w:hyperlink w:anchor="_Toc37845857" w:history="1">
        <w:r w:rsidR="006F0CA3" w:rsidRPr="009B3CD3">
          <w:rPr>
            <w:rStyle w:val="Hyperlink"/>
          </w:rPr>
          <w:t>Table 54. List of excluded studies RCTs</w:t>
        </w:r>
        <w:r w:rsidR="006F0CA3">
          <w:rPr>
            <w:webHidden/>
          </w:rPr>
          <w:tab/>
        </w:r>
        <w:r w:rsidR="006F0CA3">
          <w:rPr>
            <w:webHidden/>
          </w:rPr>
          <w:fldChar w:fldCharType="begin"/>
        </w:r>
        <w:r w:rsidR="006F0CA3">
          <w:rPr>
            <w:webHidden/>
          </w:rPr>
          <w:instrText xml:space="preserve"> PAGEREF _Toc37845857 \h </w:instrText>
        </w:r>
        <w:r w:rsidR="006F0CA3">
          <w:rPr>
            <w:webHidden/>
          </w:rPr>
        </w:r>
        <w:r w:rsidR="006F0CA3">
          <w:rPr>
            <w:webHidden/>
          </w:rPr>
          <w:fldChar w:fldCharType="separate"/>
        </w:r>
        <w:r w:rsidR="00EA5DC1">
          <w:rPr>
            <w:webHidden/>
          </w:rPr>
          <w:t>145</w:t>
        </w:r>
        <w:r w:rsidR="006F0CA3">
          <w:rPr>
            <w:webHidden/>
          </w:rPr>
          <w:fldChar w:fldCharType="end"/>
        </w:r>
      </w:hyperlink>
    </w:p>
    <w:p w14:paraId="4DAE6EDE" w14:textId="185839ED" w:rsidR="006F0CA3" w:rsidRDefault="00515153">
      <w:pPr>
        <w:pStyle w:val="TableofFigures"/>
        <w:rPr>
          <w:rFonts w:asciiTheme="minorHAnsi" w:eastAsiaTheme="minorEastAsia" w:hAnsiTheme="minorHAnsi" w:cstheme="minorBidi"/>
        </w:rPr>
      </w:pPr>
      <w:hyperlink w:anchor="_Toc37845858" w:history="1">
        <w:r w:rsidR="006F0CA3" w:rsidRPr="009B3CD3">
          <w:rPr>
            <w:rStyle w:val="Hyperlink"/>
          </w:rPr>
          <w:t>Table 55. List of single arm studies excluded studies</w:t>
        </w:r>
        <w:r w:rsidR="006F0CA3">
          <w:rPr>
            <w:webHidden/>
          </w:rPr>
          <w:tab/>
        </w:r>
        <w:r w:rsidR="006F0CA3">
          <w:rPr>
            <w:webHidden/>
          </w:rPr>
          <w:fldChar w:fldCharType="begin"/>
        </w:r>
        <w:r w:rsidR="006F0CA3">
          <w:rPr>
            <w:webHidden/>
          </w:rPr>
          <w:instrText xml:space="preserve"> PAGEREF _Toc37845858 \h </w:instrText>
        </w:r>
        <w:r w:rsidR="006F0CA3">
          <w:rPr>
            <w:webHidden/>
          </w:rPr>
        </w:r>
        <w:r w:rsidR="006F0CA3">
          <w:rPr>
            <w:webHidden/>
          </w:rPr>
          <w:fldChar w:fldCharType="separate"/>
        </w:r>
        <w:r w:rsidR="00EA5DC1">
          <w:rPr>
            <w:webHidden/>
          </w:rPr>
          <w:t>145</w:t>
        </w:r>
        <w:r w:rsidR="006F0CA3">
          <w:rPr>
            <w:webHidden/>
          </w:rPr>
          <w:fldChar w:fldCharType="end"/>
        </w:r>
      </w:hyperlink>
    </w:p>
    <w:p w14:paraId="37E029FE" w14:textId="6D2CF26A" w:rsidR="006F0CA3" w:rsidRDefault="00515153">
      <w:pPr>
        <w:pStyle w:val="TableofFigures"/>
        <w:rPr>
          <w:rFonts w:asciiTheme="minorHAnsi" w:eastAsiaTheme="minorEastAsia" w:hAnsiTheme="minorHAnsi" w:cstheme="minorBidi"/>
        </w:rPr>
      </w:pPr>
      <w:hyperlink w:anchor="_Toc37845859" w:history="1">
        <w:r w:rsidR="006F0CA3" w:rsidRPr="009B3CD3">
          <w:rPr>
            <w:rStyle w:val="Hyperlink"/>
          </w:rPr>
          <w:t xml:space="preserve">Table 56. </w:t>
        </w:r>
        <w:r w:rsidR="006F0CA3" w:rsidRPr="009B3CD3">
          <w:rPr>
            <w:rStyle w:val="Hyperlink"/>
            <w:rFonts w:eastAsiaTheme="minorHAnsi"/>
            <w:lang w:eastAsia="en-US"/>
          </w:rPr>
          <w:t>Estimated cost per health state</w:t>
        </w:r>
        <w:r w:rsidR="006F0CA3">
          <w:rPr>
            <w:webHidden/>
          </w:rPr>
          <w:tab/>
        </w:r>
        <w:r w:rsidR="006F0CA3">
          <w:rPr>
            <w:webHidden/>
          </w:rPr>
          <w:fldChar w:fldCharType="begin"/>
        </w:r>
        <w:r w:rsidR="006F0CA3">
          <w:rPr>
            <w:webHidden/>
          </w:rPr>
          <w:instrText xml:space="preserve"> PAGEREF _Toc37845859 \h </w:instrText>
        </w:r>
        <w:r w:rsidR="006F0CA3">
          <w:rPr>
            <w:webHidden/>
          </w:rPr>
        </w:r>
        <w:r w:rsidR="006F0CA3">
          <w:rPr>
            <w:webHidden/>
          </w:rPr>
          <w:fldChar w:fldCharType="separate"/>
        </w:r>
        <w:r w:rsidR="00EA5DC1">
          <w:rPr>
            <w:webHidden/>
          </w:rPr>
          <w:t>150</w:t>
        </w:r>
        <w:r w:rsidR="006F0CA3">
          <w:rPr>
            <w:webHidden/>
          </w:rPr>
          <w:fldChar w:fldCharType="end"/>
        </w:r>
      </w:hyperlink>
    </w:p>
    <w:p w14:paraId="2DB7CBF8" w14:textId="2E8BA8E4" w:rsidR="006F0CA3" w:rsidRDefault="00515153">
      <w:pPr>
        <w:pStyle w:val="TableofFigures"/>
        <w:rPr>
          <w:rFonts w:asciiTheme="minorHAnsi" w:eastAsiaTheme="minorEastAsia" w:hAnsiTheme="minorHAnsi" w:cstheme="minorBidi"/>
        </w:rPr>
      </w:pPr>
      <w:hyperlink w:anchor="_Toc37845860" w:history="1">
        <w:r w:rsidR="006F0CA3" w:rsidRPr="009B3CD3">
          <w:rPr>
            <w:rStyle w:val="Hyperlink"/>
          </w:rPr>
          <w:t>Table 57. Summary of all sensitivity analysis.</w:t>
        </w:r>
        <w:r w:rsidR="006F0CA3">
          <w:rPr>
            <w:webHidden/>
          </w:rPr>
          <w:tab/>
        </w:r>
        <w:r w:rsidR="006F0CA3">
          <w:rPr>
            <w:webHidden/>
          </w:rPr>
          <w:fldChar w:fldCharType="begin"/>
        </w:r>
        <w:r w:rsidR="006F0CA3">
          <w:rPr>
            <w:webHidden/>
          </w:rPr>
          <w:instrText xml:space="preserve"> PAGEREF _Toc37845860 \h </w:instrText>
        </w:r>
        <w:r w:rsidR="006F0CA3">
          <w:rPr>
            <w:webHidden/>
          </w:rPr>
        </w:r>
        <w:r w:rsidR="006F0CA3">
          <w:rPr>
            <w:webHidden/>
          </w:rPr>
          <w:fldChar w:fldCharType="separate"/>
        </w:r>
        <w:r w:rsidR="00EA5DC1">
          <w:rPr>
            <w:webHidden/>
          </w:rPr>
          <w:t>153</w:t>
        </w:r>
        <w:r w:rsidR="006F0CA3">
          <w:rPr>
            <w:webHidden/>
          </w:rPr>
          <w:fldChar w:fldCharType="end"/>
        </w:r>
      </w:hyperlink>
    </w:p>
    <w:p w14:paraId="37AEEEBD" w14:textId="7C00658D" w:rsidR="00DD08A9" w:rsidRPr="00DA3C6E" w:rsidRDefault="00DD08A9" w:rsidP="00DD08A9">
      <w:pPr>
        <w:pStyle w:val="Heading2"/>
        <w:tabs>
          <w:tab w:val="left" w:pos="1276"/>
        </w:tabs>
        <w:ind w:left="1276" w:hanging="1276"/>
      </w:pPr>
      <w:r w:rsidRPr="00DA3C6E">
        <w:rPr>
          <w:rFonts w:asciiTheme="minorHAnsi" w:eastAsiaTheme="minorEastAsia" w:hAnsiTheme="minorHAnsi" w:cstheme="minorBidi"/>
          <w:b w:val="0"/>
          <w:smallCaps w:val="0"/>
          <w:noProof/>
          <w:sz w:val="22"/>
        </w:rPr>
        <w:fldChar w:fldCharType="end"/>
      </w:r>
      <w:bookmarkStart w:id="26" w:name="_Toc381796427"/>
      <w:bookmarkStart w:id="27" w:name="_Toc395200738"/>
      <w:bookmarkStart w:id="28" w:name="_Toc399247193"/>
      <w:bookmarkStart w:id="29" w:name="_Toc402884712"/>
      <w:bookmarkStart w:id="30" w:name="_Toc37845690"/>
      <w:bookmarkEnd w:id="24"/>
      <w:bookmarkEnd w:id="25"/>
      <w:r w:rsidRPr="00DA3C6E">
        <w:t>Figures</w:t>
      </w:r>
      <w:bookmarkEnd w:id="26"/>
      <w:bookmarkEnd w:id="27"/>
      <w:bookmarkEnd w:id="28"/>
      <w:bookmarkEnd w:id="29"/>
      <w:bookmarkEnd w:id="30"/>
    </w:p>
    <w:p w14:paraId="57C6E48F" w14:textId="57E11C7F" w:rsidR="006F0CA3" w:rsidRDefault="00DD08A9">
      <w:pPr>
        <w:pStyle w:val="TableofFigures"/>
        <w:rPr>
          <w:rFonts w:asciiTheme="minorHAnsi" w:eastAsiaTheme="minorEastAsia" w:hAnsiTheme="minorHAnsi" w:cstheme="minorBidi"/>
        </w:rPr>
      </w:pPr>
      <w:r w:rsidRPr="00DA3C6E">
        <w:rPr>
          <w:szCs w:val="24"/>
        </w:rPr>
        <w:fldChar w:fldCharType="begin"/>
      </w:r>
      <w:r w:rsidRPr="00DA3C6E">
        <w:rPr>
          <w:szCs w:val="24"/>
        </w:rPr>
        <w:instrText xml:space="preserve"> TOC \h \z \c "Figure" </w:instrText>
      </w:r>
      <w:r w:rsidRPr="00DA3C6E">
        <w:rPr>
          <w:szCs w:val="24"/>
        </w:rPr>
        <w:fldChar w:fldCharType="separate"/>
      </w:r>
      <w:hyperlink w:anchor="_Toc37845861" w:history="1">
        <w:r w:rsidR="006F0CA3" w:rsidRPr="0050200F">
          <w:rPr>
            <w:rStyle w:val="Hyperlink"/>
          </w:rPr>
          <w:t xml:space="preserve">Figure 1. Current Clinical management algorithm </w:t>
        </w:r>
        <w:r w:rsidR="006F0CA3" w:rsidRPr="0050200F">
          <w:rPr>
            <w:rStyle w:val="Hyperlink"/>
            <w:rFonts w:cstheme="minorHAnsi"/>
          </w:rPr>
          <w:t>initial access to Ig under NBA as per MMN Referral</w:t>
        </w:r>
        <w:r w:rsidR="006F0CA3">
          <w:rPr>
            <w:webHidden/>
          </w:rPr>
          <w:tab/>
        </w:r>
        <w:r w:rsidR="006F0CA3">
          <w:rPr>
            <w:webHidden/>
          </w:rPr>
          <w:fldChar w:fldCharType="begin"/>
        </w:r>
        <w:r w:rsidR="006F0CA3">
          <w:rPr>
            <w:webHidden/>
          </w:rPr>
          <w:instrText xml:space="preserve"> PAGEREF _Toc37845861 \h </w:instrText>
        </w:r>
        <w:r w:rsidR="006F0CA3">
          <w:rPr>
            <w:webHidden/>
          </w:rPr>
        </w:r>
        <w:r w:rsidR="006F0CA3">
          <w:rPr>
            <w:webHidden/>
          </w:rPr>
          <w:fldChar w:fldCharType="separate"/>
        </w:r>
        <w:r w:rsidR="00EA5DC1">
          <w:rPr>
            <w:webHidden/>
          </w:rPr>
          <w:t>31</w:t>
        </w:r>
        <w:r w:rsidR="006F0CA3">
          <w:rPr>
            <w:webHidden/>
          </w:rPr>
          <w:fldChar w:fldCharType="end"/>
        </w:r>
      </w:hyperlink>
    </w:p>
    <w:p w14:paraId="043B30ED" w14:textId="466163F3" w:rsidR="006F0CA3" w:rsidRDefault="00515153">
      <w:pPr>
        <w:pStyle w:val="TableofFigures"/>
        <w:rPr>
          <w:rFonts w:asciiTheme="minorHAnsi" w:eastAsiaTheme="minorEastAsia" w:hAnsiTheme="minorHAnsi" w:cstheme="minorBidi"/>
        </w:rPr>
      </w:pPr>
      <w:hyperlink w:anchor="_Toc37845862" w:history="1">
        <w:r w:rsidR="006F0CA3" w:rsidRPr="0050200F">
          <w:rPr>
            <w:rStyle w:val="Hyperlink"/>
          </w:rPr>
          <w:t xml:space="preserve">Figure 2. Current Clinical management algorithm </w:t>
        </w:r>
        <w:r w:rsidR="006F0CA3" w:rsidRPr="0050200F">
          <w:rPr>
            <w:rStyle w:val="Hyperlink"/>
            <w:rFonts w:cstheme="minorHAnsi"/>
          </w:rPr>
          <w:t>continuing access to Ig under NBA as per MMN Referral</w:t>
        </w:r>
        <w:r w:rsidR="006F0CA3">
          <w:rPr>
            <w:webHidden/>
          </w:rPr>
          <w:tab/>
        </w:r>
        <w:r w:rsidR="006F0CA3">
          <w:rPr>
            <w:webHidden/>
          </w:rPr>
          <w:fldChar w:fldCharType="begin"/>
        </w:r>
        <w:r w:rsidR="006F0CA3">
          <w:rPr>
            <w:webHidden/>
          </w:rPr>
          <w:instrText xml:space="preserve"> PAGEREF _Toc37845862 \h </w:instrText>
        </w:r>
        <w:r w:rsidR="006F0CA3">
          <w:rPr>
            <w:webHidden/>
          </w:rPr>
        </w:r>
        <w:r w:rsidR="006F0CA3">
          <w:rPr>
            <w:webHidden/>
          </w:rPr>
          <w:fldChar w:fldCharType="separate"/>
        </w:r>
        <w:r w:rsidR="00EA5DC1">
          <w:rPr>
            <w:webHidden/>
          </w:rPr>
          <w:t>32</w:t>
        </w:r>
        <w:r w:rsidR="006F0CA3">
          <w:rPr>
            <w:webHidden/>
          </w:rPr>
          <w:fldChar w:fldCharType="end"/>
        </w:r>
      </w:hyperlink>
    </w:p>
    <w:p w14:paraId="6DD09896" w14:textId="51CABD80" w:rsidR="006F0CA3" w:rsidRDefault="00515153">
      <w:pPr>
        <w:pStyle w:val="TableofFigures"/>
        <w:rPr>
          <w:rFonts w:asciiTheme="minorHAnsi" w:eastAsiaTheme="minorEastAsia" w:hAnsiTheme="minorHAnsi" w:cstheme="minorBidi"/>
        </w:rPr>
      </w:pPr>
      <w:hyperlink w:anchor="_Toc37845863" w:history="1">
        <w:r w:rsidR="006F0CA3" w:rsidRPr="0050200F">
          <w:rPr>
            <w:rStyle w:val="Hyperlink"/>
          </w:rPr>
          <w:t>Figure 3</w:t>
        </w:r>
        <w:r w:rsidR="006F0CA3" w:rsidRPr="0050200F">
          <w:rPr>
            <w:rStyle w:val="Hyperlink"/>
            <w:rFonts w:eastAsia="Calibri" w:cstheme="minorHAnsi"/>
            <w:lang w:eastAsia="en-US"/>
          </w:rPr>
          <w:t xml:space="preserve">: </w:t>
        </w:r>
        <w:r w:rsidR="006F0CA3" w:rsidRPr="0050200F">
          <w:rPr>
            <w:rStyle w:val="Hyperlink"/>
          </w:rPr>
          <w:t>Proposed clinical management algorithm: initial and maintenance treatment (continuing authorisation) to Ig under NBA for first indication.</w:t>
        </w:r>
        <w:r w:rsidR="006F0CA3">
          <w:rPr>
            <w:webHidden/>
          </w:rPr>
          <w:tab/>
        </w:r>
        <w:r w:rsidR="006F0CA3">
          <w:rPr>
            <w:webHidden/>
          </w:rPr>
          <w:fldChar w:fldCharType="begin"/>
        </w:r>
        <w:r w:rsidR="006F0CA3">
          <w:rPr>
            <w:webHidden/>
          </w:rPr>
          <w:instrText xml:space="preserve"> PAGEREF _Toc37845863 \h </w:instrText>
        </w:r>
        <w:r w:rsidR="006F0CA3">
          <w:rPr>
            <w:webHidden/>
          </w:rPr>
        </w:r>
        <w:r w:rsidR="006F0CA3">
          <w:rPr>
            <w:webHidden/>
          </w:rPr>
          <w:fldChar w:fldCharType="separate"/>
        </w:r>
        <w:r w:rsidR="00EA5DC1">
          <w:rPr>
            <w:webHidden/>
          </w:rPr>
          <w:t>33</w:t>
        </w:r>
        <w:r w:rsidR="006F0CA3">
          <w:rPr>
            <w:webHidden/>
          </w:rPr>
          <w:fldChar w:fldCharType="end"/>
        </w:r>
      </w:hyperlink>
    </w:p>
    <w:p w14:paraId="767A9DF0" w14:textId="2130D66F" w:rsidR="006F0CA3" w:rsidRDefault="00515153">
      <w:pPr>
        <w:pStyle w:val="TableofFigures"/>
        <w:rPr>
          <w:rFonts w:asciiTheme="minorHAnsi" w:eastAsiaTheme="minorEastAsia" w:hAnsiTheme="minorHAnsi" w:cstheme="minorBidi"/>
        </w:rPr>
      </w:pPr>
      <w:hyperlink w:anchor="_Toc37845864" w:history="1">
        <w:r w:rsidR="006F0CA3" w:rsidRPr="0050200F">
          <w:rPr>
            <w:rStyle w:val="Hyperlink"/>
          </w:rPr>
          <w:t>Figure 4</w:t>
        </w:r>
        <w:r w:rsidR="006F0CA3" w:rsidRPr="0050200F">
          <w:rPr>
            <w:rStyle w:val="Hyperlink"/>
            <w:rFonts w:eastAsia="Calibri" w:cstheme="minorHAnsi"/>
            <w:lang w:eastAsia="en-US"/>
          </w:rPr>
          <w:t xml:space="preserve">: </w:t>
        </w:r>
        <w:r w:rsidR="006F0CA3" w:rsidRPr="0050200F">
          <w:rPr>
            <w:rStyle w:val="Hyperlink"/>
          </w:rPr>
          <w:t>Proposed clinical management algorithm: initial and maintenance treatment (continuing authorisation) to intravenous Ig under NBA for second indication (patients who relapse within six months of weaning.</w:t>
        </w:r>
        <w:r w:rsidR="006F0CA3">
          <w:rPr>
            <w:webHidden/>
          </w:rPr>
          <w:tab/>
        </w:r>
        <w:r w:rsidR="006F0CA3">
          <w:rPr>
            <w:webHidden/>
          </w:rPr>
          <w:fldChar w:fldCharType="begin"/>
        </w:r>
        <w:r w:rsidR="006F0CA3">
          <w:rPr>
            <w:webHidden/>
          </w:rPr>
          <w:instrText xml:space="preserve"> PAGEREF _Toc37845864 \h </w:instrText>
        </w:r>
        <w:r w:rsidR="006F0CA3">
          <w:rPr>
            <w:webHidden/>
          </w:rPr>
        </w:r>
        <w:r w:rsidR="006F0CA3">
          <w:rPr>
            <w:webHidden/>
          </w:rPr>
          <w:fldChar w:fldCharType="separate"/>
        </w:r>
        <w:r w:rsidR="00EA5DC1">
          <w:rPr>
            <w:webHidden/>
          </w:rPr>
          <w:t>34</w:t>
        </w:r>
        <w:r w:rsidR="006F0CA3">
          <w:rPr>
            <w:webHidden/>
          </w:rPr>
          <w:fldChar w:fldCharType="end"/>
        </w:r>
      </w:hyperlink>
    </w:p>
    <w:p w14:paraId="5909EC4F" w14:textId="17B8E649" w:rsidR="006F0CA3" w:rsidRDefault="00515153">
      <w:pPr>
        <w:pStyle w:val="TableofFigures"/>
        <w:rPr>
          <w:rFonts w:asciiTheme="minorHAnsi" w:eastAsiaTheme="minorEastAsia" w:hAnsiTheme="minorHAnsi" w:cstheme="minorBidi"/>
        </w:rPr>
      </w:pPr>
      <w:hyperlink w:anchor="_Toc37845865" w:history="1">
        <w:r w:rsidR="006F0CA3" w:rsidRPr="0050200F">
          <w:rPr>
            <w:rStyle w:val="Hyperlink"/>
          </w:rPr>
          <w:t xml:space="preserve">Figure 5.  </w:t>
        </w:r>
        <w:r w:rsidR="006F0CA3">
          <w:rPr>
            <w:rFonts w:asciiTheme="minorHAnsi" w:eastAsiaTheme="minorEastAsia" w:hAnsiTheme="minorHAnsi" w:cstheme="minorBidi"/>
          </w:rPr>
          <w:tab/>
        </w:r>
        <w:r w:rsidR="006F0CA3" w:rsidRPr="0050200F">
          <w:rPr>
            <w:rStyle w:val="Hyperlink"/>
          </w:rPr>
          <w:t>Summary of the process used to identify and select studies for the assessment</w:t>
        </w:r>
        <w:r w:rsidR="006F0CA3">
          <w:rPr>
            <w:webHidden/>
          </w:rPr>
          <w:tab/>
        </w:r>
        <w:r w:rsidR="006F0CA3">
          <w:rPr>
            <w:webHidden/>
          </w:rPr>
          <w:fldChar w:fldCharType="begin"/>
        </w:r>
        <w:r w:rsidR="006F0CA3">
          <w:rPr>
            <w:webHidden/>
          </w:rPr>
          <w:instrText xml:space="preserve"> PAGEREF _Toc37845865 \h </w:instrText>
        </w:r>
        <w:r w:rsidR="006F0CA3">
          <w:rPr>
            <w:webHidden/>
          </w:rPr>
        </w:r>
        <w:r w:rsidR="006F0CA3">
          <w:rPr>
            <w:webHidden/>
          </w:rPr>
          <w:fldChar w:fldCharType="separate"/>
        </w:r>
        <w:r w:rsidR="00EA5DC1">
          <w:rPr>
            <w:webHidden/>
          </w:rPr>
          <w:t>39</w:t>
        </w:r>
        <w:r w:rsidR="006F0CA3">
          <w:rPr>
            <w:webHidden/>
          </w:rPr>
          <w:fldChar w:fldCharType="end"/>
        </w:r>
      </w:hyperlink>
    </w:p>
    <w:p w14:paraId="6CBB70BB" w14:textId="30C217A3" w:rsidR="006F0CA3" w:rsidRDefault="00515153">
      <w:pPr>
        <w:pStyle w:val="TableofFigures"/>
        <w:rPr>
          <w:rFonts w:asciiTheme="minorHAnsi" w:eastAsiaTheme="minorEastAsia" w:hAnsiTheme="minorHAnsi" w:cstheme="minorBidi"/>
        </w:rPr>
      </w:pPr>
      <w:hyperlink w:anchor="_Toc37845866" w:history="1">
        <w:r w:rsidR="006F0CA3" w:rsidRPr="0050200F">
          <w:rPr>
            <w:rStyle w:val="Hyperlink"/>
          </w:rPr>
          <w:t>Figure 6: Diagrammatic presentation of risk of bias assessment of the five randomised controlled studies</w:t>
        </w:r>
        <w:r w:rsidR="006F0CA3">
          <w:rPr>
            <w:webHidden/>
          </w:rPr>
          <w:tab/>
        </w:r>
        <w:r w:rsidR="006F0CA3">
          <w:rPr>
            <w:webHidden/>
          </w:rPr>
          <w:fldChar w:fldCharType="begin"/>
        </w:r>
        <w:r w:rsidR="006F0CA3">
          <w:rPr>
            <w:webHidden/>
          </w:rPr>
          <w:instrText xml:space="preserve"> PAGEREF _Toc37845866 \h </w:instrText>
        </w:r>
        <w:r w:rsidR="006F0CA3">
          <w:rPr>
            <w:webHidden/>
          </w:rPr>
        </w:r>
        <w:r w:rsidR="006F0CA3">
          <w:rPr>
            <w:webHidden/>
          </w:rPr>
          <w:fldChar w:fldCharType="separate"/>
        </w:r>
        <w:r w:rsidR="00EA5DC1">
          <w:rPr>
            <w:webHidden/>
          </w:rPr>
          <w:t>44</w:t>
        </w:r>
        <w:r w:rsidR="006F0CA3">
          <w:rPr>
            <w:webHidden/>
          </w:rPr>
          <w:fldChar w:fldCharType="end"/>
        </w:r>
      </w:hyperlink>
    </w:p>
    <w:p w14:paraId="6DE0B48F" w14:textId="3C0FC9EE" w:rsidR="006F0CA3" w:rsidRDefault="00515153">
      <w:pPr>
        <w:pStyle w:val="TableofFigures"/>
        <w:rPr>
          <w:rFonts w:asciiTheme="minorHAnsi" w:eastAsiaTheme="minorEastAsia" w:hAnsiTheme="minorHAnsi" w:cstheme="minorBidi"/>
        </w:rPr>
      </w:pPr>
      <w:hyperlink w:anchor="_Toc37845867" w:history="1">
        <w:r w:rsidR="006F0CA3" w:rsidRPr="0050200F">
          <w:rPr>
            <w:rStyle w:val="Hyperlink"/>
          </w:rPr>
          <w:t>Figure 7. Diagrammatic presentation of risk of bias assessment of the 24 single arm studies</w:t>
        </w:r>
        <w:r w:rsidR="006F0CA3">
          <w:rPr>
            <w:webHidden/>
          </w:rPr>
          <w:tab/>
        </w:r>
        <w:r w:rsidR="006F0CA3">
          <w:rPr>
            <w:webHidden/>
          </w:rPr>
          <w:fldChar w:fldCharType="begin"/>
        </w:r>
        <w:r w:rsidR="006F0CA3">
          <w:rPr>
            <w:webHidden/>
          </w:rPr>
          <w:instrText xml:space="preserve"> PAGEREF _Toc37845867 \h </w:instrText>
        </w:r>
        <w:r w:rsidR="006F0CA3">
          <w:rPr>
            <w:webHidden/>
          </w:rPr>
        </w:r>
        <w:r w:rsidR="006F0CA3">
          <w:rPr>
            <w:webHidden/>
          </w:rPr>
          <w:fldChar w:fldCharType="separate"/>
        </w:r>
        <w:r w:rsidR="00EA5DC1">
          <w:rPr>
            <w:webHidden/>
          </w:rPr>
          <w:t>46</w:t>
        </w:r>
        <w:r w:rsidR="006F0CA3">
          <w:rPr>
            <w:webHidden/>
          </w:rPr>
          <w:fldChar w:fldCharType="end"/>
        </w:r>
      </w:hyperlink>
    </w:p>
    <w:p w14:paraId="607BD140" w14:textId="77BDCDC3" w:rsidR="006F0CA3" w:rsidRDefault="00515153">
      <w:pPr>
        <w:pStyle w:val="TableofFigures"/>
        <w:rPr>
          <w:rFonts w:asciiTheme="minorHAnsi" w:eastAsiaTheme="minorEastAsia" w:hAnsiTheme="minorHAnsi" w:cstheme="minorBidi"/>
        </w:rPr>
      </w:pPr>
      <w:hyperlink w:anchor="_Toc37845868" w:history="1">
        <w:r w:rsidR="006F0CA3" w:rsidRPr="0050200F">
          <w:rPr>
            <w:rStyle w:val="Hyperlink"/>
          </w:rPr>
          <w:t>Figure 8. Forrest plot for the outcome improvement in disability using the random effect model.</w:t>
        </w:r>
        <w:r w:rsidR="006F0CA3">
          <w:rPr>
            <w:webHidden/>
          </w:rPr>
          <w:tab/>
        </w:r>
        <w:r w:rsidR="006F0CA3">
          <w:rPr>
            <w:webHidden/>
          </w:rPr>
          <w:fldChar w:fldCharType="begin"/>
        </w:r>
        <w:r w:rsidR="006F0CA3">
          <w:rPr>
            <w:webHidden/>
          </w:rPr>
          <w:instrText xml:space="preserve"> PAGEREF _Toc37845868 \h </w:instrText>
        </w:r>
        <w:r w:rsidR="006F0CA3">
          <w:rPr>
            <w:webHidden/>
          </w:rPr>
        </w:r>
        <w:r w:rsidR="006F0CA3">
          <w:rPr>
            <w:webHidden/>
          </w:rPr>
          <w:fldChar w:fldCharType="separate"/>
        </w:r>
        <w:r w:rsidR="00EA5DC1">
          <w:rPr>
            <w:webHidden/>
          </w:rPr>
          <w:t>61</w:t>
        </w:r>
        <w:r w:rsidR="006F0CA3">
          <w:rPr>
            <w:webHidden/>
          </w:rPr>
          <w:fldChar w:fldCharType="end"/>
        </w:r>
      </w:hyperlink>
    </w:p>
    <w:p w14:paraId="09177578" w14:textId="513ACFC8" w:rsidR="006F0CA3" w:rsidRDefault="00515153">
      <w:pPr>
        <w:pStyle w:val="TableofFigures"/>
        <w:rPr>
          <w:rFonts w:asciiTheme="minorHAnsi" w:eastAsiaTheme="minorEastAsia" w:hAnsiTheme="minorHAnsi" w:cstheme="minorBidi"/>
        </w:rPr>
      </w:pPr>
      <w:hyperlink w:anchor="_Toc37845869" w:history="1">
        <w:r w:rsidR="006F0CA3" w:rsidRPr="0050200F">
          <w:rPr>
            <w:rStyle w:val="Hyperlink"/>
          </w:rPr>
          <w:t>Figure 9. Forrest plot for the outcome mean change in disability using the random effect model.</w:t>
        </w:r>
        <w:r w:rsidR="006F0CA3">
          <w:rPr>
            <w:webHidden/>
          </w:rPr>
          <w:tab/>
        </w:r>
        <w:r w:rsidR="006F0CA3">
          <w:rPr>
            <w:webHidden/>
          </w:rPr>
          <w:fldChar w:fldCharType="begin"/>
        </w:r>
        <w:r w:rsidR="006F0CA3">
          <w:rPr>
            <w:webHidden/>
          </w:rPr>
          <w:instrText xml:space="preserve"> PAGEREF _Toc37845869 \h </w:instrText>
        </w:r>
        <w:r w:rsidR="006F0CA3">
          <w:rPr>
            <w:webHidden/>
          </w:rPr>
        </w:r>
        <w:r w:rsidR="006F0CA3">
          <w:rPr>
            <w:webHidden/>
          </w:rPr>
          <w:fldChar w:fldCharType="separate"/>
        </w:r>
        <w:r w:rsidR="00EA5DC1">
          <w:rPr>
            <w:webHidden/>
          </w:rPr>
          <w:t>62</w:t>
        </w:r>
        <w:r w:rsidR="006F0CA3">
          <w:rPr>
            <w:webHidden/>
          </w:rPr>
          <w:fldChar w:fldCharType="end"/>
        </w:r>
      </w:hyperlink>
    </w:p>
    <w:p w14:paraId="640241AD" w14:textId="7A382F84" w:rsidR="006F0CA3" w:rsidRDefault="00515153">
      <w:pPr>
        <w:pStyle w:val="TableofFigures"/>
        <w:rPr>
          <w:rFonts w:asciiTheme="minorHAnsi" w:eastAsiaTheme="minorEastAsia" w:hAnsiTheme="minorHAnsi" w:cstheme="minorBidi"/>
        </w:rPr>
      </w:pPr>
      <w:hyperlink w:anchor="_Toc37845870" w:history="1">
        <w:r w:rsidR="006F0CA3" w:rsidRPr="0050200F">
          <w:rPr>
            <w:rStyle w:val="Hyperlink"/>
          </w:rPr>
          <w:t>Figure 10. Forrest plot for the outcome improvement in muscle strength/grip using the random effect model.</w:t>
        </w:r>
        <w:r w:rsidR="006F0CA3">
          <w:rPr>
            <w:webHidden/>
          </w:rPr>
          <w:tab/>
        </w:r>
        <w:r w:rsidR="006F0CA3">
          <w:rPr>
            <w:webHidden/>
          </w:rPr>
          <w:fldChar w:fldCharType="begin"/>
        </w:r>
        <w:r w:rsidR="006F0CA3">
          <w:rPr>
            <w:webHidden/>
          </w:rPr>
          <w:instrText xml:space="preserve"> PAGEREF _Toc37845870 \h </w:instrText>
        </w:r>
        <w:r w:rsidR="006F0CA3">
          <w:rPr>
            <w:webHidden/>
          </w:rPr>
        </w:r>
        <w:r w:rsidR="006F0CA3">
          <w:rPr>
            <w:webHidden/>
          </w:rPr>
          <w:fldChar w:fldCharType="separate"/>
        </w:r>
        <w:r w:rsidR="00EA5DC1">
          <w:rPr>
            <w:webHidden/>
          </w:rPr>
          <w:t>64</w:t>
        </w:r>
        <w:r w:rsidR="006F0CA3">
          <w:rPr>
            <w:webHidden/>
          </w:rPr>
          <w:fldChar w:fldCharType="end"/>
        </w:r>
      </w:hyperlink>
    </w:p>
    <w:p w14:paraId="459E75D2" w14:textId="5755A9DD" w:rsidR="006F0CA3" w:rsidRDefault="00515153">
      <w:pPr>
        <w:pStyle w:val="TableofFigures"/>
        <w:rPr>
          <w:rFonts w:asciiTheme="minorHAnsi" w:eastAsiaTheme="minorEastAsia" w:hAnsiTheme="minorHAnsi" w:cstheme="minorBidi"/>
        </w:rPr>
      </w:pPr>
      <w:hyperlink w:anchor="_Toc37845871" w:history="1">
        <w:r w:rsidR="006F0CA3" w:rsidRPr="0050200F">
          <w:rPr>
            <w:rStyle w:val="Hyperlink"/>
          </w:rPr>
          <w:t>Figure 11. Decision analytic structure of the economic evaluation.</w:t>
        </w:r>
        <w:r w:rsidR="006F0CA3">
          <w:rPr>
            <w:webHidden/>
          </w:rPr>
          <w:tab/>
        </w:r>
        <w:r w:rsidR="006F0CA3">
          <w:rPr>
            <w:webHidden/>
          </w:rPr>
          <w:fldChar w:fldCharType="begin"/>
        </w:r>
        <w:r w:rsidR="006F0CA3">
          <w:rPr>
            <w:webHidden/>
          </w:rPr>
          <w:instrText xml:space="preserve"> PAGEREF _Toc37845871 \h </w:instrText>
        </w:r>
        <w:r w:rsidR="006F0CA3">
          <w:rPr>
            <w:webHidden/>
          </w:rPr>
        </w:r>
        <w:r w:rsidR="006F0CA3">
          <w:rPr>
            <w:webHidden/>
          </w:rPr>
          <w:fldChar w:fldCharType="separate"/>
        </w:r>
        <w:r w:rsidR="00EA5DC1">
          <w:rPr>
            <w:webHidden/>
          </w:rPr>
          <w:t>88</w:t>
        </w:r>
        <w:r w:rsidR="006F0CA3">
          <w:rPr>
            <w:webHidden/>
          </w:rPr>
          <w:fldChar w:fldCharType="end"/>
        </w:r>
      </w:hyperlink>
    </w:p>
    <w:p w14:paraId="6B1AC94F" w14:textId="361F74D7" w:rsidR="006F0CA3" w:rsidRDefault="00515153">
      <w:pPr>
        <w:pStyle w:val="TableofFigures"/>
        <w:rPr>
          <w:rFonts w:asciiTheme="minorHAnsi" w:eastAsiaTheme="minorEastAsia" w:hAnsiTheme="minorHAnsi" w:cstheme="minorBidi"/>
        </w:rPr>
      </w:pPr>
      <w:hyperlink w:anchor="_Toc37845872" w:history="1">
        <w:r w:rsidR="006F0CA3" w:rsidRPr="0050200F">
          <w:rPr>
            <w:rStyle w:val="Hyperlink"/>
          </w:rPr>
          <w:t>Figure 12. Markov traces for the base case analysis (15 years): intravenous Ig arm.</w:t>
        </w:r>
        <w:r w:rsidR="006F0CA3">
          <w:rPr>
            <w:webHidden/>
          </w:rPr>
          <w:tab/>
        </w:r>
        <w:r w:rsidR="006F0CA3">
          <w:rPr>
            <w:webHidden/>
          </w:rPr>
          <w:fldChar w:fldCharType="begin"/>
        </w:r>
        <w:r w:rsidR="006F0CA3">
          <w:rPr>
            <w:webHidden/>
          </w:rPr>
          <w:instrText xml:space="preserve"> PAGEREF _Toc37845872 \h </w:instrText>
        </w:r>
        <w:r w:rsidR="006F0CA3">
          <w:rPr>
            <w:webHidden/>
          </w:rPr>
        </w:r>
        <w:r w:rsidR="006F0CA3">
          <w:rPr>
            <w:webHidden/>
          </w:rPr>
          <w:fldChar w:fldCharType="separate"/>
        </w:r>
        <w:r w:rsidR="00EA5DC1">
          <w:rPr>
            <w:webHidden/>
          </w:rPr>
          <w:t>98</w:t>
        </w:r>
        <w:r w:rsidR="006F0CA3">
          <w:rPr>
            <w:webHidden/>
          </w:rPr>
          <w:fldChar w:fldCharType="end"/>
        </w:r>
      </w:hyperlink>
    </w:p>
    <w:p w14:paraId="7DA9DB99" w14:textId="6B785899" w:rsidR="006F0CA3" w:rsidRDefault="00515153">
      <w:pPr>
        <w:pStyle w:val="TableofFigures"/>
        <w:rPr>
          <w:rFonts w:asciiTheme="minorHAnsi" w:eastAsiaTheme="minorEastAsia" w:hAnsiTheme="minorHAnsi" w:cstheme="minorBidi"/>
        </w:rPr>
      </w:pPr>
      <w:hyperlink w:anchor="_Toc37845873" w:history="1">
        <w:r w:rsidR="006F0CA3" w:rsidRPr="0050200F">
          <w:rPr>
            <w:rStyle w:val="Hyperlink"/>
          </w:rPr>
          <w:t>Figure 13. Markov traces for the base case analysis (15 years): No Ig with BSC arm.</w:t>
        </w:r>
        <w:r w:rsidR="006F0CA3">
          <w:rPr>
            <w:webHidden/>
          </w:rPr>
          <w:tab/>
        </w:r>
        <w:r w:rsidR="006F0CA3">
          <w:rPr>
            <w:webHidden/>
          </w:rPr>
          <w:fldChar w:fldCharType="begin"/>
        </w:r>
        <w:r w:rsidR="006F0CA3">
          <w:rPr>
            <w:webHidden/>
          </w:rPr>
          <w:instrText xml:space="preserve"> PAGEREF _Toc37845873 \h </w:instrText>
        </w:r>
        <w:r w:rsidR="006F0CA3">
          <w:rPr>
            <w:webHidden/>
          </w:rPr>
        </w:r>
        <w:r w:rsidR="006F0CA3">
          <w:rPr>
            <w:webHidden/>
          </w:rPr>
          <w:fldChar w:fldCharType="separate"/>
        </w:r>
        <w:r w:rsidR="00EA5DC1">
          <w:rPr>
            <w:webHidden/>
          </w:rPr>
          <w:t>98</w:t>
        </w:r>
        <w:r w:rsidR="006F0CA3">
          <w:rPr>
            <w:webHidden/>
          </w:rPr>
          <w:fldChar w:fldCharType="end"/>
        </w:r>
      </w:hyperlink>
    </w:p>
    <w:p w14:paraId="785A7F2E" w14:textId="2A7FD3F2" w:rsidR="006F0CA3" w:rsidRDefault="00515153">
      <w:pPr>
        <w:pStyle w:val="TableofFigures"/>
        <w:rPr>
          <w:rFonts w:asciiTheme="minorHAnsi" w:eastAsiaTheme="minorEastAsia" w:hAnsiTheme="minorHAnsi" w:cstheme="minorBidi"/>
        </w:rPr>
      </w:pPr>
      <w:hyperlink w:anchor="_Toc37845874" w:history="1">
        <w:r w:rsidR="006F0CA3" w:rsidRPr="0050200F">
          <w:rPr>
            <w:rStyle w:val="Hyperlink"/>
          </w:rPr>
          <w:t>Figure 14. Tornado diagram</w:t>
        </w:r>
        <w:r w:rsidR="006F0CA3">
          <w:rPr>
            <w:webHidden/>
          </w:rPr>
          <w:tab/>
        </w:r>
        <w:r w:rsidR="006F0CA3">
          <w:rPr>
            <w:webHidden/>
          </w:rPr>
          <w:fldChar w:fldCharType="begin"/>
        </w:r>
        <w:r w:rsidR="006F0CA3">
          <w:rPr>
            <w:webHidden/>
          </w:rPr>
          <w:instrText xml:space="preserve"> PAGEREF _Toc37845874 \h </w:instrText>
        </w:r>
        <w:r w:rsidR="006F0CA3">
          <w:rPr>
            <w:webHidden/>
          </w:rPr>
        </w:r>
        <w:r w:rsidR="006F0CA3">
          <w:rPr>
            <w:webHidden/>
          </w:rPr>
          <w:fldChar w:fldCharType="separate"/>
        </w:r>
        <w:r w:rsidR="00EA5DC1">
          <w:rPr>
            <w:webHidden/>
          </w:rPr>
          <w:t>100</w:t>
        </w:r>
        <w:r w:rsidR="006F0CA3">
          <w:rPr>
            <w:webHidden/>
          </w:rPr>
          <w:fldChar w:fldCharType="end"/>
        </w:r>
      </w:hyperlink>
    </w:p>
    <w:p w14:paraId="42CDF8A1" w14:textId="6F95B2BE" w:rsidR="006F0CA3" w:rsidRDefault="00515153">
      <w:pPr>
        <w:pStyle w:val="TableofFigures"/>
        <w:rPr>
          <w:rFonts w:asciiTheme="minorHAnsi" w:eastAsiaTheme="minorEastAsia" w:hAnsiTheme="minorHAnsi" w:cstheme="minorBidi"/>
        </w:rPr>
      </w:pPr>
      <w:hyperlink w:anchor="_Toc37845875" w:history="1">
        <w:r w:rsidR="006F0CA3" w:rsidRPr="0050200F">
          <w:rPr>
            <w:rStyle w:val="Hyperlink"/>
          </w:rPr>
          <w:t>Figure 15. Patient number projections</w:t>
        </w:r>
        <w:r w:rsidR="006F0CA3">
          <w:rPr>
            <w:webHidden/>
          </w:rPr>
          <w:tab/>
        </w:r>
        <w:r w:rsidR="006F0CA3">
          <w:rPr>
            <w:webHidden/>
          </w:rPr>
          <w:fldChar w:fldCharType="begin"/>
        </w:r>
        <w:r w:rsidR="006F0CA3">
          <w:rPr>
            <w:webHidden/>
          </w:rPr>
          <w:instrText xml:space="preserve"> PAGEREF _Toc37845875 \h </w:instrText>
        </w:r>
        <w:r w:rsidR="006F0CA3">
          <w:rPr>
            <w:webHidden/>
          </w:rPr>
        </w:r>
        <w:r w:rsidR="006F0CA3">
          <w:rPr>
            <w:webHidden/>
          </w:rPr>
          <w:fldChar w:fldCharType="separate"/>
        </w:r>
        <w:r w:rsidR="00EA5DC1">
          <w:rPr>
            <w:webHidden/>
          </w:rPr>
          <w:t>105</w:t>
        </w:r>
        <w:r w:rsidR="006F0CA3">
          <w:rPr>
            <w:webHidden/>
          </w:rPr>
          <w:fldChar w:fldCharType="end"/>
        </w:r>
      </w:hyperlink>
    </w:p>
    <w:p w14:paraId="72C80822" w14:textId="1031B845" w:rsidR="006F0CA3" w:rsidRDefault="00515153">
      <w:pPr>
        <w:pStyle w:val="TableofFigures"/>
        <w:rPr>
          <w:rFonts w:asciiTheme="minorHAnsi" w:eastAsiaTheme="minorEastAsia" w:hAnsiTheme="minorHAnsi" w:cstheme="minorBidi"/>
        </w:rPr>
      </w:pPr>
      <w:hyperlink w:anchor="_Toc37845876" w:history="1">
        <w:r w:rsidR="006F0CA3" w:rsidRPr="0050200F">
          <w:rPr>
            <w:rStyle w:val="Hyperlink"/>
          </w:rPr>
          <w:t>Figure 16. Observed and estimated average intravenous Ig grams per MMN patient.</w:t>
        </w:r>
        <w:r w:rsidR="006F0CA3">
          <w:rPr>
            <w:webHidden/>
          </w:rPr>
          <w:tab/>
        </w:r>
        <w:r w:rsidR="006F0CA3">
          <w:rPr>
            <w:webHidden/>
          </w:rPr>
          <w:fldChar w:fldCharType="begin"/>
        </w:r>
        <w:r w:rsidR="006F0CA3">
          <w:rPr>
            <w:webHidden/>
          </w:rPr>
          <w:instrText xml:space="preserve"> PAGEREF _Toc37845876 \h </w:instrText>
        </w:r>
        <w:r w:rsidR="006F0CA3">
          <w:rPr>
            <w:webHidden/>
          </w:rPr>
        </w:r>
        <w:r w:rsidR="006F0CA3">
          <w:rPr>
            <w:webHidden/>
          </w:rPr>
          <w:fldChar w:fldCharType="separate"/>
        </w:r>
        <w:r w:rsidR="00EA5DC1">
          <w:rPr>
            <w:webHidden/>
          </w:rPr>
          <w:t>106</w:t>
        </w:r>
        <w:r w:rsidR="006F0CA3">
          <w:rPr>
            <w:webHidden/>
          </w:rPr>
          <w:fldChar w:fldCharType="end"/>
        </w:r>
      </w:hyperlink>
    </w:p>
    <w:p w14:paraId="7EED03C6" w14:textId="112E680F" w:rsidR="006F0CA3" w:rsidRDefault="00515153">
      <w:pPr>
        <w:pStyle w:val="TableofFigures"/>
        <w:rPr>
          <w:rFonts w:asciiTheme="minorHAnsi" w:eastAsiaTheme="minorEastAsia" w:hAnsiTheme="minorHAnsi" w:cstheme="minorBidi"/>
        </w:rPr>
      </w:pPr>
      <w:hyperlink w:anchor="_Toc37845877" w:history="1">
        <w:r w:rsidR="006F0CA3" w:rsidRPr="0050200F">
          <w:rPr>
            <w:rStyle w:val="Hyperlink"/>
          </w:rPr>
          <w:t>Figure 17. Improvement in disability using the fixed effect model</w:t>
        </w:r>
        <w:r w:rsidR="006F0CA3">
          <w:rPr>
            <w:webHidden/>
          </w:rPr>
          <w:tab/>
        </w:r>
        <w:r w:rsidR="006F0CA3">
          <w:rPr>
            <w:webHidden/>
          </w:rPr>
          <w:fldChar w:fldCharType="begin"/>
        </w:r>
        <w:r w:rsidR="006F0CA3">
          <w:rPr>
            <w:webHidden/>
          </w:rPr>
          <w:instrText xml:space="preserve"> PAGEREF _Toc37845877 \h </w:instrText>
        </w:r>
        <w:r w:rsidR="006F0CA3">
          <w:rPr>
            <w:webHidden/>
          </w:rPr>
        </w:r>
        <w:r w:rsidR="006F0CA3">
          <w:rPr>
            <w:webHidden/>
          </w:rPr>
          <w:fldChar w:fldCharType="separate"/>
        </w:r>
        <w:r w:rsidR="00EA5DC1">
          <w:rPr>
            <w:webHidden/>
          </w:rPr>
          <w:t>149</w:t>
        </w:r>
        <w:r w:rsidR="006F0CA3">
          <w:rPr>
            <w:webHidden/>
          </w:rPr>
          <w:fldChar w:fldCharType="end"/>
        </w:r>
      </w:hyperlink>
    </w:p>
    <w:p w14:paraId="65B6B3D8" w14:textId="02DE23F3" w:rsidR="006F0CA3" w:rsidRDefault="00515153">
      <w:pPr>
        <w:pStyle w:val="TableofFigures"/>
        <w:rPr>
          <w:rFonts w:asciiTheme="minorHAnsi" w:eastAsiaTheme="minorEastAsia" w:hAnsiTheme="minorHAnsi" w:cstheme="minorBidi"/>
        </w:rPr>
      </w:pPr>
      <w:hyperlink w:anchor="_Toc37845878" w:history="1">
        <w:r w:rsidR="006F0CA3" w:rsidRPr="0050200F">
          <w:rPr>
            <w:rStyle w:val="Hyperlink"/>
          </w:rPr>
          <w:t>Figure 18. Mean change in disability using the fixed effect model</w:t>
        </w:r>
        <w:r w:rsidR="006F0CA3">
          <w:rPr>
            <w:webHidden/>
          </w:rPr>
          <w:tab/>
        </w:r>
        <w:r w:rsidR="006F0CA3">
          <w:rPr>
            <w:webHidden/>
          </w:rPr>
          <w:fldChar w:fldCharType="begin"/>
        </w:r>
        <w:r w:rsidR="006F0CA3">
          <w:rPr>
            <w:webHidden/>
          </w:rPr>
          <w:instrText xml:space="preserve"> PAGEREF _Toc37845878 \h </w:instrText>
        </w:r>
        <w:r w:rsidR="006F0CA3">
          <w:rPr>
            <w:webHidden/>
          </w:rPr>
        </w:r>
        <w:r w:rsidR="006F0CA3">
          <w:rPr>
            <w:webHidden/>
          </w:rPr>
          <w:fldChar w:fldCharType="separate"/>
        </w:r>
        <w:r w:rsidR="00EA5DC1">
          <w:rPr>
            <w:webHidden/>
          </w:rPr>
          <w:t>149</w:t>
        </w:r>
        <w:r w:rsidR="006F0CA3">
          <w:rPr>
            <w:webHidden/>
          </w:rPr>
          <w:fldChar w:fldCharType="end"/>
        </w:r>
      </w:hyperlink>
    </w:p>
    <w:p w14:paraId="2D1E5B7B" w14:textId="24E5D266" w:rsidR="006F0CA3" w:rsidRDefault="00515153">
      <w:pPr>
        <w:pStyle w:val="TableofFigures"/>
        <w:rPr>
          <w:rFonts w:asciiTheme="minorHAnsi" w:eastAsiaTheme="minorEastAsia" w:hAnsiTheme="minorHAnsi" w:cstheme="minorBidi"/>
        </w:rPr>
      </w:pPr>
      <w:hyperlink w:anchor="_Toc37845879" w:history="1">
        <w:r w:rsidR="006F0CA3" w:rsidRPr="0050200F">
          <w:rPr>
            <w:rStyle w:val="Hyperlink"/>
          </w:rPr>
          <w:t>Figure 19. Improvement in muscle strength/grip using the fixed effect model.</w:t>
        </w:r>
        <w:r w:rsidR="006F0CA3">
          <w:rPr>
            <w:webHidden/>
          </w:rPr>
          <w:tab/>
        </w:r>
        <w:r w:rsidR="006F0CA3">
          <w:rPr>
            <w:webHidden/>
          </w:rPr>
          <w:fldChar w:fldCharType="begin"/>
        </w:r>
        <w:r w:rsidR="006F0CA3">
          <w:rPr>
            <w:webHidden/>
          </w:rPr>
          <w:instrText xml:space="preserve"> PAGEREF _Toc37845879 \h </w:instrText>
        </w:r>
        <w:r w:rsidR="006F0CA3">
          <w:rPr>
            <w:webHidden/>
          </w:rPr>
        </w:r>
        <w:r w:rsidR="006F0CA3">
          <w:rPr>
            <w:webHidden/>
          </w:rPr>
          <w:fldChar w:fldCharType="separate"/>
        </w:r>
        <w:r w:rsidR="00EA5DC1">
          <w:rPr>
            <w:webHidden/>
          </w:rPr>
          <w:t>149</w:t>
        </w:r>
        <w:r w:rsidR="006F0CA3">
          <w:rPr>
            <w:webHidden/>
          </w:rPr>
          <w:fldChar w:fldCharType="end"/>
        </w:r>
      </w:hyperlink>
    </w:p>
    <w:p w14:paraId="00A85AC0" w14:textId="72CFEBCB" w:rsidR="006F0CA3" w:rsidRDefault="00515153">
      <w:pPr>
        <w:pStyle w:val="TableofFigures"/>
        <w:rPr>
          <w:rFonts w:asciiTheme="minorHAnsi" w:eastAsiaTheme="minorEastAsia" w:hAnsiTheme="minorHAnsi" w:cstheme="minorBidi"/>
        </w:rPr>
      </w:pPr>
      <w:hyperlink w:anchor="_Toc37845880" w:history="1">
        <w:r w:rsidR="006F0CA3" w:rsidRPr="0050200F">
          <w:rPr>
            <w:rStyle w:val="Hyperlink"/>
          </w:rPr>
          <w:t>Figure 20. Markov traces for life time horizon: intravenous Ig arm.</w:t>
        </w:r>
        <w:r w:rsidR="006F0CA3">
          <w:rPr>
            <w:webHidden/>
          </w:rPr>
          <w:tab/>
        </w:r>
        <w:r w:rsidR="006F0CA3">
          <w:rPr>
            <w:webHidden/>
          </w:rPr>
          <w:fldChar w:fldCharType="begin"/>
        </w:r>
        <w:r w:rsidR="006F0CA3">
          <w:rPr>
            <w:webHidden/>
          </w:rPr>
          <w:instrText xml:space="preserve"> PAGEREF _Toc37845880 \h </w:instrText>
        </w:r>
        <w:r w:rsidR="006F0CA3">
          <w:rPr>
            <w:webHidden/>
          </w:rPr>
        </w:r>
        <w:r w:rsidR="006F0CA3">
          <w:rPr>
            <w:webHidden/>
          </w:rPr>
          <w:fldChar w:fldCharType="separate"/>
        </w:r>
        <w:r w:rsidR="00EA5DC1">
          <w:rPr>
            <w:webHidden/>
          </w:rPr>
          <w:t>152</w:t>
        </w:r>
        <w:r w:rsidR="006F0CA3">
          <w:rPr>
            <w:webHidden/>
          </w:rPr>
          <w:fldChar w:fldCharType="end"/>
        </w:r>
      </w:hyperlink>
    </w:p>
    <w:p w14:paraId="55AE1BCA" w14:textId="650AEFDF" w:rsidR="006F0CA3" w:rsidRDefault="00515153">
      <w:pPr>
        <w:pStyle w:val="TableofFigures"/>
        <w:rPr>
          <w:rFonts w:asciiTheme="minorHAnsi" w:eastAsiaTheme="minorEastAsia" w:hAnsiTheme="minorHAnsi" w:cstheme="minorBidi"/>
        </w:rPr>
      </w:pPr>
      <w:hyperlink w:anchor="_Toc37845881" w:history="1">
        <w:r w:rsidR="006F0CA3" w:rsidRPr="0050200F">
          <w:rPr>
            <w:rStyle w:val="Hyperlink"/>
          </w:rPr>
          <w:t>Figure 21. Markov traces for life time horizon: No Ig with BSC arm.</w:t>
        </w:r>
        <w:r w:rsidR="006F0CA3">
          <w:rPr>
            <w:webHidden/>
          </w:rPr>
          <w:tab/>
        </w:r>
        <w:r w:rsidR="006F0CA3">
          <w:rPr>
            <w:webHidden/>
          </w:rPr>
          <w:fldChar w:fldCharType="begin"/>
        </w:r>
        <w:r w:rsidR="006F0CA3">
          <w:rPr>
            <w:webHidden/>
          </w:rPr>
          <w:instrText xml:space="preserve"> PAGEREF _Toc37845881 \h </w:instrText>
        </w:r>
        <w:r w:rsidR="006F0CA3">
          <w:rPr>
            <w:webHidden/>
          </w:rPr>
        </w:r>
        <w:r w:rsidR="006F0CA3">
          <w:rPr>
            <w:webHidden/>
          </w:rPr>
          <w:fldChar w:fldCharType="separate"/>
        </w:r>
        <w:r w:rsidR="00EA5DC1">
          <w:rPr>
            <w:webHidden/>
          </w:rPr>
          <w:t>152</w:t>
        </w:r>
        <w:r w:rsidR="006F0CA3">
          <w:rPr>
            <w:webHidden/>
          </w:rPr>
          <w:fldChar w:fldCharType="end"/>
        </w:r>
      </w:hyperlink>
    </w:p>
    <w:p w14:paraId="38DA883A" w14:textId="0214171A" w:rsidR="0024134D" w:rsidRPr="00DA3C6E" w:rsidRDefault="00DD08A9" w:rsidP="00C542BF">
      <w:pPr>
        <w:tabs>
          <w:tab w:val="left" w:pos="1276"/>
        </w:tabs>
        <w:ind w:left="1276" w:hanging="1276"/>
      </w:pPr>
      <w:r w:rsidRPr="00DA3C6E">
        <w:rPr>
          <w:szCs w:val="24"/>
        </w:rPr>
        <w:fldChar w:fldCharType="end"/>
      </w:r>
    </w:p>
    <w:p w14:paraId="32A8E56C" w14:textId="77777777" w:rsidR="004C6CA6" w:rsidRPr="00DA3C6E" w:rsidRDefault="004C6CA6" w:rsidP="0024134D">
      <w:pPr>
        <w:sectPr w:rsidR="004C6CA6" w:rsidRPr="00DA3C6E" w:rsidSect="0080059D">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440" w:right="1440" w:bottom="1440" w:left="1440" w:header="578" w:footer="578" w:gutter="0"/>
          <w:pgNumType w:fmt="lowerRoman" w:start="1"/>
          <w:cols w:space="720"/>
          <w:noEndnote/>
          <w:titlePg/>
        </w:sectPr>
      </w:pPr>
    </w:p>
    <w:p w14:paraId="14763D99" w14:textId="77777777" w:rsidR="00651F1F" w:rsidRPr="00DA3C6E" w:rsidRDefault="00651F1F" w:rsidP="00651F1F">
      <w:pPr>
        <w:pStyle w:val="Heading1"/>
      </w:pPr>
      <w:bookmarkStart w:id="31" w:name="_Toc37845691"/>
      <w:bookmarkStart w:id="32" w:name="_Toc355274699"/>
      <w:bookmarkStart w:id="33" w:name="_Ref363826811"/>
      <w:bookmarkStart w:id="34" w:name="_Toc379118061"/>
      <w:bookmarkStart w:id="35" w:name="_Toc381796437"/>
      <w:bookmarkStart w:id="36" w:name="_Toc445464006"/>
      <w:bookmarkEnd w:id="1"/>
      <w:bookmarkEnd w:id="2"/>
      <w:bookmarkEnd w:id="3"/>
      <w:bookmarkEnd w:id="4"/>
      <w:bookmarkEnd w:id="5"/>
      <w:bookmarkEnd w:id="6"/>
      <w:bookmarkEnd w:id="7"/>
      <w:bookmarkEnd w:id="8"/>
      <w:bookmarkEnd w:id="9"/>
      <w:bookmarkEnd w:id="10"/>
      <w:bookmarkEnd w:id="11"/>
      <w:bookmarkEnd w:id="12"/>
      <w:bookmarkEnd w:id="13"/>
      <w:r w:rsidRPr="00DA3C6E">
        <w:lastRenderedPageBreak/>
        <w:t>Executive Summary</w:t>
      </w:r>
      <w:bookmarkEnd w:id="31"/>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4745D9" w:rsidRPr="00DA3C6E" w14:paraId="21A29DA8" w14:textId="77777777" w:rsidTr="00A86CD1">
        <w:trPr>
          <w:tblHeader/>
        </w:trPr>
        <w:tc>
          <w:tcPr>
            <w:tcW w:w="9016" w:type="dxa"/>
            <w:tcBorders>
              <w:top w:val="single" w:sz="4" w:space="0" w:color="auto"/>
              <w:left w:val="single" w:sz="4" w:space="0" w:color="auto"/>
              <w:bottom w:val="nil"/>
              <w:right w:val="single" w:sz="4" w:space="0" w:color="auto"/>
            </w:tcBorders>
            <w:hideMark/>
          </w:tcPr>
          <w:p w14:paraId="1725D680" w14:textId="77777777" w:rsidR="004745D9" w:rsidRPr="00DA3C6E" w:rsidRDefault="004745D9" w:rsidP="00A86CD1">
            <w:pPr>
              <w:pStyle w:val="Heading5"/>
              <w:outlineLvl w:val="4"/>
            </w:pPr>
            <w:bookmarkStart w:id="37" w:name="_Toc381796429"/>
            <w:r w:rsidRPr="00DA3C6E">
              <w:t>Main issues for MSAC consideration</w:t>
            </w:r>
          </w:p>
        </w:tc>
      </w:tr>
      <w:tr w:rsidR="004745D9" w:rsidRPr="00DA3C6E" w14:paraId="49013109" w14:textId="77777777" w:rsidTr="00A86CD1">
        <w:tc>
          <w:tcPr>
            <w:tcW w:w="9016" w:type="dxa"/>
            <w:tcBorders>
              <w:top w:val="nil"/>
              <w:left w:val="single" w:sz="4" w:space="0" w:color="auto"/>
              <w:bottom w:val="single" w:sz="4" w:space="0" w:color="auto"/>
              <w:right w:val="single" w:sz="4" w:space="0" w:color="auto"/>
            </w:tcBorders>
            <w:hideMark/>
          </w:tcPr>
          <w:p w14:paraId="7686EF80" w14:textId="77777777" w:rsidR="004745D9" w:rsidRPr="00DA3C6E" w:rsidRDefault="004745D9" w:rsidP="004745D9">
            <w:pPr>
              <w:pStyle w:val="ListParagraph"/>
              <w:numPr>
                <w:ilvl w:val="0"/>
                <w:numId w:val="75"/>
              </w:numPr>
              <w:jc w:val="left"/>
            </w:pPr>
            <w:r w:rsidRPr="00DA3C6E">
              <w:t>The</w:t>
            </w:r>
            <w:r w:rsidR="0088415E" w:rsidRPr="00DA3C6E">
              <w:t xml:space="preserve"> clinical</w:t>
            </w:r>
            <w:r w:rsidRPr="00DA3C6E">
              <w:t xml:space="preserve"> effectiveness of immunoglobulin (Ig) for treating patients with multifocal motor neuropathy (MMN) was derived from a number of randomised controlled trials (RCTs). Three main issues were identified: (1) the small number of patients recruited in each study; (2) different assessment tools were used to measure the effectiveness of Ig, limiting the poolability of the studies; and (3) the cross-over study designs which may bias the estimated treatment effect.</w:t>
            </w:r>
          </w:p>
          <w:p w14:paraId="319EE78E" w14:textId="77777777" w:rsidR="004745D9" w:rsidRPr="00DA3C6E" w:rsidRDefault="004745D9" w:rsidP="004745D9">
            <w:pPr>
              <w:numPr>
                <w:ilvl w:val="0"/>
                <w:numId w:val="75"/>
              </w:numPr>
            </w:pPr>
            <w:r w:rsidRPr="00DA3C6E">
              <w:t xml:space="preserve">Given the lack of available data to construct an economic model, several assumptions </w:t>
            </w:r>
            <w:r w:rsidR="003E4328" w:rsidRPr="00DA3C6E">
              <w:t xml:space="preserve">to the economic model </w:t>
            </w:r>
            <w:r w:rsidRPr="00DA3C6E">
              <w:t>were made:</w:t>
            </w:r>
          </w:p>
          <w:p w14:paraId="3825F559" w14:textId="77777777" w:rsidR="004745D9" w:rsidRPr="00DA3C6E" w:rsidRDefault="004745D9" w:rsidP="004745D9">
            <w:pPr>
              <w:numPr>
                <w:ilvl w:val="1"/>
                <w:numId w:val="75"/>
              </w:numPr>
            </w:pPr>
            <w:r w:rsidRPr="00DA3C6E">
              <w:t xml:space="preserve">Limited follow-up data available from the RCTs meant that data from single arm studies had to be used to populate the model and the effectiveness of Ig had to be </w:t>
            </w:r>
            <w:r w:rsidR="00690AD7" w:rsidRPr="00DA3C6E">
              <w:t xml:space="preserve">extrapolated </w:t>
            </w:r>
            <w:r w:rsidRPr="00DA3C6E">
              <w:t xml:space="preserve">to reflect the long-term duration of treatment, from 4 months to a life-time horizon. </w:t>
            </w:r>
          </w:p>
          <w:p w14:paraId="23422B1B" w14:textId="77777777" w:rsidR="004745D9" w:rsidRPr="00DA3C6E" w:rsidRDefault="004745D9" w:rsidP="004745D9">
            <w:pPr>
              <w:numPr>
                <w:ilvl w:val="1"/>
                <w:numId w:val="75"/>
              </w:numPr>
            </w:pPr>
            <w:r w:rsidRPr="00DA3C6E">
              <w:t xml:space="preserve">No utility values were available for patients with MMN, therefore the utility values used in the model were derived from a published study of patients with chronic inflammatory demyelinating polyneuropathy (CIDP), a similar condition. </w:t>
            </w:r>
          </w:p>
          <w:p w14:paraId="3C7C6122" w14:textId="77777777" w:rsidR="004745D9" w:rsidRPr="00DA3C6E" w:rsidRDefault="004745D9" w:rsidP="004745D9">
            <w:pPr>
              <w:numPr>
                <w:ilvl w:val="1"/>
                <w:numId w:val="75"/>
              </w:numPr>
            </w:pPr>
            <w:r w:rsidRPr="00DA3C6E">
              <w:t>The utility data could not be adjusted for age. Therefore</w:t>
            </w:r>
            <w:r w:rsidR="00E40F95" w:rsidRPr="00DA3C6E">
              <w:t>,</w:t>
            </w:r>
            <w:r w:rsidRPr="00DA3C6E">
              <w:t xml:space="preserve"> it was assumed that MMN patients that transit to the ‘best supportive care’ health state had a constant utility value. </w:t>
            </w:r>
          </w:p>
          <w:p w14:paraId="0AA72348" w14:textId="77777777" w:rsidR="004745D9" w:rsidRPr="00DA3C6E" w:rsidRDefault="004745D9" w:rsidP="00690AD7">
            <w:pPr>
              <w:pStyle w:val="ListParagraph"/>
              <w:numPr>
                <w:ilvl w:val="0"/>
                <w:numId w:val="75"/>
              </w:numPr>
              <w:jc w:val="left"/>
            </w:pPr>
            <w:r w:rsidRPr="00DA3C6E">
              <w:t xml:space="preserve">The financial estimates may overestimate the future use of </w:t>
            </w:r>
            <w:r w:rsidR="003E4328" w:rsidRPr="00DA3C6E">
              <w:t xml:space="preserve">intravenous </w:t>
            </w:r>
            <w:r w:rsidRPr="00DA3C6E">
              <w:t xml:space="preserve">Ig, because the retrospective utilisation data did not fully capture any changes to the patient population </w:t>
            </w:r>
            <w:r w:rsidR="00690AD7" w:rsidRPr="00DA3C6E">
              <w:t>resulting from</w:t>
            </w:r>
            <w:r w:rsidRPr="00DA3C6E">
              <w:t xml:space="preserve"> the implementation of The Criteria </w:t>
            </w:r>
            <w:r w:rsidR="003E4328" w:rsidRPr="00DA3C6E">
              <w:t>V</w:t>
            </w:r>
            <w:r w:rsidRPr="00DA3C6E">
              <w:t xml:space="preserve">ersion 3. </w:t>
            </w:r>
          </w:p>
        </w:tc>
      </w:tr>
    </w:tbl>
    <w:p w14:paraId="4DC302BB" w14:textId="77777777" w:rsidR="004745D9" w:rsidRPr="00DA3C6E" w:rsidRDefault="004745D9" w:rsidP="004745D9">
      <w:pPr>
        <w:keepNext/>
        <w:spacing w:before="240"/>
        <w:outlineLvl w:val="1"/>
        <w:rPr>
          <w:b/>
          <w:sz w:val="28"/>
        </w:rPr>
      </w:pPr>
      <w:bookmarkStart w:id="38" w:name="_Toc37845692"/>
      <w:r w:rsidRPr="00DA3C6E">
        <w:rPr>
          <w:b/>
          <w:sz w:val="28"/>
        </w:rPr>
        <w:t>Immunoglobulin for multifocal motor neuropathy (MMN)</w:t>
      </w:r>
      <w:bookmarkEnd w:id="38"/>
    </w:p>
    <w:p w14:paraId="4D4C9F51" w14:textId="77777777" w:rsidR="00643DA0" w:rsidRPr="00DA3C6E" w:rsidRDefault="004745D9" w:rsidP="004745D9">
      <w:r w:rsidRPr="00DA3C6E">
        <w:t xml:space="preserve">This contracted assessment examines the evidence to support </w:t>
      </w:r>
      <w:r w:rsidR="00690AD7" w:rsidRPr="00DA3C6E">
        <w:t xml:space="preserve">the funding </w:t>
      </w:r>
      <w:r w:rsidRPr="00DA3C6E">
        <w:t xml:space="preserve">of immunoglobulin (Ig) for the treatment of patients with multifocal motor neuropathy (MMN) under the national blood arrangements. </w:t>
      </w:r>
      <w:r w:rsidR="00BD6746" w:rsidRPr="00DA3C6E">
        <w:t>This indication is one of several conditions eligible for funded Ig treatment under the National Blood Authority’s Criteria for Immunoglobulin Use in Australia, Version 3 (</w:t>
      </w:r>
      <w:r w:rsidR="003E4328" w:rsidRPr="00DA3C6E">
        <w:t>The</w:t>
      </w:r>
      <w:r w:rsidR="00BD6746" w:rsidRPr="00DA3C6E">
        <w:t xml:space="preserve"> Criteria</w:t>
      </w:r>
      <w:r w:rsidR="003E4328" w:rsidRPr="00DA3C6E">
        <w:t xml:space="preserve"> V3</w:t>
      </w:r>
      <w:r w:rsidR="00BD6746" w:rsidRPr="00DA3C6E">
        <w:t>).</w:t>
      </w:r>
    </w:p>
    <w:p w14:paraId="2B101B79" w14:textId="77777777" w:rsidR="004745D9" w:rsidRPr="00DA3C6E" w:rsidRDefault="004745D9" w:rsidP="004745D9">
      <w:pPr>
        <w:keepNext/>
        <w:spacing w:before="240" w:after="120"/>
        <w:ind w:left="1134" w:hanging="1134"/>
        <w:jc w:val="left"/>
        <w:outlineLvl w:val="2"/>
        <w:rPr>
          <w:b/>
          <w:smallCaps/>
          <w:sz w:val="24"/>
          <w:szCs w:val="24"/>
        </w:rPr>
      </w:pPr>
      <w:bookmarkStart w:id="39" w:name="_Toc37845693"/>
      <w:r w:rsidRPr="00DA3C6E">
        <w:rPr>
          <w:b/>
          <w:smallCaps/>
          <w:sz w:val="24"/>
          <w:szCs w:val="24"/>
        </w:rPr>
        <w:lastRenderedPageBreak/>
        <w:t>Alignment with agreed PICO Confirmation</w:t>
      </w:r>
      <w:bookmarkEnd w:id="39"/>
    </w:p>
    <w:p w14:paraId="23FAC4A7" w14:textId="1FDAF78E" w:rsidR="004745D9" w:rsidRPr="00DA3C6E" w:rsidRDefault="004745D9" w:rsidP="004745D9">
      <w:r w:rsidRPr="00DA3C6E">
        <w:t>This contracted assessment of intravenous Ig for treatment of MMN addresses all the PICO</w:t>
      </w:r>
      <w:r w:rsidRPr="00DA3C6E">
        <w:rPr>
          <w:vertAlign w:val="superscript"/>
        </w:rPr>
        <w:t xml:space="preserve"> </w:t>
      </w:r>
      <w:r w:rsidRPr="00DA3C6E">
        <w:t>elements that were pre-specified in the PICO Confirmation</w:t>
      </w:r>
      <w:r w:rsidR="000A6E6F" w:rsidRPr="00DA3C6E">
        <w:t>,</w:t>
      </w:r>
      <w:r w:rsidRPr="00DA3C6E">
        <w:t xml:space="preserve"> ratified by the Ig Review Reference Group</w:t>
      </w:r>
      <w:r w:rsidR="000A6E6F" w:rsidRPr="00DA3C6E">
        <w:t xml:space="preserve"> which performed the function of the PICO Advisory Sub-Committee (PASC). This application followed a fit-for-purpose pathway, in which the PICO Confirmation was presented to and approved by the Ig Review Reference Group, which was convened for the purpose of </w:t>
      </w:r>
      <w:r w:rsidR="00894B44" w:rsidRPr="00DA3C6E">
        <w:t xml:space="preserve">progressing HTA </w:t>
      </w:r>
      <w:r w:rsidR="000A6E6F" w:rsidRPr="00DA3C6E">
        <w:t>review</w:t>
      </w:r>
      <w:r w:rsidR="00894B44" w:rsidRPr="00DA3C6E">
        <w:t>s of</w:t>
      </w:r>
      <w:r w:rsidR="000A6E6F" w:rsidRPr="00DA3C6E">
        <w:t xml:space="preserve"> the use of Ig in Australia</w:t>
      </w:r>
      <w:r w:rsidRPr="00DA3C6E">
        <w:t xml:space="preserve">. </w:t>
      </w:r>
    </w:p>
    <w:p w14:paraId="66571062" w14:textId="77777777" w:rsidR="004745D9" w:rsidRPr="00DA3C6E" w:rsidRDefault="004745D9" w:rsidP="004745D9">
      <w:pPr>
        <w:keepNext/>
        <w:spacing w:before="240" w:after="120"/>
        <w:jc w:val="left"/>
        <w:outlineLvl w:val="2"/>
        <w:rPr>
          <w:b/>
          <w:smallCaps/>
          <w:sz w:val="24"/>
          <w:szCs w:val="24"/>
        </w:rPr>
      </w:pPr>
      <w:bookmarkStart w:id="40" w:name="_Toc37845694"/>
      <w:r w:rsidRPr="00DA3C6E">
        <w:rPr>
          <w:b/>
          <w:smallCaps/>
          <w:sz w:val="24"/>
          <w:szCs w:val="24"/>
        </w:rPr>
        <w:t>Proposed Medical Service</w:t>
      </w:r>
      <w:bookmarkEnd w:id="40"/>
    </w:p>
    <w:p w14:paraId="351C7803" w14:textId="77777777" w:rsidR="004745D9" w:rsidRPr="00DA3C6E" w:rsidRDefault="004745D9" w:rsidP="00A86CD1">
      <w:r w:rsidRPr="00DA3C6E">
        <w:rPr>
          <w:rFonts w:eastAsia="MS Gothic"/>
          <w:lang w:eastAsia="en-US"/>
        </w:rPr>
        <w:t xml:space="preserve">In the Australian setting, Ig for the treatment of MMN is administered intravenously only and is considered the standard of care. The subcutaneous form of Ig (SCIg) is not funded by the NBA for the treatment of MMN, although evidence from a randomised controlled trial </w:t>
      </w:r>
      <w:r w:rsidR="003E4328" w:rsidRPr="00DA3C6E">
        <w:rPr>
          <w:rFonts w:eastAsia="MS Gothic"/>
          <w:lang w:eastAsia="en-US"/>
        </w:rPr>
        <w:t xml:space="preserve">(RCT) </w:t>
      </w:r>
      <w:r w:rsidRPr="00DA3C6E">
        <w:rPr>
          <w:rFonts w:eastAsia="MS Gothic"/>
          <w:lang w:eastAsia="en-US"/>
        </w:rPr>
        <w:t>suggests that SCIg was as safe and effective as intravenous</w:t>
      </w:r>
      <w:r w:rsidR="004345C6" w:rsidRPr="00DA3C6E">
        <w:rPr>
          <w:rFonts w:eastAsia="MS Gothic"/>
          <w:lang w:eastAsia="en-US"/>
        </w:rPr>
        <w:t xml:space="preserve"> Ig</w:t>
      </w:r>
      <w:r w:rsidRPr="00DA3C6E">
        <w:t xml:space="preserve">. The specific conditions relating to Ig use, the qualifying criteria, and recommended dosages for MMN were developed by the NBA and established in The Criteria V3. In Australia, intravenous Ig can be delivered in an inpatient setting (private hospital, public hospital (as private or public patient) and outpatient setting (outpatient clinic, patient’s home, private same day infusion facility unattached to a hospital). </w:t>
      </w:r>
    </w:p>
    <w:p w14:paraId="2034E0F6" w14:textId="77777777" w:rsidR="004745D9" w:rsidRPr="00DA3C6E" w:rsidRDefault="004745D9" w:rsidP="004745D9">
      <w:pPr>
        <w:keepNext/>
        <w:spacing w:before="240" w:after="120"/>
        <w:jc w:val="left"/>
        <w:outlineLvl w:val="2"/>
        <w:rPr>
          <w:b/>
          <w:smallCaps/>
          <w:sz w:val="24"/>
          <w:szCs w:val="24"/>
        </w:rPr>
      </w:pPr>
      <w:bookmarkStart w:id="41" w:name="_Toc37845695"/>
      <w:r w:rsidRPr="00DA3C6E">
        <w:rPr>
          <w:b/>
          <w:smallCaps/>
          <w:sz w:val="24"/>
          <w:szCs w:val="24"/>
        </w:rPr>
        <w:t>Proposal for Public Funding</w:t>
      </w:r>
      <w:bookmarkEnd w:id="41"/>
    </w:p>
    <w:p w14:paraId="27A6F6FD" w14:textId="77777777" w:rsidR="004745D9" w:rsidRPr="00DA3C6E" w:rsidRDefault="004745D9" w:rsidP="00A86CD1">
      <w:r w:rsidRPr="00DA3C6E">
        <w:t xml:space="preserve">The use of intravenous Ig for MMN has been classified as an established therapeutic role and is currently funded by the NBA under The </w:t>
      </w:r>
      <w:r w:rsidRPr="00DA3C6E">
        <w:rPr>
          <w:iCs/>
        </w:rPr>
        <w:t xml:space="preserve">Criteria V3. </w:t>
      </w:r>
    </w:p>
    <w:p w14:paraId="4B5E1589" w14:textId="77777777" w:rsidR="004745D9" w:rsidRPr="00DA3C6E" w:rsidRDefault="004745D9" w:rsidP="004745D9">
      <w:pPr>
        <w:keepNext/>
        <w:spacing w:before="240" w:after="120"/>
        <w:jc w:val="left"/>
        <w:outlineLvl w:val="2"/>
        <w:rPr>
          <w:b/>
          <w:smallCaps/>
          <w:sz w:val="24"/>
          <w:szCs w:val="24"/>
        </w:rPr>
      </w:pPr>
      <w:bookmarkStart w:id="42" w:name="_Toc37845696"/>
      <w:r w:rsidRPr="00DA3C6E">
        <w:rPr>
          <w:b/>
          <w:smallCaps/>
          <w:sz w:val="24"/>
          <w:szCs w:val="24"/>
        </w:rPr>
        <w:t>Population</w:t>
      </w:r>
      <w:bookmarkEnd w:id="42"/>
    </w:p>
    <w:p w14:paraId="736D0980" w14:textId="6BDA66D5" w:rsidR="004745D9" w:rsidRPr="00DA3C6E" w:rsidRDefault="004745D9" w:rsidP="00A86CD1">
      <w:r w:rsidRPr="00DA3C6E">
        <w:t xml:space="preserve">The population for this assessment </w:t>
      </w:r>
      <w:r w:rsidR="005A47F9" w:rsidRPr="00DA3C6E">
        <w:t xml:space="preserve">is </w:t>
      </w:r>
      <w:r w:rsidRPr="00DA3C6E">
        <w:t xml:space="preserve">patients with MMN eligible for Ig treatment under The Criteria V3. MMN is a rare inflammatory neuropathy with a reported prevalence that ranges from 0.3 to 2 cases per 100,000. </w:t>
      </w:r>
      <w:r w:rsidRPr="00DA3C6E">
        <w:rPr>
          <w:rFonts w:eastAsia="Calibri"/>
          <w:lang w:eastAsia="en-US"/>
        </w:rPr>
        <w:t xml:space="preserve">There are currently no epidemiological data available for MMN in Australia. A proxy to the expected number of patients diagnosed with MMN in Australia can be obtained from the latest utilisation data provided by the NBA for the period 2018-19 which considered both, The Criteria version 2 (V2) and V3 (Table </w:t>
      </w:r>
      <w:r w:rsidR="00BA1AEA" w:rsidRPr="00DA3C6E">
        <w:rPr>
          <w:rFonts w:eastAsia="Calibri"/>
          <w:lang w:eastAsia="en-US"/>
        </w:rPr>
        <w:t>ES.</w:t>
      </w:r>
      <w:r w:rsidRPr="00DA3C6E">
        <w:rPr>
          <w:rFonts w:eastAsia="Calibri"/>
          <w:lang w:eastAsia="en-US"/>
        </w:rPr>
        <w:t>1). These numbers are higher than what could be estimated using international published prevalence estimates (i.e. Cats et al 2010 reported a prevalence of 0.6 per 100,000 population). Given the rarity of the disease and</w:t>
      </w:r>
      <w:r w:rsidR="005A47F9" w:rsidRPr="00DA3C6E">
        <w:rPr>
          <w:rFonts w:eastAsia="Calibri"/>
          <w:lang w:eastAsia="en-US"/>
        </w:rPr>
        <w:t xml:space="preserve"> a</w:t>
      </w:r>
      <w:r w:rsidRPr="00DA3C6E">
        <w:rPr>
          <w:rFonts w:eastAsia="Calibri"/>
          <w:lang w:eastAsia="en-US"/>
        </w:rPr>
        <w:t xml:space="preserve"> lack of complete understanding of the underlying pathophysiological mechanism of MMN, there is a risk of misdiagnosis and/or under diagnosis and hence estimates of the </w:t>
      </w:r>
      <w:r w:rsidR="00165027">
        <w:rPr>
          <w:rFonts w:eastAsia="Calibri"/>
          <w:lang w:eastAsia="en-US"/>
        </w:rPr>
        <w:t>prevalence</w:t>
      </w:r>
      <w:r w:rsidRPr="00DA3C6E">
        <w:rPr>
          <w:rFonts w:eastAsia="Calibri"/>
          <w:lang w:eastAsia="en-US"/>
        </w:rPr>
        <w:t xml:space="preserve"> of the condition should be interpreted with caution.</w:t>
      </w:r>
    </w:p>
    <w:p w14:paraId="39126072" w14:textId="4296984E" w:rsidR="004745D9" w:rsidRPr="00DA3C6E" w:rsidRDefault="002011B8" w:rsidP="004745D9">
      <w:pPr>
        <w:pStyle w:val="Caption"/>
        <w:keepNext/>
        <w:keepLines/>
        <w:rPr>
          <w:rFonts w:eastAsia="Calibri" w:cs="Times New Roman"/>
          <w:szCs w:val="20"/>
          <w:lang w:eastAsia="en-US"/>
        </w:rPr>
      </w:pPr>
      <w:r w:rsidRPr="00DA3C6E">
        <w:lastRenderedPageBreak/>
        <w:t>Table ES.1</w:t>
      </w:r>
      <w:r w:rsidR="004745D9" w:rsidRPr="00DA3C6E">
        <w:rPr>
          <w:rFonts w:eastAsia="Calibri" w:cs="Times New Roman"/>
          <w:szCs w:val="20"/>
          <w:lang w:eastAsia="en-US"/>
        </w:rPr>
        <w:t>: Usage of intravenous Ig therapy over recent years for the treatment of MMN based on of The Criteria V2 and V3.</w:t>
      </w:r>
    </w:p>
    <w:tbl>
      <w:tblPr>
        <w:tblStyle w:val="TableGrid8"/>
        <w:tblW w:w="9044" w:type="dxa"/>
        <w:tblLayout w:type="fixed"/>
        <w:tblLook w:val="04A0" w:firstRow="1" w:lastRow="0" w:firstColumn="1" w:lastColumn="0" w:noHBand="0" w:noVBand="1"/>
        <w:tblCaption w:val="Table ES.1: Usage of intravenous Ig therapy over recent years for the treatment of MMN based on of The Criteria V2 and V3."/>
      </w:tblPr>
      <w:tblGrid>
        <w:gridCol w:w="2789"/>
        <w:gridCol w:w="1143"/>
        <w:gridCol w:w="1142"/>
        <w:gridCol w:w="1015"/>
        <w:gridCol w:w="1015"/>
        <w:gridCol w:w="970"/>
        <w:gridCol w:w="970"/>
      </w:tblGrid>
      <w:tr w:rsidR="004745D9" w:rsidRPr="00DA3C6E" w14:paraId="0ABBD02D" w14:textId="77777777" w:rsidTr="00A86CD1">
        <w:trPr>
          <w:trHeight w:val="280"/>
          <w:tblHeader/>
        </w:trPr>
        <w:tc>
          <w:tcPr>
            <w:tcW w:w="2789" w:type="dxa"/>
            <w:vAlign w:val="center"/>
          </w:tcPr>
          <w:p w14:paraId="110AD374" w14:textId="77777777" w:rsidR="004745D9" w:rsidRPr="00DA3C6E" w:rsidRDefault="004745D9" w:rsidP="00A86CD1">
            <w:pPr>
              <w:keepNext/>
              <w:keepLines/>
              <w:spacing w:after="0" w:line="276" w:lineRule="auto"/>
              <w:rPr>
                <w:rFonts w:ascii="Arial Narrow" w:eastAsia="Calibri" w:hAnsi="Arial Narrow" w:cstheme="minorHAnsi"/>
                <w:b/>
                <w:sz w:val="20"/>
                <w:szCs w:val="20"/>
              </w:rPr>
            </w:pPr>
          </w:p>
        </w:tc>
        <w:tc>
          <w:tcPr>
            <w:tcW w:w="1143" w:type="dxa"/>
            <w:vAlign w:val="center"/>
          </w:tcPr>
          <w:p w14:paraId="675EBB0A" w14:textId="77777777" w:rsidR="004745D9" w:rsidRPr="00DA3C6E" w:rsidRDefault="004745D9" w:rsidP="00A86CD1">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2013-14</w:t>
            </w:r>
          </w:p>
        </w:tc>
        <w:tc>
          <w:tcPr>
            <w:tcW w:w="1142" w:type="dxa"/>
            <w:vAlign w:val="center"/>
          </w:tcPr>
          <w:p w14:paraId="383A6DC9" w14:textId="77777777" w:rsidR="004745D9" w:rsidRPr="00DA3C6E" w:rsidRDefault="004745D9" w:rsidP="00A86CD1">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2014-15</w:t>
            </w:r>
          </w:p>
        </w:tc>
        <w:tc>
          <w:tcPr>
            <w:tcW w:w="1015" w:type="dxa"/>
            <w:vAlign w:val="center"/>
          </w:tcPr>
          <w:p w14:paraId="34929B3A" w14:textId="77777777" w:rsidR="004745D9" w:rsidRPr="00DA3C6E" w:rsidRDefault="004745D9" w:rsidP="00A86CD1">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2015-16</w:t>
            </w:r>
          </w:p>
        </w:tc>
        <w:tc>
          <w:tcPr>
            <w:tcW w:w="1015" w:type="dxa"/>
            <w:vAlign w:val="center"/>
          </w:tcPr>
          <w:p w14:paraId="7759C66D" w14:textId="77777777" w:rsidR="004745D9" w:rsidRPr="00DA3C6E" w:rsidRDefault="004745D9" w:rsidP="00A86CD1">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2016-17</w:t>
            </w:r>
          </w:p>
        </w:tc>
        <w:tc>
          <w:tcPr>
            <w:tcW w:w="970" w:type="dxa"/>
            <w:vAlign w:val="center"/>
          </w:tcPr>
          <w:p w14:paraId="4A1E32F1" w14:textId="77777777" w:rsidR="004745D9" w:rsidRPr="00DA3C6E" w:rsidRDefault="004745D9" w:rsidP="00A86CD1">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2017-18</w:t>
            </w:r>
          </w:p>
        </w:tc>
        <w:tc>
          <w:tcPr>
            <w:tcW w:w="970" w:type="dxa"/>
          </w:tcPr>
          <w:p w14:paraId="03951E66" w14:textId="77777777" w:rsidR="004745D9" w:rsidRPr="00DA3C6E" w:rsidRDefault="004745D9" w:rsidP="00A86CD1">
            <w:pPr>
              <w:keepNext/>
              <w:keepLines/>
              <w:spacing w:after="0" w:line="276" w:lineRule="auto"/>
              <w:rPr>
                <w:rFonts w:ascii="Arial Narrow" w:eastAsia="Calibri" w:hAnsi="Arial Narrow" w:cstheme="minorHAnsi"/>
                <w:b/>
                <w:sz w:val="20"/>
                <w:szCs w:val="20"/>
                <w:vertAlign w:val="superscript"/>
              </w:rPr>
            </w:pPr>
            <w:r w:rsidRPr="00DA3C6E">
              <w:rPr>
                <w:rFonts w:ascii="Arial Narrow" w:eastAsia="Calibri" w:hAnsi="Arial Narrow" w:cstheme="minorHAnsi"/>
                <w:b/>
                <w:sz w:val="20"/>
                <w:szCs w:val="20"/>
              </w:rPr>
              <w:t>2018-19</w:t>
            </w:r>
            <w:r w:rsidRPr="00DA3C6E">
              <w:rPr>
                <w:rFonts w:ascii="Arial Narrow" w:eastAsia="Calibri" w:hAnsi="Arial Narrow" w:cstheme="minorHAnsi"/>
                <w:b/>
                <w:sz w:val="20"/>
                <w:szCs w:val="20"/>
                <w:vertAlign w:val="superscript"/>
              </w:rPr>
              <w:t>a</w:t>
            </w:r>
          </w:p>
        </w:tc>
      </w:tr>
      <w:tr w:rsidR="004745D9" w:rsidRPr="00DA3C6E" w14:paraId="0C005941" w14:textId="77777777" w:rsidTr="00A86CD1">
        <w:trPr>
          <w:trHeight w:val="292"/>
        </w:trPr>
        <w:tc>
          <w:tcPr>
            <w:tcW w:w="2789" w:type="dxa"/>
            <w:vAlign w:val="center"/>
          </w:tcPr>
          <w:p w14:paraId="622E0CC3" w14:textId="77777777" w:rsidR="004745D9" w:rsidRPr="00DA3C6E" w:rsidRDefault="004745D9" w:rsidP="00A86CD1">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New patients</w:t>
            </w:r>
          </w:p>
        </w:tc>
        <w:tc>
          <w:tcPr>
            <w:tcW w:w="1143" w:type="dxa"/>
            <w:vAlign w:val="center"/>
          </w:tcPr>
          <w:p w14:paraId="1BAC7A72"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127</w:t>
            </w:r>
          </w:p>
        </w:tc>
        <w:tc>
          <w:tcPr>
            <w:tcW w:w="1142" w:type="dxa"/>
            <w:vAlign w:val="center"/>
          </w:tcPr>
          <w:p w14:paraId="42E22694"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105</w:t>
            </w:r>
          </w:p>
        </w:tc>
        <w:tc>
          <w:tcPr>
            <w:tcW w:w="1015" w:type="dxa"/>
            <w:vAlign w:val="center"/>
          </w:tcPr>
          <w:p w14:paraId="78EEDA52"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137</w:t>
            </w:r>
          </w:p>
        </w:tc>
        <w:tc>
          <w:tcPr>
            <w:tcW w:w="1015" w:type="dxa"/>
            <w:vAlign w:val="center"/>
          </w:tcPr>
          <w:p w14:paraId="7E3A84D4"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126</w:t>
            </w:r>
          </w:p>
        </w:tc>
        <w:tc>
          <w:tcPr>
            <w:tcW w:w="970" w:type="dxa"/>
            <w:vAlign w:val="center"/>
          </w:tcPr>
          <w:p w14:paraId="2606C1C3"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125</w:t>
            </w:r>
          </w:p>
        </w:tc>
        <w:tc>
          <w:tcPr>
            <w:tcW w:w="970" w:type="dxa"/>
          </w:tcPr>
          <w:p w14:paraId="6C441C58"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123</w:t>
            </w:r>
          </w:p>
        </w:tc>
      </w:tr>
      <w:tr w:rsidR="004745D9" w:rsidRPr="00DA3C6E" w14:paraId="712ED9FA" w14:textId="77777777" w:rsidTr="00A86CD1">
        <w:trPr>
          <w:trHeight w:val="280"/>
        </w:trPr>
        <w:tc>
          <w:tcPr>
            <w:tcW w:w="2789" w:type="dxa"/>
            <w:vAlign w:val="center"/>
          </w:tcPr>
          <w:p w14:paraId="046CBAB4" w14:textId="77777777" w:rsidR="004745D9" w:rsidRPr="00DA3C6E" w:rsidRDefault="004745D9" w:rsidP="00A86CD1">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Total patients</w:t>
            </w:r>
          </w:p>
        </w:tc>
        <w:tc>
          <w:tcPr>
            <w:tcW w:w="1143" w:type="dxa"/>
            <w:vAlign w:val="center"/>
          </w:tcPr>
          <w:p w14:paraId="5A4345AF"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438</w:t>
            </w:r>
          </w:p>
        </w:tc>
        <w:tc>
          <w:tcPr>
            <w:tcW w:w="1142" w:type="dxa"/>
            <w:vAlign w:val="center"/>
          </w:tcPr>
          <w:p w14:paraId="61D5308D"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444</w:t>
            </w:r>
          </w:p>
        </w:tc>
        <w:tc>
          <w:tcPr>
            <w:tcW w:w="1015" w:type="dxa"/>
            <w:vAlign w:val="center"/>
          </w:tcPr>
          <w:p w14:paraId="4AB4733B"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496</w:t>
            </w:r>
          </w:p>
        </w:tc>
        <w:tc>
          <w:tcPr>
            <w:tcW w:w="1015" w:type="dxa"/>
            <w:vAlign w:val="center"/>
          </w:tcPr>
          <w:p w14:paraId="07B56864"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527</w:t>
            </w:r>
          </w:p>
        </w:tc>
        <w:tc>
          <w:tcPr>
            <w:tcW w:w="970" w:type="dxa"/>
            <w:vAlign w:val="center"/>
          </w:tcPr>
          <w:p w14:paraId="55728285"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560</w:t>
            </w:r>
          </w:p>
        </w:tc>
        <w:tc>
          <w:tcPr>
            <w:tcW w:w="970" w:type="dxa"/>
          </w:tcPr>
          <w:p w14:paraId="2505F904"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596</w:t>
            </w:r>
          </w:p>
        </w:tc>
      </w:tr>
      <w:tr w:rsidR="004745D9" w:rsidRPr="00DA3C6E" w14:paraId="55627083" w14:textId="77777777" w:rsidTr="00A86CD1">
        <w:trPr>
          <w:trHeight w:val="292"/>
        </w:trPr>
        <w:tc>
          <w:tcPr>
            <w:tcW w:w="2789" w:type="dxa"/>
            <w:vAlign w:val="center"/>
          </w:tcPr>
          <w:p w14:paraId="2D6D4F9F" w14:textId="77777777" w:rsidR="004745D9" w:rsidRPr="00DA3C6E" w:rsidRDefault="004745D9" w:rsidP="00A86CD1">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Total grams issued/administered</w:t>
            </w:r>
          </w:p>
        </w:tc>
        <w:tc>
          <w:tcPr>
            <w:tcW w:w="1143" w:type="dxa"/>
            <w:vAlign w:val="center"/>
          </w:tcPr>
          <w:p w14:paraId="55944DB8"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239,791</w:t>
            </w:r>
          </w:p>
        </w:tc>
        <w:tc>
          <w:tcPr>
            <w:tcW w:w="1142" w:type="dxa"/>
            <w:vAlign w:val="center"/>
          </w:tcPr>
          <w:p w14:paraId="35766635"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256,041</w:t>
            </w:r>
          </w:p>
        </w:tc>
        <w:tc>
          <w:tcPr>
            <w:tcW w:w="1015" w:type="dxa"/>
            <w:vAlign w:val="center"/>
          </w:tcPr>
          <w:p w14:paraId="1A3BDB58"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293,458</w:t>
            </w:r>
          </w:p>
        </w:tc>
        <w:tc>
          <w:tcPr>
            <w:tcW w:w="1015" w:type="dxa"/>
            <w:vAlign w:val="center"/>
          </w:tcPr>
          <w:p w14:paraId="055A7B84"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331,147</w:t>
            </w:r>
          </w:p>
        </w:tc>
        <w:tc>
          <w:tcPr>
            <w:tcW w:w="970" w:type="dxa"/>
            <w:vAlign w:val="center"/>
          </w:tcPr>
          <w:p w14:paraId="7B41216F"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354,434</w:t>
            </w:r>
          </w:p>
        </w:tc>
        <w:tc>
          <w:tcPr>
            <w:tcW w:w="970" w:type="dxa"/>
          </w:tcPr>
          <w:p w14:paraId="0CAC9F28"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372,434</w:t>
            </w:r>
          </w:p>
        </w:tc>
      </w:tr>
      <w:tr w:rsidR="004745D9" w:rsidRPr="00DA3C6E" w14:paraId="699C2ECF" w14:textId="77777777" w:rsidTr="00A86CD1">
        <w:trPr>
          <w:trHeight w:val="280"/>
        </w:trPr>
        <w:tc>
          <w:tcPr>
            <w:tcW w:w="2789" w:type="dxa"/>
            <w:vAlign w:val="center"/>
          </w:tcPr>
          <w:p w14:paraId="3C832729" w14:textId="77777777" w:rsidR="004745D9" w:rsidRPr="00DA3C6E" w:rsidRDefault="004745D9" w:rsidP="00A86CD1">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Average grams per patient</w:t>
            </w:r>
          </w:p>
        </w:tc>
        <w:tc>
          <w:tcPr>
            <w:tcW w:w="1143" w:type="dxa"/>
            <w:vAlign w:val="center"/>
          </w:tcPr>
          <w:p w14:paraId="0E821402" w14:textId="77777777" w:rsidR="004745D9" w:rsidRPr="00DA3C6E" w:rsidRDefault="004745D9" w:rsidP="00A86CD1">
            <w:pPr>
              <w:keepNext/>
              <w:keepLines/>
              <w:spacing w:after="0" w:line="276" w:lineRule="auto"/>
              <w:jc w:val="center"/>
              <w:rPr>
                <w:rFonts w:ascii="Arial Narrow" w:eastAsia="Calibri" w:hAnsi="Arial Narrow" w:cstheme="minorHAnsi"/>
                <w:i/>
                <w:sz w:val="20"/>
                <w:szCs w:val="20"/>
                <w:vertAlign w:val="superscript"/>
              </w:rPr>
            </w:pPr>
            <w:r w:rsidRPr="00DA3C6E">
              <w:rPr>
                <w:rFonts w:ascii="Arial Narrow" w:eastAsia="Calibri" w:hAnsi="Arial Narrow" w:cstheme="minorHAnsi"/>
                <w:i/>
                <w:sz w:val="20"/>
                <w:szCs w:val="20"/>
              </w:rPr>
              <w:t>547</w:t>
            </w:r>
            <w:r w:rsidRPr="00DA3C6E">
              <w:rPr>
                <w:rFonts w:ascii="Arial Narrow" w:eastAsia="Calibri" w:hAnsi="Arial Narrow" w:cstheme="minorHAnsi"/>
                <w:i/>
                <w:sz w:val="20"/>
                <w:szCs w:val="20"/>
                <w:vertAlign w:val="superscript"/>
              </w:rPr>
              <w:t>b</w:t>
            </w:r>
          </w:p>
        </w:tc>
        <w:tc>
          <w:tcPr>
            <w:tcW w:w="1142" w:type="dxa"/>
            <w:vAlign w:val="center"/>
          </w:tcPr>
          <w:p w14:paraId="2F464879"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577</w:t>
            </w:r>
          </w:p>
        </w:tc>
        <w:tc>
          <w:tcPr>
            <w:tcW w:w="1015" w:type="dxa"/>
            <w:vAlign w:val="center"/>
          </w:tcPr>
          <w:p w14:paraId="36572931"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592</w:t>
            </w:r>
          </w:p>
        </w:tc>
        <w:tc>
          <w:tcPr>
            <w:tcW w:w="1015" w:type="dxa"/>
            <w:vAlign w:val="center"/>
          </w:tcPr>
          <w:p w14:paraId="48D41178"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628</w:t>
            </w:r>
          </w:p>
        </w:tc>
        <w:tc>
          <w:tcPr>
            <w:tcW w:w="970" w:type="dxa"/>
            <w:vAlign w:val="center"/>
          </w:tcPr>
          <w:p w14:paraId="0AAF0C2D"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633</w:t>
            </w:r>
          </w:p>
        </w:tc>
        <w:tc>
          <w:tcPr>
            <w:tcW w:w="970" w:type="dxa"/>
          </w:tcPr>
          <w:p w14:paraId="7872DD2E" w14:textId="77777777" w:rsidR="004745D9" w:rsidRPr="00DA3C6E" w:rsidRDefault="004745D9" w:rsidP="00A86CD1">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626</w:t>
            </w:r>
          </w:p>
        </w:tc>
      </w:tr>
    </w:tbl>
    <w:p w14:paraId="27BCBA34" w14:textId="77777777" w:rsidR="004745D9" w:rsidRPr="00DA3C6E" w:rsidRDefault="004745D9" w:rsidP="004745D9">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Abbreviations: Ig = immunoglobulin; MMN = multifocal motor neuropathy</w:t>
      </w:r>
    </w:p>
    <w:p w14:paraId="0E40322A" w14:textId="77777777" w:rsidR="004745D9" w:rsidRPr="00DA3C6E" w:rsidRDefault="004745D9" w:rsidP="004745D9">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Note: </w:t>
      </w:r>
      <w:r w:rsidRPr="00DA3C6E">
        <w:rPr>
          <w:rFonts w:ascii="Arial Narrow" w:eastAsia="Calibri" w:hAnsi="Arial Narrow" w:cs="Times New Roman"/>
          <w:sz w:val="18"/>
          <w:vertAlign w:val="superscript"/>
          <w:lang w:eastAsia="en-US"/>
        </w:rPr>
        <w:t>a</w:t>
      </w:r>
      <w:r w:rsidRPr="00DA3C6E">
        <w:rPr>
          <w:rFonts w:ascii="Arial Narrow" w:eastAsia="Calibri" w:hAnsi="Arial Narrow" w:cs="Times New Roman"/>
          <w:sz w:val="18"/>
          <w:lang w:eastAsia="en-US"/>
        </w:rPr>
        <w:t xml:space="preserve">Data for the 2018-2019 (01 July 2018 – 30 June 2019) period incorporated version 2 and version 3 of The Criteria. </w:t>
      </w:r>
      <w:r w:rsidRPr="00DA3C6E">
        <w:rPr>
          <w:rFonts w:ascii="Arial Narrow" w:eastAsia="Calibri" w:hAnsi="Arial Narrow" w:cs="Times New Roman"/>
          <w:sz w:val="18"/>
          <w:vertAlign w:val="superscript"/>
          <w:lang w:eastAsia="en-US"/>
        </w:rPr>
        <w:t>b</w:t>
      </w:r>
      <w:r w:rsidRPr="00DA3C6E">
        <w:rPr>
          <w:rFonts w:ascii="Arial Narrow" w:eastAsia="Calibri" w:hAnsi="Arial Narrow" w:cs="Times New Roman"/>
          <w:sz w:val="18"/>
          <w:lang w:eastAsia="en-US"/>
        </w:rPr>
        <w:t xml:space="preserve">This was reported as 546 in the Referral but verified as 547 during the write-up of this assessment report. Data for the period from 2013-2018 reflects usage only under version 2 of The Criteria, which is prior to the introduction of key changes which aimed to address leakage. </w:t>
      </w:r>
    </w:p>
    <w:p w14:paraId="4FD11D7E" w14:textId="77777777" w:rsidR="004745D9" w:rsidRPr="00DA3C6E" w:rsidRDefault="004745D9" w:rsidP="004745D9">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Source: Table 7, p.25 of the draft Referral form 1590 MMN. HTA Conditions Report 1, 2 and 3 provided by the NBA on 06 January 2020. </w:t>
      </w:r>
    </w:p>
    <w:p w14:paraId="2465595F" w14:textId="56EBE978" w:rsidR="004745D9" w:rsidRPr="00DA3C6E" w:rsidRDefault="004745D9" w:rsidP="00A86CD1">
      <w:pPr>
        <w:rPr>
          <w:rFonts w:eastAsia="Calibri"/>
          <w:lang w:eastAsia="en-US"/>
        </w:rPr>
      </w:pPr>
      <w:r w:rsidRPr="00DA3C6E">
        <w:t xml:space="preserve">On average, the age at MMN onset </w:t>
      </w:r>
      <w:r w:rsidR="005A47F9" w:rsidRPr="00DA3C6E">
        <w:t>varies</w:t>
      </w:r>
      <w:r w:rsidR="00CA48B5" w:rsidRPr="00DA3C6E">
        <w:t>,</w:t>
      </w:r>
      <w:r w:rsidRPr="00DA3C6E">
        <w:t xml:space="preserve"> ranging from 15-74 years, however MMN is mostly diagnosed in adults (mean age of onset </w:t>
      </w:r>
      <w:r w:rsidR="005A47F9" w:rsidRPr="00DA3C6E">
        <w:t xml:space="preserve">being </w:t>
      </w:r>
      <w:r w:rsidRPr="00DA3C6E">
        <w:t xml:space="preserve">41 years). In addition, MMN is a disease more commonly observed in males, with a reported ratio of 2.5-2.7: 1. </w:t>
      </w:r>
      <w:r w:rsidRPr="00DA3C6E">
        <w:rPr>
          <w:rFonts w:eastAsia="Calibri"/>
          <w:lang w:eastAsia="en-US"/>
        </w:rPr>
        <w:t>The Criteria</w:t>
      </w:r>
      <w:r w:rsidR="003F785C" w:rsidRPr="00DA3C6E">
        <w:rPr>
          <w:rFonts w:eastAsia="Calibri"/>
          <w:lang w:eastAsia="en-US"/>
        </w:rPr>
        <w:t xml:space="preserve"> V3</w:t>
      </w:r>
      <w:r w:rsidR="00466364" w:rsidRPr="00DA3C6E">
        <w:rPr>
          <w:rFonts w:eastAsia="Calibri"/>
          <w:lang w:eastAsia="en-US"/>
        </w:rPr>
        <w:t xml:space="preserve"> that must be met</w:t>
      </w:r>
      <w:r w:rsidRPr="00DA3C6E">
        <w:rPr>
          <w:rFonts w:eastAsia="Calibri"/>
          <w:lang w:eastAsia="en-US"/>
        </w:rPr>
        <w:t xml:space="preserve"> for</w:t>
      </w:r>
      <w:r w:rsidR="003F785C" w:rsidRPr="00DA3C6E">
        <w:rPr>
          <w:rFonts w:eastAsia="Calibri"/>
          <w:lang w:eastAsia="en-US"/>
        </w:rPr>
        <w:t xml:space="preserve"> access to</w:t>
      </w:r>
      <w:r w:rsidRPr="00DA3C6E">
        <w:rPr>
          <w:rFonts w:eastAsia="Calibri"/>
          <w:lang w:eastAsia="en-US"/>
        </w:rPr>
        <w:t xml:space="preserve"> Ig therapy for MMN in Australia are consistent with the clinical diagnostic criteria established by the European Federation of Neurological Societies and the Peripheral Nerve Society (EFNS/PNS). Diagnosis of MMN is based on </w:t>
      </w:r>
      <w:r w:rsidR="005A47F9" w:rsidRPr="00DA3C6E">
        <w:rPr>
          <w:rFonts w:eastAsia="Calibri"/>
          <w:lang w:eastAsia="en-US"/>
        </w:rPr>
        <w:t xml:space="preserve">a </w:t>
      </w:r>
      <w:r w:rsidRPr="00DA3C6E">
        <w:rPr>
          <w:rFonts w:eastAsia="Calibri"/>
          <w:lang w:eastAsia="en-US"/>
        </w:rPr>
        <w:t xml:space="preserve">combination of clinical (assessment by </w:t>
      </w:r>
      <w:r w:rsidR="00F25388" w:rsidRPr="00DA3C6E">
        <w:rPr>
          <w:rFonts w:eastAsia="Calibri"/>
          <w:lang w:eastAsia="en-US"/>
        </w:rPr>
        <w:t xml:space="preserve">a </w:t>
      </w:r>
      <w:r w:rsidRPr="00DA3C6E">
        <w:rPr>
          <w:rFonts w:eastAsia="Calibri"/>
          <w:lang w:eastAsia="en-US"/>
        </w:rPr>
        <w:t xml:space="preserve">neurologist), electrophysical criteria, and laboratory investigations (genetic testing) as well as treatment response (progressive motor weakness and a disability of </w:t>
      </w:r>
      <w:r w:rsidRPr="00DA3C6E">
        <w:rPr>
          <w:rFonts w:eastAsia="Calibri" w:cs="Calibri"/>
          <w:lang w:eastAsia="en-US"/>
        </w:rPr>
        <w:t>≥</w:t>
      </w:r>
      <w:r w:rsidRPr="00DA3C6E">
        <w:rPr>
          <w:rFonts w:eastAsia="Calibri"/>
          <w:lang w:eastAsia="en-US"/>
        </w:rPr>
        <w:t xml:space="preserve">2 as measured by the </w:t>
      </w:r>
      <w:r w:rsidR="00CA48B5" w:rsidRPr="00DA3C6E">
        <w:rPr>
          <w:rFonts w:eastAsia="Calibri"/>
          <w:lang w:eastAsia="en-US"/>
        </w:rPr>
        <w:t>o</w:t>
      </w:r>
      <w:r w:rsidR="005A47F9" w:rsidRPr="00DA3C6E">
        <w:rPr>
          <w:rFonts w:eastAsia="Calibri"/>
          <w:lang w:eastAsia="en-US"/>
        </w:rPr>
        <w:t xml:space="preserve">verall </w:t>
      </w:r>
      <w:r w:rsidR="00CA48B5" w:rsidRPr="00DA3C6E">
        <w:rPr>
          <w:rFonts w:eastAsia="Calibri"/>
          <w:lang w:eastAsia="en-US"/>
        </w:rPr>
        <w:t>n</w:t>
      </w:r>
      <w:r w:rsidR="005A47F9" w:rsidRPr="00DA3C6E">
        <w:rPr>
          <w:rFonts w:eastAsia="Calibri"/>
          <w:lang w:eastAsia="en-US"/>
        </w:rPr>
        <w:t xml:space="preserve">europathy </w:t>
      </w:r>
      <w:r w:rsidR="00CA48B5" w:rsidRPr="00DA3C6E">
        <w:rPr>
          <w:rFonts w:eastAsia="Calibri"/>
          <w:lang w:eastAsia="en-US"/>
        </w:rPr>
        <w:t>l</w:t>
      </w:r>
      <w:r w:rsidR="005A47F9" w:rsidRPr="00DA3C6E">
        <w:rPr>
          <w:rFonts w:eastAsia="Calibri"/>
          <w:lang w:eastAsia="en-US"/>
        </w:rPr>
        <w:t xml:space="preserve">imitation </w:t>
      </w:r>
      <w:r w:rsidR="00CA48B5" w:rsidRPr="00DA3C6E">
        <w:rPr>
          <w:rFonts w:eastAsia="Calibri"/>
          <w:lang w:eastAsia="en-US"/>
        </w:rPr>
        <w:t>s</w:t>
      </w:r>
      <w:r w:rsidR="005A47F9" w:rsidRPr="00DA3C6E">
        <w:rPr>
          <w:rFonts w:eastAsia="Calibri"/>
          <w:lang w:eastAsia="en-US"/>
        </w:rPr>
        <w:t>cale (</w:t>
      </w:r>
      <w:r w:rsidRPr="00DA3C6E">
        <w:rPr>
          <w:rFonts w:eastAsia="Calibri"/>
          <w:lang w:eastAsia="en-US"/>
        </w:rPr>
        <w:t>ONLS)</w:t>
      </w:r>
      <w:r w:rsidR="009E7C31">
        <w:rPr>
          <w:rFonts w:eastAsia="Calibri"/>
          <w:lang w:eastAsia="en-US"/>
        </w:rPr>
        <w:t>)</w:t>
      </w:r>
      <w:r w:rsidRPr="00DA3C6E">
        <w:rPr>
          <w:rFonts w:eastAsia="Calibri"/>
          <w:lang w:eastAsia="en-US"/>
        </w:rPr>
        <w:t>. In addition, the electrophysiological criteria include definite or probable motor conduction block (CB) and normal sensory nerve conduction.</w:t>
      </w:r>
    </w:p>
    <w:p w14:paraId="5F2248E2" w14:textId="77777777" w:rsidR="004745D9" w:rsidRPr="00DA3C6E" w:rsidRDefault="004745D9" w:rsidP="004745D9">
      <w:pPr>
        <w:keepNext/>
        <w:spacing w:before="240" w:after="120"/>
        <w:jc w:val="left"/>
        <w:outlineLvl w:val="2"/>
        <w:rPr>
          <w:b/>
          <w:smallCaps/>
          <w:sz w:val="24"/>
          <w:szCs w:val="24"/>
        </w:rPr>
      </w:pPr>
      <w:bookmarkStart w:id="43" w:name="_Toc37845697"/>
      <w:r w:rsidRPr="00DA3C6E">
        <w:rPr>
          <w:b/>
          <w:smallCaps/>
          <w:sz w:val="24"/>
          <w:szCs w:val="24"/>
        </w:rPr>
        <w:t>Comparator Details</w:t>
      </w:r>
      <w:bookmarkEnd w:id="43"/>
      <w:r w:rsidRPr="00DA3C6E">
        <w:rPr>
          <w:b/>
          <w:smallCaps/>
          <w:sz w:val="24"/>
          <w:szCs w:val="24"/>
        </w:rPr>
        <w:t xml:space="preserve"> </w:t>
      </w:r>
    </w:p>
    <w:p w14:paraId="4152E8DB" w14:textId="77777777" w:rsidR="004745D9" w:rsidRPr="00DA3C6E" w:rsidRDefault="004745D9" w:rsidP="00A86CD1">
      <w:r w:rsidRPr="00DA3C6E">
        <w:t xml:space="preserve">The comparator is defined in the ratified PICO Confirmation as </w:t>
      </w:r>
      <w:r w:rsidR="004E38DF" w:rsidRPr="00DA3C6E">
        <w:t>‘</w:t>
      </w:r>
      <w:r w:rsidR="004E38DF" w:rsidRPr="00DA3C6E">
        <w:rPr>
          <w:rFonts w:eastAsia="Calibri"/>
          <w:lang w:eastAsia="en-US"/>
        </w:rPr>
        <w:t>No Ig with active disease surveillance’ hereafter referred to as</w:t>
      </w:r>
      <w:r w:rsidR="00CD61AC" w:rsidRPr="00DA3C6E">
        <w:rPr>
          <w:rFonts w:eastAsia="Calibri"/>
          <w:lang w:eastAsia="en-US"/>
        </w:rPr>
        <w:t xml:space="preserve"> </w:t>
      </w:r>
      <w:r w:rsidRPr="00DA3C6E">
        <w:t xml:space="preserve">‘No Ig with best supportive care (BSC)’. There are no other NBA or Pharmaceutical Benefit Scheme (PBS) treatments subsidised for MMN. The current practice for the treatment of MMN is intravenous Ig </w:t>
      </w:r>
      <w:r w:rsidR="00CD61AC" w:rsidRPr="00DA3C6E">
        <w:t>accessed and</w:t>
      </w:r>
      <w:r w:rsidRPr="00DA3C6E">
        <w:t xml:space="preserve"> funded through the NBA.</w:t>
      </w:r>
    </w:p>
    <w:p w14:paraId="24BC02D6" w14:textId="77777777" w:rsidR="004745D9" w:rsidRPr="00DA3C6E" w:rsidRDefault="004745D9" w:rsidP="004745D9">
      <w:pPr>
        <w:keepNext/>
        <w:spacing w:before="240" w:after="120"/>
        <w:jc w:val="left"/>
        <w:outlineLvl w:val="2"/>
        <w:rPr>
          <w:b/>
          <w:smallCaps/>
          <w:sz w:val="24"/>
          <w:szCs w:val="24"/>
        </w:rPr>
      </w:pPr>
      <w:bookmarkStart w:id="44" w:name="_Toc37845698"/>
      <w:r w:rsidRPr="00DA3C6E">
        <w:rPr>
          <w:b/>
          <w:smallCaps/>
          <w:sz w:val="24"/>
          <w:szCs w:val="24"/>
        </w:rPr>
        <w:t>Clinical management algorithm(s)</w:t>
      </w:r>
      <w:bookmarkEnd w:id="44"/>
    </w:p>
    <w:p w14:paraId="5BC58716" w14:textId="156DE035" w:rsidR="004745D9" w:rsidRPr="00DA3C6E" w:rsidRDefault="004745D9" w:rsidP="004745D9">
      <w:r w:rsidRPr="00DA3C6E">
        <w:t>The clinical management algorithms for the current use of intravenous Ig from the PICO Confirmation are shown in Figure 1 and Figure 2 (</w:t>
      </w:r>
      <w:r w:rsidR="002011B8" w:rsidRPr="00DA3C6E">
        <w:t>current</w:t>
      </w:r>
      <w:r w:rsidRPr="00DA3C6E">
        <w:t>) and Figure 3 and Figure 4 (proposed treatment algorithms).</w:t>
      </w:r>
    </w:p>
    <w:p w14:paraId="43DC2B70" w14:textId="77777777" w:rsidR="004745D9" w:rsidRPr="00DA3C6E" w:rsidRDefault="004745D9" w:rsidP="004745D9">
      <w:pPr>
        <w:keepNext/>
        <w:spacing w:before="240" w:after="120"/>
        <w:jc w:val="left"/>
        <w:outlineLvl w:val="2"/>
        <w:rPr>
          <w:b/>
          <w:smallCaps/>
          <w:sz w:val="24"/>
          <w:szCs w:val="24"/>
        </w:rPr>
      </w:pPr>
      <w:bookmarkStart w:id="45" w:name="_Toc37845699"/>
      <w:r w:rsidRPr="00DA3C6E">
        <w:rPr>
          <w:b/>
          <w:smallCaps/>
          <w:sz w:val="24"/>
          <w:szCs w:val="24"/>
        </w:rPr>
        <w:t>Key Differences in the Delivery of the Proposed Medical Service and the Main Comparator</w:t>
      </w:r>
      <w:bookmarkEnd w:id="45"/>
      <w:r w:rsidRPr="00DA3C6E">
        <w:rPr>
          <w:b/>
          <w:smallCaps/>
          <w:sz w:val="24"/>
          <w:szCs w:val="24"/>
        </w:rPr>
        <w:t xml:space="preserve"> </w:t>
      </w:r>
    </w:p>
    <w:p w14:paraId="707B365C" w14:textId="588DC379" w:rsidR="004745D9" w:rsidRPr="00DA3C6E" w:rsidRDefault="004745D9" w:rsidP="004745D9">
      <w:r w:rsidRPr="00DA3C6E">
        <w:t xml:space="preserve">Currently, patients </w:t>
      </w:r>
      <w:r w:rsidR="00BB6A01" w:rsidRPr="00DA3C6E">
        <w:t xml:space="preserve">with MMN </w:t>
      </w:r>
      <w:r w:rsidRPr="00DA3C6E">
        <w:t>not receiving intravenous Ig treatment are those who are</w:t>
      </w:r>
      <w:r w:rsidR="00BB6A01" w:rsidRPr="00DA3C6E">
        <w:t>; either</w:t>
      </w:r>
      <w:r w:rsidRPr="00DA3C6E">
        <w:t xml:space="preserve"> not eligible or no longer eligible to receive </w:t>
      </w:r>
      <w:r w:rsidR="00BB6A01" w:rsidRPr="00DA3C6E">
        <w:t xml:space="preserve">Ig </w:t>
      </w:r>
      <w:r w:rsidRPr="00DA3C6E">
        <w:t>treatment under The Criteria V3</w:t>
      </w:r>
      <w:r w:rsidR="00BB6A01" w:rsidRPr="00DA3C6E">
        <w:t>,</w:t>
      </w:r>
      <w:r w:rsidRPr="00DA3C6E">
        <w:t xml:space="preserve"> or patients for whom intravenous Ig is contraindicated. These patients are assumed to maintain </w:t>
      </w:r>
      <w:r w:rsidR="00D40E89" w:rsidRPr="00DA3C6E">
        <w:t>BSC</w:t>
      </w:r>
      <w:r w:rsidRPr="00DA3C6E">
        <w:t xml:space="preserve"> which </w:t>
      </w:r>
      <w:r w:rsidR="00BB6A01" w:rsidRPr="00DA3C6E">
        <w:t>includes review</w:t>
      </w:r>
      <w:r w:rsidR="00927676" w:rsidRPr="00DA3C6E">
        <w:t>s</w:t>
      </w:r>
      <w:r w:rsidRPr="00DA3C6E">
        <w:t xml:space="preserve"> with a neurologist and other health care professionals such as</w:t>
      </w:r>
      <w:r w:rsidR="005C5F30">
        <w:t xml:space="preserve"> a</w:t>
      </w:r>
      <w:r w:rsidRPr="00DA3C6E">
        <w:t xml:space="preserve"> physiotherapist and may also </w:t>
      </w:r>
      <w:r w:rsidR="00CD61AC" w:rsidRPr="00DA3C6E">
        <w:t>involve</w:t>
      </w:r>
      <w:r w:rsidRPr="00DA3C6E">
        <w:t xml:space="preserve"> rehabilitation services.</w:t>
      </w:r>
    </w:p>
    <w:p w14:paraId="41E15CFC" w14:textId="70683F35" w:rsidR="004745D9" w:rsidRPr="00DA3C6E" w:rsidRDefault="004745D9" w:rsidP="004745D9">
      <w:r w:rsidRPr="00DA3C6E">
        <w:lastRenderedPageBreak/>
        <w:t>The main difference in the delivery of the intervention is the actual administration of intravenous Ig, which for MMN patients, is administered mainly in hospital</w:t>
      </w:r>
      <w:r w:rsidR="00E50F30" w:rsidRPr="00DA3C6E">
        <w:t xml:space="preserve"> or at outpatient</w:t>
      </w:r>
      <w:r w:rsidR="00BB6A01" w:rsidRPr="00DA3C6E">
        <w:t xml:space="preserve"> clinics</w:t>
      </w:r>
      <w:r w:rsidRPr="00DA3C6E">
        <w:t xml:space="preserve">. This requires specialised nurses and the use of hospital facilities and devices for appropriate and safe delivery of the intervention. Some patients may require hospitalisation </w:t>
      </w:r>
      <w:r w:rsidR="00BB6A01" w:rsidRPr="00DA3C6E">
        <w:t>if they</w:t>
      </w:r>
      <w:r w:rsidRPr="00DA3C6E">
        <w:t xml:space="preserve"> </w:t>
      </w:r>
      <w:r w:rsidR="005A47F9" w:rsidRPr="00DA3C6E">
        <w:t xml:space="preserve">need </w:t>
      </w:r>
      <w:r w:rsidRPr="00DA3C6E">
        <w:t>longer monitoring due to the presence of comorbidities, longer infusion times</w:t>
      </w:r>
      <w:r w:rsidR="00BB6A01" w:rsidRPr="00DA3C6E">
        <w:t>,</w:t>
      </w:r>
      <w:r w:rsidRPr="00DA3C6E">
        <w:t xml:space="preserve"> or the risk of adverse events. </w:t>
      </w:r>
    </w:p>
    <w:p w14:paraId="7DB9093C" w14:textId="77777777" w:rsidR="004745D9" w:rsidRPr="00DA3C6E" w:rsidRDefault="004745D9" w:rsidP="004745D9">
      <w:pPr>
        <w:pStyle w:val="ESNumberedSectionHeading"/>
        <w:numPr>
          <w:ilvl w:val="0"/>
          <w:numId w:val="0"/>
        </w:numPr>
      </w:pPr>
      <w:bookmarkStart w:id="46" w:name="_Toc37845700"/>
      <w:r w:rsidRPr="00DA3C6E">
        <w:t>Clinical Claim</w:t>
      </w:r>
      <w:bookmarkEnd w:id="46"/>
    </w:p>
    <w:p w14:paraId="3EA42CE5" w14:textId="0E2810ED" w:rsidR="004745D9" w:rsidRPr="00DA3C6E" w:rsidRDefault="004745D9" w:rsidP="004745D9">
      <w:r w:rsidRPr="00DA3C6E">
        <w:t xml:space="preserve">On the basis of the </w:t>
      </w:r>
      <w:r w:rsidR="005032C8" w:rsidRPr="00DA3C6E">
        <w:t xml:space="preserve">available </w:t>
      </w:r>
      <w:r w:rsidRPr="00DA3C6E">
        <w:t xml:space="preserve">clinical evidence, intravenous Ig was </w:t>
      </w:r>
      <w:r w:rsidR="005C5F30">
        <w:t xml:space="preserve">claimed to have </w:t>
      </w:r>
      <w:r w:rsidRPr="00DA3C6E">
        <w:t xml:space="preserve">superior </w:t>
      </w:r>
      <w:r w:rsidR="005C5F30">
        <w:t>effectiveness and inferior safety compared to no Ig and</w:t>
      </w:r>
      <w:r w:rsidRPr="00DA3C6E">
        <w:t xml:space="preserve"> BSC</w:t>
      </w:r>
      <w:r w:rsidR="005C5F30">
        <w:t xml:space="preserve"> in the PICO confirmation for MSAC Referral 1590.</w:t>
      </w:r>
      <w:r w:rsidR="001441C5" w:rsidRPr="00DA3C6E">
        <w:t xml:space="preserve"> This claim is</w:t>
      </w:r>
      <w:r w:rsidR="00D40E89" w:rsidRPr="00DA3C6E">
        <w:t xml:space="preserve"> based on limited RCT evidence but large experience of use since </w:t>
      </w:r>
      <w:r w:rsidR="005032C8" w:rsidRPr="00DA3C6E">
        <w:t>intravenous Ig</w:t>
      </w:r>
      <w:r w:rsidR="00D40E89" w:rsidRPr="00DA3C6E">
        <w:t xml:space="preserve"> has been the standard of care treatment </w:t>
      </w:r>
      <w:r w:rsidR="005A47F9" w:rsidRPr="00DA3C6E">
        <w:t xml:space="preserve">for </w:t>
      </w:r>
      <w:r w:rsidR="00D40E89" w:rsidRPr="00DA3C6E">
        <w:t>MMN since the early 1990s</w:t>
      </w:r>
      <w:r w:rsidRPr="00DA3C6E">
        <w:t xml:space="preserve">. </w:t>
      </w:r>
    </w:p>
    <w:p w14:paraId="3B5B2ED3" w14:textId="77777777" w:rsidR="004745D9" w:rsidRPr="00DA3C6E" w:rsidRDefault="004745D9" w:rsidP="004745D9">
      <w:pPr>
        <w:pStyle w:val="Heading3"/>
      </w:pPr>
      <w:bookmarkStart w:id="47" w:name="_Toc37845701"/>
      <w:r w:rsidRPr="00DA3C6E">
        <w:rPr>
          <w:rStyle w:val="Heading3Char"/>
          <w:b/>
          <w:smallCaps/>
        </w:rPr>
        <w:t>Approach T</w:t>
      </w:r>
      <w:r w:rsidRPr="00DA3C6E">
        <w:t xml:space="preserve">aken to the </w:t>
      </w:r>
      <w:r w:rsidRPr="00DA3C6E">
        <w:rPr>
          <w:rStyle w:val="Heading3Char"/>
          <w:b/>
          <w:smallCaps/>
        </w:rPr>
        <w:t>E</w:t>
      </w:r>
      <w:r w:rsidRPr="00DA3C6E">
        <w:t xml:space="preserve">vidence </w:t>
      </w:r>
      <w:r w:rsidRPr="00DA3C6E">
        <w:rPr>
          <w:rStyle w:val="Heading3Char"/>
          <w:b/>
          <w:smallCaps/>
        </w:rPr>
        <w:t>A</w:t>
      </w:r>
      <w:r w:rsidRPr="00DA3C6E">
        <w:t>ssessment</w:t>
      </w:r>
      <w:bookmarkEnd w:id="47"/>
    </w:p>
    <w:p w14:paraId="34202221" w14:textId="5AE61B84" w:rsidR="004745D9" w:rsidRPr="00DA3C6E" w:rsidRDefault="004745D9" w:rsidP="004745D9">
      <w:r w:rsidRPr="00DA3C6E">
        <w:t xml:space="preserve">A systematic review of published literature was undertaken </w:t>
      </w:r>
      <w:r w:rsidR="005A47F9" w:rsidRPr="00DA3C6E">
        <w:t xml:space="preserve">in </w:t>
      </w:r>
      <w:r w:rsidRPr="00DA3C6E">
        <w:t xml:space="preserve">October 2019 on the treatment of MMN during the period 1946 (inception of databases) to 11 October 2019. Studies were selected independently by two reviewers if they met criteria summarised in Table </w:t>
      </w:r>
      <w:r w:rsidR="004D56AF" w:rsidRPr="00DA3C6E">
        <w:t>ES.</w:t>
      </w:r>
      <w:r w:rsidRPr="00DA3C6E">
        <w:t>2. The following databases were searched: Embase, Ovid</w:t>
      </w:r>
      <w:r w:rsidR="005A47F9" w:rsidRPr="00DA3C6E">
        <w:t>,</w:t>
      </w:r>
      <w:r w:rsidRPr="00DA3C6E">
        <w:t xml:space="preserve"> Medline, </w:t>
      </w:r>
      <w:r w:rsidR="005A47F9" w:rsidRPr="00DA3C6E">
        <w:t xml:space="preserve">Pubmed and the </w:t>
      </w:r>
      <w:r w:rsidRPr="00DA3C6E">
        <w:t xml:space="preserve">Cochrane library and clinical trials online platforms. Randomised and single arm studies were searched that reported treatment effect measured as improvement in muscle strength, disability or a composite of both (responders). The risk of bias was assessed in both randomised and single arm studies using the Cochrane </w:t>
      </w:r>
      <w:r w:rsidR="00762F59" w:rsidRPr="00DA3C6E">
        <w:t>Risk of Bias (</w:t>
      </w:r>
      <w:r w:rsidRPr="00DA3C6E">
        <w:t>RoB</w:t>
      </w:r>
      <w:r w:rsidR="00762F59" w:rsidRPr="00DA3C6E">
        <w:t>)</w:t>
      </w:r>
      <w:r w:rsidRPr="00DA3C6E">
        <w:t xml:space="preserve"> 2 tool or the Institute of Health Economics (IHE) checklist respectively. </w:t>
      </w:r>
    </w:p>
    <w:p w14:paraId="4FCA1EC9" w14:textId="77777777" w:rsidR="004745D9" w:rsidRPr="00DA3C6E" w:rsidRDefault="004745D9" w:rsidP="004745D9">
      <w:pPr>
        <w:spacing w:after="0"/>
        <w:rPr>
          <w:rFonts w:ascii="Arial Narrow" w:hAnsi="Arial Narrow"/>
          <w:b/>
          <w:sz w:val="20"/>
          <w:szCs w:val="20"/>
        </w:rPr>
      </w:pPr>
      <w:r w:rsidRPr="00DA3C6E">
        <w:rPr>
          <w:rFonts w:ascii="Arial Narrow" w:hAnsi="Arial Narrow"/>
          <w:b/>
          <w:sz w:val="20"/>
          <w:szCs w:val="20"/>
        </w:rPr>
        <w:t xml:space="preserve">Table </w:t>
      </w:r>
      <w:r w:rsidR="00BA1AEA" w:rsidRPr="00DA3C6E">
        <w:rPr>
          <w:rFonts w:ascii="Arial Narrow" w:hAnsi="Arial Narrow"/>
          <w:b/>
          <w:sz w:val="20"/>
          <w:szCs w:val="20"/>
        </w:rPr>
        <w:t>ES.</w:t>
      </w:r>
      <w:r w:rsidRPr="00DA3C6E">
        <w:rPr>
          <w:rFonts w:ascii="Arial Narrow" w:hAnsi="Arial Narrow"/>
          <w:b/>
          <w:sz w:val="20"/>
          <w:szCs w:val="20"/>
        </w:rPr>
        <w:t>2. Summary of PICO</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4745D9" w:rsidRPr="00DA3C6E" w14:paraId="3A6425AE" w14:textId="77777777" w:rsidTr="00A86CD1">
        <w:trPr>
          <w:tblHeader/>
        </w:trPr>
        <w:tc>
          <w:tcPr>
            <w:tcW w:w="1005" w:type="pct"/>
            <w:tcBorders>
              <w:top w:val="single" w:sz="8" w:space="0" w:color="auto"/>
              <w:bottom w:val="single" w:sz="8" w:space="0" w:color="auto"/>
              <w:right w:val="single" w:sz="4" w:space="0" w:color="auto"/>
            </w:tcBorders>
            <w:shd w:val="clear" w:color="auto" w:fill="auto"/>
            <w:vAlign w:val="center"/>
          </w:tcPr>
          <w:p w14:paraId="180BD3D9" w14:textId="77777777" w:rsidR="004745D9" w:rsidRPr="00DA3C6E" w:rsidRDefault="004745D9" w:rsidP="00A86CD1">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18CAE29B" w14:textId="77777777" w:rsidR="004745D9" w:rsidRPr="00DA3C6E" w:rsidRDefault="004745D9" w:rsidP="00A86CD1">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Description</w:t>
            </w:r>
          </w:p>
        </w:tc>
      </w:tr>
      <w:tr w:rsidR="004745D9" w:rsidRPr="00DA3C6E" w14:paraId="1AD26B6F" w14:textId="77777777" w:rsidTr="00A86CD1">
        <w:tc>
          <w:tcPr>
            <w:tcW w:w="1005" w:type="pct"/>
            <w:tcBorders>
              <w:top w:val="single" w:sz="8" w:space="0" w:color="auto"/>
              <w:right w:val="single" w:sz="4" w:space="0" w:color="auto"/>
            </w:tcBorders>
            <w:shd w:val="clear" w:color="auto" w:fill="auto"/>
            <w:vAlign w:val="center"/>
          </w:tcPr>
          <w:p w14:paraId="2F066817" w14:textId="77777777" w:rsidR="004745D9" w:rsidRPr="00DA3C6E" w:rsidRDefault="004745D9" w:rsidP="00A86CD1">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Population</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23D41911" w14:textId="77777777" w:rsidR="004745D9" w:rsidRPr="00DA3C6E" w:rsidRDefault="004745D9" w:rsidP="00A86CD1">
            <w:pPr>
              <w:spacing w:after="0" w:line="276" w:lineRule="auto"/>
              <w:rPr>
                <w:rFonts w:ascii="Arial Narrow" w:eastAsia="Calibri" w:hAnsi="Arial Narrow" w:cs="Times New Roman"/>
                <w:color w:val="FF0000"/>
                <w:sz w:val="20"/>
                <w:szCs w:val="20"/>
                <w:u w:val="dotted"/>
                <w:lang w:eastAsia="en-US"/>
              </w:rPr>
            </w:pPr>
            <w:r w:rsidRPr="00DA3C6E">
              <w:rPr>
                <w:rFonts w:ascii="Arial Narrow" w:eastAsia="Calibri" w:hAnsi="Arial Narrow" w:cs="Times New Roman"/>
                <w:sz w:val="20"/>
                <w:szCs w:val="20"/>
                <w:lang w:eastAsia="en-US"/>
              </w:rPr>
              <w:t>Patients diagnosed with MMN who are currently eligible for the use of intravenous Ig treatment in Australia according to ‘</w:t>
            </w:r>
            <w:r w:rsidRPr="00DA3C6E">
              <w:rPr>
                <w:rFonts w:ascii="Arial Narrow" w:eastAsia="Calibri" w:hAnsi="Arial Narrow" w:cs="Times New Roman"/>
                <w:i/>
                <w:sz w:val="20"/>
                <w:szCs w:val="20"/>
                <w:lang w:eastAsia="en-US"/>
              </w:rPr>
              <w:t>The Criteria V3 for the clinical use of immunoglobulin in Australia</w:t>
            </w:r>
            <w:r w:rsidRPr="00DA3C6E">
              <w:rPr>
                <w:rFonts w:ascii="Arial Narrow" w:eastAsia="Calibri" w:hAnsi="Arial Narrow" w:cs="Times New Roman"/>
                <w:sz w:val="20"/>
                <w:szCs w:val="20"/>
                <w:lang w:eastAsia="en-US"/>
              </w:rPr>
              <w:t>’.</w:t>
            </w:r>
          </w:p>
        </w:tc>
      </w:tr>
      <w:tr w:rsidR="004745D9" w:rsidRPr="00DA3C6E" w14:paraId="32AF9881" w14:textId="77777777" w:rsidTr="00A86CD1">
        <w:tc>
          <w:tcPr>
            <w:tcW w:w="1005" w:type="pct"/>
            <w:tcBorders>
              <w:right w:val="single" w:sz="4" w:space="0" w:color="auto"/>
            </w:tcBorders>
            <w:shd w:val="clear" w:color="auto" w:fill="auto"/>
            <w:vAlign w:val="center"/>
          </w:tcPr>
          <w:p w14:paraId="15703507" w14:textId="77777777" w:rsidR="004745D9" w:rsidRPr="00DA3C6E" w:rsidRDefault="004745D9" w:rsidP="00A86CD1">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Intervention</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0CAF0DC3" w14:textId="77777777" w:rsidR="004745D9" w:rsidRPr="00DA3C6E" w:rsidRDefault="004745D9" w:rsidP="00A86CD1">
            <w:pPr>
              <w:spacing w:after="0" w:line="276" w:lineRule="auto"/>
              <w:rPr>
                <w:rFonts w:ascii="Arial Narrow" w:eastAsiaTheme="minorHAnsi" w:hAnsi="Arial Narrow" w:cs="Times New Roman"/>
                <w:sz w:val="20"/>
                <w:szCs w:val="20"/>
                <w:lang w:eastAsia="en-US"/>
              </w:rPr>
            </w:pPr>
            <w:r w:rsidRPr="00DA3C6E">
              <w:rPr>
                <w:rFonts w:ascii="Arial Narrow" w:eastAsiaTheme="minorHAnsi" w:hAnsi="Arial Narrow" w:cs="Times New Roman"/>
                <w:sz w:val="20"/>
                <w:szCs w:val="20"/>
                <w:lang w:eastAsia="en-US"/>
              </w:rPr>
              <w:t>Intravenous Ig.</w:t>
            </w:r>
          </w:p>
        </w:tc>
      </w:tr>
      <w:tr w:rsidR="004745D9" w:rsidRPr="00DA3C6E" w14:paraId="668C2B82" w14:textId="77777777" w:rsidTr="00A86CD1">
        <w:tc>
          <w:tcPr>
            <w:tcW w:w="1005" w:type="pct"/>
            <w:tcBorders>
              <w:right w:val="single" w:sz="4" w:space="0" w:color="auto"/>
            </w:tcBorders>
            <w:shd w:val="clear" w:color="auto" w:fill="auto"/>
            <w:vAlign w:val="center"/>
          </w:tcPr>
          <w:p w14:paraId="157A5C37" w14:textId="77777777" w:rsidR="004745D9" w:rsidRPr="00DA3C6E" w:rsidRDefault="004745D9" w:rsidP="00A86CD1">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Comparator</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12306B2C" w14:textId="77777777" w:rsidR="004745D9" w:rsidRPr="00DA3C6E" w:rsidRDefault="004745D9" w:rsidP="00A86CD1">
            <w:pPr>
              <w:spacing w:after="0" w:line="276" w:lineRule="auto"/>
              <w:rPr>
                <w:rFonts w:ascii="Arial Narrow" w:eastAsia="Calibri" w:hAnsi="Arial Narrow" w:cs="Times New Roman"/>
                <w:color w:val="FF0000"/>
                <w:sz w:val="20"/>
                <w:szCs w:val="20"/>
                <w:u w:val="dotted"/>
                <w:lang w:eastAsia="en-US"/>
              </w:rPr>
            </w:pPr>
            <w:r w:rsidRPr="00DA3C6E">
              <w:rPr>
                <w:rFonts w:ascii="Arial Narrow" w:eastAsiaTheme="minorHAnsi" w:hAnsi="Arial Narrow" w:cs="Times New Roman"/>
                <w:sz w:val="20"/>
                <w:szCs w:val="20"/>
                <w:lang w:eastAsia="en-US"/>
              </w:rPr>
              <w:t>The comparator is No Ig with BSC.</w:t>
            </w:r>
          </w:p>
        </w:tc>
      </w:tr>
      <w:tr w:rsidR="004745D9" w:rsidRPr="00DA3C6E" w14:paraId="74A4D6C0" w14:textId="77777777" w:rsidTr="00A86CD1">
        <w:tc>
          <w:tcPr>
            <w:tcW w:w="1005" w:type="pct"/>
            <w:tcBorders>
              <w:right w:val="single" w:sz="4" w:space="0" w:color="auto"/>
            </w:tcBorders>
            <w:shd w:val="clear" w:color="auto" w:fill="auto"/>
            <w:vAlign w:val="center"/>
          </w:tcPr>
          <w:p w14:paraId="2A6E00BB" w14:textId="77777777" w:rsidR="004745D9" w:rsidRPr="00DA3C6E" w:rsidRDefault="004745D9" w:rsidP="00A86CD1">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Outcomes</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591ECBFE" w14:textId="77777777" w:rsidR="004745D9" w:rsidRPr="00DA3C6E" w:rsidRDefault="004745D9" w:rsidP="00A86CD1">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The outcomes listed below are those identified as relevant in the development of the PICO Confirmation. The outcomes identified are:</w:t>
            </w:r>
          </w:p>
          <w:p w14:paraId="0D84A2BF" w14:textId="77777777" w:rsidR="004745D9" w:rsidRPr="00DA3C6E" w:rsidRDefault="004745D9" w:rsidP="00A86CD1">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 xml:space="preserve">Safety outcomes: </w:t>
            </w:r>
          </w:p>
          <w:p w14:paraId="34643A33"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AEs including hypersensitivity reactions, fall in blood pressure with anaphylactic reaction; thromboembolic reactions such as myocardial infarction, stroke, pulmonary embolism, deep vein thromboses; acute renal failure; anaphylaxis, veno-occlusive events.</w:t>
            </w:r>
          </w:p>
          <w:p w14:paraId="041994F1" w14:textId="77777777" w:rsidR="004745D9" w:rsidRPr="00DA3C6E" w:rsidRDefault="004745D9" w:rsidP="00A86CD1">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Clinical effectiveness outcomes:</w:t>
            </w:r>
          </w:p>
          <w:p w14:paraId="64738FEE"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Disease remission; </w:t>
            </w:r>
          </w:p>
          <w:p w14:paraId="40658802"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 in motor muscle weakness;</w:t>
            </w:r>
          </w:p>
          <w:p w14:paraId="121F99CF"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 in disability</w:t>
            </w:r>
            <w:r w:rsidRPr="00DA3C6E">
              <w:rPr>
                <w:rFonts w:ascii="Arial Narrow" w:eastAsia="Calibri" w:hAnsi="Arial Narrow" w:cs="Times New Roman"/>
                <w:sz w:val="20"/>
                <w:szCs w:val="20"/>
                <w:vertAlign w:val="superscript"/>
                <w:lang w:eastAsia="en-US"/>
              </w:rPr>
              <w:t>a</w:t>
            </w:r>
            <w:r w:rsidRPr="00DA3C6E">
              <w:rPr>
                <w:rFonts w:ascii="Arial Narrow" w:eastAsia="Calibri" w:hAnsi="Arial Narrow" w:cs="Times New Roman"/>
                <w:sz w:val="20"/>
                <w:szCs w:val="20"/>
                <w:lang w:eastAsia="en-US"/>
              </w:rPr>
              <w:t>;</w:t>
            </w:r>
          </w:p>
          <w:p w14:paraId="615C4EF2"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 in quality of life (QoL);</w:t>
            </w:r>
          </w:p>
          <w:p w14:paraId="2D4D9553" w14:textId="77777777" w:rsidR="004745D9" w:rsidRPr="00DA3C6E" w:rsidRDefault="004745D9" w:rsidP="004745D9">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Quality adjusted life year.  </w:t>
            </w:r>
          </w:p>
          <w:p w14:paraId="14664ADA" w14:textId="77777777" w:rsidR="004745D9" w:rsidRPr="00DA3C6E" w:rsidRDefault="004745D9" w:rsidP="00A86CD1">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Healthcare system resources utilisation as identified in the Referral</w:t>
            </w:r>
          </w:p>
          <w:p w14:paraId="33523B6D" w14:textId="77777777" w:rsidR="004745D9" w:rsidRPr="00DA3C6E" w:rsidRDefault="004745D9" w:rsidP="004745D9">
            <w:pPr>
              <w:numPr>
                <w:ilvl w:val="0"/>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Changes in health system resource utilisation associated with the intervention compared to the comparator for the following:</w:t>
            </w:r>
          </w:p>
          <w:p w14:paraId="74BEA135"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Intravenous Ig products;</w:t>
            </w:r>
          </w:p>
          <w:p w14:paraId="503B5B93"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Other therapies used in patients with progressive MMN;</w:t>
            </w:r>
          </w:p>
          <w:p w14:paraId="1034F0D8"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lastRenderedPageBreak/>
              <w:t>Infusion equipment;</w:t>
            </w:r>
          </w:p>
          <w:p w14:paraId="5A084B29"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Administrative and clinician time (e.g. resources associated with requesting, and authorising, access to Ig);</w:t>
            </w:r>
          </w:p>
          <w:p w14:paraId="0B3842AF"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Nursing time (for treatment initiation and monitoring of intravenous Ig);</w:t>
            </w:r>
          </w:p>
          <w:p w14:paraId="0862DE70"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Hospitalisation (including use of hospital resources);</w:t>
            </w:r>
          </w:p>
          <w:p w14:paraId="53FC1E44"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Additional treatments used for the occurrence of adverse events (e.g. analgesia or antihistamines);</w:t>
            </w:r>
          </w:p>
          <w:p w14:paraId="0A21FDA9"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Product dispensing and disposal of any unused product;</w:t>
            </w:r>
          </w:p>
          <w:p w14:paraId="550CDF89"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Follow-up and/or monitoring visits, including regular neurology visits;</w:t>
            </w:r>
          </w:p>
          <w:p w14:paraId="69E86BE0"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Disability support services;</w:t>
            </w:r>
          </w:p>
          <w:p w14:paraId="147F59CD" w14:textId="77777777" w:rsidR="004745D9" w:rsidRPr="00DA3C6E" w:rsidRDefault="004745D9" w:rsidP="004745D9">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Home nursing and support needs. </w:t>
            </w:r>
          </w:p>
        </w:tc>
      </w:tr>
    </w:tbl>
    <w:p w14:paraId="72CF7650" w14:textId="77777777" w:rsidR="004745D9" w:rsidRPr="00DA3C6E" w:rsidRDefault="004745D9" w:rsidP="004745D9">
      <w:pPr>
        <w:spacing w:after="0" w:line="240" w:lineRule="auto"/>
        <w:rPr>
          <w:rFonts w:ascii="Arial Narrow" w:hAnsi="Arial Narrow"/>
          <w:sz w:val="18"/>
          <w:szCs w:val="18"/>
        </w:rPr>
      </w:pPr>
      <w:r w:rsidRPr="00DA3C6E">
        <w:rPr>
          <w:rFonts w:ascii="Arial Narrow" w:hAnsi="Arial Narrow"/>
          <w:sz w:val="18"/>
          <w:szCs w:val="18"/>
        </w:rPr>
        <w:lastRenderedPageBreak/>
        <w:t xml:space="preserve">Abbreviations: AE= adverse events; BSC = best supportive care; Ig= immunoglobulin; MMN = multifocal motor neuropathy; ONLS= Overall Neuropathy Limitations Scale; QoL= quality of life. </w:t>
      </w:r>
    </w:p>
    <w:p w14:paraId="1BFAD0ED" w14:textId="77777777" w:rsidR="004745D9" w:rsidRPr="00DA3C6E" w:rsidRDefault="004745D9" w:rsidP="004745D9">
      <w:pPr>
        <w:spacing w:line="240" w:lineRule="auto"/>
        <w:rPr>
          <w:rFonts w:eastAsia="MS Gothic"/>
          <w:b/>
          <w:bCs/>
          <w:i/>
          <w:szCs w:val="26"/>
          <w:u w:val="single"/>
        </w:rPr>
      </w:pPr>
      <w:r w:rsidRPr="00DA3C6E">
        <w:rPr>
          <w:rFonts w:ascii="Arial Narrow" w:hAnsi="Arial Narrow"/>
          <w:sz w:val="18"/>
          <w:szCs w:val="18"/>
        </w:rPr>
        <w:t xml:space="preserve">Note: </w:t>
      </w:r>
      <w:r w:rsidRPr="00DA3C6E">
        <w:rPr>
          <w:rFonts w:ascii="Arial Narrow" w:hAnsi="Arial Narrow"/>
          <w:sz w:val="18"/>
          <w:szCs w:val="18"/>
          <w:vertAlign w:val="superscript"/>
        </w:rPr>
        <w:t>a</w:t>
      </w:r>
      <w:r w:rsidRPr="00DA3C6E">
        <w:rPr>
          <w:rFonts w:ascii="Arial Narrow" w:hAnsi="Arial Narrow"/>
          <w:sz w:val="18"/>
          <w:szCs w:val="18"/>
        </w:rPr>
        <w:t>Different disability tools were used in the randomised trials to assess the efficacy of intravenous Ig in MMN.</w:t>
      </w:r>
    </w:p>
    <w:p w14:paraId="002DE34D" w14:textId="77777777" w:rsidR="004745D9" w:rsidRPr="00DA3C6E" w:rsidRDefault="004745D9" w:rsidP="004745D9">
      <w:pPr>
        <w:pStyle w:val="Heading3"/>
      </w:pPr>
      <w:bookmarkStart w:id="48" w:name="_Toc37845702"/>
      <w:r w:rsidRPr="00DA3C6E">
        <w:rPr>
          <w:rStyle w:val="Heading3Char"/>
          <w:b/>
          <w:smallCaps/>
        </w:rPr>
        <w:t>Characteristics of the Evidence Base</w:t>
      </w:r>
      <w:bookmarkEnd w:id="48"/>
    </w:p>
    <w:p w14:paraId="7B75B438" w14:textId="5C0C1E8C" w:rsidR="004745D9" w:rsidRPr="00DA3C6E" w:rsidRDefault="004745D9" w:rsidP="004745D9">
      <w:r w:rsidRPr="00DA3C6E">
        <w:t xml:space="preserve">A total of 29 studies were included in the final review, 5 RCTs and 24 single arm studies. All five RCTs had </w:t>
      </w:r>
      <w:r w:rsidR="005A47F9" w:rsidRPr="00DA3C6E">
        <w:t xml:space="preserve">a </w:t>
      </w:r>
      <w:r w:rsidRPr="00DA3C6E">
        <w:t xml:space="preserve">limited number of recruited patients in each study (range 5 – 44 patients), a limited follow-up period (28 days – 11 months) and a cross-over study design. In terms of risk of bias, all except one study (some concerns) were catalogued as low risk. The main issue with these studies was the cross-over study design which may lead to a biased treatment effect given that patients recruited to the placebo arm still received the intervention during the study. The latter would bias the results against the intervention. </w:t>
      </w:r>
    </w:p>
    <w:p w14:paraId="6D8FD1D6" w14:textId="77777777" w:rsidR="004745D9" w:rsidRPr="00DA3C6E" w:rsidRDefault="004745D9" w:rsidP="004745D9">
      <w:r w:rsidRPr="00DA3C6E">
        <w:t xml:space="preserve">The literature search showed that there are a number of single arm studies, some retrospective and some prospective, that provide longer-term evidence on the treatment effect in both induction and maintenance phase. Out of the 24 studies assessed, 20 were found to be at moderate risk of bias and 4 were found to be at a low risk of bias. </w:t>
      </w:r>
    </w:p>
    <w:p w14:paraId="4171F2F5" w14:textId="77777777" w:rsidR="004745D9" w:rsidRPr="00DA3C6E" w:rsidRDefault="004745D9" w:rsidP="004745D9">
      <w:pPr>
        <w:pStyle w:val="Heading3"/>
      </w:pPr>
      <w:bookmarkStart w:id="49" w:name="_Toc37845703"/>
      <w:r w:rsidRPr="00DA3C6E">
        <w:t>Results</w:t>
      </w:r>
      <w:bookmarkEnd w:id="49"/>
    </w:p>
    <w:p w14:paraId="4B82705A" w14:textId="77777777" w:rsidR="004745D9" w:rsidRPr="00DA3C6E" w:rsidRDefault="004745D9" w:rsidP="004745D9">
      <w:pPr>
        <w:pStyle w:val="Heading4"/>
      </w:pPr>
      <w:r w:rsidRPr="00DA3C6E">
        <w:t xml:space="preserve">Safety </w:t>
      </w:r>
    </w:p>
    <w:p w14:paraId="661D143F" w14:textId="1C8A5279" w:rsidR="004745D9" w:rsidRPr="00DA3C6E" w:rsidRDefault="004745D9" w:rsidP="004745D9">
      <w:r w:rsidRPr="00DA3C6E">
        <w:t xml:space="preserve">Evidence from RCTs showed that most adverse events (AEs) were mild and mainly infusion reactions like headache, fever and chills. These events are generally characterised as being self-limiting and often resolved by reducing the rate or volume of infusion, or by implementing prophylactic use of antihistamines. </w:t>
      </w:r>
      <w:r w:rsidR="00B42364" w:rsidRPr="00DA3C6E">
        <w:t>Only one RCT, Hahn et al. 2013, reported one patient</w:t>
      </w:r>
      <w:r w:rsidR="009E7C31">
        <w:t>,</w:t>
      </w:r>
      <w:r w:rsidR="00B42364" w:rsidRPr="00DA3C6E">
        <w:t xml:space="preserve"> who suffered a pulmonary embolism</w:t>
      </w:r>
      <w:r w:rsidR="009E7C31">
        <w:t>,</w:t>
      </w:r>
      <w:r w:rsidR="00B42364" w:rsidRPr="00DA3C6E">
        <w:t xml:space="preserve"> which was categorized as a serious adverse event attributed to the use of intravenous Ig by the investigators.</w:t>
      </w:r>
      <w:r w:rsidRPr="00DA3C6E">
        <w:t xml:space="preserve"> The safety profile did not show </w:t>
      </w:r>
      <w:r w:rsidR="00B42364" w:rsidRPr="00DA3C6E">
        <w:t xml:space="preserve">significant </w:t>
      </w:r>
      <w:r w:rsidRPr="00DA3C6E">
        <w:t xml:space="preserve">differences between the randomised and single arm studies. </w:t>
      </w:r>
    </w:p>
    <w:p w14:paraId="049E8FC7" w14:textId="77777777" w:rsidR="004745D9" w:rsidRPr="00DA3C6E" w:rsidRDefault="004745D9" w:rsidP="004745D9">
      <w:r w:rsidRPr="00DA3C6E">
        <w:t xml:space="preserve">Intravenous Ig products have been used in patients with MMN since the early 1990s, thus the safety profile is well understood, even with regard to rare events. The safety profile as presented in the </w:t>
      </w:r>
      <w:r w:rsidRPr="00DA3C6E">
        <w:lastRenderedPageBreak/>
        <w:t xml:space="preserve">Product Information (PI) provides a comprehensive overview and understanding on the occurrence of </w:t>
      </w:r>
      <w:r w:rsidR="00B42364" w:rsidRPr="00DA3C6E">
        <w:t>AEs</w:t>
      </w:r>
      <w:r w:rsidRPr="00DA3C6E">
        <w:t xml:space="preserve">, special warnings and precautions for use.  </w:t>
      </w:r>
    </w:p>
    <w:p w14:paraId="51FE856E" w14:textId="77777777" w:rsidR="004745D9" w:rsidRPr="00DA3C6E" w:rsidRDefault="004745D9" w:rsidP="004745D9">
      <w:pPr>
        <w:pStyle w:val="Heading4"/>
      </w:pPr>
      <w:r w:rsidRPr="00DA3C6E">
        <w:t xml:space="preserve">Effectiveness </w:t>
      </w:r>
    </w:p>
    <w:p w14:paraId="2C51B962" w14:textId="77777777" w:rsidR="004745D9" w:rsidRPr="00DA3C6E" w:rsidRDefault="002011B8" w:rsidP="004745D9">
      <w:r w:rsidRPr="00DA3C6E">
        <w:t xml:space="preserve">Three </w:t>
      </w:r>
      <w:r w:rsidR="004745D9" w:rsidRPr="00DA3C6E">
        <w:t>out of the five studies reported improvement in disability as an outcome measure, but of these only the study by Hahn et al</w:t>
      </w:r>
      <w:r w:rsidR="00607073" w:rsidRPr="00DA3C6E">
        <w:t>. 2013</w:t>
      </w:r>
      <w:r w:rsidR="004745D9" w:rsidRPr="00DA3C6E">
        <w:t xml:space="preserve"> found statistically significant differences (RR = </w:t>
      </w:r>
      <w:r w:rsidR="00607073" w:rsidRPr="00DA3C6E">
        <w:t>1.34; 95% CI 1.08, 1.67</w:t>
      </w:r>
      <w:r w:rsidR="004745D9" w:rsidRPr="00DA3C6E">
        <w:t xml:space="preserve">). The pooled treatment effect reported in Hahn et al 2013 and Leger et al 2001 was RR 1.81 (95% CI 0.74, 4.45), which means that intravenous Ig is superior to placebo (p=0.19) however, no statistical differences were found. These results were produced under the assumption that the improvement was independent of the assessment tools used to measure the outcome. Similarly, all </w:t>
      </w:r>
      <w:r w:rsidRPr="00DA3C6E">
        <w:t xml:space="preserve">five </w:t>
      </w:r>
      <w:r w:rsidR="004745D9" w:rsidRPr="00DA3C6E">
        <w:t>RCTs showed that intravenous Ig compared to placebo, resulted in an improvement in muscle strength but this difference was only statistically significant in the study conducted by Hahn et al</w:t>
      </w:r>
      <w:r w:rsidR="001469F7" w:rsidRPr="00DA3C6E">
        <w:t>.</w:t>
      </w:r>
      <w:r w:rsidR="004745D9" w:rsidRPr="00DA3C6E">
        <w:t xml:space="preserve"> 2013 (RR = 1.67; 95% CI 1.27, 2.18). The pooled treatment effect of RR 3.51 (95% CI 1.12, 11.05) reflects intravenous Ig being superior to placebo for improvement in muscle strength (p</w:t>
      </w:r>
      <w:r w:rsidR="00385CAE" w:rsidRPr="00DA3C6E">
        <w:t xml:space="preserve"> = </w:t>
      </w:r>
      <w:r w:rsidR="004745D9" w:rsidRPr="00DA3C6E">
        <w:t>0.03)</w:t>
      </w:r>
      <w:r w:rsidR="006C6113" w:rsidRPr="00DA3C6E">
        <w:t xml:space="preserve"> </w:t>
      </w:r>
      <w:r w:rsidR="00385CAE" w:rsidRPr="00DA3C6E">
        <w:t>as shown in Table</w:t>
      </w:r>
      <w:r w:rsidR="007D73EF" w:rsidRPr="00DA3C6E">
        <w:t xml:space="preserve"> ES.3</w:t>
      </w:r>
      <w:r w:rsidR="004745D9" w:rsidRPr="00DA3C6E">
        <w:t>.</w:t>
      </w:r>
    </w:p>
    <w:p w14:paraId="5641B812" w14:textId="77777777" w:rsidR="004745D9" w:rsidRPr="00DA3C6E" w:rsidRDefault="004745D9" w:rsidP="004745D9">
      <w:pPr>
        <w:pStyle w:val="Caption"/>
        <w:keepNext/>
        <w:keepLines/>
      </w:pPr>
      <w:r w:rsidRPr="00DA3C6E">
        <w:t xml:space="preserve">Table </w:t>
      </w:r>
      <w:r w:rsidR="00BA1AEA" w:rsidRPr="00DA3C6E">
        <w:t>ES.</w:t>
      </w:r>
      <w:r w:rsidRPr="00DA3C6E">
        <w:t xml:space="preserve">3. </w:t>
      </w:r>
      <w:r w:rsidRPr="00DA3C6E">
        <w:rPr>
          <w:rFonts w:cs="Arial"/>
          <w:snapToGrid w:val="0"/>
          <w:szCs w:val="16"/>
          <w:lang w:eastAsia="en-US"/>
        </w:rPr>
        <w:t>Balance of clinical benefits and harms of intravenous Ig, relative to No Ig with BSC, and as measured by the critical patient-relevant outcomes in the key studies</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6"/>
        <w:gridCol w:w="1129"/>
        <w:gridCol w:w="1388"/>
        <w:gridCol w:w="1982"/>
        <w:gridCol w:w="2671"/>
      </w:tblGrid>
      <w:tr w:rsidR="004745D9" w:rsidRPr="00DA3C6E" w14:paraId="61C9FE90" w14:textId="77777777" w:rsidTr="00A86CD1">
        <w:trPr>
          <w:trHeight w:val="862"/>
          <w:tblHeader/>
        </w:trPr>
        <w:tc>
          <w:tcPr>
            <w:tcW w:w="1024" w:type="pct"/>
            <w:shd w:val="clear" w:color="auto" w:fill="auto"/>
            <w:vAlign w:val="center"/>
          </w:tcPr>
          <w:p w14:paraId="323F71B7" w14:textId="77777777" w:rsidR="004745D9" w:rsidRPr="00DA3C6E" w:rsidRDefault="004745D9" w:rsidP="00A86CD1">
            <w:pPr>
              <w:pStyle w:val="TableHeading"/>
              <w:jc w:val="left"/>
              <w:rPr>
                <w:snapToGrid w:val="0"/>
                <w:lang w:eastAsia="en-US"/>
              </w:rPr>
            </w:pPr>
            <w:r w:rsidRPr="00DA3C6E">
              <w:rPr>
                <w:snapToGrid w:val="0"/>
                <w:lang w:eastAsia="en-US"/>
              </w:rPr>
              <w:t>Outcome</w:t>
            </w:r>
          </w:p>
        </w:tc>
        <w:tc>
          <w:tcPr>
            <w:tcW w:w="626" w:type="pct"/>
            <w:vAlign w:val="center"/>
          </w:tcPr>
          <w:p w14:paraId="46FA57E4" w14:textId="77777777" w:rsidR="004745D9" w:rsidRPr="00DA3C6E" w:rsidRDefault="004745D9" w:rsidP="00A86CD1">
            <w:pPr>
              <w:pStyle w:val="TableHeading"/>
              <w:ind w:left="16" w:right="117"/>
              <w:jc w:val="left"/>
              <w:rPr>
                <w:snapToGrid w:val="0"/>
                <w:lang w:eastAsia="en-US"/>
              </w:rPr>
            </w:pPr>
          </w:p>
          <w:p w14:paraId="0D0A9A93" w14:textId="77777777" w:rsidR="004745D9" w:rsidRPr="00DA3C6E" w:rsidRDefault="004745D9" w:rsidP="00A86CD1">
            <w:pPr>
              <w:pStyle w:val="TableHeading"/>
              <w:ind w:left="16" w:right="117"/>
              <w:jc w:val="left"/>
              <w:rPr>
                <w:snapToGrid w:val="0"/>
                <w:lang w:eastAsia="en-US"/>
              </w:rPr>
            </w:pPr>
            <w:r w:rsidRPr="00DA3C6E">
              <w:rPr>
                <w:snapToGrid w:val="0"/>
                <w:lang w:eastAsia="en-US"/>
              </w:rPr>
              <w:t>Participants (studies)</w:t>
            </w:r>
          </w:p>
        </w:tc>
        <w:tc>
          <w:tcPr>
            <w:tcW w:w="770" w:type="pct"/>
            <w:shd w:val="clear" w:color="auto" w:fill="auto"/>
            <w:vAlign w:val="center"/>
          </w:tcPr>
          <w:p w14:paraId="6AD8BD96" w14:textId="77777777" w:rsidR="004745D9" w:rsidRPr="00DA3C6E" w:rsidRDefault="004745D9" w:rsidP="00A86CD1">
            <w:pPr>
              <w:pStyle w:val="TableHeading"/>
              <w:ind w:left="16" w:right="117"/>
              <w:jc w:val="left"/>
              <w:rPr>
                <w:snapToGrid w:val="0"/>
                <w:lang w:eastAsia="en-US"/>
              </w:rPr>
            </w:pPr>
            <w:r w:rsidRPr="00DA3C6E">
              <w:rPr>
                <w:snapToGrid w:val="0"/>
                <w:lang w:eastAsia="en-US"/>
              </w:rPr>
              <w:t>Risk of bias</w:t>
            </w:r>
          </w:p>
        </w:tc>
        <w:tc>
          <w:tcPr>
            <w:tcW w:w="1099" w:type="pct"/>
            <w:shd w:val="clear" w:color="auto" w:fill="auto"/>
            <w:vAlign w:val="center"/>
          </w:tcPr>
          <w:p w14:paraId="17EE0893" w14:textId="77777777" w:rsidR="004745D9" w:rsidRPr="00DA3C6E" w:rsidRDefault="004745D9" w:rsidP="00A86CD1">
            <w:pPr>
              <w:pStyle w:val="TableHeading"/>
              <w:ind w:left="41" w:right="117"/>
              <w:jc w:val="left"/>
            </w:pPr>
            <w:r w:rsidRPr="00DA3C6E">
              <w:t xml:space="preserve">Risk ratio </w:t>
            </w:r>
          </w:p>
          <w:p w14:paraId="21CBA43B" w14:textId="77777777" w:rsidR="004745D9" w:rsidRPr="00DA3C6E" w:rsidRDefault="004745D9" w:rsidP="00A86CD1">
            <w:pPr>
              <w:pStyle w:val="TableHeading"/>
              <w:ind w:left="41" w:right="117"/>
              <w:jc w:val="left"/>
              <w:rPr>
                <w:snapToGrid w:val="0"/>
                <w:lang w:eastAsia="en-US"/>
              </w:rPr>
            </w:pPr>
            <w:r w:rsidRPr="00DA3C6E">
              <w:t xml:space="preserve"> (95% CI)</w:t>
            </w:r>
          </w:p>
        </w:tc>
        <w:tc>
          <w:tcPr>
            <w:tcW w:w="1481" w:type="pct"/>
            <w:shd w:val="clear" w:color="auto" w:fill="auto"/>
            <w:vAlign w:val="center"/>
          </w:tcPr>
          <w:p w14:paraId="1C682116" w14:textId="77777777" w:rsidR="004745D9" w:rsidRPr="00DA3C6E" w:rsidRDefault="004745D9" w:rsidP="00A86CD1">
            <w:pPr>
              <w:pStyle w:val="TableHeading"/>
              <w:ind w:right="117"/>
              <w:jc w:val="left"/>
              <w:rPr>
                <w:snapToGrid w:val="0"/>
                <w:lang w:eastAsia="en-US"/>
              </w:rPr>
            </w:pPr>
            <w:r w:rsidRPr="00DA3C6E">
              <w:rPr>
                <w:snapToGrid w:val="0"/>
                <w:lang w:eastAsia="en-US"/>
              </w:rPr>
              <w:t xml:space="preserve">Comment </w:t>
            </w:r>
          </w:p>
        </w:tc>
      </w:tr>
      <w:tr w:rsidR="004745D9" w:rsidRPr="00DA3C6E" w14:paraId="2906CF11" w14:textId="77777777" w:rsidTr="00A86CD1">
        <w:trPr>
          <w:trHeight w:val="905"/>
        </w:trPr>
        <w:tc>
          <w:tcPr>
            <w:tcW w:w="1024" w:type="pct"/>
            <w:shd w:val="clear" w:color="auto" w:fill="auto"/>
            <w:vAlign w:val="center"/>
          </w:tcPr>
          <w:p w14:paraId="1D37D5A6" w14:textId="77777777" w:rsidR="004745D9" w:rsidRPr="00DA3C6E" w:rsidRDefault="004745D9" w:rsidP="00A86CD1">
            <w:pPr>
              <w:pStyle w:val="TableText0"/>
              <w:jc w:val="left"/>
            </w:pPr>
            <w:r w:rsidRPr="00DA3C6E">
              <w:rPr>
                <w:b/>
                <w:snapToGrid w:val="0"/>
              </w:rPr>
              <w:t>Improvement in disability</w:t>
            </w:r>
          </w:p>
        </w:tc>
        <w:tc>
          <w:tcPr>
            <w:tcW w:w="626" w:type="pct"/>
            <w:vAlign w:val="center"/>
          </w:tcPr>
          <w:p w14:paraId="020BF409" w14:textId="77777777" w:rsidR="004745D9" w:rsidRPr="00DA3C6E" w:rsidRDefault="004745D9" w:rsidP="00A86CD1">
            <w:pPr>
              <w:pStyle w:val="TableText0"/>
              <w:ind w:right="117"/>
              <w:jc w:val="left"/>
              <w:rPr>
                <w:snapToGrid w:val="0"/>
              </w:rPr>
            </w:pPr>
            <w:r w:rsidRPr="00DA3C6E">
              <w:rPr>
                <w:snapToGrid w:val="0"/>
              </w:rPr>
              <w:t xml:space="preserve">K= 2 studies: </w:t>
            </w:r>
          </w:p>
          <w:p w14:paraId="1F9DAFA0" w14:textId="77777777" w:rsidR="004745D9" w:rsidRPr="00DA3C6E" w:rsidRDefault="004745D9" w:rsidP="00A86CD1">
            <w:pPr>
              <w:pStyle w:val="TableText0"/>
              <w:ind w:right="117"/>
              <w:jc w:val="left"/>
              <w:rPr>
                <w:snapToGrid w:val="0"/>
              </w:rPr>
            </w:pPr>
            <w:r w:rsidRPr="00DA3C6E">
              <w:rPr>
                <w:snapToGrid w:val="0"/>
              </w:rPr>
              <w:t>N= 60</w:t>
            </w:r>
          </w:p>
          <w:p w14:paraId="7F6742FF" w14:textId="77777777" w:rsidR="004745D9" w:rsidRPr="00DA3C6E" w:rsidRDefault="004745D9" w:rsidP="00A86CD1">
            <w:pPr>
              <w:pStyle w:val="TableText0"/>
              <w:ind w:left="16" w:right="117"/>
              <w:jc w:val="left"/>
              <w:rPr>
                <w:snapToGrid w:val="0"/>
              </w:rPr>
            </w:pPr>
          </w:p>
        </w:tc>
        <w:tc>
          <w:tcPr>
            <w:tcW w:w="770" w:type="pct"/>
            <w:vAlign w:val="center"/>
          </w:tcPr>
          <w:p w14:paraId="3782387C" w14:textId="77777777" w:rsidR="004745D9" w:rsidRPr="00DA3C6E" w:rsidRDefault="004745D9" w:rsidP="00A86CD1">
            <w:pPr>
              <w:pStyle w:val="TableText0"/>
              <w:ind w:right="117"/>
              <w:jc w:val="left"/>
              <w:rPr>
                <w:snapToGrid w:val="0"/>
                <w:szCs w:val="20"/>
              </w:rPr>
            </w:pPr>
            <w:r w:rsidRPr="00DA3C6E">
              <w:rPr>
                <w:rFonts w:cs="Cambria Math"/>
                <w:szCs w:val="20"/>
              </w:rPr>
              <w:t xml:space="preserve">Low </w:t>
            </w:r>
          </w:p>
        </w:tc>
        <w:tc>
          <w:tcPr>
            <w:tcW w:w="1099" w:type="pct"/>
            <w:shd w:val="clear" w:color="auto" w:fill="auto"/>
            <w:vAlign w:val="center"/>
          </w:tcPr>
          <w:p w14:paraId="19BDACAA" w14:textId="77777777" w:rsidR="004745D9" w:rsidRPr="00DA3C6E" w:rsidRDefault="004745D9" w:rsidP="00A86CD1">
            <w:pPr>
              <w:pStyle w:val="TableText0"/>
              <w:ind w:left="41" w:right="117"/>
              <w:jc w:val="left"/>
              <w:rPr>
                <w:i/>
                <w:snapToGrid w:val="0"/>
              </w:rPr>
            </w:pPr>
            <w:r w:rsidRPr="00DA3C6E">
              <w:rPr>
                <w:i/>
                <w:snapToGrid w:val="0"/>
              </w:rPr>
              <w:t xml:space="preserve">RR = 1.81 (0.74, 4.45) </w:t>
            </w:r>
          </w:p>
          <w:p w14:paraId="1C95B167" w14:textId="77777777" w:rsidR="004745D9" w:rsidRPr="00DA3C6E" w:rsidRDefault="004745D9" w:rsidP="00A86CD1">
            <w:pPr>
              <w:pStyle w:val="TableText0"/>
              <w:ind w:left="41" w:right="117"/>
              <w:jc w:val="left"/>
              <w:rPr>
                <w:i/>
                <w:snapToGrid w:val="0"/>
              </w:rPr>
            </w:pPr>
            <w:r w:rsidRPr="00DA3C6E">
              <w:rPr>
                <w:i/>
                <w:snapToGrid w:val="0"/>
              </w:rPr>
              <w:t>p = 0.002</w:t>
            </w:r>
          </w:p>
        </w:tc>
        <w:tc>
          <w:tcPr>
            <w:tcW w:w="1481" w:type="pct"/>
            <w:shd w:val="clear" w:color="auto" w:fill="auto"/>
            <w:vAlign w:val="center"/>
          </w:tcPr>
          <w:p w14:paraId="35C38660" w14:textId="77777777" w:rsidR="004745D9" w:rsidRPr="00DA3C6E" w:rsidRDefault="004745D9" w:rsidP="00A86CD1">
            <w:pPr>
              <w:pStyle w:val="TableText0"/>
              <w:ind w:right="117"/>
              <w:jc w:val="left"/>
              <w:rPr>
                <w:snapToGrid w:val="0"/>
              </w:rPr>
            </w:pPr>
            <w:r w:rsidRPr="00DA3C6E">
              <w:rPr>
                <w:snapToGrid w:val="0"/>
              </w:rPr>
              <w:t xml:space="preserve">The risk of bias of the two studies pooled was considered Low. The meta-analysis showed the pooled treatment effect for improvement in disability was superior in intravenous Ig compared with placebo. </w:t>
            </w:r>
            <w:r w:rsidRPr="00DA3C6E">
              <w:t>It was assumed that the improvement in disability was independent of the tools used to measure the outcome.</w:t>
            </w:r>
          </w:p>
        </w:tc>
      </w:tr>
      <w:tr w:rsidR="004745D9" w:rsidRPr="00DA3C6E" w14:paraId="0026DC9C" w14:textId="77777777" w:rsidTr="00A86CD1">
        <w:trPr>
          <w:trHeight w:val="905"/>
        </w:trPr>
        <w:tc>
          <w:tcPr>
            <w:tcW w:w="1024" w:type="pct"/>
            <w:shd w:val="clear" w:color="auto" w:fill="auto"/>
            <w:vAlign w:val="center"/>
          </w:tcPr>
          <w:p w14:paraId="05428FE1" w14:textId="77777777" w:rsidR="004745D9" w:rsidRPr="00DA3C6E" w:rsidRDefault="004745D9" w:rsidP="00A86CD1">
            <w:pPr>
              <w:pStyle w:val="TableText0"/>
              <w:jc w:val="left"/>
              <w:rPr>
                <w:b/>
              </w:rPr>
            </w:pPr>
            <w:r w:rsidRPr="00DA3C6E">
              <w:rPr>
                <w:b/>
              </w:rPr>
              <w:t>Improvement in muscle strength/grip</w:t>
            </w:r>
          </w:p>
        </w:tc>
        <w:tc>
          <w:tcPr>
            <w:tcW w:w="626" w:type="pct"/>
            <w:vAlign w:val="center"/>
          </w:tcPr>
          <w:p w14:paraId="65964FE7" w14:textId="77777777" w:rsidR="004745D9" w:rsidRPr="00DA3C6E" w:rsidRDefault="004745D9" w:rsidP="00A86CD1">
            <w:pPr>
              <w:pStyle w:val="TableText0"/>
              <w:ind w:left="16" w:right="117"/>
              <w:jc w:val="left"/>
              <w:rPr>
                <w:snapToGrid w:val="0"/>
              </w:rPr>
            </w:pPr>
            <w:r w:rsidRPr="00DA3C6E">
              <w:rPr>
                <w:snapToGrid w:val="0"/>
              </w:rPr>
              <w:t>K=4 studies</w:t>
            </w:r>
          </w:p>
          <w:p w14:paraId="52842E5A" w14:textId="77777777" w:rsidR="004745D9" w:rsidRPr="00DA3C6E" w:rsidRDefault="004745D9" w:rsidP="00A86CD1">
            <w:pPr>
              <w:pStyle w:val="TableText0"/>
              <w:ind w:left="16" w:right="117"/>
              <w:jc w:val="left"/>
              <w:rPr>
                <w:snapToGrid w:val="0"/>
              </w:rPr>
            </w:pPr>
            <w:r w:rsidRPr="00DA3C6E">
              <w:rPr>
                <w:snapToGrid w:val="0"/>
              </w:rPr>
              <w:t>N=82</w:t>
            </w:r>
          </w:p>
          <w:p w14:paraId="33F31FF1" w14:textId="77777777" w:rsidR="004745D9" w:rsidRPr="00DA3C6E" w:rsidRDefault="004745D9" w:rsidP="00A86CD1">
            <w:pPr>
              <w:pStyle w:val="TableText0"/>
              <w:ind w:left="16" w:right="117"/>
              <w:jc w:val="left"/>
              <w:rPr>
                <w:snapToGrid w:val="0"/>
              </w:rPr>
            </w:pPr>
          </w:p>
        </w:tc>
        <w:tc>
          <w:tcPr>
            <w:tcW w:w="770" w:type="pct"/>
            <w:vAlign w:val="center"/>
          </w:tcPr>
          <w:p w14:paraId="111D33F3" w14:textId="77777777" w:rsidR="004745D9" w:rsidRPr="00DA3C6E" w:rsidRDefault="004745D9" w:rsidP="00A86CD1">
            <w:pPr>
              <w:pStyle w:val="TableText0"/>
              <w:ind w:left="16" w:right="117"/>
              <w:jc w:val="left"/>
              <w:rPr>
                <w:snapToGrid w:val="0"/>
                <w:szCs w:val="20"/>
              </w:rPr>
            </w:pPr>
            <w:r w:rsidRPr="00DA3C6E">
              <w:rPr>
                <w:szCs w:val="20"/>
              </w:rPr>
              <w:t xml:space="preserve">Low </w:t>
            </w:r>
          </w:p>
        </w:tc>
        <w:tc>
          <w:tcPr>
            <w:tcW w:w="1099" w:type="pct"/>
            <w:shd w:val="clear" w:color="auto" w:fill="auto"/>
            <w:vAlign w:val="center"/>
          </w:tcPr>
          <w:p w14:paraId="285EAB20" w14:textId="77777777" w:rsidR="004745D9" w:rsidRPr="00DA3C6E" w:rsidRDefault="004745D9" w:rsidP="00A86CD1">
            <w:pPr>
              <w:pStyle w:val="TableText0"/>
              <w:ind w:left="41" w:right="117"/>
              <w:jc w:val="left"/>
              <w:rPr>
                <w:i/>
                <w:snapToGrid w:val="0"/>
              </w:rPr>
            </w:pPr>
            <w:r w:rsidRPr="00DA3C6E">
              <w:rPr>
                <w:i/>
                <w:snapToGrid w:val="0"/>
              </w:rPr>
              <w:t>RR = 3.51 (1.12, 11.05)</w:t>
            </w:r>
          </w:p>
          <w:p w14:paraId="52D7A6CB" w14:textId="77777777" w:rsidR="004745D9" w:rsidRPr="00DA3C6E" w:rsidRDefault="004745D9" w:rsidP="00A86CD1">
            <w:pPr>
              <w:pStyle w:val="TableText0"/>
              <w:ind w:left="41" w:right="117"/>
              <w:jc w:val="left"/>
              <w:rPr>
                <w:i/>
                <w:snapToGrid w:val="0"/>
              </w:rPr>
            </w:pPr>
            <w:r w:rsidRPr="00DA3C6E">
              <w:rPr>
                <w:i/>
                <w:snapToGrid w:val="0"/>
              </w:rPr>
              <w:t>p = 0.03</w:t>
            </w:r>
          </w:p>
        </w:tc>
        <w:tc>
          <w:tcPr>
            <w:tcW w:w="1481" w:type="pct"/>
            <w:shd w:val="clear" w:color="auto" w:fill="auto"/>
            <w:vAlign w:val="center"/>
          </w:tcPr>
          <w:p w14:paraId="36268E1E" w14:textId="77777777" w:rsidR="004745D9" w:rsidRPr="00DA3C6E" w:rsidRDefault="004745D9" w:rsidP="00A86CD1">
            <w:pPr>
              <w:pStyle w:val="TableText0"/>
              <w:ind w:right="117"/>
              <w:jc w:val="left"/>
              <w:rPr>
                <w:snapToGrid w:val="0"/>
              </w:rPr>
            </w:pPr>
            <w:r w:rsidRPr="00DA3C6E">
              <w:rPr>
                <w:snapToGrid w:val="0"/>
              </w:rPr>
              <w:t xml:space="preserve">The risk of bias of the four studies pooled was considered Low. Independently, all studies showed that intravenous Ig compared with placebo resulted in an improvement in muscle strength. </w:t>
            </w:r>
          </w:p>
        </w:tc>
      </w:tr>
    </w:tbl>
    <w:p w14:paraId="6DE9F9A0" w14:textId="77777777" w:rsidR="004745D9" w:rsidRPr="00DA3C6E" w:rsidRDefault="004745D9" w:rsidP="004745D9">
      <w:pPr>
        <w:widowControl w:val="0"/>
        <w:spacing w:after="0" w:line="240" w:lineRule="auto"/>
        <w:rPr>
          <w:rFonts w:ascii="Arial Narrow" w:hAnsi="Arial Narrow" w:cs="Arial"/>
          <w:snapToGrid w:val="0"/>
          <w:sz w:val="18"/>
          <w:szCs w:val="20"/>
          <w:lang w:eastAsia="en-US"/>
        </w:rPr>
      </w:pPr>
      <w:r w:rsidRPr="00DA3C6E">
        <w:rPr>
          <w:rFonts w:ascii="Arial Narrow" w:hAnsi="Arial Narrow" w:cs="Arial"/>
          <w:snapToGrid w:val="0"/>
          <w:sz w:val="18"/>
          <w:szCs w:val="20"/>
          <w:lang w:eastAsia="en-US"/>
        </w:rPr>
        <w:t>Abbreviations: CI = confidence interval; K= number of studies; N=number of participants in a study; RR= risk ratio</w:t>
      </w:r>
    </w:p>
    <w:p w14:paraId="441A6EBB" w14:textId="77777777" w:rsidR="004745D9" w:rsidRPr="00DA3C6E" w:rsidRDefault="004745D9" w:rsidP="004745D9">
      <w:pPr>
        <w:spacing w:after="0" w:line="240" w:lineRule="auto"/>
        <w:rPr>
          <w:rFonts w:ascii="Arial Narrow" w:hAnsi="Arial Narrow"/>
          <w:sz w:val="18"/>
          <w:szCs w:val="20"/>
        </w:rPr>
      </w:pPr>
      <w:r w:rsidRPr="00DA3C6E">
        <w:rPr>
          <w:rFonts w:ascii="Arial Narrow" w:hAnsi="Arial Narrow" w:cs="Arial"/>
          <w:snapToGrid w:val="0"/>
          <w:sz w:val="18"/>
          <w:szCs w:val="20"/>
          <w:lang w:eastAsia="en-US"/>
        </w:rPr>
        <w:t>Notes: The risk ratio was calculated during the evaluation (italics); bold text indicates statistically significant differences.</w:t>
      </w:r>
      <w:r w:rsidRPr="00DA3C6E">
        <w:rPr>
          <w:rFonts w:ascii="Arial Narrow" w:hAnsi="Arial Narrow"/>
          <w:sz w:val="18"/>
          <w:szCs w:val="20"/>
        </w:rPr>
        <w:t xml:space="preserve"> </w:t>
      </w:r>
    </w:p>
    <w:p w14:paraId="4516CAAF" w14:textId="77777777" w:rsidR="004745D9" w:rsidRPr="00DA3C6E" w:rsidRDefault="004745D9" w:rsidP="004745D9">
      <w:pPr>
        <w:pStyle w:val="Heading3"/>
      </w:pPr>
      <w:bookmarkStart w:id="50" w:name="_Toc37845704"/>
      <w:r w:rsidRPr="00DA3C6E">
        <w:t>Translation Issues</w:t>
      </w:r>
      <w:bookmarkEnd w:id="50"/>
    </w:p>
    <w:p w14:paraId="166A71BF" w14:textId="77777777" w:rsidR="004745D9" w:rsidRPr="00DA3C6E" w:rsidRDefault="004745D9" w:rsidP="004745D9">
      <w:r w:rsidRPr="00DA3C6E">
        <w:t xml:space="preserve">The economic model presented in Section D is a cost utility analysis. The immunomodulatory effect of intravenous Ig is expected to translate into improved muscle strength, reduced disability and overall improved quality of life. The clinical benefit derived from these outcomes is reflected in the increased time a patient remains stable/maintained improvement, however it does not lead to a cure of MMN. All patients will eventually discontinue treatment and their disease will enter into a slowly progressive </w:t>
      </w:r>
      <w:r w:rsidRPr="00DA3C6E">
        <w:lastRenderedPageBreak/>
        <w:t xml:space="preserve">disease phase which ultimately will deteriorate their QoL. </w:t>
      </w:r>
      <w:r w:rsidR="00811025" w:rsidRPr="00DA3C6E">
        <w:t xml:space="preserve">Table ES.4 summarises the translational issues identified from the clinical evidence, to the economic model and Australian setting. </w:t>
      </w:r>
    </w:p>
    <w:p w14:paraId="0C9A5B85" w14:textId="77777777" w:rsidR="004745D9" w:rsidRPr="00DA3C6E" w:rsidRDefault="004745D9" w:rsidP="004745D9">
      <w:pPr>
        <w:pStyle w:val="Caption"/>
        <w:keepNext/>
      </w:pPr>
      <w:r w:rsidRPr="00DA3C6E">
        <w:t xml:space="preserve">Table </w:t>
      </w:r>
      <w:r w:rsidR="00BA1AEA" w:rsidRPr="00DA3C6E">
        <w:t>ES.</w:t>
      </w:r>
      <w:r w:rsidRPr="00DA3C6E">
        <w:t>4. Summary of results of pre-modelling studies and their uses in the economic evaluation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Caption w:val="Table 18 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558"/>
        <w:gridCol w:w="1557"/>
        <w:gridCol w:w="4388"/>
        <w:gridCol w:w="1513"/>
      </w:tblGrid>
      <w:tr w:rsidR="004745D9" w:rsidRPr="00DA3C6E" w14:paraId="44B7D807" w14:textId="77777777" w:rsidTr="003A3CAF">
        <w:trPr>
          <w:cantSplit/>
          <w:trHeight w:val="53"/>
        </w:trPr>
        <w:tc>
          <w:tcPr>
            <w:tcW w:w="1560" w:type="dxa"/>
            <w:shd w:val="clear" w:color="auto" w:fill="auto"/>
            <w:vAlign w:val="center"/>
          </w:tcPr>
          <w:p w14:paraId="18B5BA76" w14:textId="77777777" w:rsidR="004745D9" w:rsidRPr="00DA3C6E" w:rsidRDefault="004745D9" w:rsidP="00A86CD1">
            <w:pPr>
              <w:pStyle w:val="TableHeading"/>
              <w:jc w:val="left"/>
            </w:pPr>
            <w:r w:rsidRPr="00DA3C6E">
              <w:t>Section</w:t>
            </w:r>
          </w:p>
        </w:tc>
        <w:tc>
          <w:tcPr>
            <w:tcW w:w="1559" w:type="dxa"/>
            <w:shd w:val="clear" w:color="auto" w:fill="auto"/>
            <w:vAlign w:val="center"/>
          </w:tcPr>
          <w:p w14:paraId="0EBEFCBD" w14:textId="77777777" w:rsidR="004745D9" w:rsidRPr="00DA3C6E" w:rsidRDefault="004745D9" w:rsidP="00A86CD1">
            <w:pPr>
              <w:pStyle w:val="TableHeading"/>
              <w:jc w:val="left"/>
            </w:pPr>
            <w:r w:rsidRPr="00DA3C6E">
              <w:t>Pre-modelling study</w:t>
            </w:r>
          </w:p>
        </w:tc>
        <w:tc>
          <w:tcPr>
            <w:tcW w:w="4394" w:type="dxa"/>
            <w:shd w:val="clear" w:color="auto" w:fill="auto"/>
            <w:vAlign w:val="center"/>
          </w:tcPr>
          <w:p w14:paraId="4FF29728" w14:textId="77777777" w:rsidR="004745D9" w:rsidRPr="00DA3C6E" w:rsidRDefault="004745D9" w:rsidP="00A86CD1">
            <w:pPr>
              <w:pStyle w:val="TableHeading"/>
              <w:jc w:val="left"/>
            </w:pPr>
            <w:r w:rsidRPr="00DA3C6E">
              <w:t>Results used in Section D</w:t>
            </w:r>
          </w:p>
        </w:tc>
        <w:tc>
          <w:tcPr>
            <w:tcW w:w="1515" w:type="dxa"/>
            <w:shd w:val="clear" w:color="auto" w:fill="auto"/>
            <w:vAlign w:val="center"/>
          </w:tcPr>
          <w:p w14:paraId="289DB1B9" w14:textId="77777777" w:rsidR="004745D9" w:rsidRPr="00DA3C6E" w:rsidRDefault="004745D9" w:rsidP="00A86CD1">
            <w:pPr>
              <w:pStyle w:val="TableHeading"/>
              <w:jc w:val="left"/>
            </w:pPr>
            <w:r w:rsidRPr="00DA3C6E">
              <w:t>Overall impact in the results</w:t>
            </w:r>
          </w:p>
        </w:tc>
      </w:tr>
      <w:tr w:rsidR="004745D9" w:rsidRPr="00DA3C6E" w14:paraId="7410BF9A" w14:textId="77777777" w:rsidTr="003A3CAF">
        <w:trPr>
          <w:cantSplit/>
          <w:trHeight w:val="490"/>
        </w:trPr>
        <w:tc>
          <w:tcPr>
            <w:tcW w:w="1560" w:type="dxa"/>
            <w:vMerge w:val="restart"/>
            <w:shd w:val="clear" w:color="auto" w:fill="auto"/>
            <w:vAlign w:val="center"/>
          </w:tcPr>
          <w:p w14:paraId="5BE76BDE" w14:textId="77777777" w:rsidR="004745D9" w:rsidRPr="00DA3C6E" w:rsidRDefault="004745D9" w:rsidP="00A86CD1">
            <w:pPr>
              <w:pStyle w:val="Tabletext1"/>
              <w:jc w:val="left"/>
            </w:pPr>
            <w:r w:rsidRPr="00DA3C6E">
              <w:t>Applicability</w:t>
            </w:r>
          </w:p>
        </w:tc>
        <w:tc>
          <w:tcPr>
            <w:tcW w:w="1559" w:type="dxa"/>
            <w:shd w:val="clear" w:color="auto" w:fill="auto"/>
            <w:vAlign w:val="center"/>
          </w:tcPr>
          <w:p w14:paraId="58220FFE" w14:textId="77777777" w:rsidR="004745D9" w:rsidRPr="00DA3C6E" w:rsidRDefault="004745D9" w:rsidP="00A86CD1">
            <w:pPr>
              <w:pStyle w:val="Tabletext1"/>
              <w:jc w:val="left"/>
            </w:pPr>
            <w:r w:rsidRPr="00DA3C6E">
              <w:t>Inclusion and exclusion criteria</w:t>
            </w:r>
          </w:p>
        </w:tc>
        <w:tc>
          <w:tcPr>
            <w:tcW w:w="4394" w:type="dxa"/>
            <w:shd w:val="clear" w:color="auto" w:fill="auto"/>
            <w:vAlign w:val="center"/>
          </w:tcPr>
          <w:p w14:paraId="2DCC7624" w14:textId="39F068B4" w:rsidR="004745D9" w:rsidRPr="00DA3C6E" w:rsidRDefault="004745D9" w:rsidP="00A86CD1">
            <w:pPr>
              <w:pStyle w:val="Tabletext1"/>
              <w:jc w:val="left"/>
            </w:pPr>
            <w:r w:rsidRPr="00DA3C6E">
              <w:t>Some differences were found between the trial population and the Australian</w:t>
            </w:r>
            <w:r w:rsidR="00E849FB">
              <w:t xml:space="preserve"> population</w:t>
            </w:r>
            <w:r w:rsidRPr="00DA3C6E">
              <w:t xml:space="preserve"> in all five RCTs, mainly: </w:t>
            </w:r>
          </w:p>
          <w:p w14:paraId="17DD0804" w14:textId="77777777" w:rsidR="004745D9" w:rsidRPr="00DA3C6E" w:rsidRDefault="004745D9" w:rsidP="004745D9">
            <w:pPr>
              <w:pStyle w:val="Tabletext1"/>
              <w:numPr>
                <w:ilvl w:val="0"/>
                <w:numId w:val="56"/>
              </w:numPr>
              <w:jc w:val="left"/>
            </w:pPr>
            <w:r w:rsidRPr="00DA3C6E">
              <w:t xml:space="preserve">All five RCTs considered the presence of CB within the inclusion criteria which differs to The Criteria V3. Because there is some evidence suggesting that patients with and without CB show a similar response to Ig, it is unlikely that this difference will result in a variation of the Tx effect. </w:t>
            </w:r>
          </w:p>
          <w:p w14:paraId="15893921" w14:textId="77777777" w:rsidR="004745D9" w:rsidRPr="00DA3C6E" w:rsidRDefault="004745D9" w:rsidP="004745D9">
            <w:pPr>
              <w:pStyle w:val="Tabletext1"/>
              <w:numPr>
                <w:ilvl w:val="0"/>
                <w:numId w:val="56"/>
              </w:numPr>
              <w:jc w:val="left"/>
            </w:pPr>
            <w:r w:rsidRPr="00DA3C6E">
              <w:t xml:space="preserve">RCTs did not take into account the baseline disability as required in The Criteria V3 where patients are required to present with a level of significant disability (ONLS≥2). </w:t>
            </w:r>
          </w:p>
          <w:p w14:paraId="4C6158E4" w14:textId="77777777" w:rsidR="004745D9" w:rsidRPr="00DA3C6E" w:rsidRDefault="004745D9" w:rsidP="004745D9">
            <w:pPr>
              <w:pStyle w:val="Tabletext1"/>
              <w:numPr>
                <w:ilvl w:val="0"/>
                <w:numId w:val="56"/>
              </w:numPr>
              <w:jc w:val="left"/>
            </w:pPr>
            <w:r w:rsidRPr="00DA3C6E">
              <w:t xml:space="preserve">Azulay et al 1994 recruited patients who may not be considered MMN under the current diagnostic criteria. </w:t>
            </w:r>
          </w:p>
        </w:tc>
        <w:tc>
          <w:tcPr>
            <w:tcW w:w="1515" w:type="dxa"/>
            <w:shd w:val="clear" w:color="auto" w:fill="auto"/>
            <w:vAlign w:val="center"/>
          </w:tcPr>
          <w:p w14:paraId="4D9BFB9E" w14:textId="77777777" w:rsidR="004745D9" w:rsidRPr="00DA3C6E" w:rsidRDefault="004745D9" w:rsidP="00A86CD1">
            <w:pPr>
              <w:pStyle w:val="Tabletext1"/>
              <w:jc w:val="left"/>
            </w:pPr>
            <w:r w:rsidRPr="00DA3C6E">
              <w:t xml:space="preserve">Overall, the differences were considered minor hence unlikely to impact the treatment effect. </w:t>
            </w:r>
          </w:p>
        </w:tc>
      </w:tr>
      <w:tr w:rsidR="004745D9" w:rsidRPr="00DA3C6E" w14:paraId="5A19A5B4" w14:textId="77777777" w:rsidTr="003A3CAF">
        <w:trPr>
          <w:cantSplit/>
          <w:trHeight w:val="505"/>
        </w:trPr>
        <w:tc>
          <w:tcPr>
            <w:tcW w:w="1560" w:type="dxa"/>
            <w:vMerge/>
            <w:shd w:val="clear" w:color="auto" w:fill="auto"/>
            <w:vAlign w:val="center"/>
          </w:tcPr>
          <w:p w14:paraId="419363AB" w14:textId="77777777" w:rsidR="004745D9" w:rsidRPr="00DA3C6E" w:rsidRDefault="004745D9" w:rsidP="00A86CD1">
            <w:pPr>
              <w:pStyle w:val="Tabletext1"/>
              <w:jc w:val="left"/>
            </w:pPr>
          </w:p>
        </w:tc>
        <w:tc>
          <w:tcPr>
            <w:tcW w:w="1559" w:type="dxa"/>
            <w:shd w:val="clear" w:color="auto" w:fill="auto"/>
            <w:vAlign w:val="center"/>
          </w:tcPr>
          <w:p w14:paraId="4E63602D" w14:textId="77777777" w:rsidR="004745D9" w:rsidRPr="00DA3C6E" w:rsidRDefault="004745D9" w:rsidP="00A86CD1">
            <w:pPr>
              <w:pStyle w:val="Tabletext1"/>
              <w:jc w:val="left"/>
            </w:pPr>
            <w:r w:rsidRPr="00DA3C6E">
              <w:t>Intravenous Ig dosing and frequency of administration</w:t>
            </w:r>
          </w:p>
        </w:tc>
        <w:tc>
          <w:tcPr>
            <w:tcW w:w="4394" w:type="dxa"/>
            <w:shd w:val="clear" w:color="auto" w:fill="auto"/>
            <w:vAlign w:val="center"/>
          </w:tcPr>
          <w:p w14:paraId="556D7C02" w14:textId="77777777" w:rsidR="004745D9" w:rsidRPr="00DA3C6E" w:rsidRDefault="004745D9" w:rsidP="004745D9">
            <w:pPr>
              <w:pStyle w:val="Tabletext1"/>
              <w:numPr>
                <w:ilvl w:val="0"/>
                <w:numId w:val="57"/>
              </w:numPr>
              <w:jc w:val="left"/>
            </w:pPr>
            <w:r w:rsidRPr="00DA3C6E">
              <w:t xml:space="preserve">Induction and maintenance recommended </w:t>
            </w:r>
            <w:r w:rsidR="00F82AF8" w:rsidRPr="00DA3C6E">
              <w:t xml:space="preserve">doses </w:t>
            </w:r>
            <w:r w:rsidRPr="00DA3C6E">
              <w:t xml:space="preserve">were undifferentiated in the RCTs, which may lead to higher doses used in the clinical trial setting compared to Australia. </w:t>
            </w:r>
          </w:p>
          <w:p w14:paraId="643B3483" w14:textId="429587C2" w:rsidR="004745D9" w:rsidRPr="00DA3C6E" w:rsidRDefault="004745D9" w:rsidP="00E849FB">
            <w:pPr>
              <w:pStyle w:val="Tabletext1"/>
              <w:numPr>
                <w:ilvl w:val="0"/>
                <w:numId w:val="57"/>
              </w:numPr>
              <w:jc w:val="left"/>
            </w:pPr>
            <w:r w:rsidRPr="00DA3C6E">
              <w:t>Hahn et al 2013 suggests a dose range consistent to that recommended in The Criteria for both the induction and maintenance phase of Tx (0.4–2 g/kg). However, the average monthly dose was higher (1.17 g/kg) compared to that as informed by the NBA (0.</w:t>
            </w:r>
            <w:r w:rsidR="00E849FB">
              <w:t>64</w:t>
            </w:r>
            <w:r w:rsidR="00E849FB" w:rsidRPr="00DA3C6E">
              <w:t xml:space="preserve"> </w:t>
            </w:r>
            <w:r w:rsidRPr="00DA3C6E">
              <w:t>g/kg</w:t>
            </w:r>
            <w:r w:rsidR="00E849FB">
              <w:t>/month</w:t>
            </w:r>
            <w:r w:rsidRPr="00DA3C6E">
              <w:t xml:space="preserve">). </w:t>
            </w:r>
          </w:p>
          <w:p w14:paraId="4E5A72FC" w14:textId="77777777" w:rsidR="004745D9" w:rsidRPr="00DA3C6E" w:rsidRDefault="004745D9" w:rsidP="004745D9">
            <w:pPr>
              <w:pStyle w:val="Tabletext1"/>
              <w:numPr>
                <w:ilvl w:val="0"/>
                <w:numId w:val="57"/>
              </w:numPr>
              <w:jc w:val="left"/>
            </w:pPr>
            <w:r w:rsidRPr="00DA3C6E">
              <w:t>The biggest difference in frequency was compared to Azulay et al 1994 (8 weeks).</w:t>
            </w:r>
          </w:p>
        </w:tc>
        <w:tc>
          <w:tcPr>
            <w:tcW w:w="1515" w:type="dxa"/>
            <w:shd w:val="clear" w:color="auto" w:fill="auto"/>
            <w:vAlign w:val="center"/>
          </w:tcPr>
          <w:p w14:paraId="7EFA0EE0" w14:textId="77777777" w:rsidR="004745D9" w:rsidRPr="00DA3C6E" w:rsidRDefault="001469F7" w:rsidP="00A86CD1">
            <w:pPr>
              <w:pStyle w:val="Tabletext1"/>
              <w:jc w:val="left"/>
            </w:pPr>
            <w:r w:rsidRPr="00DA3C6E">
              <w:t>Overall, the differences were unlikely to impact the treatment effect. Potential treatment effect differences could arise from undifferentiated doses in RCTs compared to Australia.</w:t>
            </w:r>
          </w:p>
        </w:tc>
      </w:tr>
      <w:tr w:rsidR="004745D9" w:rsidRPr="00DA3C6E" w14:paraId="1409EF1A" w14:textId="77777777" w:rsidTr="003A3CAF">
        <w:trPr>
          <w:cantSplit/>
          <w:trHeight w:val="505"/>
        </w:trPr>
        <w:tc>
          <w:tcPr>
            <w:tcW w:w="1560" w:type="dxa"/>
            <w:vMerge/>
            <w:shd w:val="clear" w:color="auto" w:fill="auto"/>
            <w:vAlign w:val="center"/>
          </w:tcPr>
          <w:p w14:paraId="24F6CDD3" w14:textId="77777777" w:rsidR="004745D9" w:rsidRPr="00DA3C6E" w:rsidRDefault="004745D9" w:rsidP="00A86CD1">
            <w:pPr>
              <w:pStyle w:val="Tabletext1"/>
              <w:jc w:val="left"/>
            </w:pPr>
          </w:p>
        </w:tc>
        <w:tc>
          <w:tcPr>
            <w:tcW w:w="1559" w:type="dxa"/>
            <w:shd w:val="clear" w:color="auto" w:fill="auto"/>
            <w:vAlign w:val="center"/>
          </w:tcPr>
          <w:p w14:paraId="2B42CC8E" w14:textId="77777777" w:rsidR="004745D9" w:rsidRPr="00DA3C6E" w:rsidRDefault="004745D9" w:rsidP="00A86CD1">
            <w:pPr>
              <w:pStyle w:val="Tabletext1"/>
              <w:jc w:val="left"/>
            </w:pPr>
            <w:r w:rsidRPr="00DA3C6E">
              <w:t>Patients demographics and settings</w:t>
            </w:r>
          </w:p>
        </w:tc>
        <w:tc>
          <w:tcPr>
            <w:tcW w:w="4394" w:type="dxa"/>
            <w:shd w:val="clear" w:color="auto" w:fill="auto"/>
            <w:vAlign w:val="center"/>
          </w:tcPr>
          <w:p w14:paraId="3CAE2034" w14:textId="77777777" w:rsidR="004745D9" w:rsidRPr="00DA3C6E" w:rsidRDefault="004745D9" w:rsidP="00A86CD1">
            <w:pPr>
              <w:pStyle w:val="Tabletext1"/>
              <w:jc w:val="left"/>
            </w:pPr>
            <w:r w:rsidRPr="00DA3C6E">
              <w:t>Although the patient characteristics is not available in a consistent way to facilitate a proper comparison, it is unlikely that any difference in these regards will lead to differences in the outcomes of interest.</w:t>
            </w:r>
          </w:p>
        </w:tc>
        <w:tc>
          <w:tcPr>
            <w:tcW w:w="1515" w:type="dxa"/>
            <w:shd w:val="clear" w:color="auto" w:fill="auto"/>
            <w:vAlign w:val="center"/>
          </w:tcPr>
          <w:p w14:paraId="7F1642B4" w14:textId="77777777" w:rsidR="004745D9" w:rsidRPr="00DA3C6E" w:rsidRDefault="004745D9" w:rsidP="00A86CD1">
            <w:pPr>
              <w:pStyle w:val="Tabletext1"/>
              <w:jc w:val="left"/>
            </w:pPr>
            <w:r w:rsidRPr="00DA3C6E">
              <w:t>Unlikely to impact the treatment effect.</w:t>
            </w:r>
          </w:p>
        </w:tc>
      </w:tr>
      <w:tr w:rsidR="004745D9" w:rsidRPr="00DA3C6E" w14:paraId="18582997" w14:textId="77777777" w:rsidTr="003A3CAF">
        <w:trPr>
          <w:cantSplit/>
          <w:trHeight w:val="505"/>
        </w:trPr>
        <w:tc>
          <w:tcPr>
            <w:tcW w:w="1560" w:type="dxa"/>
            <w:vMerge/>
            <w:shd w:val="clear" w:color="auto" w:fill="auto"/>
            <w:vAlign w:val="center"/>
          </w:tcPr>
          <w:p w14:paraId="5C2667B9" w14:textId="77777777" w:rsidR="004745D9" w:rsidRPr="00DA3C6E" w:rsidRDefault="004745D9" w:rsidP="00A86CD1">
            <w:pPr>
              <w:pStyle w:val="Tabletext1"/>
              <w:jc w:val="left"/>
            </w:pPr>
          </w:p>
        </w:tc>
        <w:tc>
          <w:tcPr>
            <w:tcW w:w="1559" w:type="dxa"/>
            <w:shd w:val="clear" w:color="auto" w:fill="auto"/>
            <w:vAlign w:val="center"/>
          </w:tcPr>
          <w:p w14:paraId="486615A6" w14:textId="77777777" w:rsidR="004745D9" w:rsidRPr="00DA3C6E" w:rsidRDefault="004745D9" w:rsidP="00A86CD1">
            <w:pPr>
              <w:pStyle w:val="Tabletext1"/>
              <w:jc w:val="left"/>
            </w:pPr>
            <w:r w:rsidRPr="00DA3C6E">
              <w:t>Outcome measurement tools</w:t>
            </w:r>
          </w:p>
        </w:tc>
        <w:tc>
          <w:tcPr>
            <w:tcW w:w="4394" w:type="dxa"/>
            <w:shd w:val="clear" w:color="auto" w:fill="auto"/>
            <w:vAlign w:val="center"/>
          </w:tcPr>
          <w:p w14:paraId="0F595B4C" w14:textId="77777777" w:rsidR="004745D9" w:rsidRPr="00DA3C6E" w:rsidRDefault="004745D9" w:rsidP="00A86CD1">
            <w:pPr>
              <w:pStyle w:val="Tabletext1"/>
              <w:jc w:val="left"/>
            </w:pPr>
            <w:r w:rsidRPr="00DA3C6E">
              <w:t>The tools used to measure the two main clinical outcomes in MMN, muscle strength and disability, differ between the RCTs and compared to the Australian setting.</w:t>
            </w:r>
          </w:p>
          <w:p w14:paraId="72102BDA" w14:textId="77777777" w:rsidR="004745D9" w:rsidRPr="00DA3C6E" w:rsidRDefault="004745D9" w:rsidP="004745D9">
            <w:pPr>
              <w:pStyle w:val="Tabletext1"/>
              <w:numPr>
                <w:ilvl w:val="0"/>
                <w:numId w:val="58"/>
              </w:numPr>
              <w:jc w:val="left"/>
            </w:pPr>
            <w:r w:rsidRPr="00DA3C6E">
              <w:t>4/5 RCTs reported the effect of intravenous Ig for each outcome measure independently only and not as composite outcome as it would in Australia to assess for continuance of Tx.</w:t>
            </w:r>
          </w:p>
          <w:p w14:paraId="716F41B4" w14:textId="6AEFEEFD" w:rsidR="004745D9" w:rsidRPr="00DA3C6E" w:rsidRDefault="004745D9" w:rsidP="004A6643">
            <w:pPr>
              <w:pStyle w:val="Tabletext1"/>
              <w:numPr>
                <w:ilvl w:val="0"/>
                <w:numId w:val="58"/>
              </w:numPr>
              <w:jc w:val="left"/>
            </w:pPr>
            <w:r w:rsidRPr="00DA3C6E">
              <w:t>Similar to the ONLS (include climbing stairs and running), Hahn</w:t>
            </w:r>
            <w:r w:rsidR="004B006B" w:rsidRPr="00DA3C6E">
              <w:t xml:space="preserve"> et al.</w:t>
            </w:r>
            <w:r w:rsidRPr="00DA3C6E">
              <w:t xml:space="preserve"> 2013 used the ODSS. The ODSS, compared </w:t>
            </w:r>
            <w:r w:rsidR="005E2106">
              <w:t xml:space="preserve">to </w:t>
            </w:r>
            <w:r w:rsidRPr="00DA3C6E">
              <w:t>the modified Rankin scale, the NDS and the GNDS, is a more specific tool and would likely identify slighter changes in disability compared to the other tools.</w:t>
            </w:r>
          </w:p>
        </w:tc>
        <w:tc>
          <w:tcPr>
            <w:tcW w:w="1515" w:type="dxa"/>
            <w:shd w:val="clear" w:color="auto" w:fill="auto"/>
            <w:vAlign w:val="center"/>
          </w:tcPr>
          <w:p w14:paraId="54388BCD" w14:textId="77777777" w:rsidR="004745D9" w:rsidRPr="00DA3C6E" w:rsidRDefault="004745D9" w:rsidP="00A86CD1">
            <w:pPr>
              <w:keepNext/>
              <w:keepLines/>
              <w:spacing w:after="0" w:line="240" w:lineRule="auto"/>
              <w:jc w:val="left"/>
              <w:rPr>
                <w:rFonts w:ascii="Arial Narrow" w:hAnsi="Arial Narrow"/>
                <w:sz w:val="20"/>
                <w:szCs w:val="20"/>
              </w:rPr>
            </w:pPr>
            <w:r w:rsidRPr="00DA3C6E">
              <w:rPr>
                <w:rStyle w:val="SmallBold"/>
                <w:rFonts w:ascii="Arial Narrow" w:hAnsi="Arial Narrow"/>
                <w:b w:val="0"/>
                <w:szCs w:val="20"/>
              </w:rPr>
              <w:t xml:space="preserve">Differences could alter the interpretation of the treatment effect. The pooled effect was not used in the </w:t>
            </w:r>
            <w:r w:rsidR="004B006B" w:rsidRPr="00DA3C6E">
              <w:rPr>
                <w:rStyle w:val="SmallBold"/>
                <w:rFonts w:ascii="Arial Narrow" w:hAnsi="Arial Narrow"/>
                <w:b w:val="0"/>
                <w:szCs w:val="20"/>
              </w:rPr>
              <w:t xml:space="preserve">base case </w:t>
            </w:r>
            <w:r w:rsidRPr="00DA3C6E">
              <w:rPr>
                <w:rStyle w:val="SmallBold"/>
                <w:rFonts w:ascii="Arial Narrow" w:hAnsi="Arial Narrow"/>
                <w:b w:val="0"/>
                <w:szCs w:val="20"/>
              </w:rPr>
              <w:t>economic model</w:t>
            </w:r>
            <w:r w:rsidR="004B006B" w:rsidRPr="00DA3C6E">
              <w:rPr>
                <w:rStyle w:val="SmallBold"/>
                <w:rFonts w:ascii="Arial Narrow" w:hAnsi="Arial Narrow"/>
                <w:b w:val="0"/>
                <w:szCs w:val="20"/>
              </w:rPr>
              <w:t>.</w:t>
            </w:r>
          </w:p>
        </w:tc>
      </w:tr>
      <w:tr w:rsidR="004745D9" w:rsidRPr="00DA3C6E" w14:paraId="480512D9" w14:textId="77777777" w:rsidTr="003A3CAF">
        <w:trPr>
          <w:cantSplit/>
          <w:trHeight w:val="505"/>
        </w:trPr>
        <w:tc>
          <w:tcPr>
            <w:tcW w:w="1560" w:type="dxa"/>
            <w:vMerge/>
            <w:shd w:val="clear" w:color="auto" w:fill="auto"/>
            <w:vAlign w:val="center"/>
          </w:tcPr>
          <w:p w14:paraId="094051D6" w14:textId="77777777" w:rsidR="004745D9" w:rsidRPr="00DA3C6E" w:rsidRDefault="004745D9" w:rsidP="00A86CD1">
            <w:pPr>
              <w:pStyle w:val="Tabletext1"/>
              <w:jc w:val="left"/>
            </w:pPr>
          </w:p>
        </w:tc>
        <w:tc>
          <w:tcPr>
            <w:tcW w:w="1559" w:type="dxa"/>
            <w:shd w:val="clear" w:color="auto" w:fill="auto"/>
            <w:vAlign w:val="center"/>
          </w:tcPr>
          <w:p w14:paraId="03903944" w14:textId="77777777" w:rsidR="004745D9" w:rsidRPr="00DA3C6E" w:rsidRDefault="004745D9" w:rsidP="00A86CD1">
            <w:pPr>
              <w:pStyle w:val="Tabletext1"/>
              <w:jc w:val="left"/>
            </w:pPr>
            <w:r w:rsidRPr="00DA3C6E">
              <w:t>Treatment duration</w:t>
            </w:r>
          </w:p>
        </w:tc>
        <w:tc>
          <w:tcPr>
            <w:tcW w:w="4394" w:type="dxa"/>
            <w:shd w:val="clear" w:color="auto" w:fill="auto"/>
            <w:vAlign w:val="center"/>
          </w:tcPr>
          <w:p w14:paraId="4EF193DC" w14:textId="77777777" w:rsidR="004745D9" w:rsidRPr="00DA3C6E" w:rsidRDefault="004745D9" w:rsidP="00A86CD1">
            <w:pPr>
              <w:pStyle w:val="Tabletext1"/>
              <w:jc w:val="left"/>
            </w:pPr>
            <w:r w:rsidRPr="00DA3C6E">
              <w:t>Tx duration in the clinical setting differs to that expected in the current Australian population, mainly:</w:t>
            </w:r>
          </w:p>
          <w:p w14:paraId="24C23491" w14:textId="77777777" w:rsidR="004745D9" w:rsidRPr="00DA3C6E" w:rsidRDefault="004745D9" w:rsidP="004745D9">
            <w:pPr>
              <w:pStyle w:val="Tabletext1"/>
              <w:numPr>
                <w:ilvl w:val="0"/>
                <w:numId w:val="59"/>
              </w:numPr>
              <w:jc w:val="left"/>
            </w:pPr>
            <w:r w:rsidRPr="00DA3C6E">
              <w:t>RCTs showed that Tx duration varied from 28 days to approximately 12 months. This time period was pre-specified and not conditional on an assessment of response.</w:t>
            </w:r>
          </w:p>
          <w:p w14:paraId="496769C1" w14:textId="77777777" w:rsidR="004745D9" w:rsidRPr="00DA3C6E" w:rsidRDefault="004745D9" w:rsidP="004745D9">
            <w:pPr>
              <w:pStyle w:val="Tabletext1"/>
              <w:numPr>
                <w:ilvl w:val="0"/>
                <w:numId w:val="59"/>
              </w:numPr>
              <w:jc w:val="left"/>
            </w:pPr>
            <w:r w:rsidRPr="00DA3C6E">
              <w:t>3/5 of the RCTs had a trial duration shorter than the current initial Tx phase (induction plus three maintenance cycles) recommended in The Criteria</w:t>
            </w:r>
            <w:r w:rsidR="003A092C" w:rsidRPr="00DA3C6E">
              <w:t xml:space="preserve"> V3</w:t>
            </w:r>
            <w:r w:rsidRPr="00DA3C6E">
              <w:t xml:space="preserve"> to assess for responsiveness.</w:t>
            </w:r>
          </w:p>
          <w:p w14:paraId="1F50EB1B" w14:textId="77777777" w:rsidR="004745D9" w:rsidRPr="00DA3C6E" w:rsidRDefault="004745D9" w:rsidP="004745D9">
            <w:pPr>
              <w:pStyle w:val="Tabletext1"/>
              <w:numPr>
                <w:ilvl w:val="0"/>
                <w:numId w:val="59"/>
              </w:numPr>
              <w:jc w:val="left"/>
            </w:pPr>
            <w:r w:rsidRPr="00DA3C6E">
              <w:t xml:space="preserve">The median Tx duration in Hahn </w:t>
            </w:r>
            <w:r w:rsidR="003A092C" w:rsidRPr="00DA3C6E">
              <w:t xml:space="preserve">et al. </w:t>
            </w:r>
            <w:r w:rsidRPr="00DA3C6E">
              <w:t>2013 was close to a year, however it may still not capture the expected Tx duration in current practice.</w:t>
            </w:r>
          </w:p>
          <w:p w14:paraId="7E58240D" w14:textId="77777777" w:rsidR="004745D9" w:rsidRPr="00DA3C6E" w:rsidRDefault="004745D9" w:rsidP="004745D9">
            <w:pPr>
              <w:pStyle w:val="Tabletext1"/>
              <w:numPr>
                <w:ilvl w:val="0"/>
                <w:numId w:val="59"/>
              </w:numPr>
              <w:jc w:val="left"/>
            </w:pPr>
            <w:r w:rsidRPr="00DA3C6E">
              <w:t>None of the reviewed RCTs considered a weaning off trial phase as recommended in The Criteria.</w:t>
            </w:r>
          </w:p>
        </w:tc>
        <w:tc>
          <w:tcPr>
            <w:tcW w:w="1515" w:type="dxa"/>
            <w:shd w:val="clear" w:color="auto" w:fill="auto"/>
            <w:vAlign w:val="center"/>
          </w:tcPr>
          <w:p w14:paraId="166BFE3C" w14:textId="77777777" w:rsidR="004745D9" w:rsidRPr="00DA3C6E" w:rsidRDefault="004745D9" w:rsidP="00A86CD1">
            <w:pPr>
              <w:pStyle w:val="Tabletext1"/>
              <w:jc w:val="left"/>
            </w:pPr>
            <w:r w:rsidRPr="00DA3C6E">
              <w:rPr>
                <w:rStyle w:val="SmallBold"/>
                <w:rFonts w:ascii="Arial Narrow" w:hAnsi="Arial Narrow"/>
                <w:b w:val="0"/>
              </w:rPr>
              <w:t>Differences could alter the interpretation of the treatment effect</w:t>
            </w:r>
            <w:r w:rsidR="00873C06" w:rsidRPr="00DA3C6E">
              <w:rPr>
                <w:rStyle w:val="SmallBold"/>
                <w:rFonts w:ascii="Arial Narrow" w:hAnsi="Arial Narrow"/>
                <w:b w:val="0"/>
              </w:rPr>
              <w:t xml:space="preserve"> and cost of </w:t>
            </w:r>
            <w:r w:rsidR="003A092C" w:rsidRPr="00DA3C6E">
              <w:rPr>
                <w:rStyle w:val="SmallBold"/>
                <w:rFonts w:ascii="Arial Narrow" w:hAnsi="Arial Narrow"/>
                <w:b w:val="0"/>
              </w:rPr>
              <w:t>T</w:t>
            </w:r>
            <w:r w:rsidR="00873C06" w:rsidRPr="00DA3C6E">
              <w:rPr>
                <w:rStyle w:val="SmallBold"/>
                <w:rFonts w:ascii="Arial Narrow" w:hAnsi="Arial Narrow"/>
                <w:b w:val="0"/>
              </w:rPr>
              <w:t>x</w:t>
            </w:r>
            <w:r w:rsidRPr="00DA3C6E">
              <w:rPr>
                <w:rStyle w:val="SmallBold"/>
                <w:rFonts w:ascii="Arial Narrow" w:hAnsi="Arial Narrow"/>
                <w:b w:val="0"/>
              </w:rPr>
              <w:t xml:space="preserve">. Assumption on weaning was tested in a SA. </w:t>
            </w:r>
          </w:p>
        </w:tc>
      </w:tr>
      <w:tr w:rsidR="004745D9" w:rsidRPr="00DA3C6E" w14:paraId="1A207675" w14:textId="77777777" w:rsidTr="003A3CAF">
        <w:trPr>
          <w:cantSplit/>
          <w:trHeight w:val="490"/>
        </w:trPr>
        <w:tc>
          <w:tcPr>
            <w:tcW w:w="1560" w:type="dxa"/>
            <w:shd w:val="clear" w:color="auto" w:fill="auto"/>
            <w:vAlign w:val="center"/>
          </w:tcPr>
          <w:p w14:paraId="05B0DA83" w14:textId="77777777" w:rsidR="004745D9" w:rsidRPr="00DA3C6E" w:rsidRDefault="004745D9" w:rsidP="00A86CD1">
            <w:pPr>
              <w:pStyle w:val="Tabletext1"/>
              <w:jc w:val="left"/>
            </w:pPr>
            <w:r w:rsidRPr="00DA3C6E">
              <w:t>Extrapolation</w:t>
            </w:r>
          </w:p>
        </w:tc>
        <w:tc>
          <w:tcPr>
            <w:tcW w:w="1559" w:type="dxa"/>
            <w:shd w:val="clear" w:color="auto" w:fill="auto"/>
            <w:vAlign w:val="center"/>
          </w:tcPr>
          <w:p w14:paraId="6CBB9899" w14:textId="77777777" w:rsidR="004745D9" w:rsidRPr="00DA3C6E" w:rsidRDefault="004745D9" w:rsidP="00A86CD1">
            <w:pPr>
              <w:pStyle w:val="Tabletext1"/>
              <w:jc w:val="left"/>
            </w:pPr>
            <w:r w:rsidRPr="00DA3C6E">
              <w:t>Treatment effect duration</w:t>
            </w:r>
          </w:p>
        </w:tc>
        <w:tc>
          <w:tcPr>
            <w:tcW w:w="4394" w:type="dxa"/>
            <w:shd w:val="clear" w:color="auto" w:fill="auto"/>
            <w:vAlign w:val="center"/>
          </w:tcPr>
          <w:p w14:paraId="73DA0A95" w14:textId="77777777" w:rsidR="004745D9" w:rsidRPr="00DA3C6E" w:rsidRDefault="004745D9" w:rsidP="00A86CD1">
            <w:pPr>
              <w:pStyle w:val="Tabletext1"/>
              <w:jc w:val="left"/>
            </w:pPr>
            <w:r w:rsidRPr="00DA3C6E">
              <w:t xml:space="preserve">The Tx duration reported from the RCTs is unlikely to reflect the actual treatment duration in the Australian setting, hence an extrapolation is required. </w:t>
            </w:r>
            <w:r w:rsidR="002011B8" w:rsidRPr="00DA3C6E">
              <w:t xml:space="preserve">The treatment effect was kept constant throughout the whole time horizon in order to account for patients that remain as responders (hence stable in their disease). </w:t>
            </w:r>
          </w:p>
        </w:tc>
        <w:tc>
          <w:tcPr>
            <w:tcW w:w="1515" w:type="dxa"/>
            <w:shd w:val="clear" w:color="auto" w:fill="auto"/>
            <w:vAlign w:val="center"/>
          </w:tcPr>
          <w:p w14:paraId="0ED4F0A4" w14:textId="77777777" w:rsidR="004745D9" w:rsidRPr="00DA3C6E" w:rsidRDefault="004745D9" w:rsidP="00A86CD1">
            <w:pPr>
              <w:pStyle w:val="Tabletext1"/>
              <w:jc w:val="left"/>
            </w:pPr>
            <w:r w:rsidRPr="00DA3C6E">
              <w:t>Likely to impact the overall results. Different time horizons were tested in a SA.</w:t>
            </w:r>
          </w:p>
        </w:tc>
      </w:tr>
      <w:tr w:rsidR="004745D9" w:rsidRPr="00DA3C6E" w14:paraId="435A0761" w14:textId="77777777" w:rsidTr="003A3CAF">
        <w:trPr>
          <w:cantSplit/>
          <w:trHeight w:val="490"/>
        </w:trPr>
        <w:tc>
          <w:tcPr>
            <w:tcW w:w="1560" w:type="dxa"/>
            <w:vMerge w:val="restart"/>
            <w:shd w:val="clear" w:color="auto" w:fill="auto"/>
            <w:vAlign w:val="center"/>
          </w:tcPr>
          <w:p w14:paraId="6A6D26CA" w14:textId="77777777" w:rsidR="004745D9" w:rsidRPr="00DA3C6E" w:rsidRDefault="004745D9" w:rsidP="00A86CD1">
            <w:pPr>
              <w:pStyle w:val="Tabletext1"/>
              <w:jc w:val="left"/>
            </w:pPr>
            <w:r w:rsidRPr="00DA3C6E">
              <w:t>Transformation</w:t>
            </w:r>
          </w:p>
        </w:tc>
        <w:tc>
          <w:tcPr>
            <w:tcW w:w="1559" w:type="dxa"/>
            <w:shd w:val="clear" w:color="auto" w:fill="auto"/>
            <w:vAlign w:val="center"/>
          </w:tcPr>
          <w:p w14:paraId="78760DBD" w14:textId="77777777" w:rsidR="004745D9" w:rsidRPr="00DA3C6E" w:rsidRDefault="004745D9" w:rsidP="00A86CD1">
            <w:pPr>
              <w:pStyle w:val="Tabletext1"/>
              <w:jc w:val="left"/>
            </w:pPr>
            <w:r w:rsidRPr="00DA3C6E">
              <w:t>Transformation of clinical outcome to a patient relevant outcome</w:t>
            </w:r>
          </w:p>
        </w:tc>
        <w:tc>
          <w:tcPr>
            <w:tcW w:w="4394" w:type="dxa"/>
            <w:shd w:val="clear" w:color="auto" w:fill="auto"/>
            <w:vAlign w:val="center"/>
          </w:tcPr>
          <w:p w14:paraId="63F9FD40" w14:textId="77777777" w:rsidR="004745D9" w:rsidRPr="00DA3C6E" w:rsidRDefault="004745D9" w:rsidP="004745D9">
            <w:pPr>
              <w:pStyle w:val="Tabletext1"/>
              <w:numPr>
                <w:ilvl w:val="0"/>
                <w:numId w:val="60"/>
              </w:numPr>
              <w:jc w:val="left"/>
            </w:pPr>
            <w:r w:rsidRPr="00DA3C6E">
              <w:t>Only one study considered responders as a composite outcome (improvement of muscle strength and reduced disability) as it would in Australia (Leger et al</w:t>
            </w:r>
            <w:r w:rsidR="003A092C" w:rsidRPr="00DA3C6E">
              <w:t>.</w:t>
            </w:r>
            <w:r w:rsidRPr="00DA3C6E">
              <w:t xml:space="preserve"> 2001). This study was used in the base case analysis in the economic evaluation to model the treatment effect after treatment initiation. </w:t>
            </w:r>
          </w:p>
          <w:p w14:paraId="0875682E" w14:textId="77777777" w:rsidR="004745D9" w:rsidRPr="00DA3C6E" w:rsidRDefault="004745D9" w:rsidP="004745D9">
            <w:pPr>
              <w:pStyle w:val="Tabletext1"/>
              <w:numPr>
                <w:ilvl w:val="0"/>
                <w:numId w:val="60"/>
              </w:numPr>
              <w:jc w:val="left"/>
            </w:pPr>
            <w:r w:rsidRPr="00DA3C6E">
              <w:t>None of the RCTs reported as secondary outcomes the impact of intravenous Ig on the QoL of patients.</w:t>
            </w:r>
          </w:p>
        </w:tc>
        <w:tc>
          <w:tcPr>
            <w:tcW w:w="1515" w:type="dxa"/>
            <w:shd w:val="clear" w:color="auto" w:fill="auto"/>
            <w:vAlign w:val="center"/>
          </w:tcPr>
          <w:p w14:paraId="1B2A5DB7" w14:textId="77777777" w:rsidR="004745D9" w:rsidRPr="00DA3C6E" w:rsidRDefault="004745D9" w:rsidP="00A86CD1">
            <w:pPr>
              <w:pStyle w:val="Tabletext1"/>
              <w:jc w:val="left"/>
            </w:pPr>
            <w:r w:rsidRPr="00DA3C6E">
              <w:t>Unlikely to impact the treatment effect.</w:t>
            </w:r>
          </w:p>
        </w:tc>
      </w:tr>
      <w:tr w:rsidR="004745D9" w:rsidRPr="00DA3C6E" w14:paraId="465FE715" w14:textId="77777777" w:rsidTr="003A3CAF">
        <w:trPr>
          <w:cantSplit/>
          <w:trHeight w:val="490"/>
        </w:trPr>
        <w:tc>
          <w:tcPr>
            <w:tcW w:w="1560" w:type="dxa"/>
            <w:vMerge/>
            <w:shd w:val="clear" w:color="auto" w:fill="auto"/>
            <w:vAlign w:val="center"/>
          </w:tcPr>
          <w:p w14:paraId="6FD9DC2B" w14:textId="77777777" w:rsidR="004745D9" w:rsidRPr="00DA3C6E" w:rsidRDefault="004745D9" w:rsidP="00A86CD1">
            <w:pPr>
              <w:pStyle w:val="Tabletext1"/>
              <w:jc w:val="left"/>
            </w:pPr>
          </w:p>
        </w:tc>
        <w:tc>
          <w:tcPr>
            <w:tcW w:w="1559" w:type="dxa"/>
            <w:shd w:val="clear" w:color="auto" w:fill="auto"/>
            <w:vAlign w:val="center"/>
          </w:tcPr>
          <w:p w14:paraId="13E045D9" w14:textId="77777777" w:rsidR="004745D9" w:rsidRPr="00DA3C6E" w:rsidRDefault="004745D9" w:rsidP="00A86CD1">
            <w:pPr>
              <w:pStyle w:val="Tabletext1"/>
              <w:jc w:val="left"/>
            </w:pPr>
            <w:r w:rsidRPr="00DA3C6E">
              <w:t>Sources that provide utility values to derive QoL for patients with MMN and its applicability to the Australian context</w:t>
            </w:r>
          </w:p>
        </w:tc>
        <w:tc>
          <w:tcPr>
            <w:tcW w:w="4394" w:type="dxa"/>
            <w:shd w:val="clear" w:color="auto" w:fill="auto"/>
            <w:vAlign w:val="center"/>
          </w:tcPr>
          <w:p w14:paraId="1DE462C9" w14:textId="77777777" w:rsidR="004745D9" w:rsidRPr="00DA3C6E" w:rsidRDefault="004745D9" w:rsidP="00A86CD1">
            <w:pPr>
              <w:pStyle w:val="Tabletext1"/>
              <w:jc w:val="left"/>
            </w:pPr>
            <w:r w:rsidRPr="00DA3C6E">
              <w:t xml:space="preserve">MMN is a disease that does not affect mortality but has an important QoL component, hence QALYs were considered the appropriate outcome. </w:t>
            </w:r>
          </w:p>
          <w:p w14:paraId="5DAE8166" w14:textId="77777777" w:rsidR="004745D9" w:rsidRPr="00DA3C6E" w:rsidRDefault="004745D9" w:rsidP="00A86CD1">
            <w:pPr>
              <w:pStyle w:val="Tabletext1"/>
              <w:jc w:val="left"/>
            </w:pPr>
            <w:r w:rsidRPr="00DA3C6E">
              <w:t>Information on QoL in MMN patients is scarce and only available from single arm studies. This information had to be complemented with the incremental utility from CIDP to derive a baseline utility from patients who are not receiving intravenous Ig.</w:t>
            </w:r>
          </w:p>
        </w:tc>
        <w:tc>
          <w:tcPr>
            <w:tcW w:w="1515" w:type="dxa"/>
            <w:shd w:val="clear" w:color="auto" w:fill="auto"/>
            <w:vAlign w:val="center"/>
          </w:tcPr>
          <w:p w14:paraId="0AA711BB" w14:textId="77777777" w:rsidR="004745D9" w:rsidRPr="00DA3C6E" w:rsidRDefault="004745D9" w:rsidP="00A86CD1">
            <w:pPr>
              <w:pStyle w:val="Tabletext1"/>
              <w:jc w:val="left"/>
            </w:pPr>
            <w:r w:rsidRPr="00DA3C6E">
              <w:t xml:space="preserve">Likely to impact the overall results. Utility values were tested in a SA. </w:t>
            </w:r>
          </w:p>
        </w:tc>
      </w:tr>
    </w:tbl>
    <w:p w14:paraId="6830FAA6" w14:textId="77777777" w:rsidR="004745D9" w:rsidRPr="00DA3C6E" w:rsidRDefault="004745D9" w:rsidP="004745D9">
      <w:pPr>
        <w:spacing w:line="240" w:lineRule="auto"/>
        <w:rPr>
          <w:rFonts w:ascii="Arial Narrow" w:hAnsi="Arial Narrow"/>
          <w:sz w:val="18"/>
          <w:szCs w:val="18"/>
        </w:rPr>
      </w:pPr>
      <w:r w:rsidRPr="00DA3C6E">
        <w:rPr>
          <w:rFonts w:ascii="Arial Narrow" w:hAnsi="Arial Narrow"/>
          <w:sz w:val="18"/>
          <w:szCs w:val="18"/>
        </w:rPr>
        <w:t xml:space="preserve">Abbreviations: CB = conduction block; CIDP = Chronic Inflammatory Demyelinating Polyneuropathy; GNDS = Guy's Neurological Disability Score; Ig = immunoglobulin; MMN = multifocal motor neuropathy; ODSS = overall disability sum score; ONLS = Overall Neuropathy Limitations Scale; QALY = quality adjusted life years; QoL = quality of life; RCT = randomised controlled study; SA = sensitivity analysis; Tx = treatment.   </w:t>
      </w:r>
    </w:p>
    <w:p w14:paraId="3A0CB355" w14:textId="77777777" w:rsidR="004745D9" w:rsidRPr="00DA3C6E" w:rsidRDefault="004745D9" w:rsidP="004745D9">
      <w:pPr>
        <w:pStyle w:val="Heading3"/>
      </w:pPr>
      <w:bookmarkStart w:id="51" w:name="_Toc37845705"/>
      <w:r w:rsidRPr="00DA3C6E">
        <w:t>Economic Evaluation</w:t>
      </w:r>
      <w:bookmarkEnd w:id="51"/>
    </w:p>
    <w:p w14:paraId="1448957B" w14:textId="77777777" w:rsidR="004745D9" w:rsidRPr="00DA3C6E" w:rsidRDefault="004745D9" w:rsidP="003A092C">
      <w:r w:rsidRPr="00DA3C6E">
        <w:t xml:space="preserve">A cost-utility analysis was undertaken to assess the incremental costs and effects associated with the use for intravenous Ig for the treatment of MMN compared to No Ig with BSC. A summary of key characteristics of the economic evaluation is provided in Table </w:t>
      </w:r>
      <w:r w:rsidR="00C3197F" w:rsidRPr="00DA3C6E">
        <w:t>ES.</w:t>
      </w:r>
      <w:r w:rsidRPr="00DA3C6E">
        <w:t>5.</w:t>
      </w:r>
    </w:p>
    <w:p w14:paraId="3F9B3BBE" w14:textId="77777777" w:rsidR="004745D9" w:rsidRPr="00DA3C6E" w:rsidRDefault="004745D9" w:rsidP="004745D9">
      <w:pPr>
        <w:pStyle w:val="Caption"/>
        <w:keepNext/>
        <w:keepLines/>
        <w:tabs>
          <w:tab w:val="left" w:pos="1134"/>
        </w:tabs>
        <w:ind w:left="1134" w:hanging="1134"/>
      </w:pPr>
      <w:r w:rsidRPr="00DA3C6E">
        <w:t xml:space="preserve">Table </w:t>
      </w:r>
      <w:r w:rsidR="00BA1AEA" w:rsidRPr="00DA3C6E">
        <w:t>ES.</w:t>
      </w:r>
      <w:r w:rsidRPr="00DA3C6E">
        <w:t xml:space="preserve">5. Summary of the economic evaluation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89"/>
        <w:gridCol w:w="5832"/>
      </w:tblGrid>
      <w:tr w:rsidR="004745D9" w:rsidRPr="00DA3C6E" w14:paraId="60F58F53" w14:textId="77777777" w:rsidTr="00A86CD1">
        <w:trPr>
          <w:trHeight w:val="20"/>
          <w:tblHeader/>
        </w:trPr>
        <w:tc>
          <w:tcPr>
            <w:tcW w:w="3189" w:type="dxa"/>
            <w:tcBorders>
              <w:top w:val="single" w:sz="4" w:space="0" w:color="auto"/>
              <w:left w:val="single" w:sz="4" w:space="0" w:color="auto"/>
              <w:bottom w:val="single" w:sz="4" w:space="0" w:color="auto"/>
              <w:right w:val="single" w:sz="4" w:space="0" w:color="auto"/>
            </w:tcBorders>
            <w:vAlign w:val="center"/>
          </w:tcPr>
          <w:p w14:paraId="414FBA5F" w14:textId="77777777" w:rsidR="004745D9" w:rsidRPr="00DA3C6E" w:rsidRDefault="004745D9" w:rsidP="00A86CD1">
            <w:pPr>
              <w:pStyle w:val="Tabletext1"/>
              <w:jc w:val="left"/>
              <w:rPr>
                <w:b/>
              </w:rPr>
            </w:pPr>
            <w:r w:rsidRPr="00DA3C6E">
              <w:rPr>
                <w:b/>
              </w:rPr>
              <w:t>Model characteristics</w:t>
            </w:r>
          </w:p>
        </w:tc>
        <w:tc>
          <w:tcPr>
            <w:tcW w:w="5832" w:type="dxa"/>
            <w:tcBorders>
              <w:top w:val="single" w:sz="4" w:space="0" w:color="auto"/>
              <w:left w:val="single" w:sz="4" w:space="0" w:color="auto"/>
              <w:bottom w:val="single" w:sz="4" w:space="0" w:color="auto"/>
              <w:right w:val="single" w:sz="4" w:space="0" w:color="auto"/>
            </w:tcBorders>
            <w:vAlign w:val="center"/>
          </w:tcPr>
          <w:p w14:paraId="2AAD99E4" w14:textId="77777777" w:rsidR="004745D9" w:rsidRPr="00DA3C6E" w:rsidRDefault="004745D9" w:rsidP="00A86CD1">
            <w:pPr>
              <w:pStyle w:val="Tabletext1"/>
              <w:jc w:val="left"/>
              <w:rPr>
                <w:b/>
              </w:rPr>
            </w:pPr>
            <w:r w:rsidRPr="00DA3C6E">
              <w:rPr>
                <w:b/>
              </w:rPr>
              <w:t>Inputs used in the base case model</w:t>
            </w:r>
          </w:p>
        </w:tc>
      </w:tr>
      <w:tr w:rsidR="004745D9" w:rsidRPr="00DA3C6E" w14:paraId="7FD497F4"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478858A4" w14:textId="77777777" w:rsidR="004745D9" w:rsidRPr="00DA3C6E" w:rsidRDefault="004745D9" w:rsidP="00A86CD1">
            <w:pPr>
              <w:pStyle w:val="Tabletext1"/>
              <w:jc w:val="left"/>
              <w:rPr>
                <w:b/>
              </w:rPr>
            </w:pPr>
            <w:r w:rsidRPr="00DA3C6E">
              <w:rPr>
                <w:b/>
              </w:rPr>
              <w:t>Perspective</w:t>
            </w:r>
          </w:p>
        </w:tc>
        <w:tc>
          <w:tcPr>
            <w:tcW w:w="5832" w:type="dxa"/>
            <w:tcBorders>
              <w:top w:val="single" w:sz="4" w:space="0" w:color="auto"/>
              <w:left w:val="single" w:sz="4" w:space="0" w:color="auto"/>
              <w:bottom w:val="single" w:sz="4" w:space="0" w:color="auto"/>
              <w:right w:val="single" w:sz="4" w:space="0" w:color="auto"/>
            </w:tcBorders>
            <w:vAlign w:val="center"/>
          </w:tcPr>
          <w:p w14:paraId="54BD5E39"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Australian health care system</w:t>
            </w:r>
          </w:p>
        </w:tc>
      </w:tr>
      <w:tr w:rsidR="004745D9" w:rsidRPr="00DA3C6E" w14:paraId="7154447F"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19D67762" w14:textId="77777777" w:rsidR="004745D9" w:rsidRPr="00DA3C6E" w:rsidRDefault="004745D9" w:rsidP="00A86CD1">
            <w:pPr>
              <w:pStyle w:val="Tabletext1"/>
              <w:jc w:val="left"/>
              <w:rPr>
                <w:b/>
              </w:rPr>
            </w:pPr>
            <w:r w:rsidRPr="00DA3C6E">
              <w:rPr>
                <w:b/>
              </w:rPr>
              <w:t>Comparator</w:t>
            </w:r>
          </w:p>
        </w:tc>
        <w:tc>
          <w:tcPr>
            <w:tcW w:w="5832" w:type="dxa"/>
            <w:tcBorders>
              <w:top w:val="single" w:sz="4" w:space="0" w:color="auto"/>
              <w:left w:val="single" w:sz="4" w:space="0" w:color="auto"/>
              <w:bottom w:val="single" w:sz="4" w:space="0" w:color="auto"/>
              <w:right w:val="single" w:sz="4" w:space="0" w:color="auto"/>
            </w:tcBorders>
            <w:vAlign w:val="center"/>
          </w:tcPr>
          <w:p w14:paraId="53AEBB4C"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No Ig with BSC</w:t>
            </w:r>
          </w:p>
        </w:tc>
      </w:tr>
      <w:tr w:rsidR="004745D9" w:rsidRPr="00DA3C6E" w14:paraId="790862CD"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48D4BFEF" w14:textId="77777777" w:rsidR="004745D9" w:rsidRPr="00DA3C6E" w:rsidRDefault="004745D9" w:rsidP="00A86CD1">
            <w:pPr>
              <w:pStyle w:val="Tabletext1"/>
              <w:jc w:val="left"/>
              <w:rPr>
                <w:b/>
              </w:rPr>
            </w:pPr>
            <w:r w:rsidRPr="00DA3C6E">
              <w:rPr>
                <w:b/>
              </w:rPr>
              <w:t>Type of economic evaluation</w:t>
            </w:r>
          </w:p>
        </w:tc>
        <w:tc>
          <w:tcPr>
            <w:tcW w:w="5832" w:type="dxa"/>
            <w:tcBorders>
              <w:top w:val="single" w:sz="4" w:space="0" w:color="auto"/>
              <w:left w:val="single" w:sz="4" w:space="0" w:color="auto"/>
              <w:bottom w:val="single" w:sz="4" w:space="0" w:color="auto"/>
              <w:right w:val="single" w:sz="4" w:space="0" w:color="auto"/>
            </w:tcBorders>
            <w:vAlign w:val="center"/>
          </w:tcPr>
          <w:p w14:paraId="24D42126"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Cost utility analysis</w:t>
            </w:r>
          </w:p>
        </w:tc>
      </w:tr>
      <w:tr w:rsidR="004745D9" w:rsidRPr="00DA3C6E" w14:paraId="3890784C"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51C354EC" w14:textId="77777777" w:rsidR="004745D9" w:rsidRPr="00DA3C6E" w:rsidRDefault="004745D9" w:rsidP="00A86CD1">
            <w:pPr>
              <w:pStyle w:val="Tabletext1"/>
              <w:jc w:val="left"/>
              <w:rPr>
                <w:b/>
              </w:rPr>
            </w:pPr>
            <w:r w:rsidRPr="00DA3C6E">
              <w:rPr>
                <w:b/>
              </w:rPr>
              <w:lastRenderedPageBreak/>
              <w:t>Sources of evidence</w:t>
            </w:r>
          </w:p>
        </w:tc>
        <w:tc>
          <w:tcPr>
            <w:tcW w:w="5832" w:type="dxa"/>
            <w:tcBorders>
              <w:top w:val="single" w:sz="4" w:space="0" w:color="auto"/>
              <w:left w:val="single" w:sz="4" w:space="0" w:color="auto"/>
              <w:bottom w:val="single" w:sz="4" w:space="0" w:color="auto"/>
              <w:right w:val="single" w:sz="4" w:space="0" w:color="auto"/>
            </w:tcBorders>
            <w:vAlign w:val="center"/>
          </w:tcPr>
          <w:p w14:paraId="4D9DC4B7" w14:textId="77777777" w:rsidR="004745D9" w:rsidRPr="00DA3C6E" w:rsidRDefault="004745D9" w:rsidP="003A092C">
            <w:pPr>
              <w:spacing w:after="0" w:line="240" w:lineRule="auto"/>
              <w:jc w:val="left"/>
              <w:rPr>
                <w:rFonts w:ascii="Arial Narrow" w:hAnsi="Arial Narrow"/>
                <w:sz w:val="20"/>
                <w:szCs w:val="20"/>
              </w:rPr>
            </w:pPr>
            <w:r w:rsidRPr="00DA3C6E">
              <w:rPr>
                <w:rFonts w:ascii="Arial Narrow" w:hAnsi="Arial Narrow"/>
                <w:sz w:val="20"/>
                <w:szCs w:val="20"/>
              </w:rPr>
              <w:t xml:space="preserve">Systematic review, expert opinion (Ig </w:t>
            </w:r>
            <w:r w:rsidR="003A092C" w:rsidRPr="00DA3C6E">
              <w:rPr>
                <w:rFonts w:ascii="Arial Narrow" w:hAnsi="Arial Narrow"/>
                <w:sz w:val="20"/>
                <w:szCs w:val="20"/>
              </w:rPr>
              <w:t>R</w:t>
            </w:r>
            <w:r w:rsidRPr="00DA3C6E">
              <w:rPr>
                <w:rFonts w:ascii="Arial Narrow" w:hAnsi="Arial Narrow"/>
                <w:sz w:val="20"/>
                <w:szCs w:val="20"/>
              </w:rPr>
              <w:t xml:space="preserve">eview </w:t>
            </w:r>
            <w:r w:rsidR="003A092C" w:rsidRPr="00DA3C6E">
              <w:rPr>
                <w:rFonts w:ascii="Arial Narrow" w:hAnsi="Arial Narrow"/>
                <w:sz w:val="20"/>
                <w:szCs w:val="20"/>
              </w:rPr>
              <w:t>R</w:t>
            </w:r>
            <w:r w:rsidRPr="00DA3C6E">
              <w:rPr>
                <w:rFonts w:ascii="Arial Narrow" w:hAnsi="Arial Narrow"/>
                <w:sz w:val="20"/>
                <w:szCs w:val="20"/>
              </w:rPr>
              <w:t>eference group), NBA.</w:t>
            </w:r>
          </w:p>
        </w:tc>
      </w:tr>
      <w:tr w:rsidR="004745D9" w:rsidRPr="00DA3C6E" w14:paraId="211939BB"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1963D0F5" w14:textId="77777777" w:rsidR="004745D9" w:rsidRPr="00DA3C6E" w:rsidRDefault="004745D9" w:rsidP="00A86CD1">
            <w:pPr>
              <w:pStyle w:val="Tabletext1"/>
              <w:jc w:val="left"/>
              <w:rPr>
                <w:b/>
              </w:rPr>
            </w:pPr>
            <w:r w:rsidRPr="00DA3C6E">
              <w:rPr>
                <w:b/>
              </w:rPr>
              <w:t>Time horizon</w:t>
            </w:r>
          </w:p>
        </w:tc>
        <w:tc>
          <w:tcPr>
            <w:tcW w:w="5832" w:type="dxa"/>
            <w:tcBorders>
              <w:top w:val="single" w:sz="4" w:space="0" w:color="auto"/>
              <w:left w:val="single" w:sz="4" w:space="0" w:color="auto"/>
              <w:bottom w:val="single" w:sz="4" w:space="0" w:color="auto"/>
              <w:right w:val="single" w:sz="4" w:space="0" w:color="auto"/>
            </w:tcBorders>
            <w:vAlign w:val="center"/>
            <w:hideMark/>
          </w:tcPr>
          <w:p w14:paraId="2553F636" w14:textId="77777777" w:rsidR="004745D9" w:rsidRPr="00DA3C6E" w:rsidRDefault="003A092C" w:rsidP="00A86CD1">
            <w:pPr>
              <w:spacing w:after="0" w:line="240" w:lineRule="auto"/>
              <w:jc w:val="left"/>
              <w:rPr>
                <w:rFonts w:ascii="Arial Narrow" w:hAnsi="Arial Narrow"/>
                <w:sz w:val="20"/>
                <w:szCs w:val="20"/>
              </w:rPr>
            </w:pPr>
            <w:r w:rsidRPr="00DA3C6E">
              <w:rPr>
                <w:rFonts w:ascii="Arial Narrow" w:hAnsi="Arial Narrow"/>
                <w:sz w:val="20"/>
                <w:szCs w:val="20"/>
              </w:rPr>
              <w:t xml:space="preserve">15 years </w:t>
            </w:r>
          </w:p>
        </w:tc>
      </w:tr>
      <w:tr w:rsidR="004745D9" w:rsidRPr="00DA3C6E" w14:paraId="7EBB5614"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5FC872AE" w14:textId="77777777" w:rsidR="004745D9" w:rsidRPr="00DA3C6E" w:rsidRDefault="004745D9" w:rsidP="00A86CD1">
            <w:pPr>
              <w:pStyle w:val="Tabletext1"/>
              <w:jc w:val="left"/>
              <w:rPr>
                <w:b/>
              </w:rPr>
            </w:pPr>
            <w:r w:rsidRPr="00DA3C6E">
              <w:rPr>
                <w:b/>
              </w:rPr>
              <w:t>Outcomes</w:t>
            </w:r>
          </w:p>
        </w:tc>
        <w:tc>
          <w:tcPr>
            <w:tcW w:w="5832" w:type="dxa"/>
            <w:tcBorders>
              <w:top w:val="single" w:sz="4" w:space="0" w:color="auto"/>
              <w:left w:val="single" w:sz="4" w:space="0" w:color="auto"/>
              <w:bottom w:val="single" w:sz="4" w:space="0" w:color="auto"/>
              <w:right w:val="single" w:sz="4" w:space="0" w:color="auto"/>
            </w:tcBorders>
            <w:vAlign w:val="center"/>
          </w:tcPr>
          <w:p w14:paraId="27E45C72"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Cost per QALY gained</w:t>
            </w:r>
          </w:p>
        </w:tc>
      </w:tr>
      <w:tr w:rsidR="004745D9" w:rsidRPr="00DA3C6E" w14:paraId="0E250DD4"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73E24735" w14:textId="77777777" w:rsidR="004745D9" w:rsidRPr="00DA3C6E" w:rsidRDefault="004745D9" w:rsidP="00A86CD1">
            <w:pPr>
              <w:pStyle w:val="Tabletext1"/>
              <w:jc w:val="left"/>
              <w:rPr>
                <w:b/>
              </w:rPr>
            </w:pPr>
            <w:r w:rsidRPr="00DA3C6E">
              <w:rPr>
                <w:b/>
              </w:rPr>
              <w:t>Methods used to generate results</w:t>
            </w:r>
          </w:p>
        </w:tc>
        <w:tc>
          <w:tcPr>
            <w:tcW w:w="5832" w:type="dxa"/>
            <w:tcBorders>
              <w:top w:val="single" w:sz="4" w:space="0" w:color="auto"/>
              <w:left w:val="single" w:sz="4" w:space="0" w:color="auto"/>
              <w:bottom w:val="single" w:sz="4" w:space="0" w:color="auto"/>
              <w:right w:val="single" w:sz="4" w:space="0" w:color="auto"/>
            </w:tcBorders>
            <w:vAlign w:val="center"/>
          </w:tcPr>
          <w:p w14:paraId="4AD2A587"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Markov model</w:t>
            </w:r>
          </w:p>
        </w:tc>
      </w:tr>
      <w:tr w:rsidR="004745D9" w:rsidRPr="00DA3C6E" w14:paraId="274800CC"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3E903311" w14:textId="77777777" w:rsidR="004745D9" w:rsidRPr="00DA3C6E" w:rsidRDefault="004745D9" w:rsidP="00A86CD1">
            <w:pPr>
              <w:pStyle w:val="Tabletext1"/>
              <w:jc w:val="left"/>
              <w:rPr>
                <w:b/>
              </w:rPr>
            </w:pPr>
            <w:r w:rsidRPr="00DA3C6E">
              <w:rPr>
                <w:b/>
              </w:rPr>
              <w:t>Health states</w:t>
            </w:r>
          </w:p>
        </w:tc>
        <w:tc>
          <w:tcPr>
            <w:tcW w:w="5832" w:type="dxa"/>
            <w:tcBorders>
              <w:top w:val="single" w:sz="4" w:space="0" w:color="auto"/>
              <w:left w:val="single" w:sz="4" w:space="0" w:color="auto"/>
              <w:bottom w:val="single" w:sz="4" w:space="0" w:color="auto"/>
              <w:right w:val="single" w:sz="4" w:space="0" w:color="auto"/>
            </w:tcBorders>
            <w:vAlign w:val="center"/>
          </w:tcPr>
          <w:p w14:paraId="3D03DDBB"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Initial treatment</w:t>
            </w:r>
          </w:p>
          <w:p w14:paraId="585E1E82"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Responder</w:t>
            </w:r>
          </w:p>
          <w:p w14:paraId="2DC53752"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Responder off treatment</w:t>
            </w:r>
          </w:p>
          <w:p w14:paraId="01E81351"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Best supportive care</w:t>
            </w:r>
          </w:p>
          <w:p w14:paraId="3F39CBB0"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Death</w:t>
            </w:r>
          </w:p>
        </w:tc>
      </w:tr>
      <w:tr w:rsidR="004745D9" w:rsidRPr="00DA3C6E" w14:paraId="544C119E"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10536522" w14:textId="77777777" w:rsidR="004745D9" w:rsidRPr="00DA3C6E" w:rsidRDefault="004745D9" w:rsidP="00A86CD1">
            <w:pPr>
              <w:pStyle w:val="Tabletext1"/>
              <w:jc w:val="left"/>
              <w:rPr>
                <w:b/>
              </w:rPr>
            </w:pPr>
            <w:r w:rsidRPr="00DA3C6E">
              <w:rPr>
                <w:b/>
              </w:rPr>
              <w:t>Cycle length</w:t>
            </w:r>
          </w:p>
        </w:tc>
        <w:tc>
          <w:tcPr>
            <w:tcW w:w="5832" w:type="dxa"/>
            <w:tcBorders>
              <w:top w:val="single" w:sz="4" w:space="0" w:color="auto"/>
              <w:left w:val="single" w:sz="4" w:space="0" w:color="auto"/>
              <w:bottom w:val="single" w:sz="4" w:space="0" w:color="auto"/>
              <w:right w:val="single" w:sz="4" w:space="0" w:color="auto"/>
            </w:tcBorders>
            <w:vAlign w:val="center"/>
          </w:tcPr>
          <w:p w14:paraId="6A5B86B7"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6 months</w:t>
            </w:r>
          </w:p>
        </w:tc>
      </w:tr>
      <w:tr w:rsidR="004745D9" w:rsidRPr="00DA3C6E" w14:paraId="13AD907D"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054CACE6" w14:textId="77777777" w:rsidR="004745D9" w:rsidRPr="00DA3C6E" w:rsidRDefault="004745D9" w:rsidP="00A86CD1">
            <w:pPr>
              <w:pStyle w:val="Tabletext1"/>
              <w:jc w:val="left"/>
              <w:rPr>
                <w:b/>
              </w:rPr>
            </w:pPr>
            <w:r w:rsidRPr="00DA3C6E">
              <w:rPr>
                <w:b/>
              </w:rPr>
              <w:t>Discount rate</w:t>
            </w:r>
          </w:p>
        </w:tc>
        <w:tc>
          <w:tcPr>
            <w:tcW w:w="5832" w:type="dxa"/>
            <w:tcBorders>
              <w:top w:val="single" w:sz="4" w:space="0" w:color="auto"/>
              <w:left w:val="single" w:sz="4" w:space="0" w:color="auto"/>
              <w:bottom w:val="single" w:sz="4" w:space="0" w:color="auto"/>
              <w:right w:val="single" w:sz="4" w:space="0" w:color="auto"/>
            </w:tcBorders>
            <w:vAlign w:val="center"/>
          </w:tcPr>
          <w:p w14:paraId="6991A681"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5%</w:t>
            </w:r>
          </w:p>
        </w:tc>
      </w:tr>
      <w:tr w:rsidR="004745D9" w:rsidRPr="00DA3C6E" w14:paraId="610C00A5" w14:textId="77777777" w:rsidTr="00A86CD1">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048CB4ED" w14:textId="77777777" w:rsidR="004745D9" w:rsidRPr="00DA3C6E" w:rsidRDefault="004745D9" w:rsidP="00A86CD1">
            <w:pPr>
              <w:pStyle w:val="Tabletext1"/>
              <w:jc w:val="left"/>
              <w:rPr>
                <w:b/>
              </w:rPr>
            </w:pPr>
            <w:r w:rsidRPr="00DA3C6E">
              <w:rPr>
                <w:b/>
              </w:rPr>
              <w:t>Software packages used</w:t>
            </w:r>
          </w:p>
        </w:tc>
        <w:tc>
          <w:tcPr>
            <w:tcW w:w="5832" w:type="dxa"/>
            <w:tcBorders>
              <w:top w:val="single" w:sz="4" w:space="0" w:color="auto"/>
              <w:left w:val="single" w:sz="4" w:space="0" w:color="auto"/>
              <w:bottom w:val="single" w:sz="4" w:space="0" w:color="auto"/>
              <w:right w:val="single" w:sz="4" w:space="0" w:color="auto"/>
            </w:tcBorders>
            <w:vAlign w:val="center"/>
          </w:tcPr>
          <w:p w14:paraId="25058D57" w14:textId="77777777" w:rsidR="004745D9" w:rsidRPr="00DA3C6E" w:rsidRDefault="004745D9" w:rsidP="00A86CD1">
            <w:pPr>
              <w:spacing w:after="0" w:line="240" w:lineRule="auto"/>
              <w:jc w:val="left"/>
              <w:rPr>
                <w:rFonts w:ascii="Arial Narrow" w:hAnsi="Arial Narrow"/>
                <w:sz w:val="20"/>
                <w:szCs w:val="20"/>
              </w:rPr>
            </w:pPr>
            <w:r w:rsidRPr="00DA3C6E">
              <w:rPr>
                <w:rFonts w:ascii="Arial Narrow" w:hAnsi="Arial Narrow"/>
                <w:sz w:val="20"/>
                <w:szCs w:val="20"/>
              </w:rPr>
              <w:t>TreeAge Pro®</w:t>
            </w:r>
          </w:p>
        </w:tc>
      </w:tr>
    </w:tbl>
    <w:p w14:paraId="2481A311" w14:textId="77777777" w:rsidR="004745D9" w:rsidRPr="00DA3C6E" w:rsidRDefault="004745D9" w:rsidP="004745D9">
      <w:pPr>
        <w:spacing w:line="240" w:lineRule="auto"/>
        <w:rPr>
          <w:rFonts w:ascii="Arial Narrow" w:hAnsi="Arial Narrow"/>
          <w:sz w:val="18"/>
        </w:rPr>
      </w:pPr>
      <w:r w:rsidRPr="00DA3C6E">
        <w:rPr>
          <w:rFonts w:ascii="Arial Narrow" w:hAnsi="Arial Narrow"/>
          <w:sz w:val="18"/>
        </w:rPr>
        <w:t>Abbreviations: BSC = best supportive care; Ig = immunoglobulin; QALYs = quality adjusted life years; NBA = National Blood Authority. SA=sensitivity analysis.</w:t>
      </w:r>
    </w:p>
    <w:p w14:paraId="1C5996F3" w14:textId="77777777" w:rsidR="004745D9" w:rsidRPr="00DA3C6E" w:rsidRDefault="004745D9" w:rsidP="003A092C">
      <w:r w:rsidRPr="00DA3C6E">
        <w:t xml:space="preserve">The base case was generated using a modelled three-stepped evaluation detailed in Table </w:t>
      </w:r>
      <w:r w:rsidR="00143AEB" w:rsidRPr="00DA3C6E">
        <w:t>ES.</w:t>
      </w:r>
      <w:r w:rsidRPr="00DA3C6E">
        <w:t>6</w:t>
      </w:r>
      <w:r w:rsidR="003A092C" w:rsidRPr="00DA3C6E">
        <w:t xml:space="preserve"> (base case corresponds to Step 2)</w:t>
      </w:r>
      <w:r w:rsidRPr="00DA3C6E">
        <w:t>.</w:t>
      </w:r>
    </w:p>
    <w:p w14:paraId="34009E9A" w14:textId="77777777" w:rsidR="004745D9" w:rsidRPr="00DA3C6E" w:rsidRDefault="004745D9" w:rsidP="004745D9">
      <w:pPr>
        <w:pStyle w:val="Caption"/>
        <w:tabs>
          <w:tab w:val="left" w:pos="1134"/>
        </w:tabs>
        <w:ind w:left="1134" w:hanging="1134"/>
      </w:pPr>
      <w:r w:rsidRPr="00DA3C6E">
        <w:t xml:space="preserve">Table </w:t>
      </w:r>
      <w:r w:rsidR="00BA1AEA" w:rsidRPr="00DA3C6E">
        <w:t>ES.</w:t>
      </w:r>
      <w:r w:rsidRPr="00DA3C6E">
        <w:t>6: Stepped economic evaluation</w:t>
      </w:r>
    </w:p>
    <w:tbl>
      <w:tblPr>
        <w:tblStyle w:val="TableGrid"/>
        <w:tblW w:w="0" w:type="auto"/>
        <w:tblLook w:val="04A0" w:firstRow="1" w:lastRow="0" w:firstColumn="1" w:lastColumn="0" w:noHBand="0" w:noVBand="1"/>
        <w:tblCaption w:val="Table ES.6: Stepped economic evaluation"/>
      </w:tblPr>
      <w:tblGrid>
        <w:gridCol w:w="1696"/>
        <w:gridCol w:w="7320"/>
      </w:tblGrid>
      <w:tr w:rsidR="004745D9" w:rsidRPr="00DA3C6E" w14:paraId="3D45F613" w14:textId="77777777" w:rsidTr="00D56F4F">
        <w:trPr>
          <w:tblHeader/>
        </w:trPr>
        <w:tc>
          <w:tcPr>
            <w:tcW w:w="1696" w:type="dxa"/>
            <w:vAlign w:val="center"/>
          </w:tcPr>
          <w:p w14:paraId="16D147E0" w14:textId="77777777" w:rsidR="004745D9" w:rsidRPr="00DA3C6E" w:rsidRDefault="004745D9" w:rsidP="00A86CD1">
            <w:pPr>
              <w:pStyle w:val="Tabletext1"/>
              <w:keepNext/>
              <w:keepLines/>
              <w:ind w:left="0"/>
              <w:jc w:val="left"/>
              <w:rPr>
                <w:b/>
              </w:rPr>
            </w:pPr>
            <w:r w:rsidRPr="00DA3C6E">
              <w:rPr>
                <w:b/>
              </w:rPr>
              <w:t>Steps</w:t>
            </w:r>
          </w:p>
        </w:tc>
        <w:tc>
          <w:tcPr>
            <w:tcW w:w="7320" w:type="dxa"/>
            <w:vAlign w:val="center"/>
          </w:tcPr>
          <w:p w14:paraId="75BF0C40" w14:textId="77777777" w:rsidR="004745D9" w:rsidRPr="00DA3C6E" w:rsidRDefault="004745D9" w:rsidP="00A86CD1">
            <w:pPr>
              <w:pStyle w:val="Tabletext1"/>
              <w:keepNext/>
              <w:keepLines/>
              <w:ind w:left="0"/>
              <w:jc w:val="left"/>
              <w:rPr>
                <w:b/>
              </w:rPr>
            </w:pPr>
            <w:r w:rsidRPr="00DA3C6E">
              <w:rPr>
                <w:b/>
              </w:rPr>
              <w:t>Description</w:t>
            </w:r>
          </w:p>
        </w:tc>
      </w:tr>
      <w:tr w:rsidR="004745D9" w:rsidRPr="00DA3C6E" w14:paraId="175567BF" w14:textId="77777777" w:rsidTr="00A86CD1">
        <w:tc>
          <w:tcPr>
            <w:tcW w:w="1696" w:type="dxa"/>
            <w:vAlign w:val="center"/>
          </w:tcPr>
          <w:p w14:paraId="3FFE1670" w14:textId="77777777" w:rsidR="004745D9" w:rsidRPr="00DA3C6E" w:rsidRDefault="004745D9" w:rsidP="00A86CD1">
            <w:pPr>
              <w:pStyle w:val="Tabletext1"/>
              <w:keepNext/>
              <w:keepLines/>
              <w:ind w:left="0"/>
              <w:jc w:val="left"/>
            </w:pPr>
            <w:r w:rsidRPr="00DA3C6E">
              <w:t>Step 1</w:t>
            </w:r>
          </w:p>
        </w:tc>
        <w:tc>
          <w:tcPr>
            <w:tcW w:w="7320" w:type="dxa"/>
            <w:vAlign w:val="center"/>
          </w:tcPr>
          <w:p w14:paraId="11AF90DF" w14:textId="77777777" w:rsidR="004745D9" w:rsidRPr="00DA3C6E" w:rsidRDefault="004745D9" w:rsidP="00A86CD1">
            <w:pPr>
              <w:pStyle w:val="Tabletext1"/>
              <w:keepNext/>
              <w:keepLines/>
              <w:ind w:left="0"/>
              <w:jc w:val="left"/>
            </w:pPr>
            <w:r w:rsidRPr="00DA3C6E">
              <w:t>Presents a trial-based economic evaluation which spanned the randomised trial time horizon of 4 months (Leger et al. 2001): outcome reported as the incremental cost per QALY.</w:t>
            </w:r>
          </w:p>
        </w:tc>
      </w:tr>
      <w:tr w:rsidR="004745D9" w:rsidRPr="00DA3C6E" w14:paraId="4D5CD9CB" w14:textId="77777777" w:rsidTr="00A86CD1">
        <w:tc>
          <w:tcPr>
            <w:tcW w:w="1696" w:type="dxa"/>
            <w:vAlign w:val="center"/>
          </w:tcPr>
          <w:p w14:paraId="4279CEB9" w14:textId="77777777" w:rsidR="004745D9" w:rsidRPr="00DA3C6E" w:rsidRDefault="004745D9" w:rsidP="00A86CD1">
            <w:pPr>
              <w:pStyle w:val="Tabletext1"/>
              <w:keepNext/>
              <w:keepLines/>
              <w:ind w:left="0"/>
              <w:jc w:val="left"/>
            </w:pPr>
            <w:r w:rsidRPr="00DA3C6E">
              <w:t>Step 2</w:t>
            </w:r>
            <w:r w:rsidR="003A092C" w:rsidRPr="00DA3C6E">
              <w:t xml:space="preserve"> (base case)</w:t>
            </w:r>
          </w:p>
        </w:tc>
        <w:tc>
          <w:tcPr>
            <w:tcW w:w="7320" w:type="dxa"/>
            <w:vAlign w:val="center"/>
          </w:tcPr>
          <w:p w14:paraId="55FC5BDC" w14:textId="77777777" w:rsidR="004745D9" w:rsidRPr="00DA3C6E" w:rsidRDefault="004745D9" w:rsidP="00A86CD1">
            <w:pPr>
              <w:pStyle w:val="Tabletext1"/>
              <w:keepNext/>
              <w:keepLines/>
              <w:ind w:left="0"/>
              <w:jc w:val="left"/>
            </w:pPr>
            <w:r w:rsidRPr="00DA3C6E">
              <w:t>Presents a modelled economic evaluation over a 15 years’ time horizon (extrapolated to 15 years) and estimates the incremental cost per QALY gained.</w:t>
            </w:r>
          </w:p>
        </w:tc>
      </w:tr>
      <w:tr w:rsidR="004745D9" w:rsidRPr="00DA3C6E" w14:paraId="1A95D48E" w14:textId="77777777" w:rsidTr="00A86CD1">
        <w:tc>
          <w:tcPr>
            <w:tcW w:w="1696" w:type="dxa"/>
            <w:vAlign w:val="center"/>
          </w:tcPr>
          <w:p w14:paraId="7E1C1689" w14:textId="77777777" w:rsidR="004745D9" w:rsidRPr="00DA3C6E" w:rsidRDefault="004745D9" w:rsidP="003A092C">
            <w:pPr>
              <w:pStyle w:val="Tabletext1"/>
              <w:keepNext/>
              <w:keepLines/>
              <w:ind w:left="0"/>
              <w:jc w:val="left"/>
            </w:pPr>
            <w:r w:rsidRPr="00DA3C6E">
              <w:t xml:space="preserve">Step 3 </w:t>
            </w:r>
          </w:p>
        </w:tc>
        <w:tc>
          <w:tcPr>
            <w:tcW w:w="7320" w:type="dxa"/>
            <w:vAlign w:val="center"/>
          </w:tcPr>
          <w:p w14:paraId="16998527" w14:textId="77777777" w:rsidR="004745D9" w:rsidRPr="00DA3C6E" w:rsidRDefault="004745D9" w:rsidP="00A86CD1">
            <w:pPr>
              <w:pStyle w:val="Tabletext1"/>
              <w:keepNext/>
              <w:keepLines/>
              <w:ind w:left="0"/>
              <w:jc w:val="left"/>
            </w:pPr>
            <w:r w:rsidRPr="00DA3C6E">
              <w:t>Presents a modelled economic evaluation over a lifetime time horizon and estimates the incremental cost per QALY gained.</w:t>
            </w:r>
          </w:p>
        </w:tc>
      </w:tr>
    </w:tbl>
    <w:p w14:paraId="01080596" w14:textId="77777777" w:rsidR="004745D9" w:rsidRPr="00DA3C6E" w:rsidRDefault="004745D9" w:rsidP="004745D9">
      <w:pPr>
        <w:spacing w:line="240" w:lineRule="auto"/>
        <w:rPr>
          <w:rFonts w:ascii="Arial Narrow" w:hAnsi="Arial Narrow"/>
          <w:sz w:val="18"/>
        </w:rPr>
      </w:pPr>
      <w:r w:rsidRPr="00DA3C6E">
        <w:rPr>
          <w:rFonts w:ascii="Arial Narrow" w:hAnsi="Arial Narrow"/>
          <w:sz w:val="18"/>
        </w:rPr>
        <w:t>Abbreviations: QALY = quality adjusted life years.</w:t>
      </w:r>
    </w:p>
    <w:p w14:paraId="2BCAEF3C" w14:textId="193A0C64" w:rsidR="004745D9" w:rsidRPr="00DA3C6E" w:rsidRDefault="004745D9" w:rsidP="004745D9">
      <w:r w:rsidRPr="00DA3C6E">
        <w:t xml:space="preserve">In the absence of any relevant economic evaluation applicable to MMN that could inform the current model, a Markov model was developed </w:t>
      </w:r>
      <w:r w:rsidRPr="00DA3C6E">
        <w:rPr>
          <w:i/>
        </w:rPr>
        <w:t>de novo.</w:t>
      </w:r>
      <w:r w:rsidR="005C5F30">
        <w:t xml:space="preserve"> The model consisted of</w:t>
      </w:r>
      <w:r w:rsidRPr="00DA3C6E">
        <w:t xml:space="preserve"> five health states: </w:t>
      </w:r>
      <w:r w:rsidR="003A092C" w:rsidRPr="00DA3C6E">
        <w:t>I</w:t>
      </w:r>
      <w:r w:rsidRPr="00DA3C6E">
        <w:t xml:space="preserve">nitial treatment; </w:t>
      </w:r>
      <w:r w:rsidR="003A092C" w:rsidRPr="00DA3C6E">
        <w:t>R</w:t>
      </w:r>
      <w:r w:rsidRPr="00DA3C6E">
        <w:t xml:space="preserve">esponder; </w:t>
      </w:r>
      <w:r w:rsidR="003A092C" w:rsidRPr="00DA3C6E">
        <w:t>R</w:t>
      </w:r>
      <w:r w:rsidRPr="00DA3C6E">
        <w:t xml:space="preserve">esponder off-treatment; BSC and </w:t>
      </w:r>
      <w:r w:rsidR="003A092C" w:rsidRPr="00DA3C6E">
        <w:t>D</w:t>
      </w:r>
      <w:r w:rsidRPr="00DA3C6E">
        <w:t xml:space="preserve">eath (the absorbing health state) (Figure </w:t>
      </w:r>
      <w:r w:rsidR="00143AEB" w:rsidRPr="00DA3C6E">
        <w:t>ES.</w:t>
      </w:r>
      <w:r w:rsidRPr="00DA3C6E">
        <w:t xml:space="preserve">1). </w:t>
      </w:r>
    </w:p>
    <w:p w14:paraId="23489CED" w14:textId="77777777" w:rsidR="004745D9" w:rsidRPr="00DA3C6E" w:rsidRDefault="002011B8" w:rsidP="004745D9">
      <w:pPr>
        <w:keepNext/>
        <w:keepLines/>
        <w:spacing w:after="0"/>
        <w:rPr>
          <w:rFonts w:ascii="Arial Narrow" w:hAnsi="Arial Narrow"/>
          <w:b/>
          <w:sz w:val="20"/>
          <w:szCs w:val="20"/>
        </w:rPr>
      </w:pPr>
      <w:r w:rsidRPr="00DA3C6E">
        <w:rPr>
          <w:rFonts w:ascii="Arial Narrow" w:hAnsi="Arial Narrow"/>
          <w:b/>
          <w:sz w:val="20"/>
          <w:szCs w:val="20"/>
        </w:rPr>
        <w:lastRenderedPageBreak/>
        <w:t>Figure ES.1</w:t>
      </w:r>
      <w:r w:rsidR="004745D9" w:rsidRPr="00DA3C6E">
        <w:rPr>
          <w:rFonts w:ascii="Arial Narrow" w:hAnsi="Arial Narrow"/>
          <w:b/>
          <w:sz w:val="20"/>
          <w:szCs w:val="20"/>
        </w:rPr>
        <w:t>. Decision analytic structure of the economic evaluation.</w:t>
      </w:r>
    </w:p>
    <w:p w14:paraId="33B9040E" w14:textId="77777777" w:rsidR="004745D9" w:rsidRPr="00DA3C6E" w:rsidRDefault="004745D9" w:rsidP="004745D9">
      <w:pPr>
        <w:keepNext/>
        <w:keepLines/>
        <w:spacing w:after="0" w:line="240" w:lineRule="auto"/>
      </w:pPr>
      <w:r w:rsidRPr="00DA3C6E">
        <w:rPr>
          <w:noProof/>
        </w:rPr>
        <w:drawing>
          <wp:inline distT="0" distB="0" distL="0" distR="0" wp14:anchorId="5A196B2C" wp14:editId="330DA176">
            <wp:extent cx="5703266" cy="2959100"/>
            <wp:effectExtent l="0" t="0" r="0" b="0"/>
            <wp:docPr id="35" name="Picture 35" title="Figure ES.1. Decision analytic structure of the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325" cy="2974696"/>
                    </a:xfrm>
                    <a:prstGeom prst="rect">
                      <a:avLst/>
                    </a:prstGeom>
                    <a:noFill/>
                  </pic:spPr>
                </pic:pic>
              </a:graphicData>
            </a:graphic>
          </wp:inline>
        </w:drawing>
      </w:r>
      <w:r w:rsidRPr="00DA3C6E">
        <w:t xml:space="preserve"> </w:t>
      </w:r>
    </w:p>
    <w:p w14:paraId="5BDD6803" w14:textId="77777777" w:rsidR="004745D9" w:rsidRPr="00DA3C6E" w:rsidRDefault="004745D9" w:rsidP="004745D9">
      <w:pPr>
        <w:keepNext/>
        <w:rPr>
          <w:rFonts w:ascii="Arial Narrow" w:hAnsi="Arial Narrow"/>
          <w:sz w:val="18"/>
          <w:szCs w:val="18"/>
        </w:rPr>
      </w:pPr>
      <w:r w:rsidRPr="00DA3C6E">
        <w:rPr>
          <w:rFonts w:ascii="Arial Narrow" w:hAnsi="Arial Narrow"/>
          <w:sz w:val="18"/>
          <w:szCs w:val="18"/>
        </w:rPr>
        <w:t xml:space="preserve">Notes: arrows represent the direction of each transition probability. </w:t>
      </w:r>
    </w:p>
    <w:p w14:paraId="57EC11E5" w14:textId="77777777" w:rsidR="004745D9" w:rsidRPr="00DA3C6E" w:rsidRDefault="004745D9" w:rsidP="004745D9">
      <w:r w:rsidRPr="00DA3C6E">
        <w:t>Key structural assumptions of the model are:</w:t>
      </w:r>
    </w:p>
    <w:p w14:paraId="16775569" w14:textId="08B69827" w:rsidR="004745D9" w:rsidRPr="00DA3C6E" w:rsidRDefault="00607F30" w:rsidP="004745D9">
      <w:pPr>
        <w:numPr>
          <w:ilvl w:val="0"/>
          <w:numId w:val="76"/>
        </w:numPr>
      </w:pPr>
      <w:r w:rsidRPr="00DA3C6E">
        <w:t xml:space="preserve">The </w:t>
      </w:r>
      <w:r w:rsidR="003A092C" w:rsidRPr="00DA3C6E">
        <w:t xml:space="preserve">model does not capture the fact that patients </w:t>
      </w:r>
      <w:r w:rsidR="001441C5" w:rsidRPr="00DA3C6E">
        <w:t xml:space="preserve">may </w:t>
      </w:r>
      <w:r w:rsidR="003A092C" w:rsidRPr="00DA3C6E">
        <w:t xml:space="preserve">slowly deteriorate overtime because there is no </w:t>
      </w:r>
      <w:r w:rsidR="008111F1" w:rsidRPr="00DA3C6E">
        <w:t xml:space="preserve">adequate </w:t>
      </w:r>
      <w:r w:rsidR="003A092C" w:rsidRPr="00DA3C6E">
        <w:t xml:space="preserve">data to model the rate of deterioration </w:t>
      </w:r>
      <w:r w:rsidR="008111F1" w:rsidRPr="00DA3C6E">
        <w:t xml:space="preserve">in terms of utility values and </w:t>
      </w:r>
      <w:r w:rsidR="003A092C" w:rsidRPr="00DA3C6E">
        <w:t xml:space="preserve">as per the natural history of the disease described in Section A. </w:t>
      </w:r>
      <w:r w:rsidR="001441C5" w:rsidRPr="00DA3C6E">
        <w:t xml:space="preserve">For this reason, </w:t>
      </w:r>
      <w:r w:rsidR="004745D9" w:rsidRPr="00DA3C6E">
        <w:t xml:space="preserve">MMN patients that transit to the ‘BSC’ health state (not receiving active treatment with intravenous Ig) are assumed to have a constant utility. </w:t>
      </w:r>
      <w:r w:rsidR="00DA1736" w:rsidRPr="00DA3C6E">
        <w:t>This assumption was tested in a sensitivity ana</w:t>
      </w:r>
      <w:r w:rsidR="00FE2FBE" w:rsidRPr="00DA3C6E">
        <w:t xml:space="preserve">lysis by </w:t>
      </w:r>
      <w:r w:rsidR="00AD2885" w:rsidRPr="00DA3C6E">
        <w:t>assuming a</w:t>
      </w:r>
      <w:r w:rsidR="00BA5CF3" w:rsidRPr="00DA3C6E">
        <w:t xml:space="preserve">n </w:t>
      </w:r>
      <w:r w:rsidR="00003488" w:rsidRPr="00DA3C6E">
        <w:t xml:space="preserve">annual </w:t>
      </w:r>
      <w:r w:rsidR="00590EB7" w:rsidRPr="00DA3C6E">
        <w:t xml:space="preserve">utility decrement </w:t>
      </w:r>
      <w:r w:rsidR="00003488" w:rsidRPr="00DA3C6E">
        <w:t xml:space="preserve">to demonstrate </w:t>
      </w:r>
      <w:r w:rsidR="0097076F" w:rsidRPr="00DA3C6E">
        <w:t xml:space="preserve">deterioration in </w:t>
      </w:r>
      <w:r w:rsidR="00AD2885" w:rsidRPr="00DA3C6E">
        <w:t xml:space="preserve">QoL </w:t>
      </w:r>
      <w:r w:rsidR="0097076F" w:rsidRPr="00DA3C6E">
        <w:t>over time</w:t>
      </w:r>
      <w:r w:rsidR="00811025" w:rsidRPr="00DA3C6E">
        <w:t xml:space="preserve"> (further details provided in Section D.4)</w:t>
      </w:r>
      <w:r w:rsidR="0097076F" w:rsidRPr="00DA3C6E">
        <w:t>.</w:t>
      </w:r>
    </w:p>
    <w:p w14:paraId="7B14611A" w14:textId="77777777" w:rsidR="004745D9" w:rsidRPr="00DA3C6E" w:rsidRDefault="004745D9" w:rsidP="004745D9">
      <w:pPr>
        <w:numPr>
          <w:ilvl w:val="0"/>
          <w:numId w:val="76"/>
        </w:numPr>
      </w:pPr>
      <w:r w:rsidRPr="00DA3C6E">
        <w:t>MMN patients who do not receive active treatment with intravenous Ig (only BSC), but who’s health does not deteriorate (i.e. remain ‘stable’) move to the ‘</w:t>
      </w:r>
      <w:r w:rsidR="003A092C" w:rsidRPr="00DA3C6E">
        <w:t>R</w:t>
      </w:r>
      <w:r w:rsidRPr="00DA3C6E">
        <w:t>espond’ health state, and are assumed to remain stable with no deterioration for a maximum of six months (1 cycle) after the initial treatment phase. After this period, all patients (100%) transit to the ‘BSC’ health state</w:t>
      </w:r>
      <w:r w:rsidR="003A092C" w:rsidRPr="00DA3C6E">
        <w:t xml:space="preserve">. </w:t>
      </w:r>
    </w:p>
    <w:p w14:paraId="57DE18FB" w14:textId="7549853F" w:rsidR="004745D9" w:rsidRPr="00DA3C6E" w:rsidRDefault="004745D9" w:rsidP="004745D9">
      <w:pPr>
        <w:numPr>
          <w:ilvl w:val="0"/>
          <w:numId w:val="76"/>
        </w:numPr>
      </w:pPr>
      <w:r w:rsidRPr="00DA3C6E">
        <w:t xml:space="preserve">Because the literature search did not identify any trials that implemented a weaning off trial phase, it was assumed that 5% </w:t>
      </w:r>
      <w:r w:rsidR="003A092C" w:rsidRPr="00DA3C6E">
        <w:t xml:space="preserve">(kept constant throughout the whole time horizon) </w:t>
      </w:r>
      <w:r w:rsidRPr="00DA3C6E">
        <w:t xml:space="preserve">of patients would transit to the ‘Responder off-treatment’ health state each cycle. This was based on expert opinion from the Ig Review Reference </w:t>
      </w:r>
      <w:r w:rsidR="005C5F30">
        <w:t>G</w:t>
      </w:r>
      <w:r w:rsidRPr="00DA3C6E">
        <w:t xml:space="preserve">roup that suggested that it was more common in Australia to assess Ig treated patients for an end of dose effect (i.e. patient demonstrates an improvement in symptoms on the current dose) rather than weaning. </w:t>
      </w:r>
    </w:p>
    <w:p w14:paraId="7E713CCE" w14:textId="7C6E238B" w:rsidR="004745D9" w:rsidRPr="00DA3C6E" w:rsidRDefault="004745D9" w:rsidP="004745D9">
      <w:pPr>
        <w:numPr>
          <w:ilvl w:val="0"/>
          <w:numId w:val="76"/>
        </w:numPr>
      </w:pPr>
      <w:r w:rsidRPr="00DA3C6E">
        <w:lastRenderedPageBreak/>
        <w:t>The proportion of patients in the ‘Responder off-treatment’ health state likely to relapse and reinitiate treatment was assumed as 50% as per advice from</w:t>
      </w:r>
      <w:r w:rsidR="00412B99">
        <w:t xml:space="preserve"> the</w:t>
      </w:r>
      <w:r w:rsidRPr="00DA3C6E">
        <w:t xml:space="preserve"> clinical expert o</w:t>
      </w:r>
      <w:r w:rsidR="00412B99">
        <w:t>n</w:t>
      </w:r>
      <w:r w:rsidRPr="00DA3C6E">
        <w:t xml:space="preserve"> the Ig Review Reference </w:t>
      </w:r>
      <w:r w:rsidR="00412B99">
        <w:t>G</w:t>
      </w:r>
      <w:r w:rsidRPr="00DA3C6E">
        <w:t>roup.</w:t>
      </w:r>
    </w:p>
    <w:p w14:paraId="5936B30E" w14:textId="462EED4C" w:rsidR="003A092C" w:rsidRPr="00DA3C6E" w:rsidRDefault="00607F30" w:rsidP="00607F30">
      <w:pPr>
        <w:pStyle w:val="ListParagraph"/>
        <w:numPr>
          <w:ilvl w:val="0"/>
          <w:numId w:val="76"/>
        </w:numPr>
      </w:pPr>
      <w:r w:rsidRPr="00DA3C6E">
        <w:t>Patients who re-initiate (pre-treated patients) treatment were assumed to have the same chance of not responding to treatment as would treatment naïve patients</w:t>
      </w:r>
      <w:r w:rsidR="003A092C" w:rsidRPr="00DA3C6E">
        <w:t>.</w:t>
      </w:r>
      <w:r w:rsidR="00B91D78" w:rsidRPr="00DA3C6E">
        <w:t xml:space="preserve"> This assumption was tested in </w:t>
      </w:r>
      <w:r w:rsidR="005C0E06" w:rsidRPr="00DA3C6E">
        <w:t>a sensitivity analysis where pre-treated patients were assumed to have</w:t>
      </w:r>
      <w:r w:rsidR="00B27DCB" w:rsidRPr="00DA3C6E">
        <w:t xml:space="preserve"> a higher probability of responding to treatment compared to treatment naïve patients</w:t>
      </w:r>
      <w:r w:rsidR="001824D5">
        <w:t>.</w:t>
      </w:r>
    </w:p>
    <w:p w14:paraId="2280029E" w14:textId="35C84104" w:rsidR="004745D9" w:rsidRPr="00DA3C6E" w:rsidRDefault="004745D9" w:rsidP="004745D9">
      <w:pPr>
        <w:numPr>
          <w:ilvl w:val="0"/>
          <w:numId w:val="76"/>
        </w:numPr>
      </w:pPr>
      <w:r w:rsidRPr="00DA3C6E">
        <w:t xml:space="preserve">The model included the costs and associated disutility of </w:t>
      </w:r>
      <w:r w:rsidR="00412B99">
        <w:t xml:space="preserve">the </w:t>
      </w:r>
      <w:r w:rsidRPr="00DA3C6E">
        <w:t>serious adverse events</w:t>
      </w:r>
      <w:r w:rsidR="00412B99">
        <w:t xml:space="preserve"> (pulmonary embolism)</w:t>
      </w:r>
      <w:r w:rsidRPr="00DA3C6E">
        <w:t xml:space="preserve"> that were reported in the RCTs. It was assumed that the proportion of MMN patients on intravenous Ig treatment who will experience this event is the same as that observed in one of the RCTs (Hahn et al. 2013), and that the event will be experienced once</w:t>
      </w:r>
      <w:r w:rsidR="00412B99">
        <w:t xml:space="preserve"> per patient </w:t>
      </w:r>
      <w:r w:rsidRPr="00DA3C6E">
        <w:t>in the model.</w:t>
      </w:r>
    </w:p>
    <w:p w14:paraId="23F13BC5" w14:textId="361337B0" w:rsidR="004745D9" w:rsidRPr="00DA3C6E" w:rsidRDefault="004745D9" w:rsidP="004745D9">
      <w:r w:rsidRPr="00DA3C6E">
        <w:t xml:space="preserve">The results of the stepped analysis of the base case economic evaluation are presented in Table </w:t>
      </w:r>
      <w:r w:rsidR="00CC1C5E" w:rsidRPr="00DA3C6E">
        <w:t>ES.</w:t>
      </w:r>
      <w:r w:rsidRPr="00DA3C6E">
        <w:t>7. The incremental cost effectiveness ratio (ICER) for the trial-based evaluation (</w:t>
      </w:r>
      <w:r w:rsidR="001332F9" w:rsidRPr="00DA3C6E">
        <w:t>S</w:t>
      </w:r>
      <w:r w:rsidRPr="00DA3C6E">
        <w:t xml:space="preserve">tep 1) is </w:t>
      </w:r>
      <w:r w:rsidRPr="00AA084A">
        <w:t>$</w:t>
      </w:r>
      <w:r w:rsidR="00D00F3B" w:rsidRPr="00AA084A">
        <w:t>740,635</w:t>
      </w:r>
      <w:r w:rsidR="00D00F3B">
        <w:t xml:space="preserve"> </w:t>
      </w:r>
      <w:r w:rsidRPr="00DA3C6E">
        <w:t xml:space="preserve">per QALY gained. The </w:t>
      </w:r>
      <w:r w:rsidR="001332F9" w:rsidRPr="00DA3C6E">
        <w:t xml:space="preserve">base case </w:t>
      </w:r>
      <w:r w:rsidRPr="00DA3C6E">
        <w:t>ICER per 15 years’ time horizon (</w:t>
      </w:r>
      <w:r w:rsidR="001332F9" w:rsidRPr="00DA3C6E">
        <w:t>S</w:t>
      </w:r>
      <w:r w:rsidRPr="00DA3C6E">
        <w:t xml:space="preserve">tep 2) is </w:t>
      </w:r>
      <w:r w:rsidRPr="00AA084A">
        <w:t>$</w:t>
      </w:r>
      <w:r w:rsidR="00D00F3B" w:rsidRPr="00AA084A">
        <w:t>317,552</w:t>
      </w:r>
      <w:r w:rsidRPr="00DA3C6E">
        <w:t xml:space="preserve"> per QALY gained. </w:t>
      </w:r>
      <w:r w:rsidR="001332F9" w:rsidRPr="00DA3C6E">
        <w:t>Finally, t</w:t>
      </w:r>
      <w:r w:rsidRPr="00DA3C6E">
        <w:t>he ICER (</w:t>
      </w:r>
      <w:r w:rsidR="001332F9" w:rsidRPr="00DA3C6E">
        <w:t>S</w:t>
      </w:r>
      <w:r w:rsidRPr="00DA3C6E">
        <w:t xml:space="preserve">tep 3) over a lifetime time horizon is </w:t>
      </w:r>
      <w:r w:rsidRPr="00AA084A">
        <w:t>$</w:t>
      </w:r>
      <w:r w:rsidR="00D00F3B" w:rsidRPr="00AA084A">
        <w:t>315,258</w:t>
      </w:r>
      <w:r w:rsidRPr="00DA3C6E">
        <w:t xml:space="preserve"> per QALY gained. An individual with MMN gains more QALY over a lifetime time horizon compared to 15 years’ time horizon (</w:t>
      </w:r>
      <w:r w:rsidR="00D00F3B" w:rsidRPr="00AA084A">
        <w:t>1</w:t>
      </w:r>
      <w:r w:rsidRPr="00AA084A">
        <w:t xml:space="preserve">.00 versus </w:t>
      </w:r>
      <w:r w:rsidR="00D00F3B" w:rsidRPr="00AA084A">
        <w:t>0.79</w:t>
      </w:r>
      <w:r w:rsidRPr="00DA3C6E">
        <w:t xml:space="preserve"> QALYs). However, this benefit is offset by the incremental costs over the lifetime time horizon, resulting in a similar ICER. </w:t>
      </w:r>
      <w:r w:rsidR="001332F9" w:rsidRPr="00DA3C6E">
        <w:t>Extending the time horizon to a life time introduces more uncertainty, hence Step 2 was considered the base case analysis.</w:t>
      </w:r>
    </w:p>
    <w:p w14:paraId="788EBC45" w14:textId="77777777" w:rsidR="0006421B" w:rsidRPr="00DA3C6E" w:rsidRDefault="004745D9" w:rsidP="00811025">
      <w:pPr>
        <w:pStyle w:val="Caption"/>
        <w:keepNext/>
        <w:keepLines/>
      </w:pPr>
      <w:r w:rsidRPr="00DA3C6E">
        <w:t xml:space="preserve">Table </w:t>
      </w:r>
      <w:r w:rsidR="00CC1C5E" w:rsidRPr="00DA3C6E">
        <w:t>ES.</w:t>
      </w:r>
      <w:r w:rsidRPr="00DA3C6E">
        <w:t>7: Results of stepped economic evaluation</w:t>
      </w:r>
    </w:p>
    <w:tbl>
      <w:tblPr>
        <w:tblStyle w:val="TableGrid2"/>
        <w:tblW w:w="9185" w:type="dxa"/>
        <w:tblInd w:w="-5" w:type="dxa"/>
        <w:tblLayout w:type="fixed"/>
        <w:tblLook w:val="04A0" w:firstRow="1" w:lastRow="0" w:firstColumn="1" w:lastColumn="0" w:noHBand="0" w:noVBand="1"/>
        <w:tblCaption w:val="Table 22 Implications for the base case economic evaluation of applying the results of the clinical evaluation (Step 1 then Step 2)"/>
        <w:tblDescription w:val="This table provides information on the incremental costs and incremental effectiveness at each of Steps 1 and 2, when describing the stepped economic model."/>
      </w:tblPr>
      <w:tblGrid>
        <w:gridCol w:w="1701"/>
        <w:gridCol w:w="1560"/>
        <w:gridCol w:w="1559"/>
        <w:gridCol w:w="1678"/>
        <w:gridCol w:w="1326"/>
        <w:gridCol w:w="1361"/>
      </w:tblGrid>
      <w:tr w:rsidR="00D00F3B" w:rsidRPr="00AA084A" w14:paraId="7C1F394C" w14:textId="77777777" w:rsidTr="00E252FF">
        <w:trPr>
          <w:cnfStyle w:val="100000000000" w:firstRow="1" w:lastRow="0" w:firstColumn="0" w:lastColumn="0" w:oddVBand="0" w:evenVBand="0" w:oddHBand="0" w:evenHBand="0" w:firstRowFirstColumn="0" w:firstRowLastColumn="0" w:lastRowFirstColumn="0" w:lastRowLastColumn="0"/>
          <w:tblHeader/>
        </w:trPr>
        <w:tc>
          <w:tcPr>
            <w:tcW w:w="1701" w:type="dxa"/>
            <w:tcBorders>
              <w:bottom w:val="single" w:sz="4" w:space="0" w:color="auto"/>
            </w:tcBorders>
          </w:tcPr>
          <w:p w14:paraId="36AA5F2E" w14:textId="77777777" w:rsidR="00D00F3B" w:rsidRPr="00151474" w:rsidRDefault="00D00F3B" w:rsidP="00E252FF">
            <w:pPr>
              <w:keepNext/>
              <w:keepLines/>
              <w:spacing w:after="40" w:line="240" w:lineRule="auto"/>
              <w:rPr>
                <w:rFonts w:ascii="Arial Narrow" w:hAnsi="Arial Narrow"/>
                <w:b/>
                <w:sz w:val="20"/>
                <w:szCs w:val="20"/>
              </w:rPr>
            </w:pPr>
          </w:p>
        </w:tc>
        <w:tc>
          <w:tcPr>
            <w:tcW w:w="1560" w:type="dxa"/>
            <w:tcBorders>
              <w:bottom w:val="single" w:sz="4" w:space="0" w:color="auto"/>
            </w:tcBorders>
          </w:tcPr>
          <w:p w14:paraId="41123EC7"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Total costs</w:t>
            </w:r>
          </w:p>
        </w:tc>
        <w:tc>
          <w:tcPr>
            <w:tcW w:w="1559" w:type="dxa"/>
            <w:tcBorders>
              <w:bottom w:val="single" w:sz="4" w:space="0" w:color="auto"/>
            </w:tcBorders>
          </w:tcPr>
          <w:p w14:paraId="73FF34AD"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Incremental cost</w:t>
            </w:r>
          </w:p>
        </w:tc>
        <w:tc>
          <w:tcPr>
            <w:tcW w:w="1678" w:type="dxa"/>
            <w:tcBorders>
              <w:bottom w:val="single" w:sz="4" w:space="0" w:color="auto"/>
            </w:tcBorders>
          </w:tcPr>
          <w:p w14:paraId="2094CFA1"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Total Effectiveness</w:t>
            </w:r>
          </w:p>
        </w:tc>
        <w:tc>
          <w:tcPr>
            <w:tcW w:w="1326" w:type="dxa"/>
            <w:tcBorders>
              <w:bottom w:val="single" w:sz="4" w:space="0" w:color="auto"/>
            </w:tcBorders>
          </w:tcPr>
          <w:p w14:paraId="07EE13DB"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Incremental effectiveness</w:t>
            </w:r>
          </w:p>
        </w:tc>
        <w:tc>
          <w:tcPr>
            <w:tcW w:w="1361" w:type="dxa"/>
            <w:tcBorders>
              <w:bottom w:val="single" w:sz="4" w:space="0" w:color="auto"/>
            </w:tcBorders>
          </w:tcPr>
          <w:p w14:paraId="537C6D28"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 xml:space="preserve">ICER </w:t>
            </w:r>
          </w:p>
          <w:p w14:paraId="67748500" w14:textId="77777777" w:rsidR="00D00F3B" w:rsidRPr="00AA084A" w:rsidRDefault="00D00F3B" w:rsidP="00E252FF">
            <w:pPr>
              <w:keepNext/>
              <w:keepLines/>
              <w:spacing w:after="40" w:line="240" w:lineRule="auto"/>
              <w:rPr>
                <w:rFonts w:ascii="Arial Narrow" w:hAnsi="Arial Narrow"/>
                <w:b/>
                <w:sz w:val="20"/>
                <w:szCs w:val="20"/>
              </w:rPr>
            </w:pPr>
            <w:r w:rsidRPr="00AA084A">
              <w:rPr>
                <w:rFonts w:ascii="Arial Narrow" w:hAnsi="Arial Narrow"/>
                <w:b/>
                <w:sz w:val="20"/>
                <w:szCs w:val="20"/>
              </w:rPr>
              <w:t>($/QALY)</w:t>
            </w:r>
          </w:p>
        </w:tc>
      </w:tr>
      <w:tr w:rsidR="00D00F3B" w:rsidRPr="00AA084A" w14:paraId="196CBFA8" w14:textId="77777777" w:rsidTr="00E252FF">
        <w:tc>
          <w:tcPr>
            <w:tcW w:w="9185" w:type="dxa"/>
            <w:gridSpan w:val="6"/>
          </w:tcPr>
          <w:p w14:paraId="54E612D1"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b/>
                <w:sz w:val="20"/>
                <w:szCs w:val="20"/>
              </w:rPr>
              <w:t>Step 1</w:t>
            </w:r>
            <w:r w:rsidRPr="00AA084A">
              <w:rPr>
                <w:rFonts w:ascii="Arial Narrow" w:hAnsi="Arial Narrow"/>
                <w:sz w:val="20"/>
                <w:szCs w:val="20"/>
              </w:rPr>
              <w:t>: trial-based evaluation, 7 months’ time horizon</w:t>
            </w:r>
          </w:p>
        </w:tc>
      </w:tr>
      <w:tr w:rsidR="00D00F3B" w:rsidRPr="00AA084A" w14:paraId="7CA893B3" w14:textId="77777777" w:rsidTr="00E252FF">
        <w:tc>
          <w:tcPr>
            <w:tcW w:w="1701" w:type="dxa"/>
            <w:shd w:val="clear" w:color="auto" w:fill="auto"/>
          </w:tcPr>
          <w:p w14:paraId="7C0160CD"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Intravenous Ig</w:t>
            </w:r>
          </w:p>
        </w:tc>
        <w:tc>
          <w:tcPr>
            <w:tcW w:w="1560" w:type="dxa"/>
          </w:tcPr>
          <w:p w14:paraId="5BEB9155"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$15,560.31</w:t>
            </w:r>
          </w:p>
        </w:tc>
        <w:tc>
          <w:tcPr>
            <w:tcW w:w="1559" w:type="dxa"/>
          </w:tcPr>
          <w:p w14:paraId="77334344"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$14,278</w:t>
            </w:r>
          </w:p>
        </w:tc>
        <w:tc>
          <w:tcPr>
            <w:tcW w:w="1678" w:type="dxa"/>
          </w:tcPr>
          <w:p w14:paraId="04A87C4C"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0.32</w:t>
            </w:r>
          </w:p>
        </w:tc>
        <w:tc>
          <w:tcPr>
            <w:tcW w:w="1326" w:type="dxa"/>
          </w:tcPr>
          <w:p w14:paraId="4EB514FF"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0.02</w:t>
            </w:r>
          </w:p>
        </w:tc>
        <w:tc>
          <w:tcPr>
            <w:tcW w:w="1361" w:type="dxa"/>
          </w:tcPr>
          <w:p w14:paraId="13F36CF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740,635</w:t>
            </w:r>
          </w:p>
        </w:tc>
      </w:tr>
      <w:tr w:rsidR="00D00F3B" w:rsidRPr="00AA084A" w14:paraId="0C6D5D0B" w14:textId="77777777" w:rsidTr="00E252FF">
        <w:tc>
          <w:tcPr>
            <w:tcW w:w="1701" w:type="dxa"/>
            <w:shd w:val="clear" w:color="auto" w:fill="auto"/>
          </w:tcPr>
          <w:p w14:paraId="6A3734E8"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No Ig with BSC</w:t>
            </w:r>
          </w:p>
        </w:tc>
        <w:tc>
          <w:tcPr>
            <w:tcW w:w="1560" w:type="dxa"/>
          </w:tcPr>
          <w:p w14:paraId="62F5A449"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$1,282.71</w:t>
            </w:r>
          </w:p>
        </w:tc>
        <w:tc>
          <w:tcPr>
            <w:tcW w:w="1559" w:type="dxa"/>
          </w:tcPr>
          <w:p w14:paraId="04AC75F7"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w:t>
            </w:r>
          </w:p>
        </w:tc>
        <w:tc>
          <w:tcPr>
            <w:tcW w:w="1678" w:type="dxa"/>
          </w:tcPr>
          <w:p w14:paraId="6736385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0.30</w:t>
            </w:r>
          </w:p>
        </w:tc>
        <w:tc>
          <w:tcPr>
            <w:tcW w:w="1326" w:type="dxa"/>
          </w:tcPr>
          <w:p w14:paraId="261CDAA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w:t>
            </w:r>
          </w:p>
        </w:tc>
        <w:tc>
          <w:tcPr>
            <w:tcW w:w="1361" w:type="dxa"/>
          </w:tcPr>
          <w:p w14:paraId="3BFDA345" w14:textId="77777777" w:rsidR="00D00F3B" w:rsidRPr="00AA084A" w:rsidRDefault="00D00F3B" w:rsidP="00E252FF">
            <w:pPr>
              <w:keepNext/>
              <w:keepLines/>
              <w:spacing w:after="40" w:line="240" w:lineRule="auto"/>
              <w:rPr>
                <w:rFonts w:ascii="Arial Narrow" w:hAnsi="Arial Narrow"/>
                <w:sz w:val="20"/>
                <w:szCs w:val="20"/>
              </w:rPr>
            </w:pPr>
          </w:p>
        </w:tc>
      </w:tr>
      <w:tr w:rsidR="00D00F3B" w:rsidRPr="00AA084A" w14:paraId="75A76FE2" w14:textId="77777777" w:rsidTr="00E252FF">
        <w:tc>
          <w:tcPr>
            <w:tcW w:w="9185" w:type="dxa"/>
            <w:gridSpan w:val="6"/>
          </w:tcPr>
          <w:p w14:paraId="5A9733B4"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b/>
                <w:sz w:val="20"/>
                <w:szCs w:val="20"/>
              </w:rPr>
              <w:t>Step 2</w:t>
            </w:r>
            <w:r w:rsidRPr="00AA084A">
              <w:rPr>
                <w:rFonts w:ascii="Arial Narrow" w:hAnsi="Arial Narrow"/>
                <w:sz w:val="20"/>
                <w:szCs w:val="20"/>
              </w:rPr>
              <w:t>: modelled evaluation, 15 years’ time horizon (Base case).</w:t>
            </w:r>
          </w:p>
        </w:tc>
      </w:tr>
      <w:tr w:rsidR="00D00F3B" w:rsidRPr="00AA084A" w14:paraId="3B1B42EE" w14:textId="77777777" w:rsidTr="00E252FF">
        <w:tc>
          <w:tcPr>
            <w:tcW w:w="1701" w:type="dxa"/>
          </w:tcPr>
          <w:p w14:paraId="337C15B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Intravenous Ig</w:t>
            </w:r>
          </w:p>
        </w:tc>
        <w:tc>
          <w:tcPr>
            <w:tcW w:w="1560" w:type="dxa"/>
          </w:tcPr>
          <w:p w14:paraId="3A5A7EAD"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$275,853 </w:t>
            </w:r>
          </w:p>
        </w:tc>
        <w:tc>
          <w:tcPr>
            <w:tcW w:w="1559" w:type="dxa"/>
          </w:tcPr>
          <w:p w14:paraId="3CBA8139"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$249,662 </w:t>
            </w:r>
          </w:p>
        </w:tc>
        <w:tc>
          <w:tcPr>
            <w:tcW w:w="1678" w:type="dxa"/>
          </w:tcPr>
          <w:p w14:paraId="59FC4165"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6.83 </w:t>
            </w:r>
          </w:p>
        </w:tc>
        <w:tc>
          <w:tcPr>
            <w:tcW w:w="1326" w:type="dxa"/>
          </w:tcPr>
          <w:p w14:paraId="3D65A9CA"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0.79 </w:t>
            </w:r>
          </w:p>
        </w:tc>
        <w:tc>
          <w:tcPr>
            <w:tcW w:w="1361" w:type="dxa"/>
          </w:tcPr>
          <w:p w14:paraId="002F8C05"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317,552 </w:t>
            </w:r>
          </w:p>
        </w:tc>
      </w:tr>
      <w:tr w:rsidR="00D00F3B" w:rsidRPr="00AA084A" w14:paraId="3809DD7C" w14:textId="77777777" w:rsidTr="00E252FF">
        <w:tc>
          <w:tcPr>
            <w:tcW w:w="1701" w:type="dxa"/>
          </w:tcPr>
          <w:p w14:paraId="1FE37743"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No Intravenous Ig</w:t>
            </w:r>
          </w:p>
        </w:tc>
        <w:tc>
          <w:tcPr>
            <w:tcW w:w="1560" w:type="dxa"/>
          </w:tcPr>
          <w:p w14:paraId="7462FC2F"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$26,191 </w:t>
            </w:r>
          </w:p>
        </w:tc>
        <w:tc>
          <w:tcPr>
            <w:tcW w:w="1559" w:type="dxa"/>
          </w:tcPr>
          <w:p w14:paraId="147195C8"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   </w:t>
            </w:r>
          </w:p>
        </w:tc>
        <w:tc>
          <w:tcPr>
            <w:tcW w:w="1678" w:type="dxa"/>
          </w:tcPr>
          <w:p w14:paraId="648BD320"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6.04 </w:t>
            </w:r>
          </w:p>
        </w:tc>
        <w:tc>
          <w:tcPr>
            <w:tcW w:w="1326" w:type="dxa"/>
          </w:tcPr>
          <w:p w14:paraId="632F58AD"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   </w:t>
            </w:r>
          </w:p>
        </w:tc>
        <w:tc>
          <w:tcPr>
            <w:tcW w:w="1361" w:type="dxa"/>
          </w:tcPr>
          <w:p w14:paraId="2A69CDD3"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w:t>
            </w:r>
          </w:p>
        </w:tc>
      </w:tr>
      <w:tr w:rsidR="00D00F3B" w:rsidRPr="00AA084A" w14:paraId="4C7EBDFF" w14:textId="77777777" w:rsidTr="00E252FF">
        <w:tc>
          <w:tcPr>
            <w:tcW w:w="9185" w:type="dxa"/>
            <w:gridSpan w:val="6"/>
          </w:tcPr>
          <w:p w14:paraId="6D82C2F9"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b/>
                <w:sz w:val="20"/>
                <w:szCs w:val="20"/>
              </w:rPr>
              <w:t>Step 3</w:t>
            </w:r>
            <w:r w:rsidRPr="00AA084A">
              <w:rPr>
                <w:rFonts w:ascii="Arial Narrow" w:hAnsi="Arial Narrow"/>
                <w:sz w:val="20"/>
                <w:szCs w:val="20"/>
              </w:rPr>
              <w:t>: modelled evaluation, lifetime time horizon.</w:t>
            </w:r>
          </w:p>
        </w:tc>
      </w:tr>
      <w:tr w:rsidR="00D00F3B" w:rsidRPr="00AA084A" w14:paraId="0F314C94" w14:textId="77777777" w:rsidTr="00E252FF">
        <w:tc>
          <w:tcPr>
            <w:tcW w:w="1701" w:type="dxa"/>
          </w:tcPr>
          <w:p w14:paraId="354BBD13"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Intravenous Ig</w:t>
            </w:r>
          </w:p>
        </w:tc>
        <w:tc>
          <w:tcPr>
            <w:tcW w:w="1560" w:type="dxa"/>
          </w:tcPr>
          <w:p w14:paraId="35A148C9"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$350,387 </w:t>
            </w:r>
          </w:p>
        </w:tc>
        <w:tc>
          <w:tcPr>
            <w:tcW w:w="1559" w:type="dxa"/>
          </w:tcPr>
          <w:p w14:paraId="07721A6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$314,506</w:t>
            </w:r>
          </w:p>
        </w:tc>
        <w:tc>
          <w:tcPr>
            <w:tcW w:w="1678" w:type="dxa"/>
          </w:tcPr>
          <w:p w14:paraId="3F6C34B7"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9.28 </w:t>
            </w:r>
          </w:p>
        </w:tc>
        <w:tc>
          <w:tcPr>
            <w:tcW w:w="1326" w:type="dxa"/>
          </w:tcPr>
          <w:p w14:paraId="352F3303"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1.00 </w:t>
            </w:r>
          </w:p>
        </w:tc>
        <w:tc>
          <w:tcPr>
            <w:tcW w:w="1361" w:type="dxa"/>
          </w:tcPr>
          <w:p w14:paraId="6EC4CE75"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315,258 </w:t>
            </w:r>
          </w:p>
        </w:tc>
      </w:tr>
      <w:tr w:rsidR="00D00F3B" w:rsidRPr="00151474" w14:paraId="32FA1605" w14:textId="77777777" w:rsidTr="00E252FF">
        <w:tc>
          <w:tcPr>
            <w:tcW w:w="1701" w:type="dxa"/>
          </w:tcPr>
          <w:p w14:paraId="715376CB"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No Intravenous Ig</w:t>
            </w:r>
          </w:p>
        </w:tc>
        <w:tc>
          <w:tcPr>
            <w:tcW w:w="1560" w:type="dxa"/>
          </w:tcPr>
          <w:p w14:paraId="2A015052"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$35,881 </w:t>
            </w:r>
          </w:p>
        </w:tc>
        <w:tc>
          <w:tcPr>
            <w:tcW w:w="1559" w:type="dxa"/>
          </w:tcPr>
          <w:p w14:paraId="0F7315F6"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w:t>
            </w:r>
          </w:p>
        </w:tc>
        <w:tc>
          <w:tcPr>
            <w:tcW w:w="1678" w:type="dxa"/>
          </w:tcPr>
          <w:p w14:paraId="4D1E2C5F" w14:textId="77777777" w:rsidR="00D00F3B" w:rsidRPr="00AA084A"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 xml:space="preserve"> 8.28 </w:t>
            </w:r>
          </w:p>
        </w:tc>
        <w:tc>
          <w:tcPr>
            <w:tcW w:w="1326" w:type="dxa"/>
          </w:tcPr>
          <w:p w14:paraId="19992696" w14:textId="77777777" w:rsidR="00D00F3B" w:rsidRPr="00AA084A" w:rsidRDefault="00D00F3B" w:rsidP="00E252FF">
            <w:pPr>
              <w:keepNext/>
              <w:keepLines/>
              <w:spacing w:after="40" w:line="240" w:lineRule="auto"/>
              <w:rPr>
                <w:rFonts w:ascii="Arial Narrow" w:hAnsi="Arial Narrow"/>
                <w:sz w:val="20"/>
                <w:szCs w:val="20"/>
              </w:rPr>
            </w:pPr>
          </w:p>
        </w:tc>
        <w:tc>
          <w:tcPr>
            <w:tcW w:w="1361" w:type="dxa"/>
          </w:tcPr>
          <w:p w14:paraId="2369F574" w14:textId="77777777" w:rsidR="00D00F3B" w:rsidRPr="00151474" w:rsidRDefault="00D00F3B" w:rsidP="00E252FF">
            <w:pPr>
              <w:keepNext/>
              <w:keepLines/>
              <w:spacing w:after="40" w:line="240" w:lineRule="auto"/>
              <w:rPr>
                <w:rFonts w:ascii="Arial Narrow" w:hAnsi="Arial Narrow"/>
                <w:sz w:val="20"/>
                <w:szCs w:val="20"/>
              </w:rPr>
            </w:pPr>
            <w:r w:rsidRPr="00AA084A">
              <w:rPr>
                <w:rFonts w:ascii="Arial Narrow" w:hAnsi="Arial Narrow"/>
                <w:sz w:val="20"/>
                <w:szCs w:val="20"/>
              </w:rPr>
              <w:t>-</w:t>
            </w:r>
          </w:p>
        </w:tc>
      </w:tr>
    </w:tbl>
    <w:p w14:paraId="5C11C885" w14:textId="77777777" w:rsidR="004745D9" w:rsidRPr="00DA3C6E" w:rsidRDefault="004745D9" w:rsidP="00607F30">
      <w:pPr>
        <w:pStyle w:val="Tablenotes0"/>
        <w:spacing w:after="0"/>
      </w:pPr>
      <w:r w:rsidRPr="00DA3C6E">
        <w:t>Abbreviations: ICER= incremental cost effectiveness ratio; Ig = immunoglobulin; QALY= quality adjusted life years</w:t>
      </w:r>
    </w:p>
    <w:p w14:paraId="31468583" w14:textId="77777777" w:rsidR="001A5507" w:rsidRPr="00DA3C6E" w:rsidRDefault="001A5507" w:rsidP="004745D9">
      <w:pPr>
        <w:pStyle w:val="Tablenotes0"/>
        <w:spacing w:after="240"/>
      </w:pPr>
      <w:r w:rsidRPr="00DA3C6E">
        <w:t xml:space="preserve">Note: </w:t>
      </w:r>
      <w:r w:rsidRPr="00DA3C6E">
        <w:rPr>
          <w:vertAlign w:val="superscript"/>
        </w:rPr>
        <w:t xml:space="preserve">a </w:t>
      </w:r>
      <w:r w:rsidRPr="00DA3C6E">
        <w:t>Trial duration was 7 months but outcome was reported at 4 months</w:t>
      </w:r>
      <w:r w:rsidR="004A6643" w:rsidRPr="00DA3C6E">
        <w:t xml:space="preserve"> after treatment</w:t>
      </w:r>
      <w:r w:rsidRPr="00DA3C6E">
        <w:t>.</w:t>
      </w:r>
    </w:p>
    <w:p w14:paraId="797CBB58" w14:textId="3C83E774" w:rsidR="004745D9" w:rsidRPr="00DA3C6E" w:rsidRDefault="004745D9" w:rsidP="004745D9">
      <w:r w:rsidRPr="00DA3C6E">
        <w:t>The modelled results were most sensitive to the price of intravenous Ig</w:t>
      </w:r>
      <w:r w:rsidR="005B4625" w:rsidRPr="00DA3C6E">
        <w:t xml:space="preserve">, </w:t>
      </w:r>
      <w:r w:rsidRPr="00DA3C6E">
        <w:t>the utility values associated with the ‘BSC’ and ‘Responder’ health states</w:t>
      </w:r>
      <w:r w:rsidR="008F5FF4" w:rsidRPr="00DA3C6E">
        <w:t xml:space="preserve"> as well as </w:t>
      </w:r>
      <w:r w:rsidR="002D3AF1" w:rsidRPr="00DA3C6E">
        <w:t>an</w:t>
      </w:r>
      <w:r w:rsidR="001D6724" w:rsidRPr="00DA3C6E">
        <w:t xml:space="preserve"> annual decline in utility weights demonstrating a </w:t>
      </w:r>
      <w:r w:rsidR="008F5FF4" w:rsidRPr="00DA3C6E">
        <w:t>deterioration in QoL over time</w:t>
      </w:r>
      <w:r w:rsidR="001D6724" w:rsidRPr="00DA3C6E">
        <w:t xml:space="preserve"> due to </w:t>
      </w:r>
      <w:r w:rsidR="00B1441B" w:rsidRPr="00DA3C6E">
        <w:t>disease progression</w:t>
      </w:r>
      <w:r w:rsidRPr="00DA3C6E">
        <w:t xml:space="preserve"> (Table </w:t>
      </w:r>
      <w:r w:rsidR="00CC1C5E" w:rsidRPr="00DA3C6E">
        <w:t>ES.</w:t>
      </w:r>
      <w:r w:rsidRPr="00DA3C6E">
        <w:t>8).</w:t>
      </w:r>
      <w:r w:rsidR="006A3331" w:rsidRPr="00DA3C6E">
        <w:t xml:space="preserve"> There is uncertainty around </w:t>
      </w:r>
      <w:r w:rsidR="005F59A6" w:rsidRPr="00DA3C6E">
        <w:t xml:space="preserve">the incremental benefit </w:t>
      </w:r>
      <w:r w:rsidR="006F79C4" w:rsidRPr="00DA3C6E">
        <w:t>associated</w:t>
      </w:r>
      <w:r w:rsidR="005F59A6" w:rsidRPr="00DA3C6E">
        <w:t xml:space="preserve"> </w:t>
      </w:r>
      <w:r w:rsidR="00412B99">
        <w:t xml:space="preserve">with </w:t>
      </w:r>
      <w:r w:rsidR="005F59A6" w:rsidRPr="00DA3C6E">
        <w:t xml:space="preserve">intravenous Ig treatment </w:t>
      </w:r>
      <w:r w:rsidR="002E5F26" w:rsidRPr="00DA3C6E">
        <w:t>applied</w:t>
      </w:r>
      <w:r w:rsidR="005F59A6" w:rsidRPr="00DA3C6E">
        <w:t xml:space="preserve"> in the </w:t>
      </w:r>
      <w:r w:rsidR="005F59A6" w:rsidRPr="00DA3C6E">
        <w:lastRenderedPageBreak/>
        <w:t>model</w:t>
      </w:r>
      <w:r w:rsidR="00412B99">
        <w:t>, as this value was based on a CIDP patient population.</w:t>
      </w:r>
      <w:r w:rsidR="001926B6" w:rsidRPr="00DA3C6E">
        <w:t xml:space="preserve"> </w:t>
      </w:r>
      <w:r w:rsidR="006F79C4" w:rsidRPr="00DA3C6E">
        <w:t>In addition, a</w:t>
      </w:r>
      <w:r w:rsidR="001926B6" w:rsidRPr="00DA3C6E">
        <w:t xml:space="preserve">ssuming </w:t>
      </w:r>
      <w:r w:rsidR="004244E0" w:rsidRPr="00DA3C6E">
        <w:t xml:space="preserve">an annual </w:t>
      </w:r>
      <w:r w:rsidR="009C3562" w:rsidRPr="00AA084A">
        <w:t xml:space="preserve">deterioration in the QoL of MMN patients due to disease progression resulted </w:t>
      </w:r>
      <w:r w:rsidR="006D5D58" w:rsidRPr="00AA084A">
        <w:t xml:space="preserve">in a </w:t>
      </w:r>
      <w:r w:rsidR="006F79C4" w:rsidRPr="00AA084A">
        <w:t xml:space="preserve">large </w:t>
      </w:r>
      <w:r w:rsidR="006D5D58" w:rsidRPr="00AA084A">
        <w:t>impact on the ICER (6</w:t>
      </w:r>
      <w:r w:rsidR="00D00F3B" w:rsidRPr="00AA084A">
        <w:t>9</w:t>
      </w:r>
      <w:r w:rsidR="006D5D58" w:rsidRPr="00AA084A">
        <w:t>%</w:t>
      </w:r>
      <w:r w:rsidR="00C9443D" w:rsidRPr="00AA084A">
        <w:t>↓)</w:t>
      </w:r>
      <w:r w:rsidR="00412B99" w:rsidRPr="00AA084A">
        <w:t>. H</w:t>
      </w:r>
      <w:r w:rsidR="00C9443D" w:rsidRPr="00AA084A">
        <w:t xml:space="preserve">owever, this result should be </w:t>
      </w:r>
      <w:r w:rsidR="006F79C4" w:rsidRPr="00AA084A">
        <w:t xml:space="preserve">interpreted </w:t>
      </w:r>
      <w:r w:rsidR="00C9443D" w:rsidRPr="00AA084A">
        <w:t xml:space="preserve">with caution </w:t>
      </w:r>
      <w:r w:rsidR="006F79C4" w:rsidRPr="00AA084A">
        <w:t>due to the limitations identified</w:t>
      </w:r>
      <w:r w:rsidR="00C9443D" w:rsidRPr="00AA084A">
        <w:t xml:space="preserve"> </w:t>
      </w:r>
      <w:r w:rsidR="006F79C4" w:rsidRPr="00AA084A">
        <w:t>in</w:t>
      </w:r>
      <w:r w:rsidR="006F79C4" w:rsidRPr="00DA3C6E">
        <w:t xml:space="preserve"> the source used to inform the estimates to capture the</w:t>
      </w:r>
      <w:r w:rsidR="00C9443D" w:rsidRPr="00DA3C6E">
        <w:t xml:space="preserve"> decline in QoL overtime. </w:t>
      </w:r>
      <w:r w:rsidR="006F79C4" w:rsidRPr="00DA3C6E">
        <w:t>This</w:t>
      </w:r>
      <w:r w:rsidR="00C9443D" w:rsidRPr="00DA3C6E">
        <w:t xml:space="preserve"> assumption was not considered for the base case </w:t>
      </w:r>
      <w:r w:rsidR="006F79C4" w:rsidRPr="00DA3C6E">
        <w:t>scenario</w:t>
      </w:r>
      <w:r w:rsidR="00C9443D" w:rsidRPr="00DA3C6E">
        <w:t xml:space="preserve"> as there is no evidence in the literature reporting utility weight</w:t>
      </w:r>
      <w:r w:rsidR="006F79C4" w:rsidRPr="00DA3C6E">
        <w:t>s</w:t>
      </w:r>
      <w:r w:rsidR="00C9443D" w:rsidRPr="00DA3C6E">
        <w:t xml:space="preserve"> </w:t>
      </w:r>
      <w:r w:rsidR="006F79C4" w:rsidRPr="00DA3C6E">
        <w:t xml:space="preserve">for </w:t>
      </w:r>
      <w:r w:rsidR="00C9443D" w:rsidRPr="00DA3C6E">
        <w:t xml:space="preserve">disease progression </w:t>
      </w:r>
      <w:r w:rsidR="006F79C4" w:rsidRPr="00DA3C6E">
        <w:t>and how this may change</w:t>
      </w:r>
      <w:r w:rsidR="00C9443D" w:rsidRPr="00DA3C6E">
        <w:t xml:space="preserve"> over time</w:t>
      </w:r>
      <w:r w:rsidR="006F79C4" w:rsidRPr="00DA3C6E">
        <w:t>.</w:t>
      </w:r>
    </w:p>
    <w:p w14:paraId="412C071F" w14:textId="77777777" w:rsidR="004745D9" w:rsidRPr="00DA3C6E" w:rsidRDefault="004745D9" w:rsidP="004745D9">
      <w:pPr>
        <w:pStyle w:val="Caption"/>
        <w:keepNext/>
        <w:keepLines/>
        <w:tabs>
          <w:tab w:val="left" w:pos="1134"/>
        </w:tabs>
        <w:ind w:left="1134" w:hanging="1134"/>
        <w:rPr>
          <w:rFonts w:cs="Arial"/>
          <w:snapToGrid w:val="0"/>
          <w:szCs w:val="16"/>
          <w:lang w:eastAsia="en-US"/>
        </w:rPr>
      </w:pPr>
      <w:r w:rsidRPr="00DA3C6E">
        <w:t xml:space="preserve">Table </w:t>
      </w:r>
      <w:r w:rsidR="00CC1C5E" w:rsidRPr="00DA3C6E">
        <w:t>ES.</w:t>
      </w:r>
      <w:r w:rsidRPr="00DA3C6E">
        <w:t xml:space="preserve">8. </w:t>
      </w:r>
      <w:r w:rsidRPr="00DA3C6E">
        <w:rPr>
          <w:rFonts w:cs="Arial"/>
          <w:snapToGrid w:val="0"/>
          <w:szCs w:val="16"/>
          <w:lang w:eastAsia="en-US"/>
        </w:rPr>
        <w:t>Key drivers of the economic model</w:t>
      </w:r>
    </w:p>
    <w:tbl>
      <w:tblPr>
        <w:tblStyle w:val="TableGrid"/>
        <w:tblW w:w="5000" w:type="pct"/>
        <w:tblLayout w:type="fixed"/>
        <w:tblLook w:val="04A0" w:firstRow="1" w:lastRow="0" w:firstColumn="1" w:lastColumn="0" w:noHBand="0" w:noVBand="1"/>
        <w:tblCaption w:val="Table ES.8. Key drivers of the economic model"/>
      </w:tblPr>
      <w:tblGrid>
        <w:gridCol w:w="2842"/>
        <w:gridCol w:w="1071"/>
        <w:gridCol w:w="903"/>
        <w:gridCol w:w="1248"/>
        <w:gridCol w:w="1421"/>
        <w:gridCol w:w="1531"/>
      </w:tblGrid>
      <w:tr w:rsidR="00D00F3B" w:rsidRPr="00AA084A" w14:paraId="1868E76A" w14:textId="77777777" w:rsidTr="00CF0FFE">
        <w:trPr>
          <w:trHeight w:val="335"/>
          <w:tblHeader/>
        </w:trPr>
        <w:tc>
          <w:tcPr>
            <w:tcW w:w="1576" w:type="pct"/>
            <w:vMerge w:val="restart"/>
            <w:noWrap/>
            <w:vAlign w:val="center"/>
            <w:hideMark/>
          </w:tcPr>
          <w:p w14:paraId="6BFB5629" w14:textId="77777777" w:rsidR="00D00F3B" w:rsidRPr="00AA084A" w:rsidRDefault="00D00F3B" w:rsidP="00E252FF">
            <w:pPr>
              <w:spacing w:after="0" w:line="240" w:lineRule="auto"/>
              <w:ind w:left="0"/>
              <w:jc w:val="left"/>
              <w:rPr>
                <w:rFonts w:ascii="Arial Narrow" w:hAnsi="Arial Narrow"/>
                <w:b/>
                <w:bCs/>
                <w:sz w:val="20"/>
                <w:szCs w:val="20"/>
              </w:rPr>
            </w:pPr>
            <w:r w:rsidRPr="00AA084A">
              <w:rPr>
                <w:rFonts w:ascii="Arial Narrow" w:hAnsi="Arial Narrow"/>
                <w:b/>
                <w:bCs/>
                <w:sz w:val="20"/>
                <w:szCs w:val="20"/>
              </w:rPr>
              <w:t>Variable Description</w:t>
            </w:r>
          </w:p>
        </w:tc>
        <w:tc>
          <w:tcPr>
            <w:tcW w:w="1095" w:type="pct"/>
            <w:gridSpan w:val="2"/>
            <w:noWrap/>
            <w:hideMark/>
          </w:tcPr>
          <w:p w14:paraId="2425437B"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 xml:space="preserve">SA </w:t>
            </w:r>
          </w:p>
        </w:tc>
        <w:tc>
          <w:tcPr>
            <w:tcW w:w="1480" w:type="pct"/>
            <w:gridSpan w:val="2"/>
          </w:tcPr>
          <w:p w14:paraId="449A7E68"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 xml:space="preserve"> ICER ($/QALY)</w:t>
            </w:r>
          </w:p>
        </w:tc>
        <w:tc>
          <w:tcPr>
            <w:tcW w:w="849" w:type="pct"/>
            <w:vAlign w:val="center"/>
          </w:tcPr>
          <w:p w14:paraId="75F02283" w14:textId="77777777" w:rsidR="00D00F3B" w:rsidRPr="00AA084A" w:rsidRDefault="00D00F3B" w:rsidP="00E252FF">
            <w:pPr>
              <w:spacing w:after="0" w:line="240" w:lineRule="auto"/>
              <w:ind w:left="0"/>
              <w:jc w:val="left"/>
              <w:rPr>
                <w:rFonts w:ascii="Arial Narrow" w:hAnsi="Arial Narrow"/>
                <w:b/>
                <w:bCs/>
                <w:sz w:val="20"/>
                <w:szCs w:val="20"/>
              </w:rPr>
            </w:pPr>
            <w:r w:rsidRPr="00AA084A">
              <w:rPr>
                <w:rFonts w:ascii="Arial Narrow" w:hAnsi="Arial Narrow"/>
                <w:b/>
                <w:bCs/>
                <w:sz w:val="20"/>
                <w:szCs w:val="20"/>
              </w:rPr>
              <w:t>Impact</w:t>
            </w:r>
          </w:p>
        </w:tc>
      </w:tr>
      <w:tr w:rsidR="00D00F3B" w:rsidRPr="00AA084A" w14:paraId="632D7F20" w14:textId="77777777" w:rsidTr="00CF0FFE">
        <w:trPr>
          <w:trHeight w:val="335"/>
          <w:tblHeader/>
        </w:trPr>
        <w:tc>
          <w:tcPr>
            <w:tcW w:w="1576" w:type="pct"/>
            <w:vMerge/>
            <w:noWrap/>
            <w:vAlign w:val="center"/>
          </w:tcPr>
          <w:p w14:paraId="0B828FAC" w14:textId="77777777" w:rsidR="00D00F3B" w:rsidRPr="00AA084A" w:rsidRDefault="00D00F3B" w:rsidP="00E252FF">
            <w:pPr>
              <w:spacing w:after="0" w:line="240" w:lineRule="auto"/>
              <w:jc w:val="left"/>
              <w:rPr>
                <w:rFonts w:ascii="Arial Narrow" w:hAnsi="Arial Narrow"/>
                <w:b/>
                <w:bCs/>
                <w:sz w:val="20"/>
                <w:szCs w:val="20"/>
              </w:rPr>
            </w:pPr>
          </w:p>
        </w:tc>
        <w:tc>
          <w:tcPr>
            <w:tcW w:w="594" w:type="pct"/>
            <w:noWrap/>
          </w:tcPr>
          <w:p w14:paraId="2ACE7BDF"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Low</w:t>
            </w:r>
          </w:p>
        </w:tc>
        <w:tc>
          <w:tcPr>
            <w:tcW w:w="501" w:type="pct"/>
            <w:noWrap/>
          </w:tcPr>
          <w:p w14:paraId="4E72F14D"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High</w:t>
            </w:r>
          </w:p>
        </w:tc>
        <w:tc>
          <w:tcPr>
            <w:tcW w:w="692" w:type="pct"/>
          </w:tcPr>
          <w:p w14:paraId="2AA00844"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 xml:space="preserve">Low </w:t>
            </w:r>
          </w:p>
        </w:tc>
        <w:tc>
          <w:tcPr>
            <w:tcW w:w="788" w:type="pct"/>
          </w:tcPr>
          <w:p w14:paraId="5869E4C1" w14:textId="77777777" w:rsidR="00D00F3B" w:rsidRPr="00AA084A" w:rsidRDefault="00D00F3B" w:rsidP="00E252FF">
            <w:pPr>
              <w:spacing w:after="0" w:line="240" w:lineRule="auto"/>
              <w:ind w:left="0"/>
              <w:rPr>
                <w:rFonts w:ascii="Arial Narrow" w:hAnsi="Arial Narrow"/>
                <w:b/>
                <w:bCs/>
                <w:sz w:val="20"/>
                <w:szCs w:val="20"/>
              </w:rPr>
            </w:pPr>
            <w:r w:rsidRPr="00AA084A">
              <w:rPr>
                <w:rFonts w:ascii="Arial Narrow" w:hAnsi="Arial Narrow"/>
                <w:b/>
                <w:bCs/>
                <w:sz w:val="20"/>
                <w:szCs w:val="20"/>
              </w:rPr>
              <w:t xml:space="preserve">High </w:t>
            </w:r>
          </w:p>
        </w:tc>
        <w:tc>
          <w:tcPr>
            <w:tcW w:w="849" w:type="pct"/>
            <w:vAlign w:val="center"/>
          </w:tcPr>
          <w:p w14:paraId="7179A7F6" w14:textId="77777777" w:rsidR="00D00F3B" w:rsidRPr="00AA084A" w:rsidRDefault="00D00F3B" w:rsidP="00E252FF">
            <w:pPr>
              <w:spacing w:after="0" w:line="240" w:lineRule="auto"/>
              <w:jc w:val="left"/>
              <w:rPr>
                <w:rFonts w:ascii="Arial Narrow" w:hAnsi="Arial Narrow"/>
                <w:b/>
                <w:bCs/>
                <w:sz w:val="20"/>
                <w:szCs w:val="20"/>
              </w:rPr>
            </w:pPr>
          </w:p>
        </w:tc>
      </w:tr>
      <w:tr w:rsidR="00D00F3B" w:rsidRPr="00AA084A" w14:paraId="68568553" w14:textId="77777777" w:rsidTr="00E252FF">
        <w:trPr>
          <w:trHeight w:val="335"/>
        </w:trPr>
        <w:tc>
          <w:tcPr>
            <w:tcW w:w="1576" w:type="pct"/>
            <w:noWrap/>
            <w:vAlign w:val="center"/>
          </w:tcPr>
          <w:p w14:paraId="6372EB14" w14:textId="77777777" w:rsidR="00D00F3B" w:rsidRPr="00AA084A" w:rsidRDefault="00D00F3B" w:rsidP="00E252FF">
            <w:pPr>
              <w:spacing w:after="0" w:line="240" w:lineRule="auto"/>
              <w:ind w:left="0"/>
              <w:jc w:val="left"/>
              <w:rPr>
                <w:rFonts w:ascii="Arial Narrow" w:hAnsi="Arial Narrow"/>
                <w:b/>
                <w:bCs/>
                <w:sz w:val="20"/>
                <w:szCs w:val="20"/>
              </w:rPr>
            </w:pPr>
            <w:r w:rsidRPr="00AA084A">
              <w:rPr>
                <w:rFonts w:ascii="Arial Narrow" w:hAnsi="Arial Narrow"/>
                <w:b/>
                <w:bCs/>
                <w:sz w:val="20"/>
                <w:szCs w:val="20"/>
              </w:rPr>
              <w:t>Base case</w:t>
            </w:r>
          </w:p>
        </w:tc>
        <w:tc>
          <w:tcPr>
            <w:tcW w:w="1095" w:type="pct"/>
            <w:gridSpan w:val="2"/>
            <w:noWrap/>
            <w:vAlign w:val="center"/>
          </w:tcPr>
          <w:p w14:paraId="4AB15327" w14:textId="77777777" w:rsidR="00D00F3B" w:rsidRPr="00AA084A" w:rsidRDefault="00D00F3B" w:rsidP="00E252FF">
            <w:pPr>
              <w:spacing w:after="0" w:line="240" w:lineRule="auto"/>
              <w:rPr>
                <w:rFonts w:ascii="Arial Narrow" w:hAnsi="Arial Narrow"/>
                <w:b/>
                <w:bCs/>
                <w:sz w:val="20"/>
                <w:szCs w:val="20"/>
              </w:rPr>
            </w:pPr>
            <w:r w:rsidRPr="00AA084A">
              <w:rPr>
                <w:rFonts w:ascii="Arial Narrow" w:hAnsi="Arial Narrow"/>
                <w:b/>
                <w:bCs/>
                <w:sz w:val="20"/>
                <w:szCs w:val="20"/>
              </w:rPr>
              <w:t>NA</w:t>
            </w:r>
          </w:p>
        </w:tc>
        <w:tc>
          <w:tcPr>
            <w:tcW w:w="1480" w:type="pct"/>
            <w:gridSpan w:val="2"/>
            <w:vAlign w:val="center"/>
          </w:tcPr>
          <w:p w14:paraId="0FCFE6CC" w14:textId="77777777" w:rsidR="00D00F3B" w:rsidRPr="00AA084A" w:rsidRDefault="00D00F3B" w:rsidP="00E252FF">
            <w:pPr>
              <w:spacing w:after="0" w:line="240" w:lineRule="auto"/>
              <w:rPr>
                <w:rFonts w:ascii="Arial Narrow" w:hAnsi="Arial Narrow"/>
                <w:b/>
                <w:bCs/>
                <w:sz w:val="20"/>
                <w:szCs w:val="20"/>
              </w:rPr>
            </w:pPr>
            <w:r w:rsidRPr="00AA084A">
              <w:rPr>
                <w:rFonts w:ascii="Arial Narrow" w:hAnsi="Arial Narrow"/>
                <w:b/>
                <w:bCs/>
                <w:sz w:val="20"/>
                <w:szCs w:val="20"/>
              </w:rPr>
              <w:t>317,552</w:t>
            </w:r>
          </w:p>
        </w:tc>
        <w:tc>
          <w:tcPr>
            <w:tcW w:w="849" w:type="pct"/>
            <w:vAlign w:val="center"/>
          </w:tcPr>
          <w:p w14:paraId="35D5DB9A" w14:textId="77777777" w:rsidR="00D00F3B" w:rsidRPr="00AA084A" w:rsidRDefault="00D00F3B" w:rsidP="00E252FF">
            <w:pPr>
              <w:spacing w:after="0" w:line="240" w:lineRule="auto"/>
              <w:ind w:left="0"/>
              <w:jc w:val="left"/>
              <w:rPr>
                <w:rFonts w:ascii="Arial Narrow" w:hAnsi="Arial Narrow"/>
                <w:b/>
                <w:bCs/>
                <w:sz w:val="20"/>
                <w:szCs w:val="20"/>
              </w:rPr>
            </w:pPr>
            <w:r w:rsidRPr="00AA084A">
              <w:rPr>
                <w:rFonts w:ascii="Arial Narrow" w:hAnsi="Arial Narrow"/>
                <w:b/>
                <w:bCs/>
                <w:sz w:val="20"/>
                <w:szCs w:val="20"/>
              </w:rPr>
              <w:t>NA</w:t>
            </w:r>
          </w:p>
        </w:tc>
      </w:tr>
      <w:tr w:rsidR="00D00F3B" w:rsidRPr="00AA084A" w14:paraId="1038E26D" w14:textId="77777777" w:rsidTr="00E252FF">
        <w:trPr>
          <w:trHeight w:val="335"/>
        </w:trPr>
        <w:tc>
          <w:tcPr>
            <w:tcW w:w="1576" w:type="pct"/>
            <w:noWrap/>
            <w:vAlign w:val="center"/>
          </w:tcPr>
          <w:p w14:paraId="5A45ADF2"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Utility: assuming deterioration in QoL over time</w:t>
            </w:r>
          </w:p>
        </w:tc>
        <w:tc>
          <w:tcPr>
            <w:tcW w:w="1095" w:type="pct"/>
            <w:gridSpan w:val="2"/>
            <w:noWrap/>
            <w:vAlign w:val="center"/>
          </w:tcPr>
          <w:p w14:paraId="3E2F133A" w14:textId="77777777" w:rsidR="00D00F3B" w:rsidRPr="00AA084A" w:rsidRDefault="00D00F3B" w:rsidP="00E252FF">
            <w:pPr>
              <w:spacing w:after="0" w:line="240" w:lineRule="auto"/>
              <w:rPr>
                <w:rFonts w:ascii="Arial Narrow" w:hAnsi="Arial Narrow"/>
                <w:sz w:val="20"/>
                <w:szCs w:val="20"/>
              </w:rPr>
            </w:pPr>
            <w:r w:rsidRPr="00AA084A">
              <w:rPr>
                <w:rFonts w:ascii="Arial Narrow" w:hAnsi="Arial Narrow"/>
                <w:sz w:val="20"/>
                <w:szCs w:val="20"/>
              </w:rPr>
              <w:t>NA</w:t>
            </w:r>
          </w:p>
        </w:tc>
        <w:tc>
          <w:tcPr>
            <w:tcW w:w="1480" w:type="pct"/>
            <w:gridSpan w:val="2"/>
            <w:vAlign w:val="center"/>
          </w:tcPr>
          <w:p w14:paraId="2F016AA5" w14:textId="77777777" w:rsidR="00D00F3B" w:rsidRPr="00AA084A" w:rsidRDefault="00D00F3B" w:rsidP="00E252FF">
            <w:pPr>
              <w:spacing w:after="0" w:line="240" w:lineRule="auto"/>
              <w:rPr>
                <w:rFonts w:ascii="Arial Narrow" w:hAnsi="Arial Narrow"/>
                <w:sz w:val="20"/>
                <w:szCs w:val="20"/>
              </w:rPr>
            </w:pPr>
            <w:r w:rsidRPr="00AA084A">
              <w:rPr>
                <w:rFonts w:ascii="Arial Narrow" w:hAnsi="Arial Narrow"/>
                <w:sz w:val="20"/>
                <w:szCs w:val="20"/>
              </w:rPr>
              <w:t>98,559</w:t>
            </w:r>
          </w:p>
        </w:tc>
        <w:tc>
          <w:tcPr>
            <w:tcW w:w="849" w:type="pct"/>
            <w:vAlign w:val="center"/>
          </w:tcPr>
          <w:p w14:paraId="6464F5DC"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High</w:t>
            </w:r>
          </w:p>
        </w:tc>
      </w:tr>
      <w:tr w:rsidR="00D00F3B" w:rsidRPr="00AA084A" w14:paraId="29318012" w14:textId="77777777" w:rsidTr="00E252FF">
        <w:trPr>
          <w:trHeight w:val="335"/>
        </w:trPr>
        <w:tc>
          <w:tcPr>
            <w:tcW w:w="1576" w:type="pct"/>
            <w:noWrap/>
            <w:vAlign w:val="center"/>
            <w:hideMark/>
          </w:tcPr>
          <w:p w14:paraId="7153197B"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Utility of BSC</w:t>
            </w:r>
          </w:p>
        </w:tc>
        <w:tc>
          <w:tcPr>
            <w:tcW w:w="594" w:type="pct"/>
            <w:noWrap/>
            <w:vAlign w:val="center"/>
            <w:hideMark/>
          </w:tcPr>
          <w:p w14:paraId="1C057221"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0.27</w:t>
            </w:r>
          </w:p>
        </w:tc>
        <w:tc>
          <w:tcPr>
            <w:tcW w:w="501" w:type="pct"/>
            <w:noWrap/>
            <w:vAlign w:val="center"/>
            <w:hideMark/>
          </w:tcPr>
          <w:p w14:paraId="17F82BF1"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0.33</w:t>
            </w:r>
          </w:p>
        </w:tc>
        <w:tc>
          <w:tcPr>
            <w:tcW w:w="692" w:type="pct"/>
            <w:vAlign w:val="center"/>
          </w:tcPr>
          <w:p w14:paraId="26BA68C3"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209,740</w:t>
            </w:r>
          </w:p>
        </w:tc>
        <w:tc>
          <w:tcPr>
            <w:tcW w:w="788" w:type="pct"/>
            <w:vAlign w:val="center"/>
          </w:tcPr>
          <w:p w14:paraId="5851BAC2"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653,441</w:t>
            </w:r>
          </w:p>
        </w:tc>
        <w:tc>
          <w:tcPr>
            <w:tcW w:w="849" w:type="pct"/>
            <w:vAlign w:val="center"/>
          </w:tcPr>
          <w:p w14:paraId="52768DFA"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High</w:t>
            </w:r>
          </w:p>
        </w:tc>
      </w:tr>
      <w:tr w:rsidR="00D00F3B" w:rsidRPr="00AA084A" w14:paraId="68C6007B" w14:textId="77777777" w:rsidTr="00E252FF">
        <w:trPr>
          <w:trHeight w:val="335"/>
        </w:trPr>
        <w:tc>
          <w:tcPr>
            <w:tcW w:w="1576" w:type="pct"/>
            <w:noWrap/>
            <w:vAlign w:val="center"/>
            <w:hideMark/>
          </w:tcPr>
          <w:p w14:paraId="6B0AFA9E"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Utility of ‘Responder’</w:t>
            </w:r>
          </w:p>
        </w:tc>
        <w:tc>
          <w:tcPr>
            <w:tcW w:w="594" w:type="pct"/>
            <w:noWrap/>
            <w:vAlign w:val="center"/>
            <w:hideMark/>
          </w:tcPr>
          <w:p w14:paraId="1F3D7590"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0.33</w:t>
            </w:r>
          </w:p>
        </w:tc>
        <w:tc>
          <w:tcPr>
            <w:tcW w:w="501" w:type="pct"/>
            <w:noWrap/>
            <w:vAlign w:val="center"/>
            <w:hideMark/>
          </w:tcPr>
          <w:p w14:paraId="13D3DA06"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0.39</w:t>
            </w:r>
          </w:p>
        </w:tc>
        <w:tc>
          <w:tcPr>
            <w:tcW w:w="692" w:type="pct"/>
            <w:vAlign w:val="center"/>
          </w:tcPr>
          <w:p w14:paraId="415FE14F"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211,388</w:t>
            </w:r>
          </w:p>
        </w:tc>
        <w:tc>
          <w:tcPr>
            <w:tcW w:w="788" w:type="pct"/>
            <w:vAlign w:val="center"/>
          </w:tcPr>
          <w:p w14:paraId="16537855"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$637,945</w:t>
            </w:r>
          </w:p>
        </w:tc>
        <w:tc>
          <w:tcPr>
            <w:tcW w:w="849" w:type="pct"/>
            <w:vAlign w:val="center"/>
          </w:tcPr>
          <w:p w14:paraId="1B3C062F"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High</w:t>
            </w:r>
          </w:p>
        </w:tc>
      </w:tr>
      <w:tr w:rsidR="00D00F3B" w:rsidRPr="00AA084A" w14:paraId="5FF5C584" w14:textId="77777777" w:rsidTr="00E252FF">
        <w:trPr>
          <w:trHeight w:val="335"/>
        </w:trPr>
        <w:tc>
          <w:tcPr>
            <w:tcW w:w="1576" w:type="pct"/>
            <w:noWrap/>
            <w:vAlign w:val="center"/>
            <w:hideMark/>
          </w:tcPr>
          <w:p w14:paraId="0F0D4C7F"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Cost of Ig per gram</w:t>
            </w:r>
          </w:p>
        </w:tc>
        <w:tc>
          <w:tcPr>
            <w:tcW w:w="594" w:type="pct"/>
            <w:noWrap/>
            <w:vAlign w:val="center"/>
            <w:hideMark/>
          </w:tcPr>
          <w:p w14:paraId="0C3C6780"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$44.94</w:t>
            </w:r>
          </w:p>
        </w:tc>
        <w:tc>
          <w:tcPr>
            <w:tcW w:w="501" w:type="pct"/>
            <w:noWrap/>
            <w:vAlign w:val="center"/>
            <w:hideMark/>
          </w:tcPr>
          <w:p w14:paraId="045B584B"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$140.18</w:t>
            </w:r>
          </w:p>
        </w:tc>
        <w:tc>
          <w:tcPr>
            <w:tcW w:w="692" w:type="pct"/>
            <w:vAlign w:val="center"/>
          </w:tcPr>
          <w:p w14:paraId="3F56F0F7"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257,765</w:t>
            </w:r>
          </w:p>
        </w:tc>
        <w:tc>
          <w:tcPr>
            <w:tcW w:w="788" w:type="pct"/>
            <w:vAlign w:val="center"/>
          </w:tcPr>
          <w:p w14:paraId="056704A8"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625,839</w:t>
            </w:r>
          </w:p>
        </w:tc>
        <w:tc>
          <w:tcPr>
            <w:tcW w:w="849" w:type="pct"/>
            <w:vAlign w:val="center"/>
          </w:tcPr>
          <w:p w14:paraId="5C2A5B19"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High</w:t>
            </w:r>
          </w:p>
        </w:tc>
      </w:tr>
      <w:tr w:rsidR="00D00F3B" w:rsidRPr="00AA084A" w14:paraId="1B189865" w14:textId="77777777" w:rsidTr="00E252FF">
        <w:trPr>
          <w:trHeight w:val="335"/>
        </w:trPr>
        <w:tc>
          <w:tcPr>
            <w:tcW w:w="1576" w:type="pct"/>
            <w:noWrap/>
            <w:vAlign w:val="center"/>
            <w:hideMark/>
          </w:tcPr>
          <w:p w14:paraId="72A74752"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 xml:space="preserve">Transition probability from ‘Responder’ to ‘Responder off- treatment (i.e. probability of weaning) intravenous Ig arm. </w:t>
            </w:r>
          </w:p>
        </w:tc>
        <w:tc>
          <w:tcPr>
            <w:tcW w:w="594" w:type="pct"/>
            <w:noWrap/>
            <w:vAlign w:val="center"/>
            <w:hideMark/>
          </w:tcPr>
          <w:p w14:paraId="166803FC"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0.00</w:t>
            </w:r>
          </w:p>
        </w:tc>
        <w:tc>
          <w:tcPr>
            <w:tcW w:w="501" w:type="pct"/>
            <w:noWrap/>
            <w:vAlign w:val="center"/>
            <w:hideMark/>
          </w:tcPr>
          <w:p w14:paraId="2F6DA34E"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0.25</w:t>
            </w:r>
          </w:p>
        </w:tc>
        <w:tc>
          <w:tcPr>
            <w:tcW w:w="692" w:type="pct"/>
            <w:vAlign w:val="center"/>
          </w:tcPr>
          <w:p w14:paraId="1C1EA920"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 xml:space="preserve">290,746 </w:t>
            </w:r>
          </w:p>
        </w:tc>
        <w:tc>
          <w:tcPr>
            <w:tcW w:w="788" w:type="pct"/>
            <w:vAlign w:val="center"/>
          </w:tcPr>
          <w:p w14:paraId="5F4AF688"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 xml:space="preserve">327,375 </w:t>
            </w:r>
          </w:p>
        </w:tc>
        <w:tc>
          <w:tcPr>
            <w:tcW w:w="849" w:type="pct"/>
            <w:vAlign w:val="center"/>
          </w:tcPr>
          <w:p w14:paraId="59E0AB4D"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 xml:space="preserve">Medium </w:t>
            </w:r>
          </w:p>
        </w:tc>
      </w:tr>
      <w:tr w:rsidR="00D00F3B" w:rsidRPr="00DA3C6E" w14:paraId="4CF3A252" w14:textId="77777777" w:rsidTr="00E252FF">
        <w:trPr>
          <w:trHeight w:val="335"/>
        </w:trPr>
        <w:tc>
          <w:tcPr>
            <w:tcW w:w="1576" w:type="pct"/>
            <w:noWrap/>
            <w:vAlign w:val="center"/>
            <w:hideMark/>
          </w:tcPr>
          <w:p w14:paraId="199B11FE" w14:textId="77777777" w:rsidR="00D00F3B" w:rsidRPr="00AA084A"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 xml:space="preserve">Transition probability of ‘Responder off-treatment to ‘Initial treatment’ (probability of relapsing). </w:t>
            </w:r>
          </w:p>
        </w:tc>
        <w:tc>
          <w:tcPr>
            <w:tcW w:w="594" w:type="pct"/>
            <w:noWrap/>
            <w:vAlign w:val="center"/>
            <w:hideMark/>
          </w:tcPr>
          <w:p w14:paraId="6D0DF2B2"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0.3</w:t>
            </w:r>
          </w:p>
        </w:tc>
        <w:tc>
          <w:tcPr>
            <w:tcW w:w="501" w:type="pct"/>
            <w:noWrap/>
            <w:vAlign w:val="center"/>
            <w:hideMark/>
          </w:tcPr>
          <w:p w14:paraId="4B24840F"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0.7</w:t>
            </w:r>
          </w:p>
        </w:tc>
        <w:tc>
          <w:tcPr>
            <w:tcW w:w="692" w:type="pct"/>
            <w:vAlign w:val="center"/>
          </w:tcPr>
          <w:p w14:paraId="52EB14C8"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 xml:space="preserve">306,535 </w:t>
            </w:r>
          </w:p>
        </w:tc>
        <w:tc>
          <w:tcPr>
            <w:tcW w:w="788" w:type="pct"/>
            <w:vAlign w:val="center"/>
          </w:tcPr>
          <w:p w14:paraId="1F8914A0" w14:textId="77777777" w:rsidR="00D00F3B" w:rsidRPr="00AA084A" w:rsidRDefault="00D00F3B" w:rsidP="00E252FF">
            <w:pPr>
              <w:spacing w:after="0" w:line="240" w:lineRule="auto"/>
              <w:ind w:left="0"/>
              <w:jc w:val="center"/>
              <w:rPr>
                <w:rFonts w:ascii="Arial Narrow" w:hAnsi="Arial Narrow"/>
                <w:sz w:val="20"/>
                <w:szCs w:val="20"/>
              </w:rPr>
            </w:pPr>
            <w:r w:rsidRPr="00AA084A">
              <w:rPr>
                <w:rFonts w:ascii="Arial Narrow" w:hAnsi="Arial Narrow"/>
                <w:sz w:val="20"/>
                <w:szCs w:val="20"/>
              </w:rPr>
              <w:t xml:space="preserve">323,091 </w:t>
            </w:r>
          </w:p>
        </w:tc>
        <w:tc>
          <w:tcPr>
            <w:tcW w:w="849" w:type="pct"/>
            <w:vAlign w:val="center"/>
          </w:tcPr>
          <w:p w14:paraId="68E8FB0A" w14:textId="77777777" w:rsidR="00D00F3B" w:rsidRPr="00DA3C6E" w:rsidRDefault="00D00F3B" w:rsidP="00E252FF">
            <w:pPr>
              <w:spacing w:after="0" w:line="240" w:lineRule="auto"/>
              <w:ind w:left="0"/>
              <w:jc w:val="left"/>
              <w:rPr>
                <w:rFonts w:ascii="Arial Narrow" w:hAnsi="Arial Narrow"/>
                <w:sz w:val="20"/>
                <w:szCs w:val="20"/>
              </w:rPr>
            </w:pPr>
            <w:r w:rsidRPr="00AA084A">
              <w:rPr>
                <w:rFonts w:ascii="Arial Narrow" w:hAnsi="Arial Narrow"/>
                <w:sz w:val="20"/>
                <w:szCs w:val="20"/>
              </w:rPr>
              <w:t>Medium</w:t>
            </w:r>
          </w:p>
        </w:tc>
      </w:tr>
    </w:tbl>
    <w:p w14:paraId="69631EAA" w14:textId="77777777" w:rsidR="003C0811" w:rsidRPr="00DA3C6E" w:rsidRDefault="003C0811" w:rsidP="003C0811">
      <w:pPr>
        <w:spacing w:after="0"/>
        <w:rPr>
          <w:rFonts w:ascii="Arial Narrow" w:hAnsi="Arial Narrow"/>
          <w:sz w:val="18"/>
          <w:szCs w:val="18"/>
        </w:rPr>
      </w:pPr>
      <w:r w:rsidRPr="00DA3C6E">
        <w:rPr>
          <w:rFonts w:ascii="Arial Narrow" w:hAnsi="Arial Narrow"/>
          <w:sz w:val="18"/>
          <w:szCs w:val="18"/>
        </w:rPr>
        <w:t xml:space="preserve">Abbreviations: AE = adverse event; BSC = best supportive care; ICER = incremental cost-effectiveness ratio; Ig= immunoglobulin. </w:t>
      </w:r>
    </w:p>
    <w:p w14:paraId="1A9C53F9" w14:textId="77777777" w:rsidR="003C0811" w:rsidRPr="00DA3C6E" w:rsidRDefault="003C0811" w:rsidP="003C0811">
      <w:pPr>
        <w:rPr>
          <w:rFonts w:ascii="Arial Narrow" w:hAnsi="Arial Narrow"/>
          <w:sz w:val="18"/>
          <w:szCs w:val="18"/>
        </w:rPr>
      </w:pPr>
      <w:r w:rsidRPr="00DA3C6E">
        <w:rPr>
          <w:rFonts w:ascii="Arial Narrow" w:hAnsi="Arial Narrow"/>
          <w:sz w:val="18"/>
          <w:szCs w:val="18"/>
        </w:rPr>
        <w:t xml:space="preserve">Notes: High impact was considered if the ICER varied more than 10% and medium impact if the ICER varied between 1% and 9.9%. </w:t>
      </w:r>
    </w:p>
    <w:p w14:paraId="7A4E46BA" w14:textId="77777777" w:rsidR="004745D9" w:rsidRPr="00DA3C6E" w:rsidRDefault="004745D9" w:rsidP="004745D9">
      <w:pPr>
        <w:pStyle w:val="Heading3"/>
      </w:pPr>
      <w:bookmarkStart w:id="52" w:name="_Toc37845706"/>
      <w:r w:rsidRPr="00DA3C6E">
        <w:t>Estimated Extent of Use and Financial Implications</w:t>
      </w:r>
      <w:bookmarkEnd w:id="52"/>
    </w:p>
    <w:p w14:paraId="27FC5485" w14:textId="3F1AFE16" w:rsidR="004745D9" w:rsidRPr="00DA3C6E" w:rsidRDefault="004745D9" w:rsidP="004745D9">
      <w:r w:rsidRPr="00DA3C6E">
        <w:t>A market-based approach based on</w:t>
      </w:r>
      <w:r w:rsidR="00412B99">
        <w:t xml:space="preserve"> NBA</w:t>
      </w:r>
      <w:r w:rsidRPr="00DA3C6E">
        <w:t xml:space="preserve"> utilisation data was used to estimate intravenous Ig use in patients with MMN. Most of the available data reflect The Criteria V2 except for the period 2018-2019, where the data captures both V2 and V3 of The Criteria. The impact of fully implementing Version 3 may not be reflected </w:t>
      </w:r>
      <w:r w:rsidR="00412B99">
        <w:t xml:space="preserve">in </w:t>
      </w:r>
      <w:r w:rsidRPr="00DA3C6E">
        <w:t xml:space="preserve">the available data as this version was implemented in </w:t>
      </w:r>
      <w:r w:rsidR="00607F30" w:rsidRPr="00DA3C6E">
        <w:t xml:space="preserve">October </w:t>
      </w:r>
      <w:r w:rsidR="006A0D58" w:rsidRPr="00DA3C6E">
        <w:t>201</w:t>
      </w:r>
      <w:r w:rsidR="006A0D58">
        <w:t>8</w:t>
      </w:r>
      <w:r w:rsidRPr="00DA3C6E">
        <w:t>.</w:t>
      </w:r>
    </w:p>
    <w:p w14:paraId="16432B0A" w14:textId="77777777" w:rsidR="004745D9" w:rsidRPr="00DA3C6E" w:rsidRDefault="004745D9" w:rsidP="004745D9">
      <w:r w:rsidRPr="00DA3C6E">
        <w:t>As described in Section A, intravenous Ig is already available for the treatment of MMN in Australia. Therefore</w:t>
      </w:r>
      <w:r w:rsidR="00FE60A1" w:rsidRPr="00DA3C6E">
        <w:t>,</w:t>
      </w:r>
      <w:r w:rsidRPr="00DA3C6E">
        <w:t xml:space="preserve"> the hypothetical scenario is presented where intravenous Ig is replaced with BSC (No Ig with BSC). In that instance, all health services directly related to the use intravenous Ig were excluded but those required for active disease surveillance and other palliative treatments were maintained.</w:t>
      </w:r>
    </w:p>
    <w:p w14:paraId="29D6E55E" w14:textId="77777777" w:rsidR="004745D9" w:rsidRPr="00DA3C6E" w:rsidRDefault="004745D9" w:rsidP="004745D9">
      <w:r w:rsidRPr="00DA3C6E">
        <w:t xml:space="preserve">The financial implications associated with funding Ig for patients with MMN are summarised in Table </w:t>
      </w:r>
      <w:r w:rsidR="00CC1C5E" w:rsidRPr="00DA3C6E">
        <w:t>ES.</w:t>
      </w:r>
      <w:r w:rsidRPr="00DA3C6E">
        <w:t>9.</w:t>
      </w:r>
    </w:p>
    <w:p w14:paraId="342A0C9C" w14:textId="77777777" w:rsidR="004745D9" w:rsidRPr="00DA3C6E" w:rsidRDefault="004745D9" w:rsidP="006F79C4">
      <w:pPr>
        <w:pStyle w:val="Caption"/>
        <w:keepNext/>
        <w:keepLines/>
      </w:pPr>
      <w:r w:rsidRPr="00DA3C6E">
        <w:t xml:space="preserve">Table </w:t>
      </w:r>
      <w:r w:rsidR="00CC1C5E" w:rsidRPr="00DA3C6E">
        <w:t>ES.</w:t>
      </w:r>
      <w:r w:rsidRPr="00DA3C6E">
        <w:t>9. Net financial implications to government associated with the use of intravenous Ig for the treatment of</w:t>
      </w:r>
      <w:r w:rsidR="00CC1C5E" w:rsidRPr="00DA3C6E">
        <w:t xml:space="preserve"> </w:t>
      </w:r>
      <w:r w:rsidRPr="00DA3C6E">
        <w:t>MMN</w:t>
      </w:r>
    </w:p>
    <w:tbl>
      <w:tblPr>
        <w:tblStyle w:val="TableGrid"/>
        <w:tblW w:w="9488" w:type="dxa"/>
        <w:tblLayout w:type="fixed"/>
        <w:tblLook w:val="04A0" w:firstRow="1" w:lastRow="0" w:firstColumn="1" w:lastColumn="0" w:noHBand="0" w:noVBand="1"/>
        <w:tblCaption w:val="Table ES.9. Net financial implications to government associated with the use of intravenous Ig for the treatment of MMN"/>
      </w:tblPr>
      <w:tblGrid>
        <w:gridCol w:w="591"/>
        <w:gridCol w:w="1492"/>
        <w:gridCol w:w="1193"/>
        <w:gridCol w:w="1342"/>
        <w:gridCol w:w="1193"/>
        <w:gridCol w:w="1193"/>
        <w:gridCol w:w="1193"/>
        <w:gridCol w:w="1291"/>
      </w:tblGrid>
      <w:tr w:rsidR="00B5585E" w:rsidRPr="00DA3C6E" w14:paraId="14FAC70D" w14:textId="77777777" w:rsidTr="00D56F4F">
        <w:trPr>
          <w:trHeight w:val="101"/>
          <w:tblHeader/>
        </w:trPr>
        <w:tc>
          <w:tcPr>
            <w:tcW w:w="591" w:type="dxa"/>
          </w:tcPr>
          <w:p w14:paraId="4C327EC2" w14:textId="77777777" w:rsidR="00B5585E" w:rsidRPr="00DA3C6E" w:rsidRDefault="00B5585E" w:rsidP="00273843">
            <w:pPr>
              <w:spacing w:after="0" w:line="240" w:lineRule="auto"/>
              <w:jc w:val="left"/>
              <w:rPr>
                <w:rFonts w:ascii="Arial Narrow" w:hAnsi="Arial Narrow"/>
                <w:sz w:val="20"/>
                <w:szCs w:val="20"/>
              </w:rPr>
            </w:pPr>
          </w:p>
        </w:tc>
        <w:tc>
          <w:tcPr>
            <w:tcW w:w="1492" w:type="dxa"/>
            <w:noWrap/>
            <w:vAlign w:val="center"/>
          </w:tcPr>
          <w:p w14:paraId="4835BA42" w14:textId="77777777" w:rsidR="00B5585E" w:rsidRPr="00DA3C6E" w:rsidRDefault="00B5585E" w:rsidP="00273843">
            <w:pPr>
              <w:spacing w:after="0" w:line="240" w:lineRule="auto"/>
              <w:ind w:left="0"/>
              <w:jc w:val="left"/>
              <w:rPr>
                <w:rFonts w:ascii="Arial Narrow" w:hAnsi="Arial Narrow"/>
                <w:sz w:val="20"/>
                <w:szCs w:val="20"/>
              </w:rPr>
            </w:pPr>
          </w:p>
        </w:tc>
        <w:tc>
          <w:tcPr>
            <w:tcW w:w="1193" w:type="dxa"/>
            <w:noWrap/>
            <w:vAlign w:val="center"/>
          </w:tcPr>
          <w:p w14:paraId="50375163"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Year 1</w:t>
            </w:r>
          </w:p>
        </w:tc>
        <w:tc>
          <w:tcPr>
            <w:tcW w:w="1342" w:type="dxa"/>
            <w:noWrap/>
            <w:vAlign w:val="center"/>
          </w:tcPr>
          <w:p w14:paraId="753A33E1"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Year 2</w:t>
            </w:r>
          </w:p>
        </w:tc>
        <w:tc>
          <w:tcPr>
            <w:tcW w:w="1193" w:type="dxa"/>
            <w:noWrap/>
            <w:vAlign w:val="center"/>
          </w:tcPr>
          <w:p w14:paraId="54E534AD"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Year 3</w:t>
            </w:r>
          </w:p>
        </w:tc>
        <w:tc>
          <w:tcPr>
            <w:tcW w:w="1193" w:type="dxa"/>
            <w:noWrap/>
            <w:vAlign w:val="center"/>
          </w:tcPr>
          <w:p w14:paraId="7822A716"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Year 4</w:t>
            </w:r>
          </w:p>
        </w:tc>
        <w:tc>
          <w:tcPr>
            <w:tcW w:w="1193" w:type="dxa"/>
            <w:noWrap/>
            <w:vAlign w:val="center"/>
          </w:tcPr>
          <w:p w14:paraId="6470F9D1"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Year 5</w:t>
            </w:r>
          </w:p>
        </w:tc>
        <w:tc>
          <w:tcPr>
            <w:tcW w:w="1288" w:type="dxa"/>
            <w:noWrap/>
            <w:vAlign w:val="center"/>
          </w:tcPr>
          <w:p w14:paraId="5D2CA675" w14:textId="77777777" w:rsidR="00B5585E" w:rsidRPr="00DA3C6E" w:rsidRDefault="00B5585E" w:rsidP="00273843">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Total over 5-years</w:t>
            </w:r>
          </w:p>
        </w:tc>
      </w:tr>
      <w:tr w:rsidR="00B5585E" w:rsidRPr="00DA3C6E" w14:paraId="34B7B2A3" w14:textId="77777777" w:rsidTr="00273843">
        <w:trPr>
          <w:trHeight w:val="106"/>
        </w:trPr>
        <w:tc>
          <w:tcPr>
            <w:tcW w:w="591" w:type="dxa"/>
            <w:vMerge w:val="restart"/>
            <w:textDirection w:val="btLr"/>
            <w:vAlign w:val="center"/>
          </w:tcPr>
          <w:p w14:paraId="73B2EA74" w14:textId="77777777" w:rsidR="00B5585E" w:rsidRPr="00DA3C6E" w:rsidRDefault="00B5585E" w:rsidP="00273843">
            <w:pPr>
              <w:spacing w:after="0" w:line="240" w:lineRule="auto"/>
              <w:ind w:right="113"/>
              <w:jc w:val="center"/>
              <w:rPr>
                <w:rFonts w:ascii="Arial Narrow" w:hAnsi="Arial Narrow"/>
                <w:sz w:val="20"/>
                <w:szCs w:val="20"/>
              </w:rPr>
            </w:pPr>
            <w:r w:rsidRPr="00DA3C6E">
              <w:rPr>
                <w:rFonts w:ascii="Arial Narrow" w:hAnsi="Arial Narrow"/>
                <w:sz w:val="20"/>
                <w:szCs w:val="20"/>
              </w:rPr>
              <w:t>Intravenous Ig</w:t>
            </w:r>
          </w:p>
        </w:tc>
        <w:tc>
          <w:tcPr>
            <w:tcW w:w="1492" w:type="dxa"/>
            <w:noWrap/>
            <w:vAlign w:val="center"/>
            <w:hideMark/>
          </w:tcPr>
          <w:p w14:paraId="31D94ED7"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 xml:space="preserve">IVIg total cost </w:t>
            </w:r>
          </w:p>
        </w:tc>
        <w:tc>
          <w:tcPr>
            <w:tcW w:w="1193" w:type="dxa"/>
            <w:noWrap/>
            <w:vAlign w:val="center"/>
            <w:hideMark/>
          </w:tcPr>
          <w:p w14:paraId="78B25AC1"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$23,699,504 </w:t>
            </w:r>
          </w:p>
        </w:tc>
        <w:tc>
          <w:tcPr>
            <w:tcW w:w="1342" w:type="dxa"/>
            <w:noWrap/>
            <w:vAlign w:val="center"/>
            <w:hideMark/>
          </w:tcPr>
          <w:p w14:paraId="6D509758"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$24,934,847 </w:t>
            </w:r>
          </w:p>
        </w:tc>
        <w:tc>
          <w:tcPr>
            <w:tcW w:w="1193" w:type="dxa"/>
            <w:noWrap/>
            <w:vAlign w:val="center"/>
            <w:hideMark/>
          </w:tcPr>
          <w:p w14:paraId="47CB0746"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$26,234,583 </w:t>
            </w:r>
          </w:p>
        </w:tc>
        <w:tc>
          <w:tcPr>
            <w:tcW w:w="1193" w:type="dxa"/>
            <w:noWrap/>
            <w:vAlign w:val="center"/>
            <w:hideMark/>
          </w:tcPr>
          <w:p w14:paraId="52E2EF75"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$27,602,068 </w:t>
            </w:r>
          </w:p>
        </w:tc>
        <w:tc>
          <w:tcPr>
            <w:tcW w:w="1193" w:type="dxa"/>
            <w:noWrap/>
            <w:vAlign w:val="center"/>
            <w:hideMark/>
          </w:tcPr>
          <w:p w14:paraId="67092BFA"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$29,040,833 </w:t>
            </w:r>
          </w:p>
        </w:tc>
        <w:tc>
          <w:tcPr>
            <w:tcW w:w="1288" w:type="dxa"/>
            <w:noWrap/>
            <w:vAlign w:val="center"/>
            <w:hideMark/>
          </w:tcPr>
          <w:p w14:paraId="65E8F2C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$131,511,835 </w:t>
            </w:r>
          </w:p>
        </w:tc>
      </w:tr>
      <w:tr w:rsidR="00B5585E" w:rsidRPr="00DA3C6E" w14:paraId="51BBEC9D" w14:textId="77777777" w:rsidTr="00273843">
        <w:trPr>
          <w:trHeight w:val="106"/>
        </w:trPr>
        <w:tc>
          <w:tcPr>
            <w:tcW w:w="591" w:type="dxa"/>
            <w:vMerge/>
            <w:vAlign w:val="center"/>
          </w:tcPr>
          <w:p w14:paraId="064CDCFA" w14:textId="77777777" w:rsidR="00B5585E" w:rsidRPr="00DA3C6E" w:rsidRDefault="00B5585E" w:rsidP="00273843">
            <w:pPr>
              <w:spacing w:after="0" w:line="240" w:lineRule="auto"/>
              <w:jc w:val="center"/>
              <w:rPr>
                <w:rFonts w:ascii="Arial Narrow" w:hAnsi="Arial Narrow"/>
                <w:sz w:val="20"/>
                <w:szCs w:val="20"/>
              </w:rPr>
            </w:pPr>
          </w:p>
        </w:tc>
        <w:tc>
          <w:tcPr>
            <w:tcW w:w="1492" w:type="dxa"/>
            <w:noWrap/>
            <w:vAlign w:val="center"/>
          </w:tcPr>
          <w:p w14:paraId="4DC61A6B" w14:textId="77777777" w:rsidR="00B5585E" w:rsidRPr="00DA3C6E" w:rsidRDefault="00B5585E" w:rsidP="00273843">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IVIg cost to the Commonwealth</w:t>
            </w:r>
            <w:r w:rsidRPr="00DA3C6E">
              <w:rPr>
                <w:rFonts w:ascii="Arial Narrow" w:hAnsi="Arial Narrow"/>
                <w:sz w:val="20"/>
                <w:szCs w:val="20"/>
                <w:vertAlign w:val="superscript"/>
              </w:rPr>
              <w:t>a</w:t>
            </w:r>
          </w:p>
        </w:tc>
        <w:tc>
          <w:tcPr>
            <w:tcW w:w="1193" w:type="dxa"/>
            <w:noWrap/>
            <w:vAlign w:val="center"/>
          </w:tcPr>
          <w:p w14:paraId="43F04C2B"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$14,930,687 </w:t>
            </w:r>
          </w:p>
        </w:tc>
        <w:tc>
          <w:tcPr>
            <w:tcW w:w="1342" w:type="dxa"/>
            <w:noWrap/>
            <w:vAlign w:val="center"/>
          </w:tcPr>
          <w:p w14:paraId="74A6EA87"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$15,708,954 </w:t>
            </w:r>
          </w:p>
        </w:tc>
        <w:tc>
          <w:tcPr>
            <w:tcW w:w="1193" w:type="dxa"/>
            <w:noWrap/>
            <w:vAlign w:val="center"/>
          </w:tcPr>
          <w:p w14:paraId="4280463D"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$16,527,787 </w:t>
            </w:r>
          </w:p>
        </w:tc>
        <w:tc>
          <w:tcPr>
            <w:tcW w:w="1193" w:type="dxa"/>
            <w:noWrap/>
            <w:vAlign w:val="center"/>
          </w:tcPr>
          <w:p w14:paraId="4E135C1D"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$17,389,303 </w:t>
            </w:r>
          </w:p>
        </w:tc>
        <w:tc>
          <w:tcPr>
            <w:tcW w:w="1193" w:type="dxa"/>
            <w:noWrap/>
            <w:vAlign w:val="center"/>
          </w:tcPr>
          <w:p w14:paraId="57C1A916"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$18,295,725 </w:t>
            </w:r>
          </w:p>
        </w:tc>
        <w:tc>
          <w:tcPr>
            <w:tcW w:w="1288" w:type="dxa"/>
            <w:noWrap/>
            <w:vAlign w:val="center"/>
          </w:tcPr>
          <w:p w14:paraId="3B80A80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$82,852,456 </w:t>
            </w:r>
          </w:p>
        </w:tc>
      </w:tr>
      <w:tr w:rsidR="00B5585E" w:rsidRPr="00DA3C6E" w14:paraId="31D60399" w14:textId="77777777" w:rsidTr="00273843">
        <w:trPr>
          <w:trHeight w:val="106"/>
        </w:trPr>
        <w:tc>
          <w:tcPr>
            <w:tcW w:w="591" w:type="dxa"/>
            <w:vMerge/>
            <w:vAlign w:val="center"/>
          </w:tcPr>
          <w:p w14:paraId="31712079" w14:textId="77777777" w:rsidR="00B5585E" w:rsidRPr="00DA3C6E" w:rsidRDefault="00B5585E" w:rsidP="00273843">
            <w:pPr>
              <w:spacing w:after="0" w:line="240" w:lineRule="auto"/>
              <w:jc w:val="center"/>
              <w:rPr>
                <w:rFonts w:ascii="Arial Narrow" w:hAnsi="Arial Narrow"/>
                <w:sz w:val="20"/>
                <w:szCs w:val="20"/>
              </w:rPr>
            </w:pPr>
          </w:p>
        </w:tc>
        <w:tc>
          <w:tcPr>
            <w:tcW w:w="1492" w:type="dxa"/>
            <w:noWrap/>
            <w:vAlign w:val="center"/>
          </w:tcPr>
          <w:p w14:paraId="5BF788D6" w14:textId="77777777" w:rsidR="00B5585E" w:rsidRPr="00DA3C6E" w:rsidRDefault="00B5585E" w:rsidP="00273843">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IVIg cost to the states</w:t>
            </w:r>
            <w:r w:rsidRPr="00DA3C6E">
              <w:rPr>
                <w:rFonts w:ascii="Arial Narrow" w:hAnsi="Arial Narrow"/>
                <w:sz w:val="20"/>
                <w:szCs w:val="20"/>
                <w:vertAlign w:val="superscript"/>
              </w:rPr>
              <w:t>a</w:t>
            </w:r>
          </w:p>
        </w:tc>
        <w:tc>
          <w:tcPr>
            <w:tcW w:w="1193" w:type="dxa"/>
            <w:noWrap/>
            <w:vAlign w:val="center"/>
          </w:tcPr>
          <w:p w14:paraId="42497380"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$8,768,816 </w:t>
            </w:r>
          </w:p>
        </w:tc>
        <w:tc>
          <w:tcPr>
            <w:tcW w:w="1342" w:type="dxa"/>
            <w:noWrap/>
            <w:vAlign w:val="center"/>
          </w:tcPr>
          <w:p w14:paraId="16E0D5B6"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$9,225,893 </w:t>
            </w:r>
          </w:p>
        </w:tc>
        <w:tc>
          <w:tcPr>
            <w:tcW w:w="1193" w:type="dxa"/>
            <w:noWrap/>
            <w:vAlign w:val="center"/>
          </w:tcPr>
          <w:p w14:paraId="4A736349"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$9,706,796 </w:t>
            </w:r>
          </w:p>
        </w:tc>
        <w:tc>
          <w:tcPr>
            <w:tcW w:w="1193" w:type="dxa"/>
            <w:noWrap/>
            <w:vAlign w:val="center"/>
          </w:tcPr>
          <w:p w14:paraId="47B4BBE3"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$10,212,765 </w:t>
            </w:r>
          </w:p>
        </w:tc>
        <w:tc>
          <w:tcPr>
            <w:tcW w:w="1193" w:type="dxa"/>
            <w:noWrap/>
            <w:vAlign w:val="center"/>
          </w:tcPr>
          <w:p w14:paraId="7B98E188"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$10,745,108 </w:t>
            </w:r>
          </w:p>
        </w:tc>
        <w:tc>
          <w:tcPr>
            <w:tcW w:w="1288" w:type="dxa"/>
            <w:noWrap/>
            <w:vAlign w:val="center"/>
          </w:tcPr>
          <w:p w14:paraId="33111817"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$48,659,379 </w:t>
            </w:r>
          </w:p>
        </w:tc>
      </w:tr>
      <w:tr w:rsidR="00B5585E" w:rsidRPr="00DA3C6E" w14:paraId="67F86D70" w14:textId="77777777" w:rsidTr="00273843">
        <w:trPr>
          <w:trHeight w:val="106"/>
        </w:trPr>
        <w:tc>
          <w:tcPr>
            <w:tcW w:w="591" w:type="dxa"/>
            <w:vMerge/>
            <w:vAlign w:val="center"/>
          </w:tcPr>
          <w:p w14:paraId="7A54C4DE" w14:textId="77777777" w:rsidR="00B5585E" w:rsidRPr="00DA3C6E" w:rsidRDefault="00B5585E" w:rsidP="00273843">
            <w:pPr>
              <w:spacing w:after="0" w:line="240" w:lineRule="auto"/>
              <w:jc w:val="center"/>
              <w:rPr>
                <w:rFonts w:ascii="Arial Narrow" w:hAnsi="Arial Narrow"/>
                <w:sz w:val="20"/>
                <w:szCs w:val="20"/>
              </w:rPr>
            </w:pPr>
          </w:p>
        </w:tc>
        <w:tc>
          <w:tcPr>
            <w:tcW w:w="1492" w:type="dxa"/>
            <w:noWrap/>
            <w:vAlign w:val="center"/>
          </w:tcPr>
          <w:p w14:paraId="21117302"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 xml:space="preserve">MBS costs (administration, follow-up, BSC and AEs). </w:t>
            </w:r>
          </w:p>
        </w:tc>
        <w:tc>
          <w:tcPr>
            <w:tcW w:w="1193" w:type="dxa"/>
            <w:noWrap/>
            <w:vAlign w:val="center"/>
          </w:tcPr>
          <w:p w14:paraId="3575DF08"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$8,688,226 </w:t>
            </w:r>
          </w:p>
        </w:tc>
        <w:tc>
          <w:tcPr>
            <w:tcW w:w="1342" w:type="dxa"/>
            <w:noWrap/>
            <w:vAlign w:val="center"/>
          </w:tcPr>
          <w:p w14:paraId="05F9FE71"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$9,150,994 </w:t>
            </w:r>
          </w:p>
        </w:tc>
        <w:tc>
          <w:tcPr>
            <w:tcW w:w="1193" w:type="dxa"/>
            <w:noWrap/>
            <w:vAlign w:val="center"/>
          </w:tcPr>
          <w:p w14:paraId="62A2E1E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$9,613,763 </w:t>
            </w:r>
          </w:p>
        </w:tc>
        <w:tc>
          <w:tcPr>
            <w:tcW w:w="1193" w:type="dxa"/>
            <w:noWrap/>
            <w:vAlign w:val="center"/>
          </w:tcPr>
          <w:p w14:paraId="1DC26019"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$10,076,532 </w:t>
            </w:r>
          </w:p>
        </w:tc>
        <w:tc>
          <w:tcPr>
            <w:tcW w:w="1193" w:type="dxa"/>
            <w:noWrap/>
            <w:vAlign w:val="center"/>
          </w:tcPr>
          <w:p w14:paraId="44ED637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$10,539,300 </w:t>
            </w:r>
          </w:p>
        </w:tc>
        <w:tc>
          <w:tcPr>
            <w:tcW w:w="1288" w:type="dxa"/>
            <w:noWrap/>
            <w:vAlign w:val="center"/>
          </w:tcPr>
          <w:p w14:paraId="620EAC64"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$48,068,815 </w:t>
            </w:r>
          </w:p>
        </w:tc>
      </w:tr>
      <w:tr w:rsidR="00B5585E" w:rsidRPr="00DA3C6E" w14:paraId="1AC7B8B9" w14:textId="77777777" w:rsidTr="00273843">
        <w:trPr>
          <w:trHeight w:val="106"/>
        </w:trPr>
        <w:tc>
          <w:tcPr>
            <w:tcW w:w="591" w:type="dxa"/>
            <w:vMerge/>
            <w:vAlign w:val="center"/>
          </w:tcPr>
          <w:p w14:paraId="408B5E38" w14:textId="77777777" w:rsidR="00B5585E" w:rsidRPr="00DA3C6E" w:rsidRDefault="00B5585E" w:rsidP="00273843">
            <w:pPr>
              <w:spacing w:after="0" w:line="240" w:lineRule="auto"/>
              <w:jc w:val="center"/>
              <w:rPr>
                <w:rFonts w:ascii="Arial Narrow" w:hAnsi="Arial Narrow"/>
                <w:sz w:val="20"/>
                <w:szCs w:val="20"/>
              </w:rPr>
            </w:pPr>
          </w:p>
        </w:tc>
        <w:tc>
          <w:tcPr>
            <w:tcW w:w="1492" w:type="dxa"/>
            <w:noWrap/>
            <w:vAlign w:val="center"/>
          </w:tcPr>
          <w:p w14:paraId="3DAA5FD6"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PBS costs</w:t>
            </w:r>
          </w:p>
        </w:tc>
        <w:tc>
          <w:tcPr>
            <w:tcW w:w="1193" w:type="dxa"/>
            <w:noWrap/>
            <w:vAlign w:val="center"/>
          </w:tcPr>
          <w:p w14:paraId="4C2B783F"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$324,737</w:t>
            </w:r>
          </w:p>
        </w:tc>
        <w:tc>
          <w:tcPr>
            <w:tcW w:w="1342" w:type="dxa"/>
            <w:noWrap/>
            <w:vAlign w:val="center"/>
          </w:tcPr>
          <w:p w14:paraId="3AB0EB1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$342,034</w:t>
            </w:r>
          </w:p>
        </w:tc>
        <w:tc>
          <w:tcPr>
            <w:tcW w:w="1193" w:type="dxa"/>
            <w:noWrap/>
            <w:vAlign w:val="center"/>
          </w:tcPr>
          <w:p w14:paraId="3038BCC2"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$359,331</w:t>
            </w:r>
          </w:p>
        </w:tc>
        <w:tc>
          <w:tcPr>
            <w:tcW w:w="1193" w:type="dxa"/>
            <w:noWrap/>
            <w:vAlign w:val="center"/>
          </w:tcPr>
          <w:p w14:paraId="0BAE36AC"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$376,628</w:t>
            </w:r>
          </w:p>
        </w:tc>
        <w:tc>
          <w:tcPr>
            <w:tcW w:w="1193" w:type="dxa"/>
            <w:noWrap/>
            <w:vAlign w:val="center"/>
          </w:tcPr>
          <w:p w14:paraId="35740FF2"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$393,924</w:t>
            </w:r>
          </w:p>
        </w:tc>
        <w:tc>
          <w:tcPr>
            <w:tcW w:w="1288" w:type="dxa"/>
            <w:noWrap/>
            <w:vAlign w:val="center"/>
          </w:tcPr>
          <w:p w14:paraId="409477E1"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$1,796,654</w:t>
            </w:r>
          </w:p>
        </w:tc>
      </w:tr>
      <w:tr w:rsidR="00B5585E" w:rsidRPr="00DA3C6E" w14:paraId="71FD4EE7" w14:textId="77777777" w:rsidTr="00273843">
        <w:trPr>
          <w:trHeight w:val="34"/>
        </w:trPr>
        <w:tc>
          <w:tcPr>
            <w:tcW w:w="591" w:type="dxa"/>
            <w:vMerge/>
            <w:vAlign w:val="center"/>
          </w:tcPr>
          <w:p w14:paraId="7B065DB5" w14:textId="77777777" w:rsidR="00B5585E" w:rsidRPr="00DA3C6E" w:rsidRDefault="00B5585E" w:rsidP="00273843">
            <w:pPr>
              <w:spacing w:after="0" w:line="240" w:lineRule="auto"/>
              <w:jc w:val="center"/>
              <w:rPr>
                <w:rFonts w:ascii="Arial Narrow" w:hAnsi="Arial Narrow"/>
                <w:sz w:val="20"/>
                <w:szCs w:val="20"/>
              </w:rPr>
            </w:pPr>
          </w:p>
        </w:tc>
        <w:tc>
          <w:tcPr>
            <w:tcW w:w="1492" w:type="dxa"/>
            <w:noWrap/>
            <w:vAlign w:val="center"/>
          </w:tcPr>
          <w:p w14:paraId="3E45D40D" w14:textId="77777777" w:rsidR="00B5585E" w:rsidRPr="00DA3C6E" w:rsidRDefault="00B5585E" w:rsidP="00273843">
            <w:pPr>
              <w:spacing w:after="0" w:line="240" w:lineRule="auto"/>
              <w:ind w:left="0"/>
              <w:jc w:val="left"/>
              <w:rPr>
                <w:rFonts w:ascii="Arial Narrow" w:hAnsi="Arial Narrow"/>
                <w:b/>
                <w:sz w:val="20"/>
                <w:szCs w:val="20"/>
              </w:rPr>
            </w:pPr>
            <w:r w:rsidRPr="00DA3C6E">
              <w:rPr>
                <w:rFonts w:ascii="Arial Narrow" w:hAnsi="Arial Narrow"/>
                <w:b/>
                <w:sz w:val="20"/>
                <w:szCs w:val="20"/>
              </w:rPr>
              <w:t>Total</w:t>
            </w:r>
          </w:p>
        </w:tc>
        <w:tc>
          <w:tcPr>
            <w:tcW w:w="1193" w:type="dxa"/>
            <w:noWrap/>
            <w:vAlign w:val="center"/>
          </w:tcPr>
          <w:p w14:paraId="17E4D4C3"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$32,712,467 </w:t>
            </w:r>
          </w:p>
        </w:tc>
        <w:tc>
          <w:tcPr>
            <w:tcW w:w="1342" w:type="dxa"/>
            <w:noWrap/>
            <w:vAlign w:val="center"/>
          </w:tcPr>
          <w:p w14:paraId="40C2EEBE"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$34,427,875 </w:t>
            </w:r>
          </w:p>
        </w:tc>
        <w:tc>
          <w:tcPr>
            <w:tcW w:w="1193" w:type="dxa"/>
            <w:noWrap/>
            <w:vAlign w:val="center"/>
          </w:tcPr>
          <w:p w14:paraId="114DC7D1"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$36,207,677 </w:t>
            </w:r>
          </w:p>
        </w:tc>
        <w:tc>
          <w:tcPr>
            <w:tcW w:w="1193" w:type="dxa"/>
            <w:noWrap/>
            <w:vAlign w:val="center"/>
          </w:tcPr>
          <w:p w14:paraId="6FF759C4"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$38,055,227 </w:t>
            </w:r>
          </w:p>
        </w:tc>
        <w:tc>
          <w:tcPr>
            <w:tcW w:w="1193" w:type="dxa"/>
            <w:noWrap/>
            <w:vAlign w:val="center"/>
          </w:tcPr>
          <w:p w14:paraId="7F3BA0EC"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$39,974,058 </w:t>
            </w:r>
          </w:p>
        </w:tc>
        <w:tc>
          <w:tcPr>
            <w:tcW w:w="1288" w:type="dxa"/>
            <w:noWrap/>
            <w:vAlign w:val="center"/>
          </w:tcPr>
          <w:p w14:paraId="2D996D27" w14:textId="77777777" w:rsidR="00B5585E" w:rsidRPr="00DA3C6E" w:rsidRDefault="00B5585E" w:rsidP="00273843">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$181,377,304 </w:t>
            </w:r>
          </w:p>
        </w:tc>
      </w:tr>
      <w:tr w:rsidR="00B5585E" w:rsidRPr="00DA3C6E" w14:paraId="06B0073A" w14:textId="77777777" w:rsidTr="00273843">
        <w:trPr>
          <w:trHeight w:val="106"/>
        </w:trPr>
        <w:tc>
          <w:tcPr>
            <w:tcW w:w="591" w:type="dxa"/>
            <w:vMerge w:val="restart"/>
            <w:textDirection w:val="btLr"/>
            <w:vAlign w:val="center"/>
          </w:tcPr>
          <w:p w14:paraId="1DC8D6AD" w14:textId="77777777" w:rsidR="00B5585E" w:rsidRPr="00DA3C6E" w:rsidRDefault="00B5585E" w:rsidP="00273843">
            <w:pPr>
              <w:spacing w:after="0" w:line="240" w:lineRule="auto"/>
              <w:ind w:left="113" w:right="113"/>
              <w:jc w:val="center"/>
              <w:rPr>
                <w:rFonts w:ascii="Arial Narrow" w:hAnsi="Arial Narrow"/>
                <w:sz w:val="20"/>
                <w:szCs w:val="20"/>
              </w:rPr>
            </w:pPr>
            <w:r w:rsidRPr="00DA3C6E">
              <w:rPr>
                <w:rFonts w:ascii="Arial Narrow" w:hAnsi="Arial Narrow"/>
                <w:sz w:val="20"/>
                <w:szCs w:val="20"/>
              </w:rPr>
              <w:t>No Ig with BSC</w:t>
            </w:r>
          </w:p>
        </w:tc>
        <w:tc>
          <w:tcPr>
            <w:tcW w:w="1492" w:type="dxa"/>
            <w:noWrap/>
            <w:vAlign w:val="center"/>
          </w:tcPr>
          <w:p w14:paraId="3CE06DE9"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MBS costs (follow-up and BSC)</w:t>
            </w:r>
          </w:p>
        </w:tc>
        <w:tc>
          <w:tcPr>
            <w:tcW w:w="1193" w:type="dxa"/>
            <w:noWrap/>
            <w:vAlign w:val="center"/>
          </w:tcPr>
          <w:p w14:paraId="08E54CEE"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$1,892,537</w:t>
            </w:r>
          </w:p>
        </w:tc>
        <w:tc>
          <w:tcPr>
            <w:tcW w:w="1342" w:type="dxa"/>
            <w:noWrap/>
            <w:vAlign w:val="center"/>
          </w:tcPr>
          <w:p w14:paraId="5FC4EC4C"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$1,993,341</w:t>
            </w:r>
          </w:p>
        </w:tc>
        <w:tc>
          <w:tcPr>
            <w:tcW w:w="1193" w:type="dxa"/>
            <w:noWrap/>
            <w:vAlign w:val="center"/>
          </w:tcPr>
          <w:p w14:paraId="20AA1566"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$2,094,145</w:t>
            </w:r>
          </w:p>
        </w:tc>
        <w:tc>
          <w:tcPr>
            <w:tcW w:w="1193" w:type="dxa"/>
            <w:noWrap/>
            <w:vAlign w:val="center"/>
          </w:tcPr>
          <w:p w14:paraId="3803B236"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$2,194,949</w:t>
            </w:r>
          </w:p>
        </w:tc>
        <w:tc>
          <w:tcPr>
            <w:tcW w:w="1193" w:type="dxa"/>
            <w:noWrap/>
            <w:vAlign w:val="center"/>
          </w:tcPr>
          <w:p w14:paraId="00D89863"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$2,295,753</w:t>
            </w:r>
          </w:p>
        </w:tc>
        <w:tc>
          <w:tcPr>
            <w:tcW w:w="1288" w:type="dxa"/>
            <w:noWrap/>
            <w:vAlign w:val="center"/>
          </w:tcPr>
          <w:p w14:paraId="105ACE7B" w14:textId="77777777" w:rsidR="00B5585E" w:rsidRPr="00DA3C6E" w:rsidRDefault="00B5585E" w:rsidP="00273843">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$10,470,726</w:t>
            </w:r>
          </w:p>
        </w:tc>
      </w:tr>
      <w:tr w:rsidR="00B5585E" w:rsidRPr="00DA3C6E" w14:paraId="5BD63631" w14:textId="77777777" w:rsidTr="00273843">
        <w:trPr>
          <w:trHeight w:val="459"/>
        </w:trPr>
        <w:tc>
          <w:tcPr>
            <w:tcW w:w="591" w:type="dxa"/>
            <w:vMerge/>
          </w:tcPr>
          <w:p w14:paraId="2A11E013" w14:textId="77777777" w:rsidR="00B5585E" w:rsidRPr="00DA3C6E" w:rsidRDefault="00B5585E" w:rsidP="00273843">
            <w:pPr>
              <w:spacing w:after="0" w:line="240" w:lineRule="auto"/>
              <w:jc w:val="left"/>
              <w:rPr>
                <w:rFonts w:ascii="Arial Narrow" w:hAnsi="Arial Narrow"/>
                <w:sz w:val="20"/>
                <w:szCs w:val="20"/>
              </w:rPr>
            </w:pPr>
          </w:p>
        </w:tc>
        <w:tc>
          <w:tcPr>
            <w:tcW w:w="1492" w:type="dxa"/>
            <w:noWrap/>
            <w:vAlign w:val="center"/>
          </w:tcPr>
          <w:p w14:paraId="0ACE0A3E" w14:textId="77777777" w:rsidR="00B5585E" w:rsidRPr="00DA3C6E" w:rsidRDefault="00B5585E" w:rsidP="00273843">
            <w:pPr>
              <w:spacing w:after="0" w:line="240" w:lineRule="auto"/>
              <w:ind w:left="0"/>
              <w:jc w:val="left"/>
              <w:rPr>
                <w:rFonts w:ascii="Arial Narrow" w:hAnsi="Arial Narrow"/>
                <w:b/>
                <w:sz w:val="20"/>
                <w:szCs w:val="20"/>
              </w:rPr>
            </w:pPr>
            <w:r w:rsidRPr="00DA3C6E">
              <w:rPr>
                <w:rFonts w:ascii="Arial Narrow" w:hAnsi="Arial Narrow"/>
                <w:b/>
                <w:sz w:val="20"/>
                <w:szCs w:val="20"/>
              </w:rPr>
              <w:t>Total</w:t>
            </w:r>
          </w:p>
        </w:tc>
        <w:tc>
          <w:tcPr>
            <w:tcW w:w="1193" w:type="dxa"/>
            <w:noWrap/>
            <w:vAlign w:val="center"/>
          </w:tcPr>
          <w:p w14:paraId="1D6B9360"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$1,892,537</w:t>
            </w:r>
          </w:p>
        </w:tc>
        <w:tc>
          <w:tcPr>
            <w:tcW w:w="1342" w:type="dxa"/>
            <w:noWrap/>
            <w:vAlign w:val="center"/>
          </w:tcPr>
          <w:p w14:paraId="43019777"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$1,993,341</w:t>
            </w:r>
          </w:p>
        </w:tc>
        <w:tc>
          <w:tcPr>
            <w:tcW w:w="1193" w:type="dxa"/>
            <w:noWrap/>
            <w:vAlign w:val="center"/>
          </w:tcPr>
          <w:p w14:paraId="2F1C7A4C"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$2,094,145</w:t>
            </w:r>
          </w:p>
        </w:tc>
        <w:tc>
          <w:tcPr>
            <w:tcW w:w="1193" w:type="dxa"/>
            <w:noWrap/>
            <w:vAlign w:val="center"/>
          </w:tcPr>
          <w:p w14:paraId="728C9178"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$2,194,949</w:t>
            </w:r>
          </w:p>
        </w:tc>
        <w:tc>
          <w:tcPr>
            <w:tcW w:w="1193" w:type="dxa"/>
            <w:noWrap/>
            <w:vAlign w:val="center"/>
          </w:tcPr>
          <w:p w14:paraId="15B59CF6"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$2,295,753</w:t>
            </w:r>
          </w:p>
        </w:tc>
        <w:tc>
          <w:tcPr>
            <w:tcW w:w="1288" w:type="dxa"/>
            <w:noWrap/>
            <w:vAlign w:val="center"/>
          </w:tcPr>
          <w:p w14:paraId="73534049" w14:textId="77777777" w:rsidR="00B5585E" w:rsidRPr="00DA3C6E" w:rsidRDefault="00B5585E" w:rsidP="00273843">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$10,470,726</w:t>
            </w:r>
          </w:p>
        </w:tc>
      </w:tr>
      <w:tr w:rsidR="00B5585E" w:rsidRPr="00DA3C6E" w14:paraId="7C149525" w14:textId="77777777" w:rsidTr="00273843">
        <w:trPr>
          <w:trHeight w:val="324"/>
        </w:trPr>
        <w:tc>
          <w:tcPr>
            <w:tcW w:w="9488" w:type="dxa"/>
            <w:gridSpan w:val="8"/>
            <w:vAlign w:val="center"/>
          </w:tcPr>
          <w:p w14:paraId="43E9D170" w14:textId="77777777" w:rsidR="00B5585E" w:rsidRPr="00DA3C6E" w:rsidRDefault="00B5585E" w:rsidP="00273843">
            <w:pPr>
              <w:spacing w:after="0" w:line="240" w:lineRule="auto"/>
              <w:ind w:left="0"/>
              <w:rPr>
                <w:rFonts w:ascii="Arial Narrow" w:hAnsi="Arial Narrow" w:cs="Calibri"/>
                <w:b/>
                <w:color w:val="000000"/>
                <w:sz w:val="20"/>
                <w:szCs w:val="20"/>
              </w:rPr>
            </w:pPr>
            <w:r w:rsidRPr="00DA3C6E">
              <w:rPr>
                <w:rFonts w:ascii="Arial Narrow" w:hAnsi="Arial Narrow" w:cs="Calibri"/>
                <w:b/>
                <w:color w:val="000000"/>
                <w:sz w:val="20"/>
                <w:szCs w:val="20"/>
              </w:rPr>
              <w:t>Net costs (Intravenous Ig versus No Ig)</w:t>
            </w:r>
          </w:p>
        </w:tc>
      </w:tr>
      <w:tr w:rsidR="00B5585E" w:rsidRPr="00DA3C6E" w14:paraId="09DAD71A" w14:textId="77777777" w:rsidTr="00273843">
        <w:trPr>
          <w:trHeight w:val="106"/>
        </w:trPr>
        <w:tc>
          <w:tcPr>
            <w:tcW w:w="2083" w:type="dxa"/>
            <w:gridSpan w:val="2"/>
          </w:tcPr>
          <w:p w14:paraId="3CAA9604"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Net costs Commonwealth</w:t>
            </w:r>
          </w:p>
        </w:tc>
        <w:tc>
          <w:tcPr>
            <w:tcW w:w="1193" w:type="dxa"/>
            <w:noWrap/>
            <w:vAlign w:val="center"/>
          </w:tcPr>
          <w:p w14:paraId="7749EEBE"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-$14,930,687 </w:t>
            </w:r>
          </w:p>
        </w:tc>
        <w:tc>
          <w:tcPr>
            <w:tcW w:w="1342" w:type="dxa"/>
            <w:noWrap/>
            <w:vAlign w:val="center"/>
          </w:tcPr>
          <w:p w14:paraId="6A58E050"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-$15,708,954 </w:t>
            </w:r>
          </w:p>
        </w:tc>
        <w:tc>
          <w:tcPr>
            <w:tcW w:w="1193" w:type="dxa"/>
            <w:noWrap/>
            <w:vAlign w:val="center"/>
          </w:tcPr>
          <w:p w14:paraId="6EA24F7A"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-$16,527,787 </w:t>
            </w:r>
          </w:p>
        </w:tc>
        <w:tc>
          <w:tcPr>
            <w:tcW w:w="1193" w:type="dxa"/>
            <w:noWrap/>
            <w:vAlign w:val="center"/>
          </w:tcPr>
          <w:p w14:paraId="63CFE32B"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-$17,389,303 </w:t>
            </w:r>
          </w:p>
        </w:tc>
        <w:tc>
          <w:tcPr>
            <w:tcW w:w="1193" w:type="dxa"/>
            <w:noWrap/>
            <w:vAlign w:val="center"/>
          </w:tcPr>
          <w:p w14:paraId="394ADF88"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-$18,295,725 </w:t>
            </w:r>
          </w:p>
        </w:tc>
        <w:tc>
          <w:tcPr>
            <w:tcW w:w="1288" w:type="dxa"/>
            <w:noWrap/>
            <w:vAlign w:val="center"/>
          </w:tcPr>
          <w:p w14:paraId="086E485D"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-$82,852,456 </w:t>
            </w:r>
          </w:p>
        </w:tc>
      </w:tr>
      <w:tr w:rsidR="00B5585E" w:rsidRPr="00DA3C6E" w14:paraId="0CC5F59F" w14:textId="77777777" w:rsidTr="00273843">
        <w:trPr>
          <w:trHeight w:val="106"/>
        </w:trPr>
        <w:tc>
          <w:tcPr>
            <w:tcW w:w="2083" w:type="dxa"/>
            <w:gridSpan w:val="2"/>
          </w:tcPr>
          <w:p w14:paraId="2B7AC694"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Net costs to the states and territories</w:t>
            </w:r>
          </w:p>
        </w:tc>
        <w:tc>
          <w:tcPr>
            <w:tcW w:w="1193" w:type="dxa"/>
            <w:noWrap/>
            <w:vAlign w:val="center"/>
          </w:tcPr>
          <w:p w14:paraId="2020F635"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-$15,889,242 </w:t>
            </w:r>
          </w:p>
        </w:tc>
        <w:tc>
          <w:tcPr>
            <w:tcW w:w="1342" w:type="dxa"/>
            <w:noWrap/>
            <w:vAlign w:val="center"/>
          </w:tcPr>
          <w:p w14:paraId="2B920BF3"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-$16,725,581 </w:t>
            </w:r>
          </w:p>
        </w:tc>
        <w:tc>
          <w:tcPr>
            <w:tcW w:w="1193" w:type="dxa"/>
            <w:noWrap/>
            <w:vAlign w:val="center"/>
          </w:tcPr>
          <w:p w14:paraId="1CE121B3"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-$17,585,744 </w:t>
            </w:r>
          </w:p>
        </w:tc>
        <w:tc>
          <w:tcPr>
            <w:tcW w:w="1193" w:type="dxa"/>
            <w:noWrap/>
            <w:vAlign w:val="center"/>
          </w:tcPr>
          <w:p w14:paraId="03D6A141"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-$18,470,975 </w:t>
            </w:r>
          </w:p>
        </w:tc>
        <w:tc>
          <w:tcPr>
            <w:tcW w:w="1193" w:type="dxa"/>
            <w:noWrap/>
            <w:vAlign w:val="center"/>
          </w:tcPr>
          <w:p w14:paraId="5BF4EA31"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-$19,382,580 </w:t>
            </w:r>
          </w:p>
        </w:tc>
        <w:tc>
          <w:tcPr>
            <w:tcW w:w="1288" w:type="dxa"/>
            <w:noWrap/>
            <w:vAlign w:val="center"/>
          </w:tcPr>
          <w:p w14:paraId="5DC940C0"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-$88,054,122 </w:t>
            </w:r>
          </w:p>
        </w:tc>
      </w:tr>
      <w:tr w:rsidR="00B5585E" w:rsidRPr="00DA3C6E" w14:paraId="6A5592D2" w14:textId="77777777" w:rsidTr="00273843">
        <w:trPr>
          <w:trHeight w:val="106"/>
        </w:trPr>
        <w:tc>
          <w:tcPr>
            <w:tcW w:w="2083" w:type="dxa"/>
            <w:gridSpan w:val="2"/>
          </w:tcPr>
          <w:p w14:paraId="216C8F82" w14:textId="77777777" w:rsidR="00B5585E" w:rsidRPr="00DA3C6E" w:rsidRDefault="00B5585E" w:rsidP="00273843">
            <w:pPr>
              <w:spacing w:after="0" w:line="240" w:lineRule="auto"/>
              <w:ind w:left="0"/>
              <w:jc w:val="left"/>
              <w:rPr>
                <w:rFonts w:ascii="Arial Narrow" w:hAnsi="Arial Narrow"/>
                <w:sz w:val="20"/>
                <w:szCs w:val="20"/>
              </w:rPr>
            </w:pPr>
            <w:r w:rsidRPr="00DA3C6E">
              <w:rPr>
                <w:rFonts w:ascii="Arial Narrow" w:hAnsi="Arial Narrow"/>
                <w:sz w:val="20"/>
                <w:szCs w:val="20"/>
              </w:rPr>
              <w:t>Total net costs</w:t>
            </w:r>
          </w:p>
        </w:tc>
        <w:tc>
          <w:tcPr>
            <w:tcW w:w="1193" w:type="dxa"/>
            <w:noWrap/>
            <w:vAlign w:val="center"/>
          </w:tcPr>
          <w:p w14:paraId="5CCA3149"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-$30,819,929 </w:t>
            </w:r>
          </w:p>
        </w:tc>
        <w:tc>
          <w:tcPr>
            <w:tcW w:w="1342" w:type="dxa"/>
            <w:noWrap/>
            <w:vAlign w:val="center"/>
          </w:tcPr>
          <w:p w14:paraId="53D1AD29"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-$32,434,534 </w:t>
            </w:r>
          </w:p>
        </w:tc>
        <w:tc>
          <w:tcPr>
            <w:tcW w:w="1193" w:type="dxa"/>
            <w:noWrap/>
            <w:vAlign w:val="center"/>
          </w:tcPr>
          <w:p w14:paraId="2DECF076"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-$34,113,532 </w:t>
            </w:r>
          </w:p>
        </w:tc>
        <w:tc>
          <w:tcPr>
            <w:tcW w:w="1193" w:type="dxa"/>
            <w:noWrap/>
            <w:vAlign w:val="center"/>
          </w:tcPr>
          <w:p w14:paraId="75D1AE4A"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-$35,860,278 </w:t>
            </w:r>
          </w:p>
        </w:tc>
        <w:tc>
          <w:tcPr>
            <w:tcW w:w="1193" w:type="dxa"/>
            <w:noWrap/>
            <w:vAlign w:val="center"/>
          </w:tcPr>
          <w:p w14:paraId="08183B68"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-$37,678,305 </w:t>
            </w:r>
          </w:p>
        </w:tc>
        <w:tc>
          <w:tcPr>
            <w:tcW w:w="1288" w:type="dxa"/>
            <w:noWrap/>
            <w:vAlign w:val="center"/>
          </w:tcPr>
          <w:p w14:paraId="24ABB543" w14:textId="77777777" w:rsidR="00B5585E" w:rsidRPr="00DA3C6E" w:rsidRDefault="00B5585E" w:rsidP="00273843">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-$170,906,578 </w:t>
            </w:r>
          </w:p>
        </w:tc>
      </w:tr>
    </w:tbl>
    <w:p w14:paraId="6FEE6711" w14:textId="77777777" w:rsidR="004745D9" w:rsidRPr="00DA3C6E" w:rsidRDefault="00B5585E" w:rsidP="004745D9">
      <w:pPr>
        <w:pStyle w:val="Tablenotes0"/>
        <w:spacing w:after="0"/>
      </w:pPr>
      <w:r w:rsidRPr="00DA3C6E">
        <w:t>A</w:t>
      </w:r>
      <w:r w:rsidR="004745D9" w:rsidRPr="00DA3C6E">
        <w:t>bbreviations: AE = adverse events; BSC = best supportive care; Ig = immunoglobulin; MBS = Medicare Benefit Scheme; MMN = multifocal motor neuropathy; NBA = National Blood Authority; PBS = Pharmaceutical Benefit Scheme.</w:t>
      </w:r>
    </w:p>
    <w:p w14:paraId="27F4DCC8" w14:textId="77777777" w:rsidR="004745D9" w:rsidRPr="00DA3C6E" w:rsidRDefault="004745D9" w:rsidP="004745D9">
      <w:pPr>
        <w:pStyle w:val="Tablenotes0"/>
        <w:spacing w:after="0"/>
      </w:pPr>
      <w:r w:rsidRPr="00DA3C6E">
        <w:t xml:space="preserve">Notes: </w:t>
      </w:r>
      <w:r w:rsidRPr="00DA3C6E">
        <w:rPr>
          <w:vertAlign w:val="superscript"/>
        </w:rPr>
        <w:t>a</w:t>
      </w:r>
      <w:r w:rsidRPr="00DA3C6E">
        <w:t xml:space="preserve"> The National Blood Agreement states that 63% of products are funded by the Commonwealth and 37% by the states and territories. </w:t>
      </w:r>
    </w:p>
    <w:p w14:paraId="77C6A3D1" w14:textId="77777777" w:rsidR="004745D9" w:rsidRPr="00DA3C6E" w:rsidRDefault="004745D9" w:rsidP="004745D9">
      <w:pPr>
        <w:pStyle w:val="Tablenotes0"/>
      </w:pPr>
      <w:r w:rsidRPr="00DA3C6E">
        <w:t>Source: Projections from observed data from the HTA Conditions Report 1, 2 and 3 provided by the NBA on 06 January 2020 (‘Phase 2 HTA conditions data.xlsx' workbook).</w:t>
      </w:r>
    </w:p>
    <w:p w14:paraId="1A878DDA" w14:textId="77777777" w:rsidR="004745D9" w:rsidRPr="00DA3C6E" w:rsidRDefault="004745D9" w:rsidP="004745D9">
      <w:pPr>
        <w:pStyle w:val="Heading3"/>
      </w:pPr>
      <w:bookmarkStart w:id="53" w:name="_Toc37845707"/>
      <w:r w:rsidRPr="00DA3C6E">
        <w:t>Consumer impact summary</w:t>
      </w:r>
      <w:bookmarkEnd w:id="53"/>
    </w:p>
    <w:p w14:paraId="5D59A0A9" w14:textId="77777777" w:rsidR="006B1DC0" w:rsidRPr="00DA3C6E" w:rsidRDefault="00623ABB" w:rsidP="004745D9">
      <w:r w:rsidRPr="00DA3C6E">
        <w:t xml:space="preserve">Targeted feedback was sought </w:t>
      </w:r>
      <w:r w:rsidR="00B822C4" w:rsidRPr="00DA3C6E">
        <w:t xml:space="preserve">in August 2019 </w:t>
      </w:r>
      <w:r w:rsidRPr="00DA3C6E">
        <w:t xml:space="preserve">from stakeholders including consumer groups, clinicians and sponsor companies to assist in developing the PICO </w:t>
      </w:r>
      <w:r w:rsidR="00B31DB2" w:rsidRPr="00DA3C6E">
        <w:t>C</w:t>
      </w:r>
      <w:r w:rsidRPr="00DA3C6E">
        <w:t xml:space="preserve">onfirmation. Responses were received from one clinician and two sponsor companies. </w:t>
      </w:r>
      <w:r w:rsidR="00B822C4" w:rsidRPr="00DA3C6E">
        <w:t>Sponsor companies</w:t>
      </w:r>
      <w:r w:rsidRPr="00DA3C6E">
        <w:t xml:space="preserve"> considered </w:t>
      </w:r>
      <w:r w:rsidR="00B31DB2" w:rsidRPr="00DA3C6E">
        <w:t xml:space="preserve">intravenous </w:t>
      </w:r>
      <w:r w:rsidRPr="00DA3C6E">
        <w:t>Ig to be a safe and effective treatment for patients with MMN</w:t>
      </w:r>
      <w:r w:rsidR="00B822C4" w:rsidRPr="00DA3C6E">
        <w:t>,</w:t>
      </w:r>
      <w:r w:rsidRPr="00DA3C6E">
        <w:t xml:space="preserve"> and </w:t>
      </w:r>
      <w:r w:rsidR="00B822C4" w:rsidRPr="00DA3C6E">
        <w:t xml:space="preserve">therefore </w:t>
      </w:r>
      <w:r w:rsidRPr="00DA3C6E">
        <w:t xml:space="preserve">would not encourage further limitation to access of </w:t>
      </w:r>
      <w:r w:rsidR="00B31DB2" w:rsidRPr="00DA3C6E">
        <w:t>intravenous Ig</w:t>
      </w:r>
      <w:r w:rsidRPr="00DA3C6E">
        <w:t xml:space="preserve"> based on the current level of evidence. </w:t>
      </w:r>
      <w:r w:rsidR="00B822C4" w:rsidRPr="00DA3C6E">
        <w:t xml:space="preserve">Clinician feedback indicated that the treatment algorithm was reasonable for commencement, but that data on the rates of continuation would be valuable to the review considering that continuation rates </w:t>
      </w:r>
      <w:r w:rsidR="005640E2" w:rsidRPr="00DA3C6E">
        <w:t>as expected from</w:t>
      </w:r>
      <w:r w:rsidR="00B822C4" w:rsidRPr="00DA3C6E">
        <w:t xml:space="preserve"> RCTs seldom match actual </w:t>
      </w:r>
      <w:r w:rsidR="005640E2" w:rsidRPr="00DA3C6E">
        <w:t>rates of continuation</w:t>
      </w:r>
      <w:r w:rsidR="00B822C4" w:rsidRPr="00DA3C6E">
        <w:t>.</w:t>
      </w:r>
      <w:r w:rsidRPr="00DA3C6E">
        <w:t xml:space="preserve"> </w:t>
      </w:r>
    </w:p>
    <w:p w14:paraId="7C7C41CC" w14:textId="77777777" w:rsidR="004745D9" w:rsidRPr="00D96AFB" w:rsidRDefault="004745D9" w:rsidP="00D96AFB">
      <w:r w:rsidRPr="00D96AFB">
        <w:t>Sponsors of intravenous Ig were</w:t>
      </w:r>
      <w:r w:rsidR="006B1DC0" w:rsidRPr="00D96AFB">
        <w:t xml:space="preserve"> given </w:t>
      </w:r>
      <w:r w:rsidRPr="00D96AFB">
        <w:t>the opportunity to provide input</w:t>
      </w:r>
      <w:r w:rsidR="00873C06" w:rsidRPr="00D96AFB">
        <w:t xml:space="preserve"> to the</w:t>
      </w:r>
      <w:r w:rsidR="00B31DB2" w:rsidRPr="00D96AFB">
        <w:t xml:space="preserve"> C</w:t>
      </w:r>
      <w:r w:rsidR="00873C06" w:rsidRPr="00D96AFB">
        <w:t xml:space="preserve">ontracted </w:t>
      </w:r>
      <w:r w:rsidR="00B31DB2" w:rsidRPr="00D96AFB">
        <w:t>A</w:t>
      </w:r>
      <w:r w:rsidR="00873C06" w:rsidRPr="00D96AFB">
        <w:t>ssessment</w:t>
      </w:r>
      <w:r w:rsidR="006B1DC0" w:rsidRPr="00D96AFB">
        <w:t xml:space="preserve"> following finalisation of the PICO</w:t>
      </w:r>
      <w:r w:rsidR="00B31DB2" w:rsidRPr="00D96AFB">
        <w:t xml:space="preserve"> Confirmation</w:t>
      </w:r>
      <w:r w:rsidRPr="00D96AFB">
        <w:t xml:space="preserve">. </w:t>
      </w:r>
      <w:r w:rsidR="006B1DC0" w:rsidRPr="00D96AFB">
        <w:t>T</w:t>
      </w:r>
      <w:r w:rsidRPr="00D96AFB">
        <w:t xml:space="preserve">wo sponsors </w:t>
      </w:r>
      <w:r w:rsidR="006B1DC0" w:rsidRPr="00D96AFB">
        <w:t xml:space="preserve">provided feedback </w:t>
      </w:r>
      <w:r w:rsidRPr="00D96AFB">
        <w:t xml:space="preserve">for consideration in the development of this Contracted Assessment. A summary of the main issues are presented in Table </w:t>
      </w:r>
      <w:r w:rsidR="00B03FBE" w:rsidRPr="00D96AFB">
        <w:t>ES.</w:t>
      </w:r>
      <w:r w:rsidRPr="00D96AFB">
        <w:t xml:space="preserve">10. </w:t>
      </w:r>
    </w:p>
    <w:p w14:paraId="45F52A4B" w14:textId="77777777" w:rsidR="004745D9" w:rsidRPr="00DA3C6E" w:rsidRDefault="004745D9" w:rsidP="004745D9">
      <w:pPr>
        <w:pStyle w:val="Caption"/>
        <w:keepNext/>
      </w:pPr>
      <w:r w:rsidRPr="00DA3C6E">
        <w:lastRenderedPageBreak/>
        <w:t xml:space="preserve">Table </w:t>
      </w:r>
      <w:r w:rsidR="00B03FBE" w:rsidRPr="00DA3C6E">
        <w:t>ES.</w:t>
      </w:r>
      <w:r w:rsidRPr="00DA3C6E">
        <w:t xml:space="preserve">10. Feedback provided by Sponsors on the PICO Confirmation </w:t>
      </w:r>
    </w:p>
    <w:tbl>
      <w:tblPr>
        <w:tblStyle w:val="TableGrid"/>
        <w:tblW w:w="0" w:type="auto"/>
        <w:tblLook w:val="04A0" w:firstRow="1" w:lastRow="0" w:firstColumn="1" w:lastColumn="0" w:noHBand="0" w:noVBand="1"/>
        <w:tblCaption w:val="Table ES.10. Feedback provided by Sponsors on the PICO Confirmation "/>
      </w:tblPr>
      <w:tblGrid>
        <w:gridCol w:w="3594"/>
        <w:gridCol w:w="5388"/>
      </w:tblGrid>
      <w:tr w:rsidR="004745D9" w:rsidRPr="00DA3C6E" w14:paraId="22E4AA94" w14:textId="77777777" w:rsidTr="00D56F4F">
        <w:trPr>
          <w:trHeight w:val="89"/>
          <w:tblHeader/>
        </w:trPr>
        <w:tc>
          <w:tcPr>
            <w:tcW w:w="3594" w:type="dxa"/>
            <w:vAlign w:val="center"/>
          </w:tcPr>
          <w:p w14:paraId="69644A66" w14:textId="77777777" w:rsidR="004745D9" w:rsidRPr="00DA3C6E" w:rsidRDefault="004745D9" w:rsidP="00A86CD1">
            <w:pPr>
              <w:keepNext/>
              <w:spacing w:after="0" w:line="240" w:lineRule="auto"/>
              <w:ind w:left="0"/>
              <w:contextualSpacing/>
              <w:jc w:val="left"/>
              <w:rPr>
                <w:rFonts w:ascii="Arial Narrow" w:hAnsi="Arial Narrow"/>
                <w:b/>
                <w:sz w:val="20"/>
                <w:szCs w:val="20"/>
              </w:rPr>
            </w:pPr>
            <w:r w:rsidRPr="00DA3C6E">
              <w:rPr>
                <w:rFonts w:ascii="Arial Narrow" w:hAnsi="Arial Narrow"/>
                <w:b/>
                <w:sz w:val="20"/>
                <w:szCs w:val="20"/>
              </w:rPr>
              <w:t>Issue</w:t>
            </w:r>
          </w:p>
        </w:tc>
        <w:tc>
          <w:tcPr>
            <w:tcW w:w="5388" w:type="dxa"/>
            <w:vAlign w:val="center"/>
          </w:tcPr>
          <w:p w14:paraId="47870C03" w14:textId="77777777" w:rsidR="004745D9" w:rsidRPr="00DA3C6E" w:rsidRDefault="004745D9" w:rsidP="00A86CD1">
            <w:pPr>
              <w:keepNext/>
              <w:spacing w:after="0" w:line="240" w:lineRule="auto"/>
              <w:ind w:left="0"/>
              <w:contextualSpacing/>
              <w:jc w:val="left"/>
              <w:rPr>
                <w:rFonts w:ascii="Arial Narrow" w:hAnsi="Arial Narrow"/>
                <w:b/>
                <w:sz w:val="20"/>
                <w:szCs w:val="20"/>
              </w:rPr>
            </w:pPr>
            <w:r w:rsidRPr="00DA3C6E">
              <w:rPr>
                <w:rFonts w:ascii="Arial Narrow" w:hAnsi="Arial Narrow"/>
                <w:b/>
                <w:sz w:val="20"/>
                <w:szCs w:val="20"/>
              </w:rPr>
              <w:t>Sponsor’s feedback</w:t>
            </w:r>
          </w:p>
        </w:tc>
      </w:tr>
      <w:tr w:rsidR="004745D9" w:rsidRPr="00DA3C6E" w14:paraId="55575CB5" w14:textId="77777777" w:rsidTr="00A86CD1">
        <w:trPr>
          <w:trHeight w:val="182"/>
        </w:trPr>
        <w:tc>
          <w:tcPr>
            <w:tcW w:w="3594" w:type="dxa"/>
            <w:vAlign w:val="center"/>
          </w:tcPr>
          <w:p w14:paraId="3970C14A"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Reliability of the prevalence source by Cats et al 2010.</w:t>
            </w:r>
          </w:p>
        </w:tc>
        <w:tc>
          <w:tcPr>
            <w:tcW w:w="5388" w:type="dxa"/>
            <w:vAlign w:val="center"/>
          </w:tcPr>
          <w:p w14:paraId="35B3FF56"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Reported estimate of 0.6 cases per 100,000 persons represents an underestimate</w:t>
            </w:r>
          </w:p>
        </w:tc>
      </w:tr>
      <w:tr w:rsidR="004745D9" w:rsidRPr="00DA3C6E" w14:paraId="5CD76AE2" w14:textId="77777777" w:rsidTr="00A86CD1">
        <w:trPr>
          <w:trHeight w:val="271"/>
        </w:trPr>
        <w:tc>
          <w:tcPr>
            <w:tcW w:w="3594" w:type="dxa"/>
            <w:vAlign w:val="center"/>
          </w:tcPr>
          <w:p w14:paraId="138C7D20"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Funding of SCIg for the treatment of MMN</w:t>
            </w:r>
          </w:p>
        </w:tc>
        <w:tc>
          <w:tcPr>
            <w:tcW w:w="5388" w:type="dxa"/>
            <w:vAlign w:val="center"/>
          </w:tcPr>
          <w:p w14:paraId="0FA8E149"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Noted there was available evidence from a randomised controlled trial that supports its use in MMN patient population. </w:t>
            </w:r>
          </w:p>
        </w:tc>
      </w:tr>
      <w:tr w:rsidR="004745D9" w:rsidRPr="00DA3C6E" w14:paraId="03AFB35A" w14:textId="77777777" w:rsidTr="00A86CD1">
        <w:trPr>
          <w:trHeight w:val="360"/>
        </w:trPr>
        <w:tc>
          <w:tcPr>
            <w:tcW w:w="3594" w:type="dxa"/>
            <w:vAlign w:val="center"/>
          </w:tcPr>
          <w:p w14:paraId="4F2C573D"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The impact of implementation of The Criteria V3 on average duration of treatment</w:t>
            </w:r>
          </w:p>
        </w:tc>
        <w:tc>
          <w:tcPr>
            <w:tcW w:w="5388" w:type="dxa"/>
            <w:vAlign w:val="center"/>
          </w:tcPr>
          <w:p w14:paraId="731B91A7"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Acknowledged the potential impact. Noted the potential impact has to be evaluated after a longer time after the implementation than what was currently available (6 months). </w:t>
            </w:r>
          </w:p>
        </w:tc>
      </w:tr>
      <w:tr w:rsidR="004745D9" w:rsidRPr="00DA3C6E" w14:paraId="4AD8C589" w14:textId="77777777" w:rsidTr="00A86CD1">
        <w:trPr>
          <w:trHeight w:val="271"/>
        </w:trPr>
        <w:tc>
          <w:tcPr>
            <w:tcW w:w="3594" w:type="dxa"/>
            <w:vAlign w:val="center"/>
          </w:tcPr>
          <w:p w14:paraId="06802498"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Intravenous Ig dosing and potential for leakage </w:t>
            </w:r>
          </w:p>
        </w:tc>
        <w:tc>
          <w:tcPr>
            <w:tcW w:w="5388" w:type="dxa"/>
            <w:vAlign w:val="center"/>
          </w:tcPr>
          <w:p w14:paraId="7D0884BA"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Disagreed, given the changes implemented to The Criteria V3 and the nationwide availability of BloodSTAR.</w:t>
            </w:r>
          </w:p>
        </w:tc>
      </w:tr>
      <w:tr w:rsidR="004745D9" w:rsidRPr="00DA3C6E" w14:paraId="01B0F1D6" w14:textId="77777777" w:rsidTr="00A86CD1">
        <w:trPr>
          <w:trHeight w:val="364"/>
        </w:trPr>
        <w:tc>
          <w:tcPr>
            <w:tcW w:w="3594" w:type="dxa"/>
            <w:vAlign w:val="center"/>
          </w:tcPr>
          <w:p w14:paraId="791EFD3F"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Intravenous Ig pricing </w:t>
            </w:r>
          </w:p>
        </w:tc>
        <w:tc>
          <w:tcPr>
            <w:tcW w:w="5388" w:type="dxa"/>
            <w:vAlign w:val="center"/>
          </w:tcPr>
          <w:p w14:paraId="34E649FB" w14:textId="77777777" w:rsidR="004745D9" w:rsidRPr="00DA3C6E" w:rsidRDefault="004745D9" w:rsidP="00A86CD1">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Suggested using weighted average price for all available Intravenous Ig products in the economic evaluation and financial impact analyses. </w:t>
            </w:r>
          </w:p>
        </w:tc>
      </w:tr>
    </w:tbl>
    <w:p w14:paraId="7C3A5570" w14:textId="77777777" w:rsidR="004745D9" w:rsidRPr="00DA3C6E" w:rsidRDefault="004745D9" w:rsidP="004745D9">
      <w:pPr>
        <w:spacing w:line="240" w:lineRule="auto"/>
        <w:rPr>
          <w:b/>
          <w:smallCaps/>
          <w:vanish/>
          <w:color w:val="C00000"/>
          <w:sz w:val="24"/>
          <w:szCs w:val="24"/>
        </w:rPr>
      </w:pPr>
      <w:r w:rsidRPr="00DA3C6E">
        <w:rPr>
          <w:rFonts w:ascii="Arial Narrow" w:hAnsi="Arial Narrow"/>
          <w:sz w:val="18"/>
          <w:szCs w:val="18"/>
        </w:rPr>
        <w:t>Abbreviations: Ig = immunoglobulin; MMN = multifocal motor neuropathy; SCI = subcutaneous immunoglobulin; V3 = version 3</w:t>
      </w:r>
    </w:p>
    <w:p w14:paraId="64EC9A74" w14:textId="77777777" w:rsidR="004745D9" w:rsidRPr="00DA3C6E" w:rsidRDefault="004745D9" w:rsidP="004745D9"/>
    <w:p w14:paraId="63EE5324" w14:textId="77777777" w:rsidR="0073359F" w:rsidRPr="00DA3C6E" w:rsidRDefault="0073359F" w:rsidP="00AD012B">
      <w:pPr>
        <w:pStyle w:val="Heading1"/>
        <w:ind w:left="0" w:firstLine="0"/>
      </w:pPr>
      <w:bookmarkStart w:id="54" w:name="_Toc37845708"/>
      <w:bookmarkEnd w:id="37"/>
      <w:r w:rsidRPr="00DA3C6E">
        <w:lastRenderedPageBreak/>
        <w:t>Acronyms and Abbreviations</w:t>
      </w:r>
      <w:bookmarkEnd w:id="32"/>
      <w:bookmarkEnd w:id="33"/>
      <w:bookmarkEnd w:id="34"/>
      <w:bookmarkEnd w:id="35"/>
      <w:bookmarkEnd w:id="36"/>
      <w:bookmarkEnd w:id="54"/>
      <w:r w:rsidRPr="00DA3C6E">
        <w:t xml:space="preserve"> </w:t>
      </w:r>
    </w:p>
    <w:tbl>
      <w:tblPr>
        <w:tblStyle w:val="TableGrid"/>
        <w:tblW w:w="0" w:type="auto"/>
        <w:tblLook w:val="04A0" w:firstRow="1" w:lastRow="0" w:firstColumn="1" w:lastColumn="0" w:noHBand="0" w:noVBand="1"/>
        <w:tblCaption w:val="ACRONYMS AND ABBREVIATIONS "/>
      </w:tblPr>
      <w:tblGrid>
        <w:gridCol w:w="2915"/>
        <w:gridCol w:w="6101"/>
      </w:tblGrid>
      <w:tr w:rsidR="00A32865" w:rsidRPr="00DA3C6E" w14:paraId="6B7C9E13" w14:textId="77777777" w:rsidTr="001D2B25">
        <w:trPr>
          <w:trHeight w:val="248"/>
          <w:tblHeader/>
        </w:trPr>
        <w:tc>
          <w:tcPr>
            <w:tcW w:w="2915" w:type="dxa"/>
            <w:vAlign w:val="center"/>
          </w:tcPr>
          <w:p w14:paraId="48F887B6" w14:textId="77777777" w:rsidR="00A32865" w:rsidRPr="00DA3C6E" w:rsidRDefault="00A32865" w:rsidP="001D2B25">
            <w:pPr>
              <w:pStyle w:val="Heading4"/>
              <w:spacing w:after="0" w:line="240" w:lineRule="auto"/>
              <w:jc w:val="left"/>
              <w:outlineLvl w:val="3"/>
              <w:rPr>
                <w:rFonts w:ascii="Arial Narrow" w:hAnsi="Arial Narrow"/>
                <w:sz w:val="20"/>
                <w:szCs w:val="20"/>
              </w:rPr>
            </w:pPr>
            <w:r w:rsidRPr="00DA3C6E">
              <w:rPr>
                <w:rFonts w:ascii="Arial Narrow" w:hAnsi="Arial Narrow"/>
                <w:sz w:val="20"/>
                <w:szCs w:val="20"/>
              </w:rPr>
              <w:t>Acronym/abbreviation</w:t>
            </w:r>
          </w:p>
        </w:tc>
        <w:tc>
          <w:tcPr>
            <w:tcW w:w="6101" w:type="dxa"/>
            <w:vAlign w:val="center"/>
          </w:tcPr>
          <w:p w14:paraId="017B1FB9" w14:textId="77777777" w:rsidR="00A32865" w:rsidRPr="00DA3C6E" w:rsidRDefault="00A32865" w:rsidP="001D2B25">
            <w:pPr>
              <w:pStyle w:val="Heading4"/>
              <w:spacing w:after="0" w:line="240" w:lineRule="auto"/>
              <w:jc w:val="left"/>
              <w:outlineLvl w:val="3"/>
              <w:rPr>
                <w:rFonts w:ascii="Arial Narrow" w:hAnsi="Arial Narrow"/>
                <w:color w:val="000000"/>
                <w:sz w:val="20"/>
                <w:szCs w:val="20"/>
              </w:rPr>
            </w:pPr>
            <w:r w:rsidRPr="00DA3C6E">
              <w:rPr>
                <w:rFonts w:ascii="Arial Narrow" w:hAnsi="Arial Narrow"/>
                <w:color w:val="000000"/>
                <w:sz w:val="20"/>
                <w:szCs w:val="20"/>
              </w:rPr>
              <w:t>Meaning</w:t>
            </w:r>
          </w:p>
        </w:tc>
      </w:tr>
      <w:tr w:rsidR="00A32865" w:rsidRPr="00DA3C6E" w14:paraId="54CA4E52" w14:textId="77777777" w:rsidTr="001D2B25">
        <w:tc>
          <w:tcPr>
            <w:tcW w:w="2915" w:type="dxa"/>
            <w:vAlign w:val="center"/>
          </w:tcPr>
          <w:p w14:paraId="26C91CA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ABS </w:t>
            </w:r>
          </w:p>
        </w:tc>
        <w:tc>
          <w:tcPr>
            <w:tcW w:w="6101" w:type="dxa"/>
            <w:vAlign w:val="center"/>
          </w:tcPr>
          <w:p w14:paraId="0C5C8796"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Australian Bureau of Statistics</w:t>
            </w:r>
          </w:p>
        </w:tc>
      </w:tr>
      <w:tr w:rsidR="00A32865" w:rsidRPr="00DA3C6E" w14:paraId="3AFF6262" w14:textId="77777777" w:rsidTr="001D2B25">
        <w:tc>
          <w:tcPr>
            <w:tcW w:w="2915" w:type="dxa"/>
            <w:vAlign w:val="center"/>
          </w:tcPr>
          <w:p w14:paraId="702B8EE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AIHW</w:t>
            </w:r>
          </w:p>
        </w:tc>
        <w:tc>
          <w:tcPr>
            <w:tcW w:w="6101" w:type="dxa"/>
            <w:vAlign w:val="center"/>
          </w:tcPr>
          <w:p w14:paraId="5216426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color w:val="000000"/>
                <w:sz w:val="20"/>
                <w:szCs w:val="20"/>
              </w:rPr>
              <w:t>Australian Institute of Health and Welfare</w:t>
            </w:r>
          </w:p>
        </w:tc>
      </w:tr>
      <w:tr w:rsidR="00A32865" w:rsidRPr="00DA3C6E" w14:paraId="0766A4F8" w14:textId="77777777" w:rsidTr="001D2B25">
        <w:tc>
          <w:tcPr>
            <w:tcW w:w="2915" w:type="dxa"/>
            <w:vAlign w:val="center"/>
          </w:tcPr>
          <w:p w14:paraId="726E1D1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ADL</w:t>
            </w:r>
          </w:p>
        </w:tc>
        <w:tc>
          <w:tcPr>
            <w:tcW w:w="6101" w:type="dxa"/>
            <w:vAlign w:val="center"/>
          </w:tcPr>
          <w:p w14:paraId="055E22B8"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activities of daily living</w:t>
            </w:r>
          </w:p>
        </w:tc>
      </w:tr>
      <w:tr w:rsidR="00A32865" w:rsidRPr="00DA3C6E" w14:paraId="707FD9C5" w14:textId="77777777" w:rsidTr="001D2B25">
        <w:tc>
          <w:tcPr>
            <w:tcW w:w="2915" w:type="dxa"/>
            <w:vAlign w:val="center"/>
          </w:tcPr>
          <w:p w14:paraId="07D3737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ADR</w:t>
            </w:r>
          </w:p>
        </w:tc>
        <w:tc>
          <w:tcPr>
            <w:tcW w:w="6101" w:type="dxa"/>
            <w:vAlign w:val="center"/>
          </w:tcPr>
          <w:p w14:paraId="56009C7A"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adverse drug reactions</w:t>
            </w:r>
          </w:p>
        </w:tc>
      </w:tr>
      <w:tr w:rsidR="00A32865" w:rsidRPr="00DA3C6E" w14:paraId="38BEB9C7" w14:textId="77777777" w:rsidTr="001D2B25">
        <w:tc>
          <w:tcPr>
            <w:tcW w:w="2915" w:type="dxa"/>
            <w:vAlign w:val="center"/>
          </w:tcPr>
          <w:p w14:paraId="73D2588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AE</w:t>
            </w:r>
          </w:p>
        </w:tc>
        <w:tc>
          <w:tcPr>
            <w:tcW w:w="6101" w:type="dxa"/>
            <w:vAlign w:val="center"/>
          </w:tcPr>
          <w:p w14:paraId="679ACD31"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 xml:space="preserve">adverse events </w:t>
            </w:r>
          </w:p>
        </w:tc>
      </w:tr>
      <w:tr w:rsidR="00A32865" w:rsidRPr="00DA3C6E" w14:paraId="5699F9C3" w14:textId="77777777" w:rsidTr="001D2B25">
        <w:tc>
          <w:tcPr>
            <w:tcW w:w="2915" w:type="dxa"/>
            <w:vAlign w:val="center"/>
          </w:tcPr>
          <w:p w14:paraId="07E9CD21"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AR-DRG</w:t>
            </w:r>
          </w:p>
        </w:tc>
        <w:tc>
          <w:tcPr>
            <w:tcW w:w="6101" w:type="dxa"/>
            <w:vAlign w:val="center"/>
          </w:tcPr>
          <w:p w14:paraId="2F6F298E"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The Australian Refined Diagnosis Related Groups</w:t>
            </w:r>
          </w:p>
        </w:tc>
      </w:tr>
      <w:tr w:rsidR="00A32865" w:rsidRPr="00DA3C6E" w14:paraId="16AA9177" w14:textId="77777777" w:rsidTr="001D2B25">
        <w:tc>
          <w:tcPr>
            <w:tcW w:w="2915" w:type="dxa"/>
            <w:vAlign w:val="center"/>
          </w:tcPr>
          <w:p w14:paraId="6C0F8B2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BSC </w:t>
            </w:r>
          </w:p>
        </w:tc>
        <w:tc>
          <w:tcPr>
            <w:tcW w:w="6101" w:type="dxa"/>
            <w:vAlign w:val="center"/>
          </w:tcPr>
          <w:p w14:paraId="2B5929EF"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 xml:space="preserve">best supportive care </w:t>
            </w:r>
          </w:p>
        </w:tc>
      </w:tr>
      <w:tr w:rsidR="00A32865" w:rsidRPr="00DA3C6E" w14:paraId="38045ECA" w14:textId="77777777" w:rsidTr="001D2B25">
        <w:tc>
          <w:tcPr>
            <w:tcW w:w="2915" w:type="dxa"/>
            <w:vAlign w:val="center"/>
          </w:tcPr>
          <w:p w14:paraId="289B3B5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CB</w:t>
            </w:r>
          </w:p>
        </w:tc>
        <w:tc>
          <w:tcPr>
            <w:tcW w:w="6101" w:type="dxa"/>
            <w:vAlign w:val="center"/>
          </w:tcPr>
          <w:p w14:paraId="663FC8B9"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 xml:space="preserve">conduction block </w:t>
            </w:r>
          </w:p>
        </w:tc>
      </w:tr>
      <w:tr w:rsidR="00A32865" w:rsidRPr="00DA3C6E" w14:paraId="1C79338E" w14:textId="77777777" w:rsidTr="001D2B25">
        <w:tc>
          <w:tcPr>
            <w:tcW w:w="2915" w:type="dxa"/>
            <w:vAlign w:val="center"/>
          </w:tcPr>
          <w:p w14:paraId="1AB52F5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CBC</w:t>
            </w:r>
          </w:p>
        </w:tc>
        <w:tc>
          <w:tcPr>
            <w:tcW w:w="6101" w:type="dxa"/>
            <w:vAlign w:val="center"/>
          </w:tcPr>
          <w:p w14:paraId="33E61325"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sz w:val="20"/>
                <w:szCs w:val="20"/>
              </w:rPr>
              <w:t>complete blood count</w:t>
            </w:r>
          </w:p>
        </w:tc>
      </w:tr>
      <w:tr w:rsidR="00A32865" w:rsidRPr="00DA3C6E" w14:paraId="271C962C" w14:textId="77777777" w:rsidTr="001D2B25">
        <w:tc>
          <w:tcPr>
            <w:tcW w:w="2915" w:type="dxa"/>
            <w:vAlign w:val="center"/>
          </w:tcPr>
          <w:p w14:paraId="70BBA281"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CI</w:t>
            </w:r>
          </w:p>
        </w:tc>
        <w:tc>
          <w:tcPr>
            <w:tcW w:w="6101" w:type="dxa"/>
            <w:vAlign w:val="center"/>
          </w:tcPr>
          <w:p w14:paraId="6956197C"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confidence interval</w:t>
            </w:r>
          </w:p>
        </w:tc>
      </w:tr>
      <w:tr w:rsidR="00A32865" w:rsidRPr="00DA3C6E" w14:paraId="5D9A9882" w14:textId="77777777" w:rsidTr="001D2B25">
        <w:tc>
          <w:tcPr>
            <w:tcW w:w="2915" w:type="dxa"/>
            <w:vAlign w:val="center"/>
          </w:tcPr>
          <w:p w14:paraId="0EB9CD96"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CIDP </w:t>
            </w:r>
          </w:p>
        </w:tc>
        <w:tc>
          <w:tcPr>
            <w:tcW w:w="6101" w:type="dxa"/>
            <w:vAlign w:val="center"/>
          </w:tcPr>
          <w:p w14:paraId="09109E6E"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eastAsia="Calibri" w:hAnsi="Arial Narrow"/>
                <w:sz w:val="20"/>
                <w:szCs w:val="20"/>
                <w:lang w:eastAsia="en-US"/>
              </w:rPr>
              <w:t>chronic inflammatory demyelinating polyneuropathy</w:t>
            </w:r>
          </w:p>
        </w:tc>
      </w:tr>
      <w:tr w:rsidR="00A32865" w:rsidRPr="00DA3C6E" w14:paraId="617A7F19" w14:textId="77777777" w:rsidTr="001D2B25">
        <w:tc>
          <w:tcPr>
            <w:tcW w:w="2915" w:type="dxa"/>
            <w:vAlign w:val="center"/>
          </w:tcPr>
          <w:p w14:paraId="0ED9960F"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CEA</w:t>
            </w:r>
          </w:p>
        </w:tc>
        <w:tc>
          <w:tcPr>
            <w:tcW w:w="6101" w:type="dxa"/>
            <w:vAlign w:val="center"/>
          </w:tcPr>
          <w:p w14:paraId="4C5E8754"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eastAsia="Calibri" w:hAnsi="Arial Narrow"/>
                <w:sz w:val="20"/>
                <w:szCs w:val="20"/>
                <w:lang w:eastAsia="en-US"/>
              </w:rPr>
            </w:pPr>
            <w:r w:rsidRPr="00DA3C6E">
              <w:rPr>
                <w:rFonts w:ascii="Arial Narrow" w:eastAsia="Calibri" w:hAnsi="Arial Narrow"/>
                <w:sz w:val="20"/>
                <w:szCs w:val="20"/>
                <w:lang w:eastAsia="en-US"/>
              </w:rPr>
              <w:t xml:space="preserve">cost-effectiveness analysis </w:t>
            </w:r>
          </w:p>
        </w:tc>
      </w:tr>
      <w:tr w:rsidR="00A32865" w:rsidRPr="00DA3C6E" w14:paraId="02D96685" w14:textId="77777777" w:rsidTr="001D2B25">
        <w:tc>
          <w:tcPr>
            <w:tcW w:w="2915" w:type="dxa"/>
            <w:vAlign w:val="center"/>
          </w:tcPr>
          <w:p w14:paraId="336ADD4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CFS</w:t>
            </w:r>
          </w:p>
        </w:tc>
        <w:tc>
          <w:tcPr>
            <w:tcW w:w="6101" w:type="dxa"/>
            <w:vAlign w:val="center"/>
          </w:tcPr>
          <w:p w14:paraId="25B744DC"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eastAsia="Calibri" w:hAnsi="Arial Narrow"/>
                <w:sz w:val="20"/>
                <w:szCs w:val="20"/>
                <w:lang w:eastAsia="en-US"/>
              </w:rPr>
            </w:pPr>
            <w:r w:rsidRPr="00DA3C6E">
              <w:rPr>
                <w:rFonts w:ascii="Arial Narrow" w:eastAsia="Calibri" w:hAnsi="Arial Narrow"/>
                <w:sz w:val="20"/>
                <w:szCs w:val="20"/>
                <w:lang w:eastAsia="en-US"/>
              </w:rPr>
              <w:t>cerebrospinal fluid</w:t>
            </w:r>
          </w:p>
        </w:tc>
      </w:tr>
      <w:tr w:rsidR="00A32865" w:rsidRPr="00DA3C6E" w14:paraId="5957A2DB" w14:textId="77777777" w:rsidTr="001D2B25">
        <w:tc>
          <w:tcPr>
            <w:tcW w:w="2915" w:type="dxa"/>
            <w:vAlign w:val="center"/>
          </w:tcPr>
          <w:p w14:paraId="693EB17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CHERE</w:t>
            </w:r>
          </w:p>
        </w:tc>
        <w:tc>
          <w:tcPr>
            <w:tcW w:w="6101" w:type="dxa"/>
            <w:vAlign w:val="center"/>
          </w:tcPr>
          <w:p w14:paraId="252A0D94"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Centre for Health Economics Research and Evaluation</w:t>
            </w:r>
          </w:p>
        </w:tc>
      </w:tr>
      <w:tr w:rsidR="00A32865" w:rsidRPr="00DA3C6E" w14:paraId="09C5B622" w14:textId="77777777" w:rsidTr="001D2B25">
        <w:tc>
          <w:tcPr>
            <w:tcW w:w="2915" w:type="dxa"/>
            <w:vAlign w:val="center"/>
          </w:tcPr>
          <w:p w14:paraId="120F9F5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CMAP</w:t>
            </w:r>
          </w:p>
        </w:tc>
        <w:tc>
          <w:tcPr>
            <w:tcW w:w="6101" w:type="dxa"/>
            <w:vAlign w:val="center"/>
          </w:tcPr>
          <w:p w14:paraId="7C5FFEFA"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compound muscle action potential</w:t>
            </w:r>
          </w:p>
        </w:tc>
      </w:tr>
      <w:tr w:rsidR="00A32865" w:rsidRPr="00DA3C6E" w14:paraId="558233F4" w14:textId="77777777" w:rsidTr="001D2B25">
        <w:tc>
          <w:tcPr>
            <w:tcW w:w="2915" w:type="dxa"/>
            <w:vAlign w:val="center"/>
          </w:tcPr>
          <w:p w14:paraId="00E8ECD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CUA</w:t>
            </w:r>
          </w:p>
        </w:tc>
        <w:tc>
          <w:tcPr>
            <w:tcW w:w="6101" w:type="dxa"/>
            <w:vAlign w:val="center"/>
          </w:tcPr>
          <w:p w14:paraId="02D23685"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cost-utility analysis</w:t>
            </w:r>
          </w:p>
        </w:tc>
      </w:tr>
      <w:tr w:rsidR="00A32865" w:rsidRPr="00DA3C6E" w14:paraId="6E8E0861" w14:textId="77777777" w:rsidTr="001D2B25">
        <w:tc>
          <w:tcPr>
            <w:tcW w:w="2915" w:type="dxa"/>
            <w:vAlign w:val="center"/>
          </w:tcPr>
          <w:p w14:paraId="7F10005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DB</w:t>
            </w:r>
          </w:p>
        </w:tc>
        <w:tc>
          <w:tcPr>
            <w:tcW w:w="6101" w:type="dxa"/>
            <w:vAlign w:val="center"/>
          </w:tcPr>
          <w:p w14:paraId="23EA4CB9"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 xml:space="preserve">double blinded </w:t>
            </w:r>
          </w:p>
        </w:tc>
      </w:tr>
      <w:tr w:rsidR="00A32865" w:rsidRPr="00DA3C6E" w14:paraId="44CD9DF3" w14:textId="77777777" w:rsidTr="001D2B25">
        <w:tc>
          <w:tcPr>
            <w:tcW w:w="2915" w:type="dxa"/>
            <w:vAlign w:val="center"/>
          </w:tcPr>
          <w:p w14:paraId="59E473C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color w:val="000000"/>
                <w:sz w:val="20"/>
                <w:szCs w:val="20"/>
              </w:rPr>
              <w:t>EFNS/PNS</w:t>
            </w:r>
          </w:p>
        </w:tc>
        <w:tc>
          <w:tcPr>
            <w:tcW w:w="6101" w:type="dxa"/>
            <w:vAlign w:val="center"/>
          </w:tcPr>
          <w:p w14:paraId="2C39E9DD" w14:textId="77777777" w:rsidR="00A32865" w:rsidRPr="00DA3C6E" w:rsidRDefault="00A3286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European Federation of Neurological Societies/Peripheral Nerve Society</w:t>
            </w:r>
          </w:p>
        </w:tc>
      </w:tr>
      <w:tr w:rsidR="00A32865" w:rsidRPr="00DA3C6E" w14:paraId="7699BF74" w14:textId="77777777" w:rsidTr="001D2B25">
        <w:tc>
          <w:tcPr>
            <w:tcW w:w="2915" w:type="dxa"/>
            <w:vAlign w:val="center"/>
          </w:tcPr>
          <w:p w14:paraId="1F3144E0"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EQ-5D</w:t>
            </w:r>
          </w:p>
        </w:tc>
        <w:tc>
          <w:tcPr>
            <w:tcW w:w="6101" w:type="dxa"/>
            <w:vAlign w:val="center"/>
          </w:tcPr>
          <w:p w14:paraId="402C17CC" w14:textId="1911402F" w:rsidR="00A32865" w:rsidRPr="00DA3C6E" w:rsidRDefault="00CB7A05" w:rsidP="001D2B25">
            <w:pPr>
              <w:tabs>
                <w:tab w:val="left" w:pos="3402"/>
              </w:tabs>
              <w:autoSpaceDE w:val="0"/>
              <w:autoSpaceDN w:val="0"/>
              <w:adjustRightInd w:val="0"/>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 xml:space="preserve">Euroqol </w:t>
            </w:r>
            <w:r w:rsidR="00A32865" w:rsidRPr="00DA3C6E">
              <w:rPr>
                <w:rFonts w:ascii="Arial Narrow" w:hAnsi="Arial Narrow"/>
                <w:color w:val="000000"/>
                <w:sz w:val="20"/>
                <w:szCs w:val="20"/>
              </w:rPr>
              <w:t>five dimensions</w:t>
            </w:r>
          </w:p>
        </w:tc>
      </w:tr>
      <w:tr w:rsidR="00A32865" w:rsidRPr="00DA3C6E" w14:paraId="5F1B61D0" w14:textId="77777777" w:rsidTr="001D2B25">
        <w:tc>
          <w:tcPr>
            <w:tcW w:w="2915" w:type="dxa"/>
            <w:vAlign w:val="center"/>
          </w:tcPr>
          <w:p w14:paraId="0352B6E3"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GNDS</w:t>
            </w:r>
          </w:p>
        </w:tc>
        <w:tc>
          <w:tcPr>
            <w:tcW w:w="6101" w:type="dxa"/>
            <w:vAlign w:val="center"/>
          </w:tcPr>
          <w:p w14:paraId="173ECBC1" w14:textId="77777777" w:rsidR="00A32865" w:rsidRPr="00DA3C6E" w:rsidRDefault="00A32865" w:rsidP="001D2B25">
            <w:pPr>
              <w:spacing w:after="0" w:line="240" w:lineRule="auto"/>
              <w:ind w:left="0"/>
              <w:jc w:val="left"/>
              <w:rPr>
                <w:rFonts w:ascii="Arial Narrow" w:hAnsi="Arial Narrow"/>
                <w:color w:val="000000"/>
                <w:sz w:val="20"/>
                <w:szCs w:val="20"/>
              </w:rPr>
            </w:pPr>
            <w:r w:rsidRPr="00DA3C6E">
              <w:rPr>
                <w:rFonts w:ascii="Arial Narrow" w:hAnsi="Arial Narrow"/>
                <w:color w:val="000000"/>
                <w:sz w:val="20"/>
                <w:szCs w:val="20"/>
              </w:rPr>
              <w:t>The Guy's Neurological Disability Scale</w:t>
            </w:r>
          </w:p>
        </w:tc>
      </w:tr>
      <w:tr w:rsidR="00A32865" w:rsidRPr="00DA3C6E" w14:paraId="6A5381B3" w14:textId="77777777" w:rsidTr="001D2B25">
        <w:tc>
          <w:tcPr>
            <w:tcW w:w="2915" w:type="dxa"/>
            <w:vAlign w:val="center"/>
          </w:tcPr>
          <w:p w14:paraId="388449F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color w:val="000000"/>
                <w:sz w:val="20"/>
                <w:szCs w:val="20"/>
              </w:rPr>
              <w:t>HRQoL</w:t>
            </w:r>
          </w:p>
        </w:tc>
        <w:tc>
          <w:tcPr>
            <w:tcW w:w="6101" w:type="dxa"/>
            <w:vAlign w:val="center"/>
          </w:tcPr>
          <w:p w14:paraId="46168E0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color w:val="000000"/>
                <w:sz w:val="20"/>
                <w:szCs w:val="20"/>
              </w:rPr>
              <w:t>health-related quality of life</w:t>
            </w:r>
          </w:p>
        </w:tc>
      </w:tr>
      <w:tr w:rsidR="00A32865" w:rsidRPr="00DA3C6E" w14:paraId="29EB77EA" w14:textId="77777777" w:rsidTr="001D2B25">
        <w:tc>
          <w:tcPr>
            <w:tcW w:w="2915" w:type="dxa"/>
            <w:vAlign w:val="center"/>
          </w:tcPr>
          <w:p w14:paraId="20A3A41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HTA</w:t>
            </w:r>
          </w:p>
        </w:tc>
        <w:tc>
          <w:tcPr>
            <w:tcW w:w="6101" w:type="dxa"/>
            <w:vAlign w:val="center"/>
          </w:tcPr>
          <w:p w14:paraId="40DAEE0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health technology assessment</w:t>
            </w:r>
          </w:p>
        </w:tc>
      </w:tr>
      <w:tr w:rsidR="00A32865" w:rsidRPr="00DA3C6E" w14:paraId="3CB518C8" w14:textId="77777777" w:rsidTr="001D2B25">
        <w:tc>
          <w:tcPr>
            <w:tcW w:w="2915" w:type="dxa"/>
            <w:vAlign w:val="center"/>
          </w:tcPr>
          <w:p w14:paraId="496403E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ICER</w:t>
            </w:r>
          </w:p>
        </w:tc>
        <w:tc>
          <w:tcPr>
            <w:tcW w:w="6101" w:type="dxa"/>
            <w:vAlign w:val="center"/>
          </w:tcPr>
          <w:p w14:paraId="1CF6A21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incremental cost-effectiveness ratio</w:t>
            </w:r>
          </w:p>
        </w:tc>
      </w:tr>
      <w:tr w:rsidR="00A32865" w:rsidRPr="00DA3C6E" w14:paraId="1067F649" w14:textId="77777777" w:rsidTr="001D2B25">
        <w:tc>
          <w:tcPr>
            <w:tcW w:w="2915" w:type="dxa"/>
            <w:vAlign w:val="center"/>
          </w:tcPr>
          <w:p w14:paraId="0A8494F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Ig</w:t>
            </w:r>
          </w:p>
        </w:tc>
        <w:tc>
          <w:tcPr>
            <w:tcW w:w="6101" w:type="dxa"/>
            <w:vAlign w:val="center"/>
          </w:tcPr>
          <w:p w14:paraId="1B5469B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immunoglobulin</w:t>
            </w:r>
          </w:p>
        </w:tc>
      </w:tr>
      <w:tr w:rsidR="00A32865" w:rsidRPr="00DA3C6E" w14:paraId="6904078E" w14:textId="77777777" w:rsidTr="001D2B25">
        <w:tc>
          <w:tcPr>
            <w:tcW w:w="2915" w:type="dxa"/>
            <w:vAlign w:val="center"/>
          </w:tcPr>
          <w:p w14:paraId="7F60047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IHE </w:t>
            </w:r>
          </w:p>
        </w:tc>
        <w:tc>
          <w:tcPr>
            <w:tcW w:w="6101" w:type="dxa"/>
            <w:vAlign w:val="center"/>
          </w:tcPr>
          <w:p w14:paraId="2198410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Institute of Health Economics</w:t>
            </w:r>
          </w:p>
        </w:tc>
      </w:tr>
      <w:tr w:rsidR="00A32865" w:rsidRPr="00DA3C6E" w14:paraId="3D820232" w14:textId="77777777" w:rsidTr="001D2B25">
        <w:tc>
          <w:tcPr>
            <w:tcW w:w="2915" w:type="dxa"/>
            <w:vAlign w:val="center"/>
          </w:tcPr>
          <w:p w14:paraId="5AA2B42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IVIg</w:t>
            </w:r>
          </w:p>
        </w:tc>
        <w:tc>
          <w:tcPr>
            <w:tcW w:w="6101" w:type="dxa"/>
            <w:vAlign w:val="center"/>
          </w:tcPr>
          <w:p w14:paraId="2EE5B5F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intravenous immunoglobulin</w:t>
            </w:r>
          </w:p>
        </w:tc>
      </w:tr>
      <w:tr w:rsidR="00A32865" w:rsidRPr="00DA3C6E" w14:paraId="3CD08D47" w14:textId="77777777" w:rsidTr="001D2B25">
        <w:tc>
          <w:tcPr>
            <w:tcW w:w="2915" w:type="dxa"/>
            <w:vAlign w:val="center"/>
          </w:tcPr>
          <w:p w14:paraId="3F9B069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JBC</w:t>
            </w:r>
          </w:p>
        </w:tc>
        <w:tc>
          <w:tcPr>
            <w:tcW w:w="6101" w:type="dxa"/>
            <w:vAlign w:val="center"/>
          </w:tcPr>
          <w:p w14:paraId="395995B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Jurisdictional Blood Committee</w:t>
            </w:r>
          </w:p>
        </w:tc>
      </w:tr>
      <w:tr w:rsidR="00A32865" w:rsidRPr="00DA3C6E" w14:paraId="221AA227" w14:textId="77777777" w:rsidTr="001D2B25">
        <w:tc>
          <w:tcPr>
            <w:tcW w:w="2915" w:type="dxa"/>
            <w:vAlign w:val="center"/>
          </w:tcPr>
          <w:p w14:paraId="27C8BEC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LB</w:t>
            </w:r>
          </w:p>
        </w:tc>
        <w:tc>
          <w:tcPr>
            <w:tcW w:w="6101" w:type="dxa"/>
            <w:vAlign w:val="center"/>
          </w:tcPr>
          <w:p w14:paraId="5B4C886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lower bound </w:t>
            </w:r>
          </w:p>
        </w:tc>
      </w:tr>
      <w:tr w:rsidR="00A32865" w:rsidRPr="00DA3C6E" w14:paraId="2FF27DC9" w14:textId="77777777" w:rsidTr="001D2B25">
        <w:tc>
          <w:tcPr>
            <w:tcW w:w="2915" w:type="dxa"/>
            <w:vAlign w:val="center"/>
          </w:tcPr>
          <w:p w14:paraId="72CB82DD" w14:textId="56CCBCC8" w:rsidR="00A32865" w:rsidRPr="00DA3C6E" w:rsidRDefault="00A32865" w:rsidP="00CB7A05">
            <w:pPr>
              <w:spacing w:after="0" w:line="240" w:lineRule="auto"/>
              <w:ind w:left="0"/>
              <w:jc w:val="left"/>
              <w:rPr>
                <w:rFonts w:ascii="Arial Narrow" w:hAnsi="Arial Narrow"/>
                <w:sz w:val="20"/>
                <w:szCs w:val="20"/>
              </w:rPr>
            </w:pPr>
            <w:r w:rsidRPr="00DA3C6E">
              <w:rPr>
                <w:rFonts w:ascii="Arial Narrow" w:hAnsi="Arial Narrow"/>
                <w:sz w:val="20"/>
                <w:szCs w:val="20"/>
              </w:rPr>
              <w:t>L</w:t>
            </w:r>
            <w:r w:rsidR="00CB7A05" w:rsidRPr="00DA3C6E">
              <w:rPr>
                <w:rFonts w:ascii="Arial Narrow" w:hAnsi="Arial Narrow"/>
                <w:sz w:val="20"/>
                <w:szCs w:val="20"/>
              </w:rPr>
              <w:t>Q</w:t>
            </w:r>
            <w:r w:rsidRPr="00DA3C6E">
              <w:rPr>
                <w:rFonts w:ascii="Arial Narrow" w:hAnsi="Arial Narrow"/>
                <w:sz w:val="20"/>
                <w:szCs w:val="20"/>
              </w:rPr>
              <w:t>I</w:t>
            </w:r>
          </w:p>
        </w:tc>
        <w:tc>
          <w:tcPr>
            <w:tcW w:w="6101" w:type="dxa"/>
            <w:vAlign w:val="center"/>
          </w:tcPr>
          <w:p w14:paraId="04684A2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life quality Index</w:t>
            </w:r>
          </w:p>
        </w:tc>
      </w:tr>
      <w:tr w:rsidR="00A32865" w:rsidRPr="00DA3C6E" w14:paraId="493E2845" w14:textId="77777777" w:rsidTr="001D2B25">
        <w:tc>
          <w:tcPr>
            <w:tcW w:w="2915" w:type="dxa"/>
            <w:vAlign w:val="center"/>
          </w:tcPr>
          <w:p w14:paraId="04D04EE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LY</w:t>
            </w:r>
          </w:p>
        </w:tc>
        <w:tc>
          <w:tcPr>
            <w:tcW w:w="6101" w:type="dxa"/>
            <w:vAlign w:val="center"/>
          </w:tcPr>
          <w:p w14:paraId="466FC75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life years </w:t>
            </w:r>
          </w:p>
        </w:tc>
      </w:tr>
      <w:tr w:rsidR="00A32865" w:rsidRPr="00DA3C6E" w14:paraId="2C9BFE80" w14:textId="77777777" w:rsidTr="001D2B25">
        <w:tc>
          <w:tcPr>
            <w:tcW w:w="2915" w:type="dxa"/>
            <w:vAlign w:val="center"/>
          </w:tcPr>
          <w:p w14:paraId="709BC19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MBS</w:t>
            </w:r>
          </w:p>
        </w:tc>
        <w:tc>
          <w:tcPr>
            <w:tcW w:w="6101" w:type="dxa"/>
            <w:vAlign w:val="center"/>
          </w:tcPr>
          <w:p w14:paraId="225EDEF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Medicare Benefits Schedule</w:t>
            </w:r>
          </w:p>
        </w:tc>
      </w:tr>
      <w:tr w:rsidR="00A32865" w:rsidRPr="00DA3C6E" w14:paraId="63EF7569" w14:textId="77777777" w:rsidTr="001D2B25">
        <w:tc>
          <w:tcPr>
            <w:tcW w:w="2915" w:type="dxa"/>
            <w:vAlign w:val="center"/>
          </w:tcPr>
          <w:p w14:paraId="777F2F6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MC</w:t>
            </w:r>
          </w:p>
        </w:tc>
        <w:tc>
          <w:tcPr>
            <w:tcW w:w="6101" w:type="dxa"/>
            <w:vAlign w:val="center"/>
          </w:tcPr>
          <w:p w14:paraId="654A06B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multi centre</w:t>
            </w:r>
          </w:p>
        </w:tc>
      </w:tr>
      <w:tr w:rsidR="00A32865" w:rsidRPr="00DA3C6E" w14:paraId="0833BF78" w14:textId="77777777" w:rsidTr="001D2B25">
        <w:tc>
          <w:tcPr>
            <w:tcW w:w="2915" w:type="dxa"/>
            <w:vAlign w:val="center"/>
          </w:tcPr>
          <w:p w14:paraId="7478376D" w14:textId="3A6BEB87" w:rsidR="00A32865" w:rsidRPr="00DA3C6E" w:rsidRDefault="00A32865" w:rsidP="00CB7A05">
            <w:pPr>
              <w:spacing w:after="0" w:line="240" w:lineRule="auto"/>
              <w:ind w:left="0"/>
              <w:jc w:val="left"/>
              <w:rPr>
                <w:rFonts w:ascii="Arial Narrow" w:hAnsi="Arial Narrow"/>
                <w:sz w:val="20"/>
                <w:szCs w:val="20"/>
              </w:rPr>
            </w:pPr>
            <w:r w:rsidRPr="00DA3C6E">
              <w:rPr>
                <w:rFonts w:ascii="Arial Narrow" w:hAnsi="Arial Narrow"/>
                <w:sz w:val="20"/>
                <w:szCs w:val="20"/>
              </w:rPr>
              <w:t>M</w:t>
            </w:r>
            <w:r w:rsidR="00CB7A05" w:rsidRPr="00DA3C6E">
              <w:rPr>
                <w:rFonts w:ascii="Arial Narrow" w:hAnsi="Arial Narrow"/>
                <w:sz w:val="20"/>
                <w:szCs w:val="20"/>
              </w:rPr>
              <w:t>N</w:t>
            </w:r>
            <w:r w:rsidRPr="00DA3C6E">
              <w:rPr>
                <w:rFonts w:ascii="Arial Narrow" w:hAnsi="Arial Narrow"/>
                <w:sz w:val="20"/>
                <w:szCs w:val="20"/>
              </w:rPr>
              <w:t>D</w:t>
            </w:r>
          </w:p>
        </w:tc>
        <w:tc>
          <w:tcPr>
            <w:tcW w:w="6101" w:type="dxa"/>
            <w:vAlign w:val="center"/>
          </w:tcPr>
          <w:p w14:paraId="42F33B3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motor neuron disease</w:t>
            </w:r>
          </w:p>
        </w:tc>
      </w:tr>
      <w:tr w:rsidR="00A32865" w:rsidRPr="00DA3C6E" w14:paraId="74F5C6FD" w14:textId="77777777" w:rsidTr="001D2B25">
        <w:tc>
          <w:tcPr>
            <w:tcW w:w="2915" w:type="dxa"/>
            <w:vAlign w:val="center"/>
          </w:tcPr>
          <w:p w14:paraId="44451631"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MMN</w:t>
            </w:r>
          </w:p>
        </w:tc>
        <w:tc>
          <w:tcPr>
            <w:tcW w:w="6101" w:type="dxa"/>
            <w:vAlign w:val="center"/>
          </w:tcPr>
          <w:p w14:paraId="2971271A"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multifocal motor neuropathy</w:t>
            </w:r>
          </w:p>
        </w:tc>
      </w:tr>
      <w:tr w:rsidR="00A32865" w:rsidRPr="00DA3C6E" w14:paraId="32CA2765" w14:textId="77777777" w:rsidTr="001D2B25">
        <w:tc>
          <w:tcPr>
            <w:tcW w:w="2915" w:type="dxa"/>
            <w:vAlign w:val="center"/>
          </w:tcPr>
          <w:p w14:paraId="13DFE11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MRC</w:t>
            </w:r>
          </w:p>
        </w:tc>
        <w:tc>
          <w:tcPr>
            <w:tcW w:w="6101" w:type="dxa"/>
            <w:vAlign w:val="center"/>
          </w:tcPr>
          <w:p w14:paraId="0ECB92C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Medical Research Council </w:t>
            </w:r>
          </w:p>
        </w:tc>
      </w:tr>
      <w:tr w:rsidR="00A32865" w:rsidRPr="00DA3C6E" w14:paraId="5D9287FE" w14:textId="77777777" w:rsidTr="001D2B25">
        <w:tc>
          <w:tcPr>
            <w:tcW w:w="2915" w:type="dxa"/>
            <w:vAlign w:val="center"/>
          </w:tcPr>
          <w:p w14:paraId="10561E6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MRCSS</w:t>
            </w:r>
          </w:p>
        </w:tc>
        <w:tc>
          <w:tcPr>
            <w:tcW w:w="6101" w:type="dxa"/>
            <w:vAlign w:val="center"/>
          </w:tcPr>
          <w:p w14:paraId="52D8ADD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Medical Research Council Sum Score </w:t>
            </w:r>
          </w:p>
        </w:tc>
      </w:tr>
      <w:tr w:rsidR="00A32865" w:rsidRPr="00DA3C6E" w14:paraId="27DA8B54" w14:textId="77777777" w:rsidTr="001D2B25">
        <w:tc>
          <w:tcPr>
            <w:tcW w:w="2915" w:type="dxa"/>
            <w:vAlign w:val="center"/>
          </w:tcPr>
          <w:p w14:paraId="5978088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MSAC</w:t>
            </w:r>
          </w:p>
        </w:tc>
        <w:tc>
          <w:tcPr>
            <w:tcW w:w="6101" w:type="dxa"/>
            <w:vAlign w:val="center"/>
          </w:tcPr>
          <w:p w14:paraId="6CEBA9B6"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Medical Services Advisory Committee</w:t>
            </w:r>
          </w:p>
        </w:tc>
      </w:tr>
      <w:tr w:rsidR="00A32865" w:rsidRPr="00DA3C6E" w14:paraId="7F96DD9E" w14:textId="77777777" w:rsidTr="001D2B25">
        <w:tc>
          <w:tcPr>
            <w:tcW w:w="2915" w:type="dxa"/>
            <w:vAlign w:val="center"/>
          </w:tcPr>
          <w:p w14:paraId="061FD1B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MRI</w:t>
            </w:r>
          </w:p>
        </w:tc>
        <w:tc>
          <w:tcPr>
            <w:tcW w:w="6101" w:type="dxa"/>
            <w:vAlign w:val="center"/>
          </w:tcPr>
          <w:p w14:paraId="0DBBFAF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eastAsia="Calibri" w:hAnsi="Arial Narrow"/>
                <w:sz w:val="20"/>
                <w:szCs w:val="20"/>
                <w:lang w:eastAsia="en-US"/>
              </w:rPr>
              <w:t>magnetic resonance imaging</w:t>
            </w:r>
          </w:p>
        </w:tc>
      </w:tr>
      <w:tr w:rsidR="00A32865" w:rsidRPr="00DA3C6E" w14:paraId="495DE14D" w14:textId="77777777" w:rsidTr="001D2B25">
        <w:tc>
          <w:tcPr>
            <w:tcW w:w="2915" w:type="dxa"/>
            <w:vAlign w:val="center"/>
          </w:tcPr>
          <w:p w14:paraId="59C0F01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MVIC </w:t>
            </w:r>
          </w:p>
        </w:tc>
        <w:tc>
          <w:tcPr>
            <w:tcW w:w="6101" w:type="dxa"/>
            <w:vAlign w:val="center"/>
          </w:tcPr>
          <w:p w14:paraId="59C72EDE" w14:textId="77777777" w:rsidR="00A32865" w:rsidRPr="00DA3C6E" w:rsidRDefault="00A32865" w:rsidP="001D2B25">
            <w:pPr>
              <w:spacing w:after="0" w:line="240" w:lineRule="auto"/>
              <w:ind w:left="0"/>
              <w:jc w:val="left"/>
              <w:rPr>
                <w:rFonts w:ascii="Arial Narrow" w:eastAsia="Calibri" w:hAnsi="Arial Narrow"/>
                <w:sz w:val="20"/>
                <w:szCs w:val="20"/>
                <w:lang w:eastAsia="en-US"/>
              </w:rPr>
            </w:pPr>
            <w:r w:rsidRPr="00DA3C6E">
              <w:rPr>
                <w:rFonts w:ascii="Arial Narrow" w:eastAsia="Calibri" w:hAnsi="Arial Narrow"/>
                <w:sz w:val="20"/>
                <w:szCs w:val="20"/>
                <w:lang w:eastAsia="en-US"/>
              </w:rPr>
              <w:t>maximal voluntary isometric contraction</w:t>
            </w:r>
          </w:p>
        </w:tc>
      </w:tr>
      <w:tr w:rsidR="00A32865" w:rsidRPr="00DA3C6E" w14:paraId="46049CB7" w14:textId="77777777" w:rsidTr="001D2B25">
        <w:tc>
          <w:tcPr>
            <w:tcW w:w="2915" w:type="dxa"/>
            <w:vAlign w:val="center"/>
          </w:tcPr>
          <w:p w14:paraId="31991AF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NBA</w:t>
            </w:r>
          </w:p>
        </w:tc>
        <w:tc>
          <w:tcPr>
            <w:tcW w:w="6101" w:type="dxa"/>
            <w:vAlign w:val="center"/>
          </w:tcPr>
          <w:p w14:paraId="59AC675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National Blood Authority</w:t>
            </w:r>
          </w:p>
        </w:tc>
      </w:tr>
      <w:tr w:rsidR="00A32865" w:rsidRPr="00DA3C6E" w14:paraId="4A6FB2DD" w14:textId="77777777" w:rsidTr="001D2B25">
        <w:tc>
          <w:tcPr>
            <w:tcW w:w="2915" w:type="dxa"/>
            <w:vAlign w:val="center"/>
          </w:tcPr>
          <w:p w14:paraId="39FCEFD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NDS</w:t>
            </w:r>
          </w:p>
        </w:tc>
        <w:tc>
          <w:tcPr>
            <w:tcW w:w="6101" w:type="dxa"/>
            <w:vAlign w:val="center"/>
          </w:tcPr>
          <w:p w14:paraId="378A29B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neurological disability score</w:t>
            </w:r>
          </w:p>
        </w:tc>
      </w:tr>
      <w:tr w:rsidR="00A32865" w:rsidRPr="00DA3C6E" w14:paraId="7F09E301" w14:textId="77777777" w:rsidTr="001D2B25">
        <w:tc>
          <w:tcPr>
            <w:tcW w:w="2915" w:type="dxa"/>
            <w:vAlign w:val="center"/>
          </w:tcPr>
          <w:p w14:paraId="3A2DB08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NE</w:t>
            </w:r>
          </w:p>
        </w:tc>
        <w:tc>
          <w:tcPr>
            <w:tcW w:w="6101" w:type="dxa"/>
            <w:vAlign w:val="center"/>
          </w:tcPr>
          <w:p w14:paraId="05D95E7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not estimable</w:t>
            </w:r>
          </w:p>
        </w:tc>
      </w:tr>
      <w:tr w:rsidR="00A32865" w:rsidRPr="00DA3C6E" w14:paraId="5B1CBAAA" w14:textId="77777777" w:rsidTr="001D2B25">
        <w:tc>
          <w:tcPr>
            <w:tcW w:w="2915" w:type="dxa"/>
            <w:vAlign w:val="center"/>
          </w:tcPr>
          <w:p w14:paraId="39568D2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NR</w:t>
            </w:r>
          </w:p>
        </w:tc>
        <w:tc>
          <w:tcPr>
            <w:tcW w:w="6101" w:type="dxa"/>
            <w:vAlign w:val="center"/>
          </w:tcPr>
          <w:p w14:paraId="487211A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not reported</w:t>
            </w:r>
          </w:p>
        </w:tc>
      </w:tr>
      <w:tr w:rsidR="00A32865" w:rsidRPr="00DA3C6E" w14:paraId="085513BC" w14:textId="77777777" w:rsidTr="001D2B25">
        <w:tc>
          <w:tcPr>
            <w:tcW w:w="2915" w:type="dxa"/>
            <w:vAlign w:val="center"/>
          </w:tcPr>
          <w:p w14:paraId="7831FB06"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ODD</w:t>
            </w:r>
          </w:p>
        </w:tc>
        <w:tc>
          <w:tcPr>
            <w:tcW w:w="6101" w:type="dxa"/>
            <w:vAlign w:val="center"/>
          </w:tcPr>
          <w:p w14:paraId="30780B4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overall disability sum score</w:t>
            </w:r>
          </w:p>
        </w:tc>
      </w:tr>
      <w:tr w:rsidR="00A32865" w:rsidRPr="00DA3C6E" w14:paraId="11669EE5" w14:textId="77777777" w:rsidTr="001D2B25">
        <w:tc>
          <w:tcPr>
            <w:tcW w:w="2915" w:type="dxa"/>
            <w:vAlign w:val="center"/>
          </w:tcPr>
          <w:p w14:paraId="42E2D99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ONLS</w:t>
            </w:r>
          </w:p>
        </w:tc>
        <w:tc>
          <w:tcPr>
            <w:tcW w:w="6101" w:type="dxa"/>
            <w:vAlign w:val="center"/>
          </w:tcPr>
          <w:p w14:paraId="13C1EB2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overall neuropathy limitations scale</w:t>
            </w:r>
          </w:p>
        </w:tc>
      </w:tr>
      <w:tr w:rsidR="00A32865" w:rsidRPr="00DA3C6E" w14:paraId="301EFBD4" w14:textId="77777777" w:rsidTr="001D2B25">
        <w:tc>
          <w:tcPr>
            <w:tcW w:w="2915" w:type="dxa"/>
            <w:vAlign w:val="center"/>
          </w:tcPr>
          <w:p w14:paraId="28EA705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OL</w:t>
            </w:r>
          </w:p>
        </w:tc>
        <w:tc>
          <w:tcPr>
            <w:tcW w:w="6101" w:type="dxa"/>
            <w:vAlign w:val="center"/>
          </w:tcPr>
          <w:p w14:paraId="44E569F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open label </w:t>
            </w:r>
          </w:p>
        </w:tc>
      </w:tr>
      <w:tr w:rsidR="00A32865" w:rsidRPr="00DA3C6E" w14:paraId="4E4C2634" w14:textId="77777777" w:rsidTr="001D2B25">
        <w:tc>
          <w:tcPr>
            <w:tcW w:w="2915" w:type="dxa"/>
            <w:vAlign w:val="center"/>
          </w:tcPr>
          <w:p w14:paraId="2FAFB85A"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OTC</w:t>
            </w:r>
          </w:p>
        </w:tc>
        <w:tc>
          <w:tcPr>
            <w:tcW w:w="6101" w:type="dxa"/>
            <w:vAlign w:val="center"/>
          </w:tcPr>
          <w:p w14:paraId="0340215A"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over the counter </w:t>
            </w:r>
          </w:p>
        </w:tc>
      </w:tr>
      <w:tr w:rsidR="00A32865" w:rsidRPr="00DA3C6E" w14:paraId="7CF1D2E5" w14:textId="77777777" w:rsidTr="001D2B25">
        <w:tc>
          <w:tcPr>
            <w:tcW w:w="2915" w:type="dxa"/>
            <w:vAlign w:val="center"/>
          </w:tcPr>
          <w:p w14:paraId="5A626EAF"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PASC</w:t>
            </w:r>
          </w:p>
        </w:tc>
        <w:tc>
          <w:tcPr>
            <w:tcW w:w="6101" w:type="dxa"/>
            <w:vAlign w:val="center"/>
          </w:tcPr>
          <w:p w14:paraId="0D3D1F9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PICO Advisory Sub-committee</w:t>
            </w:r>
          </w:p>
        </w:tc>
      </w:tr>
      <w:tr w:rsidR="00A32865" w:rsidRPr="00DA3C6E" w14:paraId="7A2E8954" w14:textId="77777777" w:rsidTr="001D2B25">
        <w:tc>
          <w:tcPr>
            <w:tcW w:w="2915" w:type="dxa"/>
            <w:vAlign w:val="center"/>
          </w:tcPr>
          <w:p w14:paraId="6434A2BC"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PBS</w:t>
            </w:r>
          </w:p>
        </w:tc>
        <w:tc>
          <w:tcPr>
            <w:tcW w:w="6101" w:type="dxa"/>
            <w:vAlign w:val="center"/>
          </w:tcPr>
          <w:p w14:paraId="5253F6C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Pharmaceutical Benefit Scheme </w:t>
            </w:r>
          </w:p>
        </w:tc>
      </w:tr>
      <w:tr w:rsidR="00A32865" w:rsidRPr="00DA3C6E" w14:paraId="459D5194" w14:textId="77777777" w:rsidTr="001D2B25">
        <w:tc>
          <w:tcPr>
            <w:tcW w:w="2915" w:type="dxa"/>
            <w:vAlign w:val="center"/>
          </w:tcPr>
          <w:p w14:paraId="66574A5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PCS</w:t>
            </w:r>
          </w:p>
        </w:tc>
        <w:tc>
          <w:tcPr>
            <w:tcW w:w="6101" w:type="dxa"/>
            <w:vAlign w:val="center"/>
          </w:tcPr>
          <w:p w14:paraId="3DCB919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physical component summary</w:t>
            </w:r>
          </w:p>
        </w:tc>
      </w:tr>
      <w:tr w:rsidR="00A32865" w:rsidRPr="00DA3C6E" w14:paraId="3C9B336C" w14:textId="77777777" w:rsidTr="001D2B25">
        <w:tc>
          <w:tcPr>
            <w:tcW w:w="2915" w:type="dxa"/>
            <w:vAlign w:val="center"/>
          </w:tcPr>
          <w:p w14:paraId="3F4F810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PE </w:t>
            </w:r>
          </w:p>
        </w:tc>
        <w:tc>
          <w:tcPr>
            <w:tcW w:w="6101" w:type="dxa"/>
            <w:vAlign w:val="center"/>
          </w:tcPr>
          <w:p w14:paraId="68165A8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pulmonary embolism </w:t>
            </w:r>
          </w:p>
        </w:tc>
      </w:tr>
      <w:tr w:rsidR="00A32865" w:rsidRPr="00DA3C6E" w14:paraId="62361EF8" w14:textId="77777777" w:rsidTr="001D2B25">
        <w:tc>
          <w:tcPr>
            <w:tcW w:w="2915" w:type="dxa"/>
            <w:vAlign w:val="center"/>
          </w:tcPr>
          <w:p w14:paraId="29109C4A"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PI</w:t>
            </w:r>
          </w:p>
        </w:tc>
        <w:tc>
          <w:tcPr>
            <w:tcW w:w="6101" w:type="dxa"/>
            <w:vAlign w:val="center"/>
          </w:tcPr>
          <w:p w14:paraId="7D48857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product information </w:t>
            </w:r>
          </w:p>
        </w:tc>
      </w:tr>
      <w:tr w:rsidR="00A32865" w:rsidRPr="00DA3C6E" w14:paraId="6485E458" w14:textId="77777777" w:rsidTr="001D2B25">
        <w:tc>
          <w:tcPr>
            <w:tcW w:w="2915" w:type="dxa"/>
            <w:vAlign w:val="center"/>
          </w:tcPr>
          <w:p w14:paraId="514EF50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PICO </w:t>
            </w:r>
          </w:p>
        </w:tc>
        <w:tc>
          <w:tcPr>
            <w:tcW w:w="6101" w:type="dxa"/>
            <w:vAlign w:val="center"/>
          </w:tcPr>
          <w:p w14:paraId="5D1AB45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Population, Intervention, Comparator and Outcome</w:t>
            </w:r>
          </w:p>
        </w:tc>
      </w:tr>
      <w:tr w:rsidR="00A32865" w:rsidRPr="00DA3C6E" w14:paraId="21C6B97F" w14:textId="77777777" w:rsidTr="001D2B25">
        <w:tc>
          <w:tcPr>
            <w:tcW w:w="2915" w:type="dxa"/>
            <w:vAlign w:val="center"/>
          </w:tcPr>
          <w:p w14:paraId="7F95E346"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PDN</w:t>
            </w:r>
          </w:p>
        </w:tc>
        <w:tc>
          <w:tcPr>
            <w:tcW w:w="6101" w:type="dxa"/>
            <w:vAlign w:val="center"/>
          </w:tcPr>
          <w:p w14:paraId="343CF66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proximal diabetic neuropathy</w:t>
            </w:r>
          </w:p>
        </w:tc>
      </w:tr>
      <w:tr w:rsidR="00A32865" w:rsidRPr="00DA3C6E" w14:paraId="0425B605" w14:textId="77777777" w:rsidTr="001D2B25">
        <w:tc>
          <w:tcPr>
            <w:tcW w:w="2915" w:type="dxa"/>
            <w:vAlign w:val="center"/>
          </w:tcPr>
          <w:p w14:paraId="5FC7075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RCT</w:t>
            </w:r>
          </w:p>
        </w:tc>
        <w:tc>
          <w:tcPr>
            <w:tcW w:w="6101" w:type="dxa"/>
            <w:vAlign w:val="center"/>
          </w:tcPr>
          <w:p w14:paraId="71708185"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randomised controlled trial </w:t>
            </w:r>
          </w:p>
        </w:tc>
      </w:tr>
      <w:tr w:rsidR="00A32865" w:rsidRPr="00DA3C6E" w14:paraId="39FB3301" w14:textId="77777777" w:rsidTr="001D2B25">
        <w:tc>
          <w:tcPr>
            <w:tcW w:w="2915" w:type="dxa"/>
            <w:vAlign w:val="center"/>
          </w:tcPr>
          <w:p w14:paraId="35C4841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SD</w:t>
            </w:r>
          </w:p>
        </w:tc>
        <w:tc>
          <w:tcPr>
            <w:tcW w:w="6101" w:type="dxa"/>
            <w:vAlign w:val="center"/>
          </w:tcPr>
          <w:p w14:paraId="4F0CD2A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standard deviation </w:t>
            </w:r>
          </w:p>
        </w:tc>
      </w:tr>
      <w:tr w:rsidR="00A32865" w:rsidRPr="00DA3C6E" w14:paraId="04B58BFC" w14:textId="77777777" w:rsidTr="001D2B25">
        <w:tc>
          <w:tcPr>
            <w:tcW w:w="2915" w:type="dxa"/>
            <w:vAlign w:val="center"/>
          </w:tcPr>
          <w:p w14:paraId="74E0866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SF-36</w:t>
            </w:r>
          </w:p>
        </w:tc>
        <w:tc>
          <w:tcPr>
            <w:tcW w:w="6101" w:type="dxa"/>
            <w:vAlign w:val="center"/>
          </w:tcPr>
          <w:p w14:paraId="649008FC"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36-Item Short Form Survey</w:t>
            </w:r>
          </w:p>
        </w:tc>
      </w:tr>
      <w:tr w:rsidR="00A32865" w:rsidRPr="00DA3C6E" w14:paraId="74C2C060" w14:textId="77777777" w:rsidTr="001D2B25">
        <w:tc>
          <w:tcPr>
            <w:tcW w:w="2915" w:type="dxa"/>
            <w:vAlign w:val="center"/>
          </w:tcPr>
          <w:p w14:paraId="43C7ED4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SEM</w:t>
            </w:r>
          </w:p>
        </w:tc>
        <w:tc>
          <w:tcPr>
            <w:tcW w:w="6101" w:type="dxa"/>
            <w:vAlign w:val="center"/>
          </w:tcPr>
          <w:p w14:paraId="67E5C4F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standard error of mean</w:t>
            </w:r>
          </w:p>
        </w:tc>
      </w:tr>
      <w:tr w:rsidR="00A32865" w:rsidRPr="00DA3C6E" w14:paraId="1D816C74" w14:textId="77777777" w:rsidTr="001D2B25">
        <w:tc>
          <w:tcPr>
            <w:tcW w:w="2915" w:type="dxa"/>
            <w:vAlign w:val="center"/>
          </w:tcPr>
          <w:p w14:paraId="6E5B11F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QALY</w:t>
            </w:r>
          </w:p>
        </w:tc>
        <w:tc>
          <w:tcPr>
            <w:tcW w:w="6101" w:type="dxa"/>
            <w:vAlign w:val="center"/>
          </w:tcPr>
          <w:p w14:paraId="36CE258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quality adjusted life year</w:t>
            </w:r>
          </w:p>
        </w:tc>
      </w:tr>
      <w:tr w:rsidR="00A32865" w:rsidRPr="00DA3C6E" w14:paraId="6FEFAF6C" w14:textId="77777777" w:rsidTr="001D2B25">
        <w:tc>
          <w:tcPr>
            <w:tcW w:w="2915" w:type="dxa"/>
            <w:vAlign w:val="center"/>
          </w:tcPr>
          <w:p w14:paraId="092A6686"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QoL</w:t>
            </w:r>
          </w:p>
        </w:tc>
        <w:tc>
          <w:tcPr>
            <w:tcW w:w="6101" w:type="dxa"/>
            <w:vAlign w:val="center"/>
          </w:tcPr>
          <w:p w14:paraId="3AABE7FD"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quality of life</w:t>
            </w:r>
          </w:p>
        </w:tc>
      </w:tr>
      <w:tr w:rsidR="00A32865" w:rsidRPr="00DA3C6E" w14:paraId="6C53570B" w14:textId="77777777" w:rsidTr="001D2B25">
        <w:tc>
          <w:tcPr>
            <w:tcW w:w="2915" w:type="dxa"/>
            <w:vAlign w:val="center"/>
          </w:tcPr>
          <w:p w14:paraId="5929AC4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RR</w:t>
            </w:r>
          </w:p>
        </w:tc>
        <w:tc>
          <w:tcPr>
            <w:tcW w:w="6101" w:type="dxa"/>
            <w:vAlign w:val="center"/>
          </w:tcPr>
          <w:p w14:paraId="2EC23AB7"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relative risk </w:t>
            </w:r>
          </w:p>
        </w:tc>
      </w:tr>
      <w:tr w:rsidR="00A32865" w:rsidRPr="00DA3C6E" w14:paraId="7C55919F" w14:textId="77777777" w:rsidTr="001D2B25">
        <w:tc>
          <w:tcPr>
            <w:tcW w:w="2915" w:type="dxa"/>
            <w:vAlign w:val="center"/>
          </w:tcPr>
          <w:p w14:paraId="543F35A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SA</w:t>
            </w:r>
          </w:p>
        </w:tc>
        <w:tc>
          <w:tcPr>
            <w:tcW w:w="6101" w:type="dxa"/>
            <w:vAlign w:val="center"/>
          </w:tcPr>
          <w:p w14:paraId="17FA6731"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sensitivity analysis</w:t>
            </w:r>
          </w:p>
        </w:tc>
      </w:tr>
      <w:tr w:rsidR="00A32865" w:rsidRPr="00DA3C6E" w14:paraId="0C963CF2" w14:textId="77777777" w:rsidTr="001D2B25">
        <w:tc>
          <w:tcPr>
            <w:tcW w:w="2915" w:type="dxa"/>
            <w:vAlign w:val="center"/>
          </w:tcPr>
          <w:p w14:paraId="79C08442"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SAE</w:t>
            </w:r>
          </w:p>
        </w:tc>
        <w:tc>
          <w:tcPr>
            <w:tcW w:w="6101" w:type="dxa"/>
            <w:vAlign w:val="center"/>
          </w:tcPr>
          <w:p w14:paraId="699ECFC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serious adverse event</w:t>
            </w:r>
          </w:p>
        </w:tc>
      </w:tr>
      <w:tr w:rsidR="00A32865" w:rsidRPr="00DA3C6E" w14:paraId="4DAB6534" w14:textId="77777777" w:rsidTr="001D2B25">
        <w:tc>
          <w:tcPr>
            <w:tcW w:w="2915" w:type="dxa"/>
            <w:vAlign w:val="center"/>
          </w:tcPr>
          <w:p w14:paraId="7AACCB1B"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SCIg </w:t>
            </w:r>
          </w:p>
        </w:tc>
        <w:tc>
          <w:tcPr>
            <w:tcW w:w="6101" w:type="dxa"/>
            <w:vAlign w:val="center"/>
          </w:tcPr>
          <w:p w14:paraId="51F8B7AE"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subcutaneous immunoglobulin </w:t>
            </w:r>
          </w:p>
        </w:tc>
      </w:tr>
      <w:tr w:rsidR="00A32865" w:rsidRPr="00DA3C6E" w14:paraId="25338427" w14:textId="77777777" w:rsidTr="001D2B25">
        <w:tc>
          <w:tcPr>
            <w:tcW w:w="2915" w:type="dxa"/>
            <w:vAlign w:val="center"/>
          </w:tcPr>
          <w:p w14:paraId="4356514F"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TGA</w:t>
            </w:r>
          </w:p>
        </w:tc>
        <w:tc>
          <w:tcPr>
            <w:tcW w:w="6101" w:type="dxa"/>
            <w:vAlign w:val="center"/>
          </w:tcPr>
          <w:p w14:paraId="617A203C"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Therapeutic Goods Administration</w:t>
            </w:r>
          </w:p>
        </w:tc>
      </w:tr>
      <w:tr w:rsidR="00A32865" w:rsidRPr="00DA3C6E" w14:paraId="2BC73BA6" w14:textId="77777777" w:rsidTr="001D2B25">
        <w:tc>
          <w:tcPr>
            <w:tcW w:w="2915" w:type="dxa"/>
            <w:vAlign w:val="center"/>
          </w:tcPr>
          <w:p w14:paraId="4461844A"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TRALI</w:t>
            </w:r>
          </w:p>
        </w:tc>
        <w:tc>
          <w:tcPr>
            <w:tcW w:w="6101" w:type="dxa"/>
            <w:vAlign w:val="center"/>
          </w:tcPr>
          <w:p w14:paraId="6C1CE69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transfusion-related acute lung injury</w:t>
            </w:r>
          </w:p>
        </w:tc>
      </w:tr>
      <w:tr w:rsidR="00A32865" w:rsidRPr="00DA3C6E" w14:paraId="638CEAD9" w14:textId="77777777" w:rsidTr="001D2B25">
        <w:tc>
          <w:tcPr>
            <w:tcW w:w="2915" w:type="dxa"/>
            <w:vAlign w:val="center"/>
          </w:tcPr>
          <w:p w14:paraId="15480E79"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Tx</w:t>
            </w:r>
          </w:p>
        </w:tc>
        <w:tc>
          <w:tcPr>
            <w:tcW w:w="6101" w:type="dxa"/>
            <w:vAlign w:val="center"/>
          </w:tcPr>
          <w:p w14:paraId="085FF028"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treatment </w:t>
            </w:r>
          </w:p>
        </w:tc>
      </w:tr>
      <w:tr w:rsidR="00A32865" w:rsidRPr="00DA3C6E" w14:paraId="3D522D91" w14:textId="77777777" w:rsidTr="001D2B25">
        <w:tc>
          <w:tcPr>
            <w:tcW w:w="2915" w:type="dxa"/>
            <w:vAlign w:val="center"/>
          </w:tcPr>
          <w:p w14:paraId="301A6924"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UB</w:t>
            </w:r>
          </w:p>
        </w:tc>
        <w:tc>
          <w:tcPr>
            <w:tcW w:w="6101" w:type="dxa"/>
            <w:vAlign w:val="center"/>
          </w:tcPr>
          <w:p w14:paraId="0040498C"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 xml:space="preserve">upper bound </w:t>
            </w:r>
          </w:p>
        </w:tc>
      </w:tr>
      <w:tr w:rsidR="00A32865" w:rsidRPr="00DA3C6E" w14:paraId="1CF933D7" w14:textId="77777777" w:rsidTr="001D2B25">
        <w:tc>
          <w:tcPr>
            <w:tcW w:w="2915" w:type="dxa"/>
            <w:vAlign w:val="center"/>
          </w:tcPr>
          <w:p w14:paraId="14AAE5E0"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UTS</w:t>
            </w:r>
          </w:p>
        </w:tc>
        <w:tc>
          <w:tcPr>
            <w:tcW w:w="6101" w:type="dxa"/>
            <w:vAlign w:val="center"/>
          </w:tcPr>
          <w:p w14:paraId="7B418E33" w14:textId="77777777" w:rsidR="00A32865" w:rsidRPr="00DA3C6E" w:rsidRDefault="00A32865" w:rsidP="001D2B25">
            <w:pPr>
              <w:spacing w:after="0" w:line="240" w:lineRule="auto"/>
              <w:ind w:left="0"/>
              <w:jc w:val="left"/>
              <w:rPr>
                <w:rFonts w:ascii="Arial Narrow" w:hAnsi="Arial Narrow"/>
                <w:sz w:val="20"/>
                <w:szCs w:val="20"/>
              </w:rPr>
            </w:pPr>
            <w:r w:rsidRPr="00DA3C6E">
              <w:rPr>
                <w:rFonts w:ascii="Arial Narrow" w:hAnsi="Arial Narrow"/>
                <w:sz w:val="20"/>
                <w:szCs w:val="20"/>
              </w:rPr>
              <w:t>University of Technology Sydney</w:t>
            </w:r>
          </w:p>
        </w:tc>
      </w:tr>
    </w:tbl>
    <w:p w14:paraId="1F467595" w14:textId="77777777" w:rsidR="00C44F6A" w:rsidRPr="00DA3C6E" w:rsidRDefault="00C44F6A" w:rsidP="00DF343F">
      <w:pPr>
        <w:pStyle w:val="Heading1"/>
      </w:pPr>
      <w:bookmarkStart w:id="55" w:name="_Toc37845709"/>
      <w:r w:rsidRPr="00DA3C6E">
        <w:lastRenderedPageBreak/>
        <w:t>Section A</w:t>
      </w:r>
      <w:r w:rsidRPr="00DA3C6E">
        <w:tab/>
        <w:t>Context</w:t>
      </w:r>
      <w:bookmarkEnd w:id="55"/>
    </w:p>
    <w:p w14:paraId="6D198AA0" w14:textId="77777777" w:rsidR="00C44F6A" w:rsidRPr="00DA3C6E" w:rsidRDefault="00C44F6A" w:rsidP="00DF343F">
      <w:r w:rsidRPr="00DA3C6E">
        <w:t xml:space="preserve">This contracted assessment of immunoglobulin (Ig) for the treatment of patients diagnosed with multifocal motor neuropathy (MMN) 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 Ig in this indication is currently funded under the national blood supply arrangements mainly based on clinical effectiveness arguments, however the cost-effectiveness has not previously been established. </w:t>
      </w:r>
    </w:p>
    <w:p w14:paraId="07E8107E" w14:textId="77777777" w:rsidR="00C44F6A" w:rsidRPr="00DA3C6E" w:rsidRDefault="00C44F6A" w:rsidP="00DF343F">
      <w:r w:rsidRPr="00DA3C6E">
        <w:t>The National Blood Agreement provides for MSAC to undertake evidence-based evaluation of blood products funded under the national blood supply arrangements at the request of the Jurisdictional Blood Committee (JBC). The Department of Health has convened an Ig Review Reference Group to provide advice for evaluation of Ig funded by the National Blood Authority (NBA). The Population, Intervention, Comparator and Outcome (PICO) confirmations for these products are considered by the Ig Review Reference Group instead of the PICO Advisory Sub-committee (PASC). Otherwise, the MSAC evaluation process remains the same as for applications for funding of items on the Medical Benefits Schedule (MBS).</w:t>
      </w:r>
    </w:p>
    <w:p w14:paraId="6CCD68B2" w14:textId="77777777" w:rsidR="00C44F6A" w:rsidRPr="00DA3C6E" w:rsidRDefault="00C44F6A" w:rsidP="00C75600">
      <w:r w:rsidRPr="00DA3C6E">
        <w:t xml:space="preserve">The Centre for Health Economics Research and Evaluation (CHERE) at the University of Technology Sydney (UTS), has been commissioned by the Australian Government Department of Health to conduct a systematic literature review and economic evaluation for MSAC application 1590. This assessment has been undertaken in order to inform MSAC’s decision-making </w:t>
      </w:r>
      <w:r w:rsidR="00AF3C32" w:rsidRPr="00DA3C6E">
        <w:t xml:space="preserve">and advice to the JBC regarding the clinical safety, effectiveness and cost-effectiveness of </w:t>
      </w:r>
      <w:r w:rsidR="00E35C5E" w:rsidRPr="00DA3C6E">
        <w:t>intravenous Ig</w:t>
      </w:r>
      <w:r w:rsidR="00AF3C32" w:rsidRPr="00DA3C6E">
        <w:t xml:space="preserve"> for patients with MMN as a basis to inform the provision of government funded Ig in Australia. </w:t>
      </w:r>
    </w:p>
    <w:p w14:paraId="1F3653FA" w14:textId="77777777" w:rsidR="00C44F6A" w:rsidRPr="00DA3C6E" w:rsidRDefault="00C44F6A" w:rsidP="00C75600">
      <w:r w:rsidRPr="00DA3C6E">
        <w:t xml:space="preserve">The criteria for evaluation of Ig as it is currently funded for this indication in Australian clinical practice were outlined in a PICO Confirmation that was discussed at the Ig Review Reference Group (meeting of 9 October 2019) and ratified on 22 November 2019. </w:t>
      </w:r>
    </w:p>
    <w:p w14:paraId="02405319" w14:textId="77777777" w:rsidR="00C44F6A" w:rsidRPr="00DA3C6E" w:rsidRDefault="00C44F6A" w:rsidP="00DF343F">
      <w:r w:rsidRPr="00DA3C6E">
        <w:t>Appendix A provides a list of the people involved in the development of this assessment report.</w:t>
      </w:r>
    </w:p>
    <w:p w14:paraId="78C09F2D" w14:textId="77777777" w:rsidR="00B03E50" w:rsidRPr="00DA3C6E" w:rsidRDefault="00B03E50" w:rsidP="001A2B24"/>
    <w:p w14:paraId="10A76AED" w14:textId="77777777" w:rsidR="00C44F6A" w:rsidRPr="00DA3C6E" w:rsidRDefault="00C44F6A" w:rsidP="00D778BE">
      <w:pPr>
        <w:pStyle w:val="Heading2"/>
        <w:numPr>
          <w:ilvl w:val="0"/>
          <w:numId w:val="8"/>
        </w:numPr>
      </w:pPr>
      <w:bookmarkStart w:id="56" w:name="_Toc37845710"/>
      <w:r w:rsidRPr="00DA3C6E">
        <w:lastRenderedPageBreak/>
        <w:t>Items in the agreed PICO Confirmation</w:t>
      </w:r>
      <w:bookmarkEnd w:id="56"/>
    </w:p>
    <w:p w14:paraId="01BDCDF5" w14:textId="1D7ACD9A" w:rsidR="00C44F6A" w:rsidRPr="00DA3C6E" w:rsidRDefault="00C44F6A" w:rsidP="00AA2C7A">
      <w:r w:rsidRPr="00DA3C6E">
        <w:t>This contracted assessment of Ig addresses all of the PICO elements that were pre-specified in the PICO Confirmation that was ratified by the Ig Review Reference Group</w:t>
      </w:r>
      <w:r w:rsidRPr="00DA3C6E" w:rsidDel="000E0472">
        <w:t xml:space="preserve"> </w:t>
      </w:r>
      <w:r w:rsidRPr="00DA3C6E">
        <w:t>(see summary in</w:t>
      </w:r>
      <w:r w:rsidR="001A5C62" w:rsidRPr="00DA3C6E">
        <w:t xml:space="preserve"> </w:t>
      </w:r>
      <w:r w:rsidR="001A5C62" w:rsidRPr="00DA3C6E">
        <w:fldChar w:fldCharType="begin"/>
      </w:r>
      <w:r w:rsidR="001A5C62" w:rsidRPr="00DA3C6E">
        <w:instrText xml:space="preserve"> REF _Ref25846554 \h </w:instrText>
      </w:r>
      <w:r w:rsidR="00E8759F" w:rsidRPr="00DA3C6E">
        <w:instrText xml:space="preserve"> \* MERGEFORMAT </w:instrText>
      </w:r>
      <w:r w:rsidR="001A5C62" w:rsidRPr="00DA3C6E">
        <w:fldChar w:fldCharType="separate"/>
      </w:r>
      <w:r w:rsidR="00EA5DC1" w:rsidRPr="00DA3C6E">
        <w:t xml:space="preserve">Table </w:t>
      </w:r>
      <w:r w:rsidR="00EA5DC1">
        <w:rPr>
          <w:noProof/>
        </w:rPr>
        <w:t>7</w:t>
      </w:r>
      <w:r w:rsidR="001A5C62" w:rsidRPr="00DA3C6E">
        <w:fldChar w:fldCharType="end"/>
      </w:r>
      <w:r w:rsidRPr="00DA3C6E">
        <w:t xml:space="preserve">, section A.9). </w:t>
      </w:r>
    </w:p>
    <w:p w14:paraId="6992EAE5" w14:textId="77777777" w:rsidR="00C44F6A" w:rsidRPr="00DA3C6E" w:rsidRDefault="00C44F6A" w:rsidP="00D778BE">
      <w:pPr>
        <w:pStyle w:val="Heading2"/>
        <w:numPr>
          <w:ilvl w:val="0"/>
          <w:numId w:val="8"/>
        </w:numPr>
      </w:pPr>
      <w:bookmarkStart w:id="57" w:name="_Toc37845711"/>
      <w:r w:rsidRPr="00DA3C6E">
        <w:t>Medical Service reviewed</w:t>
      </w:r>
      <w:bookmarkEnd w:id="57"/>
    </w:p>
    <w:p w14:paraId="444A4A8E" w14:textId="777C98CD" w:rsidR="00C44F6A" w:rsidRPr="00DA3C6E" w:rsidRDefault="00C44F6A" w:rsidP="00C836F2">
      <w:r w:rsidRPr="00DA3C6E">
        <w:t xml:space="preserve">MMN is a rare motor neuropathy characterised by motor deficits that present as slowly progressive, predominantly distal, asymmetrical limb weakness without associated sensory loss </w:t>
      </w:r>
      <w:r w:rsidR="00DB568A" w:rsidRPr="00DA3C6E">
        <w:fldChar w:fldCharType="begin">
          <w:fldData xml:space="preserve">PEVuZE5vdGU+PENpdGU+PEF1dGhvcj5VbWFwYXRoaTwvQXV0aG9yPjxZZWFyPjIwMTU8L1llYXI+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</w:fldData>
        </w:fldChar>
      </w:r>
      <w:r w:rsidR="00DB568A" w:rsidRPr="00DA3C6E">
        <w:instrText xml:space="preserve"> ADDIN EN.CITE </w:instrText>
      </w:r>
      <w:r w:rsidR="00DB568A" w:rsidRPr="00DA3C6E">
        <w:fldChar w:fldCharType="begin">
          <w:fldData xml:space="preserve">PEVuZE5vdGU+PENpdGU+PEF1dGhvcj5VbWFwYXRoaTwvQXV0aG9yPjxZZWFyPjIwMTU8L1llYXI+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 w:tooltip="Umapathi, 2015 #63" w:history="1">
        <w:r w:rsidR="00C04BCE" w:rsidRPr="00DA3C6E">
          <w:rPr>
            <w:noProof/>
          </w:rPr>
          <w:t>1-4</w:t>
        </w:r>
      </w:hyperlink>
      <w:r w:rsidR="00DB568A" w:rsidRPr="00DA3C6E">
        <w:rPr>
          <w:noProof/>
        </w:rPr>
        <w:t>)</w:t>
      </w:r>
      <w:r w:rsidR="00DB568A" w:rsidRPr="00DA3C6E">
        <w:fldChar w:fldCharType="end"/>
      </w:r>
      <w:r w:rsidRPr="00DA3C6E">
        <w:t xml:space="preserve">. The prognosis for </w:t>
      </w:r>
      <w:r w:rsidR="008B5939" w:rsidRPr="00DA3C6E">
        <w:t xml:space="preserve">maintaining </w:t>
      </w:r>
      <w:r w:rsidRPr="00DA3C6E">
        <w:t xml:space="preserve">usual functioning with MMN is usually good given that around 70-80% of patients respond to treatment with Ig. For patients who do not respond, disease progression generally occurs slowly and the majority of patients are able to maintain usual activities, including employment </w:t>
      </w:r>
      <w:r w:rsidR="00DB568A" w:rsidRPr="00DA3C6E">
        <w:fldChar w:fldCharType="begin"/>
      </w:r>
      <w:r w:rsidR="00DB568A" w:rsidRPr="00DA3C6E">
        <w:instrText xml:space="preserve"> ADDIN EN.CITE &lt;EndNote&gt;&lt;Cite&gt;&lt;Author&gt;Taylor&lt;/Author&gt;&lt;Year&gt;2000&lt;/Year&gt;&lt;RecNum&gt;61&lt;/RecNum&gt;&lt;DisplayText&gt;(5)&lt;/DisplayText&gt;&lt;record&gt;&lt;rec-number&gt;61&lt;/rec-number&gt;&lt;foreign-keys&gt;&lt;key app="EN" db-id="0992p2ztn5fez9e2wvnpw2xstd20f9w2dezz" timestamp="1586818281"&gt;61&lt;/key&gt;&lt;/foreign-keys&gt;&lt;ref-type name="Journal Article"&gt;17&lt;/ref-type&gt;&lt;contributors&gt;&lt;authors&gt;&lt;author&gt;Taylor, Bruce V.&lt;/author&gt;&lt;author&gt;Wright, R. Alan&lt;/author&gt;&lt;author&gt;Harper, C. Michel&lt;/author&gt;&lt;author&gt;Dyck, Peter J.&lt;/author&gt;&lt;/authors&gt;&lt;/contributors&gt;&lt;titles&gt;&lt;title&gt;Natural history of 46 patients with multifocal motor neuropathy with conduction block&lt;/title&gt;&lt;secondary-title&gt;Muscle &amp;amp; Nerve&lt;/secondary-title&gt;&lt;/titles&gt;&lt;periodical&gt;&lt;full-title&gt;Muscle &amp;amp; Nerve&lt;/full-title&gt;&lt;/periodical&gt;&lt;pages&gt;900-908&lt;/pages&gt;&lt;volume&gt;23&lt;/volume&gt;&lt;number&gt;6&lt;/number&gt;&lt;keywords&gt;&lt;keyword&gt;electrodiagnostic characteristics&lt;/keyword&gt;&lt;keyword&gt;longitudinal changes&lt;/keyword&gt;&lt;keyword&gt;multilocal motor neuropathy with conduction block (MMN-CB)&lt;/keyword&gt;&lt;keyword&gt;natural history&lt;/keyword&gt;&lt;keyword&gt;outcomes&lt;/keyword&gt;&lt;/keywords&gt;&lt;dates&gt;&lt;year&gt;2000&lt;/year&gt;&lt;pub-dates&gt;&lt;date&gt;2000/06/01&lt;/date&gt;&lt;/pub-dates&gt;&lt;/dates&gt;&lt;publisher&gt;John Wiley &amp;amp; Sons, Ltd&lt;/publisher&gt;&lt;isbn&gt;0148-639X&lt;/isbn&gt;&lt;urls&gt;&lt;related-urls&gt;&lt;url&gt;https://doi.org/10.1002/(SICI)1097-4598(200006)23:6&amp;lt;900::AID-MUS9&amp;gt;3.0.CO;2-Y&lt;/url&gt;&lt;/related-urls&gt;&lt;/urls&gt;&lt;electronic-resource-num&gt;10.1002/(SICI)1097-4598(200006)23:6&amp;lt;900::AID-MUS9&amp;gt;3.0.CO;2-Y&lt;/electronic-resource-num&gt;&lt;access-date&gt;2019/09/18&lt;/access-date&gt;&lt;/record&gt;&lt;/Cite&gt;&lt;/EndNote&gt;</w:instrText>
      </w:r>
      <w:r w:rsidR="00DB568A" w:rsidRPr="00DA3C6E">
        <w:fldChar w:fldCharType="separate"/>
      </w:r>
      <w:r w:rsidR="00DB568A" w:rsidRPr="00DA3C6E">
        <w:rPr>
          <w:noProof/>
        </w:rPr>
        <w:t>(</w:t>
      </w:r>
      <w:hyperlink w:anchor="_ENREF_5" w:tooltip="Taylor, 2000 #61" w:history="1">
        <w:r w:rsidR="00C04BCE" w:rsidRPr="00DA3C6E">
          <w:rPr>
            <w:noProof/>
          </w:rPr>
          <w:t>5</w:t>
        </w:r>
      </w:hyperlink>
      <w:r w:rsidR="00DB568A" w:rsidRPr="00DA3C6E">
        <w:rPr>
          <w:noProof/>
        </w:rPr>
        <w:t>)</w:t>
      </w:r>
      <w:r w:rsidR="00DB568A" w:rsidRPr="00DA3C6E">
        <w:fldChar w:fldCharType="end"/>
      </w:r>
      <w:r w:rsidRPr="00DA3C6E">
        <w:t>. As progression continues to develop, the quality of life of patients continues to deteriorate</w:t>
      </w:r>
      <w:r w:rsidR="007C03F1" w:rsidRPr="00DA3C6E">
        <w:t xml:space="preserve"> m</w:t>
      </w:r>
      <w:r w:rsidR="007C03F1" w:rsidRPr="00DA3C6E">
        <w:rPr>
          <w:rFonts w:cs="Times New Roman"/>
        </w:rPr>
        <w:t>ainly because, physiologically, more nerves begin and continue to lose functionality over</w:t>
      </w:r>
      <w:r w:rsidR="00CB0204">
        <w:rPr>
          <w:rFonts w:cs="Times New Roman"/>
        </w:rPr>
        <w:t xml:space="preserve"> </w:t>
      </w:r>
      <w:r w:rsidR="007C03F1" w:rsidRPr="00DA3C6E">
        <w:rPr>
          <w:rFonts w:cs="Times New Roman"/>
        </w:rPr>
        <w:t>time</w:t>
      </w:r>
      <w:r w:rsidRPr="00DA3C6E">
        <w:t>.</w:t>
      </w:r>
      <w:r w:rsidR="006F689C" w:rsidRPr="00DA3C6E">
        <w:t xml:space="preserve"> There is some evidence suggesting that significant deterioration leading to more severe stages of the disease will depend on the patient’s age and disease duration. Overall, this may become a significant issue in patients that have remained untreated for 20 years</w:t>
      </w:r>
      <w:r w:rsidR="007C03F1" w:rsidRPr="00DA3C6E">
        <w:t xml:space="preserve"> or more</w:t>
      </w:r>
      <w:r w:rsidR="00165027">
        <w:t xml:space="preserve"> </w:t>
      </w:r>
      <w:r w:rsidR="00DB568A" w:rsidRPr="00DA3C6E">
        <w:fldChar w:fldCharType="begin"/>
      </w:r>
      <w:r w:rsidR="00DB568A" w:rsidRPr="00DA3C6E">
        <w:instrText xml:space="preserve"> ADDIN EN.CITE &lt;EndNote&gt;&lt;Cite&gt;&lt;Author&gt;Taylor&lt;/Author&gt;&lt;Year&gt;2000&lt;/Year&gt;&lt;RecNum&gt;61&lt;/RecNum&gt;&lt;DisplayText&gt;(5)&lt;/DisplayText&gt;&lt;record&gt;&lt;rec-number&gt;61&lt;/rec-number&gt;&lt;foreign-keys&gt;&lt;key app="EN" db-id="0992p2ztn5fez9e2wvnpw2xstd20f9w2dezz" timestamp="1586818281"&gt;61&lt;/key&gt;&lt;/foreign-keys&gt;&lt;ref-type name="Journal Article"&gt;17&lt;/ref-type&gt;&lt;contributors&gt;&lt;authors&gt;&lt;author&gt;Taylor, Bruce V.&lt;/author&gt;&lt;author&gt;Wright, R. Alan&lt;/author&gt;&lt;author&gt;Harper, C. Michel&lt;/author&gt;&lt;author&gt;Dyck, Peter J.&lt;/author&gt;&lt;/authors&gt;&lt;/contributors&gt;&lt;titles&gt;&lt;title&gt;Natural history of 46 patients with multifocal motor neuropathy with conduction block&lt;/title&gt;&lt;secondary-title&gt;Muscle &amp;amp; Nerve&lt;/secondary-title&gt;&lt;/titles&gt;&lt;periodical&gt;&lt;full-title&gt;Muscle &amp;amp; Nerve&lt;/full-title&gt;&lt;/periodical&gt;&lt;pages&gt;900-908&lt;/pages&gt;&lt;volume&gt;23&lt;/volume&gt;&lt;number&gt;6&lt;/number&gt;&lt;keywords&gt;&lt;keyword&gt;electrodiagnostic characteristics&lt;/keyword&gt;&lt;keyword&gt;longitudinal changes&lt;/keyword&gt;&lt;keyword&gt;multilocal motor neuropathy with conduction block (MMN-CB)&lt;/keyword&gt;&lt;keyword&gt;natural history&lt;/keyword&gt;&lt;keyword&gt;outcomes&lt;/keyword&gt;&lt;/keywords&gt;&lt;dates&gt;&lt;year&gt;2000&lt;/year&gt;&lt;pub-dates&gt;&lt;date&gt;2000/06/01&lt;/date&gt;&lt;/pub-dates&gt;&lt;/dates&gt;&lt;publisher&gt;John Wiley &amp;amp; Sons, Ltd&lt;/publisher&gt;&lt;isbn&gt;0148-639X&lt;/isbn&gt;&lt;urls&gt;&lt;related-urls&gt;&lt;url&gt;https://doi.org/10.1002/(SICI)1097-4598(200006)23:6&amp;lt;900::AID-MUS9&amp;gt;3.0.CO;2-Y&lt;/url&gt;&lt;/related-urls&gt;&lt;/urls&gt;&lt;electronic-resource-num&gt;10.1002/(SICI)1097-4598(200006)23:6&amp;lt;900::AID-MUS9&amp;gt;3.0.CO;2-Y&lt;/electronic-resource-num&gt;&lt;access-date&gt;2019/09/18&lt;/access-date&gt;&lt;/record&gt;&lt;/Cite&gt;&lt;/EndNote&gt;</w:instrText>
      </w:r>
      <w:r w:rsidR="00DB568A" w:rsidRPr="00DA3C6E">
        <w:fldChar w:fldCharType="separate"/>
      </w:r>
      <w:r w:rsidR="00DB568A" w:rsidRPr="00DA3C6E">
        <w:rPr>
          <w:noProof/>
        </w:rPr>
        <w:t>(</w:t>
      </w:r>
      <w:hyperlink w:anchor="_ENREF_5" w:tooltip="Taylor, 2000 #61" w:history="1">
        <w:r w:rsidR="00C04BCE" w:rsidRPr="00DA3C6E">
          <w:rPr>
            <w:noProof/>
          </w:rPr>
          <w:t>5</w:t>
        </w:r>
      </w:hyperlink>
      <w:r w:rsidR="00DB568A" w:rsidRPr="00DA3C6E">
        <w:rPr>
          <w:noProof/>
        </w:rPr>
        <w:t>)</w:t>
      </w:r>
      <w:r w:rsidR="00DB568A" w:rsidRPr="00DA3C6E">
        <w:fldChar w:fldCharType="end"/>
      </w:r>
      <w:r w:rsidR="006F689C" w:rsidRPr="00DA3C6E">
        <w:t>. At more severe stages of the disease patients are at a higher risk of falls and dependency and a number of patients will require</w:t>
      </w:r>
      <w:r w:rsidR="007C03F1" w:rsidRPr="00DA3C6E">
        <w:t xml:space="preserve"> supporting services like</w:t>
      </w:r>
      <w:r w:rsidR="006F689C" w:rsidRPr="00DA3C6E">
        <w:t xml:space="preserve"> wheelchair, walkers and even residential care.</w:t>
      </w:r>
      <w:r w:rsidRPr="00DA3C6E">
        <w:t xml:space="preserve"> </w:t>
      </w:r>
      <w:r w:rsidR="007C03F1" w:rsidRPr="00DA3C6E">
        <w:rPr>
          <w:rFonts w:cs="Times New Roman"/>
        </w:rPr>
        <w:t xml:space="preserve">The implications of this </w:t>
      </w:r>
      <w:r w:rsidR="004A6643" w:rsidRPr="00DA3C6E">
        <w:rPr>
          <w:rFonts w:cs="Times New Roman"/>
        </w:rPr>
        <w:t>do</w:t>
      </w:r>
      <w:r w:rsidR="007C03F1" w:rsidRPr="00DA3C6E">
        <w:rPr>
          <w:rFonts w:cs="Times New Roman"/>
        </w:rPr>
        <w:t xml:space="preserve"> not</w:t>
      </w:r>
      <w:r w:rsidR="004A6643" w:rsidRPr="00DA3C6E">
        <w:rPr>
          <w:rFonts w:cs="Times New Roman"/>
        </w:rPr>
        <w:t xml:space="preserve"> only</w:t>
      </w:r>
      <w:r w:rsidR="007C03F1" w:rsidRPr="00DA3C6E">
        <w:rPr>
          <w:rFonts w:cs="Times New Roman"/>
        </w:rPr>
        <w:t xml:space="preserve"> negatively impact</w:t>
      </w:r>
      <w:r w:rsidR="004A6643" w:rsidRPr="00DA3C6E">
        <w:rPr>
          <w:rFonts w:cs="Times New Roman"/>
        </w:rPr>
        <w:t xml:space="preserve"> </w:t>
      </w:r>
      <w:r w:rsidR="007C03F1" w:rsidRPr="00DA3C6E">
        <w:rPr>
          <w:rFonts w:cs="Times New Roman"/>
        </w:rPr>
        <w:t>the QoL of patients from increased disability</w:t>
      </w:r>
      <w:r w:rsidR="004A6643" w:rsidRPr="00DA3C6E">
        <w:rPr>
          <w:rFonts w:cs="Times New Roman"/>
        </w:rPr>
        <w:t>,</w:t>
      </w:r>
      <w:r w:rsidR="007C03F1" w:rsidRPr="00DA3C6E">
        <w:rPr>
          <w:rFonts w:cs="Times New Roman"/>
        </w:rPr>
        <w:t xml:space="preserve"> but ultimately</w:t>
      </w:r>
      <w:r w:rsidR="004A6643" w:rsidRPr="00DA3C6E">
        <w:rPr>
          <w:rFonts w:cs="Times New Roman"/>
        </w:rPr>
        <w:t>,</w:t>
      </w:r>
      <w:r w:rsidR="007C03F1" w:rsidRPr="00DA3C6E">
        <w:rPr>
          <w:rFonts w:cs="Times New Roman"/>
        </w:rPr>
        <w:t xml:space="preserve"> also impact</w:t>
      </w:r>
      <w:r w:rsidR="004A6643" w:rsidRPr="00DA3C6E">
        <w:rPr>
          <w:rFonts w:cs="Times New Roman"/>
        </w:rPr>
        <w:t>s</w:t>
      </w:r>
      <w:r w:rsidR="007C03F1" w:rsidRPr="00DA3C6E">
        <w:rPr>
          <w:rFonts w:cs="Times New Roman"/>
        </w:rPr>
        <w:t xml:space="preserve"> the overall costs to the health care system and the patient. </w:t>
      </w:r>
      <w:r w:rsidRPr="00DA3C6E">
        <w:t xml:space="preserve">The signs, symptoms and results from diagnostic tests of MMN patients vary across </w:t>
      </w:r>
      <w:r w:rsidR="00CB7A05" w:rsidRPr="00DA3C6E">
        <w:t>individuals</w:t>
      </w:r>
      <w:r w:rsidRPr="00DA3C6E">
        <w:t>; some will present with conduction block (CB) while others will</w:t>
      </w:r>
      <w:r w:rsidR="00CB7A05" w:rsidRPr="00DA3C6E">
        <w:t xml:space="preserve"> not</w:t>
      </w:r>
      <w:r w:rsidRPr="00DA3C6E">
        <w:t xml:space="preserve">, </w:t>
      </w:r>
      <w:r w:rsidR="00AF3C32" w:rsidRPr="00DA3C6E">
        <w:t xml:space="preserve">and </w:t>
      </w:r>
      <w:r w:rsidRPr="00DA3C6E">
        <w:t xml:space="preserve">some patients will have high titres of </w:t>
      </w:r>
      <w:r w:rsidRPr="00DA3C6E">
        <w:rPr>
          <w:rFonts w:eastAsia="Calibri" w:cs="Times New Roman"/>
          <w:lang w:eastAsia="en-US"/>
        </w:rPr>
        <w:t>anti-ganglioside GM1 (</w:t>
      </w:r>
      <w:r w:rsidRPr="00DA3C6E">
        <w:t xml:space="preserve">anti-GM1) while others will not show any alteration. Because the pathophysiology of the disease is not fully understood, challenges remain in regards to accurate and timely diagnosis of MMN. </w:t>
      </w:r>
    </w:p>
    <w:p w14:paraId="711B01A0" w14:textId="6B8E8F8F" w:rsidR="00C44F6A" w:rsidRPr="00DA3C6E" w:rsidRDefault="00C44F6A" w:rsidP="00C836F2">
      <w:r w:rsidRPr="00DA3C6E">
        <w:rPr>
          <w:rFonts w:eastAsia="MS Gothic"/>
          <w:lang w:eastAsia="en-US"/>
        </w:rPr>
        <w:t xml:space="preserve">The intervention under review is </w:t>
      </w:r>
      <w:r w:rsidR="00E35C5E" w:rsidRPr="00DA3C6E">
        <w:rPr>
          <w:rFonts w:eastAsia="MS Gothic"/>
          <w:lang w:eastAsia="en-US"/>
        </w:rPr>
        <w:t>intravenous Ig</w:t>
      </w:r>
      <w:r w:rsidRPr="00DA3C6E">
        <w:rPr>
          <w:rFonts w:eastAsia="MS Gothic"/>
          <w:lang w:eastAsia="en-US"/>
        </w:rPr>
        <w:t xml:space="preserve"> for the treatment of MMN with or without persistent CB. </w:t>
      </w:r>
      <w:r w:rsidRPr="00DA3C6E">
        <w:t xml:space="preserve">Since the early 90s, there is evidence suggesting that treatment with Ig positively impacts a patient in terms of reduced disability, increased muscle strength and overall quality of life. The role of Ig is to act as an immunomodulator, although the exact mechanism of action leading to treatment response is not yet fully understood </w:t>
      </w:r>
      <w:r w:rsidR="00DB568A" w:rsidRPr="00DA3C6E">
        <w:fldChar w:fldCharType="begin">
          <w:fldData xml:space="preserve">PEVuZE5vdGU+PENpdGU+PEF1dGhvcj5MYXdzb248L0F1dGhvcj48WWVhcj4yMDE0PC9ZZWFyPjxS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</w:fldData>
        </w:fldChar>
      </w:r>
      <w:r w:rsidR="00DB568A" w:rsidRPr="00DA3C6E">
        <w:instrText xml:space="preserve"> ADDIN EN.CITE </w:instrText>
      </w:r>
      <w:r w:rsidR="00DB568A" w:rsidRPr="00DA3C6E">
        <w:fldChar w:fldCharType="begin">
          <w:fldData xml:space="preserve">PEVuZE5vdGU+PENpdGU+PEF1dGhvcj5MYXdzb248L0F1dGhvcj48WWVhcj4yMDE0PC9ZZWFyPjxS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 w:tooltip="Umapathi, 2015 #63" w:history="1">
        <w:r w:rsidR="00C04BCE" w:rsidRPr="00DA3C6E">
          <w:rPr>
            <w:noProof/>
          </w:rPr>
          <w:t>1</w:t>
        </w:r>
      </w:hyperlink>
      <w:r w:rsidR="00DB568A" w:rsidRPr="00DA3C6E">
        <w:rPr>
          <w:noProof/>
        </w:rPr>
        <w:t xml:space="preserve">, </w:t>
      </w:r>
      <w:hyperlink w:anchor="_ENREF_2" w:tooltip="Lawson, 2014 #38" w:history="1">
        <w:r w:rsidR="00C04BCE" w:rsidRPr="00DA3C6E">
          <w:rPr>
            <w:noProof/>
          </w:rPr>
          <w:t>2</w:t>
        </w:r>
      </w:hyperlink>
      <w:r w:rsidR="00DB568A" w:rsidRPr="00DA3C6E">
        <w:rPr>
          <w:noProof/>
        </w:rPr>
        <w:t xml:space="preserve">, </w:t>
      </w:r>
      <w:hyperlink w:anchor="_ENREF_5" w:tooltip="Taylor, 2000 #61" w:history="1">
        <w:r w:rsidR="00C04BCE" w:rsidRPr="00DA3C6E">
          <w:rPr>
            <w:noProof/>
          </w:rPr>
          <w:t>5</w:t>
        </w:r>
      </w:hyperlink>
      <w:r w:rsidR="00DB568A" w:rsidRPr="00DA3C6E">
        <w:rPr>
          <w:noProof/>
        </w:rPr>
        <w:t xml:space="preserve">, </w:t>
      </w:r>
      <w:hyperlink w:anchor="_ENREF_6" w:tooltip="Norris, 1993 #52" w:history="1">
        <w:r w:rsidR="00C04BCE" w:rsidRPr="00DA3C6E">
          <w:rPr>
            <w:noProof/>
          </w:rPr>
          <w:t>6</w:t>
        </w:r>
      </w:hyperlink>
      <w:r w:rsidR="00DB568A" w:rsidRPr="00DA3C6E">
        <w:rPr>
          <w:noProof/>
        </w:rPr>
        <w:t>)</w:t>
      </w:r>
      <w:r w:rsidR="00DB568A" w:rsidRPr="00DA3C6E">
        <w:fldChar w:fldCharType="end"/>
      </w:r>
      <w:r w:rsidRPr="00DA3C6E">
        <w:t xml:space="preserve">. </w:t>
      </w:r>
    </w:p>
    <w:p w14:paraId="341A4160" w14:textId="058000F1" w:rsidR="00C44F6A" w:rsidRPr="00DA3C6E" w:rsidRDefault="00C44F6A" w:rsidP="00C836F2">
      <w:r w:rsidRPr="00DA3C6E">
        <w:t>In Australia, Ig products are available through the NBA that manages and coordinates arrangements for the supply of blood and blood products. The NBA, through The Criteria for the clinical use of Ig in Australia (hereafter - The Criteria), defines the circumstances for which the use of Ig is clinically appropriate and for which patients can access publicly funded Ig, under the National Blood Agreement. The Criteria for the use of Ig for the treatment of MMN were updated in 2018 with the aim of limiting inappropriate use and avoiding leakage. The latest version of The Criteria is Version 3</w:t>
      </w:r>
      <w:r w:rsidR="00667BD9" w:rsidRPr="00DA3C6E">
        <w:t xml:space="preserve"> (V3)</w:t>
      </w:r>
      <w:r w:rsidRPr="00DA3C6E">
        <w:t xml:space="preserve"> which differs from Version 2 </w:t>
      </w:r>
      <w:r w:rsidR="00667BD9" w:rsidRPr="00DA3C6E">
        <w:t xml:space="preserve">(V2) </w:t>
      </w:r>
      <w:r w:rsidRPr="00DA3C6E">
        <w:t xml:space="preserve">in the following points </w:t>
      </w:r>
      <w:r w:rsidR="00DB568A" w:rsidRPr="00DA3C6E">
        <w:fldChar w:fldCharType="begin"/>
      </w:r>
      <w:r w:rsidR="00DB568A" w:rsidRPr="00DA3C6E">
        <w:instrText xml:space="preserve"> ADDIN EN.CITE &lt;EndNote&gt;&lt;Cite&gt;&lt;Author&gt;BloodSTAR&lt;/Author&gt;&lt;Year&gt;2018&lt;/Year&gt;&lt;RecNum&gt;9&lt;/RecNum&gt;&lt;DisplayText&gt;(3)&lt;/DisplayText&gt;&lt;record&gt;&lt;rec-number&gt;9&lt;/rec-number&gt;&lt;foreign-keys&gt;&lt;key app="EN" db-id="0992p2ztn5fez9e2wvnpw2xstd20f9w2dezz" timestamp="1586818281"&gt;9&lt;/key&gt;&lt;/foreign-keys&gt;&lt;ref-type name="Journal Article"&gt;17&lt;/ref-type&gt;&lt;contributors&gt;&lt;authors&gt;&lt;author&gt;BloodSTAR&lt;/author&gt;&lt;/authors&gt;&lt;/contributors&gt;&lt;titles&gt;&lt;title&gt;Current Ig use in Australia: Multifocal motor neuropathy&lt;/title&gt;&lt;/titles&gt;&lt;pages&gt;7&lt;/pages&gt;&lt;dates&gt;&lt;year&gt;2018&lt;/year&gt;&lt;/dates&gt;&lt;urls&gt;&lt;related-urls&gt;&lt;url&gt; (https://www.criteria.blood.gov.au/MedicalCondition/View/2558).&lt;/url&gt;&lt;/related-urls&gt;&lt;/urls&gt;&lt;/record&gt;&lt;/Cite&gt;&lt;/EndNote&gt;</w:instrText>
      </w:r>
      <w:r w:rsidR="00DB568A" w:rsidRPr="00DA3C6E">
        <w:fldChar w:fldCharType="separate"/>
      </w:r>
      <w:r w:rsidR="00DB568A" w:rsidRPr="00DA3C6E">
        <w:rPr>
          <w:noProof/>
        </w:rPr>
        <w:t>(</w:t>
      </w:r>
      <w:hyperlink w:anchor="_ENREF_3" w:tooltip="BloodSTAR, 2018 #9" w:history="1">
        <w:r w:rsidR="00C04BCE" w:rsidRPr="00DA3C6E">
          <w:rPr>
            <w:noProof/>
          </w:rPr>
          <w:t>3</w:t>
        </w:r>
      </w:hyperlink>
      <w:r w:rsidR="00DB568A" w:rsidRPr="00DA3C6E">
        <w:rPr>
          <w:noProof/>
        </w:rPr>
        <w:t>)</w:t>
      </w:r>
      <w:r w:rsidR="00DB568A" w:rsidRPr="00DA3C6E">
        <w:fldChar w:fldCharType="end"/>
      </w:r>
      <w:r w:rsidRPr="00DA3C6E">
        <w:t>:</w:t>
      </w:r>
    </w:p>
    <w:p w14:paraId="6E4AC93A" w14:textId="77777777" w:rsidR="00C44F6A" w:rsidRPr="00DA3C6E" w:rsidRDefault="00C44F6A" w:rsidP="0073359F">
      <w:pPr>
        <w:pStyle w:val="ListParagraph"/>
        <w:numPr>
          <w:ilvl w:val="0"/>
          <w:numId w:val="55"/>
        </w:numPr>
        <w:rPr>
          <w:rFonts w:eastAsia="MS Gothic"/>
          <w:lang w:eastAsia="en-US"/>
        </w:rPr>
      </w:pPr>
      <w:r w:rsidRPr="00DA3C6E">
        <w:rPr>
          <w:rFonts w:eastAsia="MS Gothic"/>
          <w:lang w:eastAsia="en-US"/>
        </w:rPr>
        <w:lastRenderedPageBreak/>
        <w:t>Restricts the initial use of Ig to patients who have a progressive motor weakness and have minimum level of disability as per the overall neuropathy limitations scale (ONLS) score of two points;</w:t>
      </w:r>
    </w:p>
    <w:p w14:paraId="4616AF9B" w14:textId="77777777" w:rsidR="00C44F6A" w:rsidRPr="00DA3C6E" w:rsidRDefault="00C44F6A" w:rsidP="0073359F">
      <w:pPr>
        <w:pStyle w:val="ListParagraph"/>
        <w:numPr>
          <w:ilvl w:val="0"/>
          <w:numId w:val="55"/>
        </w:numPr>
        <w:rPr>
          <w:rFonts w:eastAsia="MS Gothic"/>
          <w:lang w:eastAsia="en-US"/>
        </w:rPr>
      </w:pPr>
      <w:r w:rsidRPr="00DA3C6E">
        <w:rPr>
          <w:rFonts w:eastAsia="MS Gothic"/>
          <w:lang w:eastAsia="en-US"/>
        </w:rPr>
        <w:t xml:space="preserve">Introduces a restriction for treatment re-initiation in patients who relapse; </w:t>
      </w:r>
    </w:p>
    <w:p w14:paraId="6F5B98C2" w14:textId="77777777" w:rsidR="00C44F6A" w:rsidRPr="00DA3C6E" w:rsidRDefault="00C44F6A" w:rsidP="0073359F">
      <w:pPr>
        <w:pStyle w:val="ListParagraph"/>
        <w:numPr>
          <w:ilvl w:val="0"/>
          <w:numId w:val="55"/>
        </w:numPr>
        <w:rPr>
          <w:rFonts w:eastAsia="MS Gothic"/>
          <w:lang w:eastAsia="en-US"/>
        </w:rPr>
      </w:pPr>
      <w:r w:rsidRPr="00DA3C6E">
        <w:rPr>
          <w:rFonts w:eastAsia="MS Gothic"/>
          <w:lang w:eastAsia="en-US"/>
        </w:rPr>
        <w:t>Expands on the exclusion criteria for diagnosing MMN; and</w:t>
      </w:r>
    </w:p>
    <w:p w14:paraId="2800474F" w14:textId="12B435D4" w:rsidR="00C44F6A" w:rsidRPr="00DA3C6E" w:rsidRDefault="00C44F6A" w:rsidP="0073359F">
      <w:pPr>
        <w:pStyle w:val="ListParagraph"/>
        <w:numPr>
          <w:ilvl w:val="0"/>
          <w:numId w:val="55"/>
        </w:numPr>
        <w:rPr>
          <w:rFonts w:eastAsia="MS Gothic"/>
          <w:lang w:eastAsia="en-US"/>
        </w:rPr>
      </w:pPr>
      <w:r w:rsidRPr="00DA3C6E">
        <w:rPr>
          <w:rFonts w:eastAsia="MS Gothic"/>
          <w:lang w:eastAsia="en-US"/>
        </w:rPr>
        <w:t>Recommends</w:t>
      </w:r>
      <w:r w:rsidR="00CB7A05" w:rsidRPr="00DA3C6E">
        <w:rPr>
          <w:rFonts w:eastAsia="MS Gothic"/>
          <w:lang w:eastAsia="en-US"/>
        </w:rPr>
        <w:t xml:space="preserve"> a</w:t>
      </w:r>
      <w:r w:rsidRPr="00DA3C6E">
        <w:rPr>
          <w:rFonts w:eastAsia="MS Gothic"/>
          <w:lang w:eastAsia="en-US"/>
        </w:rPr>
        <w:t xml:space="preserve"> lower dose range for the induction phase of treatment in patients who relapse (1-2 g/kg versus 2g/kg).  </w:t>
      </w:r>
    </w:p>
    <w:p w14:paraId="2DBC6CDB" w14:textId="77777777" w:rsidR="00C44F6A" w:rsidRPr="00DA3C6E" w:rsidRDefault="00C44F6A" w:rsidP="00C836F2">
      <w:pPr>
        <w:rPr>
          <w:rFonts w:eastAsia="MS Gothic"/>
          <w:lang w:eastAsia="en-US"/>
        </w:rPr>
      </w:pPr>
      <w:r w:rsidRPr="00DA3C6E">
        <w:rPr>
          <w:rFonts w:eastAsia="MS Gothic"/>
          <w:lang w:eastAsia="en-US"/>
        </w:rPr>
        <w:t xml:space="preserve">The current contracted assessment incorporated the changes reflected in The Criteria V3. </w:t>
      </w:r>
    </w:p>
    <w:p w14:paraId="30A8C827" w14:textId="17A0C9D6" w:rsidR="00C44F6A" w:rsidRPr="00DA3C6E" w:rsidRDefault="00C44F6A" w:rsidP="00C836F2">
      <w:pPr>
        <w:rPr>
          <w:rFonts w:eastAsia="MS Gothic"/>
          <w:lang w:eastAsia="en-US"/>
        </w:rPr>
      </w:pPr>
      <w:r w:rsidRPr="00DA3C6E">
        <w:rPr>
          <w:rFonts w:eastAsia="MS Gothic"/>
          <w:lang w:eastAsia="en-US"/>
        </w:rPr>
        <w:t xml:space="preserve">In the Australian setting, Ig for the treatment of MMN </w:t>
      </w:r>
      <w:r w:rsidR="00B86C32" w:rsidRPr="00DA3C6E">
        <w:rPr>
          <w:rFonts w:eastAsia="MS Gothic"/>
          <w:lang w:eastAsia="en-US"/>
        </w:rPr>
        <w:t xml:space="preserve">is </w:t>
      </w:r>
      <w:r w:rsidRPr="00DA3C6E">
        <w:rPr>
          <w:rFonts w:eastAsia="MS Gothic"/>
          <w:lang w:eastAsia="en-US"/>
        </w:rPr>
        <w:t xml:space="preserve">administered intravenously only and is considered the standard of care. The subcutaneous form of Ig (SCIg) is not funded by the NBA for the treatment of MMN, although evidence from a randomised controlled trial </w:t>
      </w:r>
      <w:r w:rsidR="00E52B2F" w:rsidRPr="00DA3C6E">
        <w:rPr>
          <w:rFonts w:eastAsia="MS Gothic"/>
          <w:lang w:eastAsia="en-US"/>
        </w:rPr>
        <w:t>(</w:t>
      </w:r>
      <w:r w:rsidR="001A5507" w:rsidRPr="00DA3C6E">
        <w:rPr>
          <w:rFonts w:eastAsia="MS Gothic"/>
          <w:lang w:eastAsia="en-US"/>
        </w:rPr>
        <w:t>RCT</w:t>
      </w:r>
      <w:r w:rsidR="00E52B2F" w:rsidRPr="00DA3C6E">
        <w:rPr>
          <w:rFonts w:eastAsia="MS Gothic"/>
          <w:lang w:eastAsia="en-US"/>
        </w:rPr>
        <w:t>)</w:t>
      </w:r>
      <w:r w:rsidR="00165027">
        <w:rPr>
          <w:rFonts w:eastAsia="MS Gothic"/>
          <w:lang w:eastAsia="en-US"/>
        </w:rPr>
        <w:t xml:space="preserve"> </w:t>
      </w:r>
      <w:r w:rsidR="007810D6">
        <w:rPr>
          <w:rFonts w:eastAsia="MS Gothic"/>
          <w:lang w:eastAsia="en-US"/>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eastAsia="MS Gothic"/>
          <w:lang w:eastAsia="en-US"/>
        </w:rPr>
        <w:instrText xml:space="preserve"> ADDIN EN.CITE </w:instrText>
      </w:r>
      <w:r w:rsidR="007810D6">
        <w:rPr>
          <w:rFonts w:eastAsia="MS Gothic"/>
          <w:lang w:eastAsia="en-US"/>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eastAsia="MS Gothic"/>
          <w:lang w:eastAsia="en-US"/>
        </w:rPr>
        <w:instrText xml:space="preserve"> ADDIN EN.CITE.DATA </w:instrText>
      </w:r>
      <w:r w:rsidR="007810D6">
        <w:rPr>
          <w:rFonts w:eastAsia="MS Gothic"/>
          <w:lang w:eastAsia="en-US"/>
        </w:rPr>
      </w:r>
      <w:r w:rsidR="007810D6">
        <w:rPr>
          <w:rFonts w:eastAsia="MS Gothic"/>
          <w:lang w:eastAsia="en-US"/>
        </w:rPr>
        <w:fldChar w:fldCharType="end"/>
      </w:r>
      <w:r w:rsidR="007810D6">
        <w:rPr>
          <w:rFonts w:eastAsia="MS Gothic"/>
          <w:lang w:eastAsia="en-US"/>
        </w:rPr>
      </w:r>
      <w:r w:rsidR="007810D6">
        <w:rPr>
          <w:rFonts w:eastAsia="MS Gothic"/>
          <w:lang w:eastAsia="en-US"/>
        </w:rPr>
        <w:fldChar w:fldCharType="separate"/>
      </w:r>
      <w:r w:rsidR="007810D6">
        <w:rPr>
          <w:rFonts w:eastAsia="MS Gothic"/>
          <w:noProof/>
          <w:lang w:eastAsia="en-US"/>
        </w:rPr>
        <w:t>(</w:t>
      </w:r>
      <w:hyperlink w:anchor="_ENREF_7" w:tooltip="Harbo, 2009 #27" w:history="1">
        <w:r w:rsidR="00C04BCE">
          <w:rPr>
            <w:rFonts w:eastAsia="MS Gothic"/>
            <w:noProof/>
            <w:lang w:eastAsia="en-US"/>
          </w:rPr>
          <w:t>7</w:t>
        </w:r>
      </w:hyperlink>
      <w:r w:rsidR="007810D6">
        <w:rPr>
          <w:rFonts w:eastAsia="MS Gothic"/>
          <w:noProof/>
          <w:lang w:eastAsia="en-US"/>
        </w:rPr>
        <w:t>)</w:t>
      </w:r>
      <w:r w:rsidR="007810D6">
        <w:rPr>
          <w:rFonts w:eastAsia="MS Gothic"/>
          <w:lang w:eastAsia="en-US"/>
        </w:rPr>
        <w:fldChar w:fldCharType="end"/>
      </w:r>
      <w:r w:rsidR="00E52B2F" w:rsidRPr="00DA3C6E">
        <w:rPr>
          <w:rFonts w:eastAsia="MS Gothic"/>
          <w:lang w:eastAsia="en-US"/>
        </w:rPr>
        <w:t xml:space="preserve"> </w:t>
      </w:r>
      <w:r w:rsidRPr="00DA3C6E">
        <w:rPr>
          <w:rFonts w:eastAsia="MS Gothic"/>
          <w:lang w:eastAsia="en-US"/>
        </w:rPr>
        <w:t xml:space="preserve">suggests that SCIg was as safe and effective as </w:t>
      </w:r>
      <w:r w:rsidR="00667BD9" w:rsidRPr="00DA3C6E">
        <w:rPr>
          <w:rFonts w:eastAsia="MS Gothic"/>
          <w:lang w:eastAsia="en-US"/>
        </w:rPr>
        <w:t>i</w:t>
      </w:r>
      <w:r w:rsidRPr="00DA3C6E">
        <w:rPr>
          <w:rFonts w:eastAsia="MS Gothic"/>
          <w:lang w:eastAsia="en-US"/>
        </w:rPr>
        <w:t xml:space="preserve">ntravenous Ig. </w:t>
      </w:r>
      <w:r w:rsidR="00E52B2F" w:rsidRPr="00DA3C6E">
        <w:rPr>
          <w:rFonts w:eastAsia="MS Gothic"/>
          <w:lang w:eastAsia="en-US"/>
        </w:rPr>
        <w:t>The potential impact of introducing the SCIg form to the NBA will be tested in a sensitivity analysis in Section D of this report assuming equi-effective doses.</w:t>
      </w:r>
    </w:p>
    <w:p w14:paraId="56135BA8" w14:textId="77777777" w:rsidR="00C44F6A" w:rsidRPr="00DA3C6E" w:rsidRDefault="00C44F6A" w:rsidP="00DB1214">
      <w:pPr>
        <w:pStyle w:val="Heading3"/>
        <w:rPr>
          <w:rFonts w:eastAsia="MS Gothic"/>
          <w:lang w:eastAsia="en-US"/>
        </w:rPr>
      </w:pPr>
      <w:bookmarkStart w:id="58" w:name="_Toc37845712"/>
      <w:r w:rsidRPr="00DA3C6E">
        <w:rPr>
          <w:rFonts w:eastAsia="MS Gothic"/>
          <w:lang w:eastAsia="en-US"/>
        </w:rPr>
        <w:t>Dosage and frequency</w:t>
      </w:r>
      <w:bookmarkEnd w:id="58"/>
    </w:p>
    <w:p w14:paraId="3FB00D8E" w14:textId="772CD887" w:rsidR="00C44F6A" w:rsidRPr="00DA3C6E" w:rsidRDefault="00C44F6A" w:rsidP="00E52B2F">
      <w:pPr>
        <w:rPr>
          <w:rFonts w:eastAsia="Calibri"/>
          <w:lang w:eastAsia="en-US"/>
        </w:rPr>
      </w:pPr>
      <w:r w:rsidRPr="00DA3C6E">
        <w:rPr>
          <w:rFonts w:eastAsia="Calibri"/>
          <w:lang w:eastAsia="en-US"/>
        </w:rPr>
        <w:t xml:space="preserve">The permissible dose of </w:t>
      </w:r>
      <w:r w:rsidR="00667BD9" w:rsidRPr="00DA3C6E">
        <w:rPr>
          <w:rFonts w:eastAsia="Calibri"/>
          <w:lang w:eastAsia="en-US"/>
        </w:rPr>
        <w:t>i</w:t>
      </w:r>
      <w:r w:rsidRPr="00DA3C6E">
        <w:rPr>
          <w:rFonts w:eastAsia="Calibri"/>
          <w:lang w:eastAsia="en-US"/>
        </w:rPr>
        <w:t xml:space="preserve">ntravenous Ig for each indication according to The Criteria V3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&lt;EndNote&gt;&lt;Cite&gt;&lt;Author&gt;BloodSTAR&lt;/Author&gt;&lt;Year&gt;2018&lt;/Year&gt;&lt;RecNum&gt;9&lt;/RecNum&gt;&lt;DisplayText&gt;(3)&lt;/DisplayText&gt;&lt;record&gt;&lt;rec-number&gt;9&lt;/rec-number&gt;&lt;foreign-keys&gt;&lt;key app="EN" db-id="0992p2ztn5fez9e2wvnpw2xstd20f9w2dezz" timestamp="1586818281"&gt;9&lt;/key&gt;&lt;/foreign-keys&gt;&lt;ref-type name="Journal Article"&gt;17&lt;/ref-type&gt;&lt;contributors&gt;&lt;authors&gt;&lt;author&gt;BloodSTAR&lt;/author&gt;&lt;/authors&gt;&lt;/contributors&gt;&lt;titles&gt;&lt;title&gt;Current Ig use in Australia: Multifocal motor neuropathy&lt;/title&gt;&lt;/titles&gt;&lt;pages&gt;7&lt;/pages&gt;&lt;dates&gt;&lt;year&gt;2018&lt;/year&gt;&lt;/dates&gt;&lt;urls&gt;&lt;related-urls&gt;&lt;url&gt; (https://www.criteria.blood.gov.au/MedicalCondition/View/2558).&lt;/url&gt;&lt;/related-urls&gt;&lt;/urls&gt;&lt;/record&gt;&lt;/Cite&gt;&lt;/EndNote&gt;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3" w:tooltip="BloodSTAR, 2018 #9" w:history="1">
        <w:r w:rsidR="00C04BCE" w:rsidRPr="00DA3C6E">
          <w:rPr>
            <w:rFonts w:eastAsia="Calibri"/>
            <w:noProof/>
            <w:lang w:eastAsia="en-US"/>
          </w:rPr>
          <w:t>3</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is presented in </w:t>
      </w:r>
      <w:r w:rsidRPr="00DA3C6E">
        <w:rPr>
          <w:rFonts w:eastAsia="Calibri"/>
          <w:lang w:eastAsia="en-US"/>
        </w:rPr>
        <w:fldChar w:fldCharType="begin"/>
      </w:r>
      <w:r w:rsidRPr="00DA3C6E">
        <w:rPr>
          <w:rFonts w:eastAsia="Calibri"/>
          <w:lang w:eastAsia="en-US"/>
        </w:rPr>
        <w:instrText xml:space="preserve"> REF _Ref25825294 \h  \* MERGEFORMAT </w:instrText>
      </w:r>
      <w:r w:rsidRPr="00DA3C6E">
        <w:rPr>
          <w:rFonts w:eastAsia="Calibri"/>
          <w:lang w:eastAsia="en-US"/>
        </w:rPr>
      </w:r>
      <w:r w:rsidRPr="00DA3C6E">
        <w:rPr>
          <w:rFonts w:eastAsia="Calibri"/>
          <w:lang w:eastAsia="en-US"/>
        </w:rPr>
        <w:fldChar w:fldCharType="separate"/>
      </w:r>
      <w:r w:rsidR="00EA5DC1" w:rsidRPr="00DA3C6E">
        <w:t xml:space="preserve">Table </w:t>
      </w:r>
      <w:r w:rsidR="00EA5DC1">
        <w:rPr>
          <w:noProof/>
        </w:rPr>
        <w:t>1</w:t>
      </w:r>
      <w:r w:rsidRPr="00DA3C6E">
        <w:rPr>
          <w:rFonts w:eastAsia="Calibri"/>
          <w:lang w:eastAsia="en-US"/>
        </w:rPr>
        <w:fldChar w:fldCharType="end"/>
      </w:r>
      <w:r w:rsidRPr="00DA3C6E">
        <w:rPr>
          <w:rFonts w:eastAsia="Calibri"/>
          <w:lang w:eastAsia="en-US"/>
        </w:rPr>
        <w:t>.</w:t>
      </w:r>
    </w:p>
    <w:p w14:paraId="6004CC09" w14:textId="77116EB5" w:rsidR="00C44F6A" w:rsidRPr="00DA3C6E" w:rsidRDefault="00C44F6A" w:rsidP="008651E8">
      <w:pPr>
        <w:pStyle w:val="Caption"/>
        <w:keepNext/>
        <w:keepLines/>
        <w:rPr>
          <w:rFonts w:eastAsia="Calibri" w:cs="Times New Roman"/>
          <w:szCs w:val="20"/>
          <w:lang w:eastAsia="en-US"/>
        </w:rPr>
      </w:pPr>
      <w:bookmarkStart w:id="59" w:name="_Ref25825294"/>
      <w:bookmarkStart w:id="60" w:name="_Toc30497448"/>
      <w:bookmarkStart w:id="61" w:name="_Toc37845804"/>
      <w:r w:rsidRPr="00DA3C6E">
        <w:t xml:space="preserve">Table </w:t>
      </w:r>
      <w:r w:rsidR="00515153">
        <w:fldChar w:fldCharType="begin"/>
      </w:r>
      <w:r w:rsidR="00515153">
        <w:instrText xml:space="preserve"> SEQ Table \* ARABIC </w:instrText>
      </w:r>
      <w:r w:rsidR="00515153">
        <w:fldChar w:fldCharType="separate"/>
      </w:r>
      <w:r w:rsidR="00EA5DC1">
        <w:rPr>
          <w:noProof/>
        </w:rPr>
        <w:t>1</w:t>
      </w:r>
      <w:r w:rsidR="00515153">
        <w:rPr>
          <w:noProof/>
        </w:rPr>
        <w:fldChar w:fldCharType="end"/>
      </w:r>
      <w:bookmarkEnd w:id="59"/>
      <w:r w:rsidRPr="00DA3C6E">
        <w:rPr>
          <w:rFonts w:eastAsia="Calibri" w:cs="Times New Roman"/>
          <w:szCs w:val="20"/>
          <w:lang w:eastAsia="en-US"/>
        </w:rPr>
        <w:t xml:space="preserve">: Current effective dose of </w:t>
      </w:r>
      <w:r w:rsidR="00667BD9" w:rsidRPr="00DA3C6E">
        <w:rPr>
          <w:rFonts w:eastAsia="Calibri" w:cs="Times New Roman"/>
          <w:szCs w:val="20"/>
          <w:lang w:eastAsia="en-US"/>
        </w:rPr>
        <w:t>i</w:t>
      </w:r>
      <w:r w:rsidRPr="00DA3C6E">
        <w:rPr>
          <w:rFonts w:eastAsia="Calibri" w:cs="Times New Roman"/>
          <w:szCs w:val="20"/>
          <w:lang w:eastAsia="en-US"/>
        </w:rPr>
        <w:t>ntravenous Ig for MMN in Australia as established in The Criteria</w:t>
      </w:r>
      <w:bookmarkEnd w:id="60"/>
      <w:r w:rsidRPr="00DA3C6E">
        <w:rPr>
          <w:rFonts w:eastAsia="Calibri" w:cs="Times New Roman"/>
          <w:szCs w:val="20"/>
          <w:lang w:eastAsia="en-US"/>
        </w:rPr>
        <w:t xml:space="preserve"> V3</w:t>
      </w:r>
      <w:r w:rsidR="00667BD9" w:rsidRPr="00DA3C6E">
        <w:rPr>
          <w:rFonts w:eastAsia="Calibri" w:cs="Times New Roman"/>
          <w:i/>
          <w:szCs w:val="20"/>
          <w:lang w:eastAsia="en-US"/>
        </w:rPr>
        <w:t>.</w:t>
      </w:r>
      <w:bookmarkEnd w:id="61"/>
    </w:p>
    <w:tbl>
      <w:tblPr>
        <w:tblStyle w:val="TableGrid8"/>
        <w:tblW w:w="0" w:type="auto"/>
        <w:tblLook w:val="04A0" w:firstRow="1" w:lastRow="0" w:firstColumn="1" w:lastColumn="0" w:noHBand="0" w:noVBand="1"/>
        <w:tblCaption w:val="Table 1: Current effective dose of intravenous Ig for MMN in Australia as established in The Criteria V3."/>
      </w:tblPr>
      <w:tblGrid>
        <w:gridCol w:w="1980"/>
        <w:gridCol w:w="7036"/>
      </w:tblGrid>
      <w:tr w:rsidR="00C44F6A" w:rsidRPr="00DA3C6E" w14:paraId="2B8580CD" w14:textId="77777777" w:rsidTr="00D2465D">
        <w:trPr>
          <w:tblHeader/>
        </w:trPr>
        <w:tc>
          <w:tcPr>
            <w:tcW w:w="1980" w:type="dxa"/>
            <w:vAlign w:val="center"/>
          </w:tcPr>
          <w:p w14:paraId="3314721A" w14:textId="77777777" w:rsidR="00C44F6A" w:rsidRPr="00DA3C6E" w:rsidRDefault="00C44F6A" w:rsidP="008651E8">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Indication </w:t>
            </w:r>
          </w:p>
        </w:tc>
        <w:tc>
          <w:tcPr>
            <w:tcW w:w="7036" w:type="dxa"/>
            <w:vAlign w:val="center"/>
          </w:tcPr>
          <w:p w14:paraId="326A1A73" w14:textId="77777777" w:rsidR="00C44F6A" w:rsidRPr="00DA3C6E" w:rsidRDefault="00C44F6A" w:rsidP="008651E8">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Dose </w:t>
            </w:r>
          </w:p>
        </w:tc>
      </w:tr>
      <w:tr w:rsidR="00C44F6A" w:rsidRPr="00DA3C6E" w14:paraId="06C358A0" w14:textId="77777777" w:rsidTr="00D2465D">
        <w:tc>
          <w:tcPr>
            <w:tcW w:w="1980" w:type="dxa"/>
            <w:vAlign w:val="center"/>
          </w:tcPr>
          <w:p w14:paraId="3BAAF5D7" w14:textId="77777777" w:rsidR="00C44F6A" w:rsidRPr="00DA3C6E" w:rsidRDefault="00667BD9" w:rsidP="008651E8">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w:t>
            </w:r>
            <w:r w:rsidR="00C44F6A" w:rsidRPr="00DA3C6E">
              <w:rPr>
                <w:rFonts w:ascii="Arial Narrow" w:eastAsia="Calibri" w:hAnsi="Arial Narrow" w:cstheme="minorHAnsi"/>
                <w:sz w:val="20"/>
                <w:szCs w:val="20"/>
              </w:rPr>
              <w:t>First-line and maintenance therapy for MMN</w:t>
            </w:r>
            <w:r w:rsidRPr="00DA3C6E">
              <w:rPr>
                <w:rFonts w:ascii="Arial Narrow" w:eastAsia="Calibri" w:hAnsi="Arial Narrow" w:cstheme="minorHAnsi"/>
                <w:sz w:val="20"/>
                <w:szCs w:val="20"/>
              </w:rPr>
              <w:t>’</w:t>
            </w:r>
          </w:p>
        </w:tc>
        <w:tc>
          <w:tcPr>
            <w:tcW w:w="7036" w:type="dxa"/>
            <w:vAlign w:val="center"/>
          </w:tcPr>
          <w:p w14:paraId="28A609E1" w14:textId="77777777" w:rsidR="00C44F6A" w:rsidRPr="00DA3C6E" w:rsidRDefault="00C44F6A" w:rsidP="008651E8">
            <w:pPr>
              <w:keepNext/>
              <w:spacing w:after="0" w:line="276" w:lineRule="auto"/>
              <w:rPr>
                <w:rFonts w:ascii="Arial Narrow" w:eastAsia="Calibri" w:hAnsi="Arial Narrow" w:cstheme="minorHAnsi"/>
                <w:bCs/>
                <w:sz w:val="20"/>
                <w:szCs w:val="20"/>
                <w:u w:val="single"/>
              </w:rPr>
            </w:pPr>
            <w:r w:rsidRPr="00DA3C6E">
              <w:rPr>
                <w:rFonts w:ascii="Arial Narrow" w:eastAsia="Calibri" w:hAnsi="Arial Narrow" w:cstheme="minorHAnsi"/>
                <w:bCs/>
                <w:sz w:val="20"/>
                <w:szCs w:val="20"/>
                <w:u w:val="single"/>
              </w:rPr>
              <w:t xml:space="preserve">Induction dose </w:t>
            </w:r>
          </w:p>
          <w:p w14:paraId="04D5CF3D" w14:textId="77777777" w:rsidR="00C44F6A" w:rsidRPr="00DA3C6E" w:rsidRDefault="00C44F6A" w:rsidP="008651E8">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2 g/kg divided in 2 to 5 doses.</w:t>
            </w:r>
          </w:p>
          <w:p w14:paraId="197C0A1D" w14:textId="77777777" w:rsidR="00C44F6A" w:rsidRPr="00DA3C6E" w:rsidRDefault="00C44F6A" w:rsidP="008651E8">
            <w:pPr>
              <w:keepNext/>
              <w:spacing w:after="0" w:line="276" w:lineRule="auto"/>
              <w:rPr>
                <w:rFonts w:ascii="Arial Narrow" w:eastAsia="Calibri" w:hAnsi="Arial Narrow" w:cstheme="minorHAnsi"/>
                <w:sz w:val="20"/>
                <w:szCs w:val="20"/>
                <w:u w:val="single"/>
              </w:rPr>
            </w:pPr>
            <w:r w:rsidRPr="00DA3C6E">
              <w:rPr>
                <w:rFonts w:ascii="Arial Narrow" w:eastAsia="Calibri" w:hAnsi="Arial Narrow" w:cstheme="minorHAnsi"/>
                <w:bCs/>
                <w:sz w:val="20"/>
                <w:szCs w:val="20"/>
                <w:u w:val="single"/>
              </w:rPr>
              <w:t xml:space="preserve">Maintenance dose </w:t>
            </w:r>
            <w:r w:rsidRPr="00DA3C6E">
              <w:rPr>
                <w:rFonts w:ascii="Arial Narrow" w:eastAsia="Calibri" w:hAnsi="Arial Narrow" w:cstheme="minorHAnsi"/>
                <w:sz w:val="20"/>
                <w:szCs w:val="20"/>
                <w:u w:val="single"/>
              </w:rPr>
              <w:t xml:space="preserve"> </w:t>
            </w:r>
          </w:p>
          <w:p w14:paraId="469CC1CB" w14:textId="77777777" w:rsidR="00C44F6A" w:rsidRPr="00DA3C6E" w:rsidRDefault="00C44F6A" w:rsidP="008651E8">
            <w:pPr>
              <w:keepNext/>
              <w:spacing w:after="0" w:line="276" w:lineRule="auto"/>
              <w:rPr>
                <w:rFonts w:ascii="Arial Narrow" w:eastAsia="Calibri" w:hAnsi="Arial Narrow" w:cstheme="minorHAnsi"/>
                <w:i/>
                <w:sz w:val="20"/>
                <w:szCs w:val="20"/>
              </w:rPr>
            </w:pPr>
            <w:r w:rsidRPr="00DA3C6E">
              <w:rPr>
                <w:rFonts w:ascii="Arial Narrow" w:eastAsia="Calibri" w:hAnsi="Arial Narrow" w:cstheme="minorHAnsi"/>
                <w:sz w:val="20"/>
                <w:szCs w:val="20"/>
              </w:rPr>
              <w:t xml:space="preserve">0.4–1 g/kg, 2–6 weekly. The amount per dose should be titrated to the individual’s response, up to a maximum dose of 2 g/kg in any 4 week period. This might be administered in divided doses. The aim should be to use the lowest dose possible that achieves the appropriate clinical outcome for each patient. </w:t>
            </w:r>
          </w:p>
        </w:tc>
      </w:tr>
      <w:tr w:rsidR="00C44F6A" w:rsidRPr="00DA3C6E" w14:paraId="6327B46D" w14:textId="77777777" w:rsidTr="00D2465D">
        <w:tc>
          <w:tcPr>
            <w:tcW w:w="1980" w:type="dxa"/>
            <w:vAlign w:val="center"/>
          </w:tcPr>
          <w:p w14:paraId="0F2B975E" w14:textId="77777777" w:rsidR="00C44F6A" w:rsidRPr="00DA3C6E" w:rsidRDefault="00667BD9" w:rsidP="008651E8">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w:t>
            </w:r>
            <w:r w:rsidR="00C44F6A" w:rsidRPr="00DA3C6E">
              <w:rPr>
                <w:rFonts w:ascii="Arial Narrow" w:eastAsia="Calibri" w:hAnsi="Arial Narrow" w:cstheme="minorHAnsi"/>
                <w:sz w:val="20"/>
                <w:szCs w:val="20"/>
              </w:rPr>
              <w:t>Relapse of MMN patients within six months of commencement of a trial off Ig therapy</w:t>
            </w:r>
            <w:r w:rsidRPr="00DA3C6E">
              <w:rPr>
                <w:rFonts w:ascii="Arial Narrow" w:eastAsia="Calibri" w:hAnsi="Arial Narrow" w:cstheme="minorHAnsi"/>
                <w:sz w:val="20"/>
                <w:szCs w:val="20"/>
              </w:rPr>
              <w:t>’</w:t>
            </w:r>
            <w:r w:rsidR="00C44F6A" w:rsidRPr="00DA3C6E">
              <w:rPr>
                <w:rFonts w:ascii="Arial Narrow" w:eastAsia="Calibri" w:hAnsi="Arial Narrow" w:cstheme="minorHAnsi"/>
                <w:sz w:val="20"/>
                <w:szCs w:val="20"/>
              </w:rPr>
              <w:t xml:space="preserve"> </w:t>
            </w:r>
          </w:p>
        </w:tc>
        <w:tc>
          <w:tcPr>
            <w:tcW w:w="7036" w:type="dxa"/>
            <w:vAlign w:val="center"/>
          </w:tcPr>
          <w:p w14:paraId="165AAF31" w14:textId="77777777" w:rsidR="00C44F6A" w:rsidRPr="00DA3C6E" w:rsidRDefault="00C44F6A" w:rsidP="008651E8">
            <w:pPr>
              <w:keepNext/>
              <w:spacing w:after="0" w:line="276" w:lineRule="auto"/>
              <w:rPr>
                <w:rFonts w:ascii="Arial Narrow" w:eastAsia="Calibri" w:hAnsi="Arial Narrow" w:cstheme="minorHAnsi"/>
                <w:bCs/>
                <w:sz w:val="20"/>
                <w:szCs w:val="20"/>
                <w:u w:val="single"/>
              </w:rPr>
            </w:pPr>
            <w:r w:rsidRPr="00DA3C6E">
              <w:rPr>
                <w:rFonts w:ascii="Arial Narrow" w:eastAsia="Calibri" w:hAnsi="Arial Narrow" w:cstheme="minorHAnsi"/>
                <w:bCs/>
                <w:sz w:val="20"/>
                <w:szCs w:val="20"/>
                <w:u w:val="single"/>
              </w:rPr>
              <w:t xml:space="preserve">Induction Dose </w:t>
            </w:r>
          </w:p>
          <w:p w14:paraId="2FFFAD90" w14:textId="77777777" w:rsidR="00C44F6A" w:rsidRPr="00DA3C6E" w:rsidRDefault="00C44F6A" w:rsidP="008651E8">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1-2 g/kg divided in 2 to 5 doses.</w:t>
            </w:r>
          </w:p>
          <w:p w14:paraId="7EB24114" w14:textId="77777777" w:rsidR="00C44F6A" w:rsidRPr="00DA3C6E" w:rsidRDefault="00C44F6A" w:rsidP="008651E8">
            <w:pPr>
              <w:keepNext/>
              <w:spacing w:after="0" w:line="276" w:lineRule="auto"/>
              <w:rPr>
                <w:rFonts w:ascii="Arial Narrow" w:eastAsia="Calibri" w:hAnsi="Arial Narrow" w:cstheme="minorHAnsi"/>
                <w:sz w:val="20"/>
                <w:szCs w:val="20"/>
                <w:u w:val="single"/>
              </w:rPr>
            </w:pPr>
            <w:r w:rsidRPr="00DA3C6E">
              <w:rPr>
                <w:rFonts w:ascii="Arial Narrow" w:eastAsia="Calibri" w:hAnsi="Arial Narrow" w:cstheme="minorHAnsi"/>
                <w:bCs/>
                <w:sz w:val="20"/>
                <w:szCs w:val="20"/>
                <w:u w:val="single"/>
              </w:rPr>
              <w:t xml:space="preserve">Maintenance Dose </w:t>
            </w:r>
            <w:r w:rsidRPr="00DA3C6E">
              <w:rPr>
                <w:rFonts w:ascii="Arial Narrow" w:eastAsia="Calibri" w:hAnsi="Arial Narrow" w:cstheme="minorHAnsi"/>
                <w:sz w:val="20"/>
                <w:szCs w:val="20"/>
                <w:u w:val="single"/>
              </w:rPr>
              <w:t xml:space="preserve"> </w:t>
            </w:r>
          </w:p>
          <w:p w14:paraId="17779F51" w14:textId="77777777" w:rsidR="00C44F6A" w:rsidRPr="00DA3C6E" w:rsidRDefault="00C44F6A" w:rsidP="008651E8">
            <w:pPr>
              <w:keepNext/>
              <w:spacing w:after="0" w:line="276" w:lineRule="auto"/>
              <w:rPr>
                <w:rFonts w:ascii="Arial Narrow" w:eastAsia="Calibri" w:hAnsi="Arial Narrow" w:cstheme="minorHAnsi"/>
                <w:i/>
                <w:sz w:val="20"/>
                <w:szCs w:val="20"/>
              </w:rPr>
            </w:pPr>
            <w:r w:rsidRPr="00DA3C6E">
              <w:rPr>
                <w:rFonts w:ascii="Arial Narrow" w:eastAsia="Calibri" w:hAnsi="Arial Narrow" w:cstheme="minorHAnsi"/>
                <w:sz w:val="20"/>
                <w:szCs w:val="20"/>
              </w:rPr>
              <w:t>0.4–1 g/kg, 2–6 weekly. The amount per dose should be titrated to the individual’s response, up to a maximum dose of 2 g/kg in any 4 week period. This might be by smaller doses more frequently than fortnightly. The aim should be to use the lowest dose possible that achieves the appropriate clinical outcome for each patient.</w:t>
            </w:r>
          </w:p>
        </w:tc>
      </w:tr>
    </w:tbl>
    <w:p w14:paraId="054196D0" w14:textId="77777777" w:rsidR="00C44F6A" w:rsidRPr="00DA3C6E" w:rsidRDefault="00C44F6A" w:rsidP="003B6AD6">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Abbreviations: g = gram; Ig = immunoglobulin; kg = kilogram; MMN = multifocal motor neuropathy.</w:t>
      </w:r>
    </w:p>
    <w:p w14:paraId="40435B8A" w14:textId="77777777" w:rsidR="00C44F6A" w:rsidRPr="00DA3C6E" w:rsidRDefault="00C44F6A" w:rsidP="003B6AD6">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Note: For both indications the aim should be to use the lowest dose possible that achieves the appropriate clinical outcome for each patient. Refer to the current product information sheet for further information on dose, administration and contraindications.</w:t>
      </w:r>
    </w:p>
    <w:p w14:paraId="731B9CE3" w14:textId="6B4F4409" w:rsidR="00C44F6A" w:rsidRPr="00DA3C6E" w:rsidRDefault="00C44F6A" w:rsidP="003B6AD6">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Source: BloodSTAR (2018). The Criteria for clinical use of immunoglobulin in Australia (the Criteria); multifocal motor neuropathy, Version 3 (</w:t>
      </w:r>
      <w:hyperlink r:id="rId17" w:history="1">
        <w:r w:rsidRPr="00DA3C6E">
          <w:rPr>
            <w:rFonts w:ascii="Arial Narrow" w:eastAsia="Calibri" w:hAnsi="Arial Narrow" w:cs="Times New Roman"/>
            <w:color w:val="0000FF"/>
            <w:sz w:val="18"/>
            <w:szCs w:val="18"/>
            <w:u w:val="single"/>
            <w:lang w:eastAsia="en-US"/>
          </w:rPr>
          <w:t>https://www.criteria.blood.gov.au/MedicalCondition/View/2558</w:t>
        </w:r>
      </w:hyperlink>
      <w:r w:rsidR="00CB7A05" w:rsidRPr="00DA3C6E">
        <w:rPr>
          <w:rFonts w:ascii="Arial Narrow" w:eastAsia="Calibri" w:hAnsi="Arial Narrow" w:cs="Times New Roman"/>
          <w:color w:val="0000FF"/>
          <w:sz w:val="18"/>
          <w:szCs w:val="18"/>
          <w:u w:val="single"/>
          <w:lang w:eastAsia="en-US"/>
        </w:rPr>
        <w:t xml:space="preserve"> accessed September 2019</w:t>
      </w:r>
      <w:r w:rsidRPr="00DA3C6E">
        <w:rPr>
          <w:rFonts w:ascii="Arial Narrow" w:eastAsia="Calibri" w:hAnsi="Arial Narrow" w:cs="Times New Roman"/>
          <w:sz w:val="18"/>
          <w:szCs w:val="18"/>
          <w:lang w:eastAsia="en-US"/>
        </w:rPr>
        <w:t>).</w:t>
      </w:r>
    </w:p>
    <w:p w14:paraId="055EB5EB" w14:textId="77777777" w:rsidR="00C44F6A" w:rsidRPr="00DA3C6E" w:rsidRDefault="00C44F6A" w:rsidP="00C44F6A">
      <w:pPr>
        <w:pStyle w:val="Heading3"/>
      </w:pPr>
      <w:bookmarkStart w:id="62" w:name="_Toc37845713"/>
      <w:r w:rsidRPr="00DA3C6E">
        <w:lastRenderedPageBreak/>
        <w:t>Marketing status of Intravenous Ig</w:t>
      </w:r>
      <w:bookmarkEnd w:id="62"/>
      <w:r w:rsidRPr="00DA3C6E">
        <w:t xml:space="preserve"> </w:t>
      </w:r>
    </w:p>
    <w:p w14:paraId="1D7598D1" w14:textId="772007C6" w:rsidR="00C44F6A" w:rsidRPr="00DA3C6E" w:rsidRDefault="00C44F6A" w:rsidP="00C44F6A">
      <w:pPr>
        <w:spacing w:after="120" w:line="276" w:lineRule="auto"/>
        <w:rPr>
          <w:rFonts w:eastAsia="Calibri" w:cs="Times New Roman"/>
          <w:lang w:eastAsia="en-US"/>
        </w:rPr>
      </w:pPr>
      <w:r w:rsidRPr="00DA3C6E">
        <w:rPr>
          <w:rFonts w:eastAsia="Calibri" w:cs="Times New Roman"/>
          <w:lang w:eastAsia="en-US"/>
        </w:rPr>
        <w:t xml:space="preserve">The available alternative presentations of </w:t>
      </w:r>
      <w:r w:rsidR="00E35C5E" w:rsidRPr="00DA3C6E">
        <w:rPr>
          <w:rFonts w:eastAsia="Calibri" w:cs="Times New Roman"/>
          <w:lang w:eastAsia="en-US"/>
        </w:rPr>
        <w:t>i</w:t>
      </w:r>
      <w:r w:rsidRPr="00DA3C6E">
        <w:rPr>
          <w:rFonts w:eastAsia="Calibri" w:cs="Times New Roman"/>
          <w:lang w:eastAsia="en-US"/>
        </w:rPr>
        <w:t>ntravenous Ig registered by the TGA for the potential treatment of MMN in Australia are summarised in</w:t>
      </w:r>
      <w:r w:rsidR="003D17A8" w:rsidRPr="00DA3C6E">
        <w:rPr>
          <w:rFonts w:eastAsia="Calibri" w:cs="Times New Roman"/>
          <w:lang w:eastAsia="en-US"/>
        </w:rPr>
        <w:t xml:space="preserve"> </w:t>
      </w:r>
      <w:r w:rsidR="003D17A8" w:rsidRPr="00DA3C6E">
        <w:rPr>
          <w:rFonts w:eastAsia="Calibri" w:cs="Times New Roman"/>
          <w:lang w:eastAsia="en-US"/>
        </w:rPr>
        <w:fldChar w:fldCharType="begin"/>
      </w:r>
      <w:r w:rsidR="003D17A8" w:rsidRPr="00DA3C6E">
        <w:rPr>
          <w:rFonts w:eastAsia="Calibri" w:cs="Times New Roman"/>
          <w:lang w:eastAsia="en-US"/>
        </w:rPr>
        <w:instrText xml:space="preserve"> REF _Ref31115263 \h </w:instrText>
      </w:r>
      <w:r w:rsidR="00E8759F" w:rsidRPr="00DA3C6E">
        <w:rPr>
          <w:rFonts w:eastAsia="Calibri" w:cs="Times New Roman"/>
          <w:lang w:eastAsia="en-US"/>
        </w:rPr>
        <w:instrText xml:space="preserve"> \* MERGEFORMAT </w:instrText>
      </w:r>
      <w:r w:rsidR="003D17A8" w:rsidRPr="00DA3C6E">
        <w:rPr>
          <w:rFonts w:eastAsia="Calibri" w:cs="Times New Roman"/>
          <w:lang w:eastAsia="en-US"/>
        </w:rPr>
      </w:r>
      <w:r w:rsidR="003D17A8" w:rsidRPr="00DA3C6E">
        <w:rPr>
          <w:rFonts w:eastAsia="Calibri" w:cs="Times New Roman"/>
          <w:lang w:eastAsia="en-US"/>
        </w:rPr>
        <w:fldChar w:fldCharType="separate"/>
      </w:r>
      <w:r w:rsidR="00EA5DC1" w:rsidRPr="00DA3C6E">
        <w:t xml:space="preserve">Table </w:t>
      </w:r>
      <w:r w:rsidR="00EA5DC1">
        <w:rPr>
          <w:noProof/>
        </w:rPr>
        <w:t>2</w:t>
      </w:r>
      <w:r w:rsidR="003D17A8" w:rsidRPr="00DA3C6E">
        <w:rPr>
          <w:rFonts w:eastAsia="Calibri" w:cs="Times New Roman"/>
          <w:lang w:eastAsia="en-US"/>
        </w:rPr>
        <w:fldChar w:fldCharType="end"/>
      </w:r>
      <w:r w:rsidRPr="00DA3C6E">
        <w:rPr>
          <w:rFonts w:eastAsia="Calibri" w:cs="Times New Roman"/>
          <w:lang w:eastAsia="en-US"/>
        </w:rPr>
        <w:t xml:space="preserve">. The NBA price per gram is also provided for currently NBA funded alternatives. </w:t>
      </w:r>
    </w:p>
    <w:p w14:paraId="4374565A" w14:textId="2BA3B200" w:rsidR="00C44F6A" w:rsidRPr="00DA3C6E" w:rsidRDefault="00C44F6A" w:rsidP="00C44F6A">
      <w:pPr>
        <w:pStyle w:val="Caption"/>
        <w:keepNext/>
        <w:keepLines/>
        <w:rPr>
          <w:rFonts w:eastAsia="Calibri" w:cs="Times New Roman"/>
          <w:szCs w:val="20"/>
          <w:lang w:eastAsia="en-US"/>
        </w:rPr>
      </w:pPr>
      <w:bookmarkStart w:id="63" w:name="_Ref31115263"/>
      <w:bookmarkStart w:id="64" w:name="_Toc37845805"/>
      <w:r w:rsidRPr="00DA3C6E">
        <w:t xml:space="preserve">Table </w:t>
      </w:r>
      <w:r w:rsidR="00515153">
        <w:fldChar w:fldCharType="begin"/>
      </w:r>
      <w:r w:rsidR="00515153">
        <w:instrText xml:space="preserve"> SEQ Table \* ARABIC </w:instrText>
      </w:r>
      <w:r w:rsidR="00515153">
        <w:fldChar w:fldCharType="separate"/>
      </w:r>
      <w:r w:rsidR="00EA5DC1">
        <w:rPr>
          <w:noProof/>
        </w:rPr>
        <w:t>2</w:t>
      </w:r>
      <w:r w:rsidR="00515153">
        <w:rPr>
          <w:noProof/>
        </w:rPr>
        <w:fldChar w:fldCharType="end"/>
      </w:r>
      <w:bookmarkEnd w:id="63"/>
      <w:r w:rsidRPr="00DA3C6E">
        <w:rPr>
          <w:rFonts w:eastAsia="Calibri" w:cs="Times New Roman"/>
          <w:szCs w:val="20"/>
          <w:lang w:eastAsia="en-US"/>
        </w:rPr>
        <w:t>: Intravenous Ig products registered in the TGA potentially relevant for the treatment of MMN</w:t>
      </w:r>
      <w:bookmarkEnd w:id="64"/>
      <w:r w:rsidRPr="00DA3C6E">
        <w:rPr>
          <w:rFonts w:eastAsia="Calibri" w:cs="Times New Roman"/>
          <w:szCs w:val="20"/>
          <w:lang w:eastAsia="en-US"/>
        </w:rPr>
        <w:t xml:space="preserve"> </w:t>
      </w:r>
    </w:p>
    <w:tbl>
      <w:tblPr>
        <w:tblStyle w:val="TableGrid6"/>
        <w:tblW w:w="5000" w:type="pct"/>
        <w:tblLook w:val="04A0" w:firstRow="1" w:lastRow="0" w:firstColumn="1" w:lastColumn="0" w:noHBand="0" w:noVBand="1"/>
        <w:tblCaption w:val="Table 2: Intravenous Ig products registered in the TGA potentially relevant for the treatment of MMN "/>
      </w:tblPr>
      <w:tblGrid>
        <w:gridCol w:w="2689"/>
        <w:gridCol w:w="2409"/>
        <w:gridCol w:w="1843"/>
        <w:gridCol w:w="2075"/>
      </w:tblGrid>
      <w:tr w:rsidR="00306D92" w:rsidRPr="00DA3C6E" w14:paraId="4891AABD" w14:textId="77777777" w:rsidTr="00FA72EB">
        <w:trPr>
          <w:trHeight w:val="306"/>
          <w:tblHeader/>
        </w:trPr>
        <w:tc>
          <w:tcPr>
            <w:tcW w:w="1491" w:type="pct"/>
            <w:vAlign w:val="center"/>
          </w:tcPr>
          <w:p w14:paraId="61219F06" w14:textId="77777777" w:rsidR="00306D92" w:rsidRPr="00DA3C6E" w:rsidRDefault="00306D92" w:rsidP="00C44F6A">
            <w:pPr>
              <w:widowControl w:val="0"/>
              <w:spacing w:after="0" w:line="240"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Product/strength </w:t>
            </w:r>
          </w:p>
        </w:tc>
        <w:tc>
          <w:tcPr>
            <w:tcW w:w="1336" w:type="pct"/>
            <w:vAlign w:val="center"/>
          </w:tcPr>
          <w:p w14:paraId="61DE8B56" w14:textId="77777777" w:rsidR="00306D92" w:rsidRPr="00DA3C6E" w:rsidRDefault="00306D92" w:rsidP="00C44F6A">
            <w:pPr>
              <w:widowControl w:val="0"/>
              <w:spacing w:after="0" w:line="240"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Presentations </w:t>
            </w:r>
          </w:p>
        </w:tc>
        <w:tc>
          <w:tcPr>
            <w:tcW w:w="1022" w:type="pct"/>
            <w:vAlign w:val="center"/>
          </w:tcPr>
          <w:p w14:paraId="31943A22" w14:textId="77777777" w:rsidR="00306D92" w:rsidRPr="00DA3C6E" w:rsidRDefault="00306D92" w:rsidP="00C44F6A">
            <w:pPr>
              <w:widowControl w:val="0"/>
              <w:spacing w:after="0" w:line="240"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TGA indication for MMN (Yes/No)</w:t>
            </w:r>
          </w:p>
        </w:tc>
        <w:tc>
          <w:tcPr>
            <w:tcW w:w="1151" w:type="pct"/>
            <w:vAlign w:val="center"/>
          </w:tcPr>
          <w:p w14:paraId="1E8706AA" w14:textId="77777777" w:rsidR="00306D92" w:rsidRPr="00DA3C6E" w:rsidRDefault="00306D92" w:rsidP="00C44F6A">
            <w:pPr>
              <w:widowControl w:val="0"/>
              <w:spacing w:after="0" w:line="240"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NBA price per gram</w:t>
            </w:r>
          </w:p>
          <w:p w14:paraId="3D177935" w14:textId="77777777" w:rsidR="00306D92" w:rsidRPr="00DA3C6E" w:rsidRDefault="00306D92" w:rsidP="00C44F6A">
            <w:pPr>
              <w:widowControl w:val="0"/>
              <w:spacing w:after="0" w:line="240"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10/10/19</w:t>
            </w:r>
          </w:p>
        </w:tc>
      </w:tr>
      <w:tr w:rsidR="00306D92" w:rsidRPr="00DA3C6E" w14:paraId="17A0AD32" w14:textId="77777777" w:rsidTr="00FA72EB">
        <w:trPr>
          <w:trHeight w:val="1196"/>
        </w:trPr>
        <w:tc>
          <w:tcPr>
            <w:tcW w:w="1491" w:type="pct"/>
            <w:vAlign w:val="center"/>
          </w:tcPr>
          <w:p w14:paraId="174FEF40"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Flebogamma 5% DIF</w:t>
            </w:r>
          </w:p>
        </w:tc>
        <w:tc>
          <w:tcPr>
            <w:tcW w:w="1336" w:type="pct"/>
            <w:vAlign w:val="center"/>
          </w:tcPr>
          <w:p w14:paraId="709A34E0"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0.5 g/10 mL</w:t>
            </w:r>
          </w:p>
          <w:p w14:paraId="66EB7247"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2.5 g/50 mL</w:t>
            </w:r>
          </w:p>
          <w:p w14:paraId="718C0633"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g/100 mL</w:t>
            </w:r>
          </w:p>
          <w:p w14:paraId="23D6CEC3"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g/200 mL</w:t>
            </w:r>
          </w:p>
          <w:p w14:paraId="02C6C89D"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20 g/400 mL</w:t>
            </w:r>
          </w:p>
        </w:tc>
        <w:tc>
          <w:tcPr>
            <w:tcW w:w="1022" w:type="pct"/>
            <w:vAlign w:val="center"/>
          </w:tcPr>
          <w:p w14:paraId="1F0AE43D"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No </w:t>
            </w:r>
          </w:p>
        </w:tc>
        <w:tc>
          <w:tcPr>
            <w:tcW w:w="1151" w:type="pct"/>
            <w:vAlign w:val="center"/>
          </w:tcPr>
          <w:p w14:paraId="7FE2AA49"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NBA funded </w:t>
            </w:r>
          </w:p>
          <w:p w14:paraId="35ABB738"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$45</w:t>
            </w:r>
          </w:p>
        </w:tc>
      </w:tr>
      <w:tr w:rsidR="00306D92" w:rsidRPr="00DA3C6E" w14:paraId="3EA64355" w14:textId="77777777" w:rsidTr="00FA72EB">
        <w:trPr>
          <w:trHeight w:val="715"/>
        </w:trPr>
        <w:tc>
          <w:tcPr>
            <w:tcW w:w="1491" w:type="pct"/>
            <w:vAlign w:val="center"/>
          </w:tcPr>
          <w:p w14:paraId="0A212671"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Flebogamma 10% DIF</w:t>
            </w:r>
          </w:p>
        </w:tc>
        <w:tc>
          <w:tcPr>
            <w:tcW w:w="1336" w:type="pct"/>
            <w:vAlign w:val="center"/>
          </w:tcPr>
          <w:p w14:paraId="34CC7745"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5 g/50 mL</w:t>
            </w:r>
          </w:p>
          <w:p w14:paraId="23087114"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10 g/100 mL</w:t>
            </w:r>
          </w:p>
          <w:p w14:paraId="15E6CC08"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20 g/200 mL</w:t>
            </w:r>
          </w:p>
        </w:tc>
        <w:tc>
          <w:tcPr>
            <w:tcW w:w="1022" w:type="pct"/>
            <w:vAlign w:val="center"/>
          </w:tcPr>
          <w:p w14:paraId="522E187C"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No </w:t>
            </w:r>
          </w:p>
        </w:tc>
        <w:tc>
          <w:tcPr>
            <w:tcW w:w="1151" w:type="pct"/>
            <w:vAlign w:val="center"/>
          </w:tcPr>
          <w:p w14:paraId="4D6E351F" w14:textId="77777777" w:rsidR="00306D92" w:rsidRPr="00DA3C6E" w:rsidRDefault="00306D92" w:rsidP="00AE2089">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NBA funded </w:t>
            </w:r>
          </w:p>
          <w:p w14:paraId="17F8CB91"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$45</w:t>
            </w:r>
          </w:p>
        </w:tc>
      </w:tr>
      <w:tr w:rsidR="00306D92" w:rsidRPr="00DA3C6E" w14:paraId="27FE4EC6" w14:textId="77777777" w:rsidTr="00FA72EB">
        <w:trPr>
          <w:trHeight w:val="480"/>
        </w:trPr>
        <w:tc>
          <w:tcPr>
            <w:tcW w:w="1491" w:type="pct"/>
            <w:vAlign w:val="center"/>
          </w:tcPr>
          <w:p w14:paraId="0B71DC90"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Intragam P (6%)</w:t>
            </w:r>
          </w:p>
        </w:tc>
        <w:tc>
          <w:tcPr>
            <w:tcW w:w="1336" w:type="pct"/>
            <w:vAlign w:val="center"/>
          </w:tcPr>
          <w:p w14:paraId="2A273B22"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0.6 g/10 mL</w:t>
            </w:r>
          </w:p>
          <w:p w14:paraId="3E145162"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60 g/L</w:t>
            </w:r>
          </w:p>
        </w:tc>
        <w:tc>
          <w:tcPr>
            <w:tcW w:w="1022" w:type="pct"/>
            <w:vAlign w:val="center"/>
          </w:tcPr>
          <w:p w14:paraId="2C82E1C3"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No </w:t>
            </w:r>
          </w:p>
        </w:tc>
        <w:tc>
          <w:tcPr>
            <w:tcW w:w="1151" w:type="pct"/>
            <w:vAlign w:val="center"/>
          </w:tcPr>
          <w:p w14:paraId="341BC26B"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38FD191E" w14:textId="77777777" w:rsidTr="00FA72EB">
        <w:trPr>
          <w:trHeight w:val="196"/>
        </w:trPr>
        <w:tc>
          <w:tcPr>
            <w:tcW w:w="1491" w:type="pct"/>
            <w:vAlign w:val="center"/>
          </w:tcPr>
          <w:p w14:paraId="6220DBD8" w14:textId="77777777" w:rsidR="00306D92" w:rsidRPr="00DA3C6E" w:rsidRDefault="00306D92" w:rsidP="00303CF8">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Intragam 10 (10%) (plasma derived – domestic)</w:t>
            </w:r>
          </w:p>
        </w:tc>
        <w:tc>
          <w:tcPr>
            <w:tcW w:w="1336" w:type="pct"/>
            <w:vAlign w:val="center"/>
          </w:tcPr>
          <w:p w14:paraId="219EC61C"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p>
          <w:p w14:paraId="6322F570"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2.5 /25 mL</w:t>
            </w:r>
          </w:p>
          <w:p w14:paraId="4F2EBEA6"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4F54D4E6"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tc>
        <w:tc>
          <w:tcPr>
            <w:tcW w:w="1022" w:type="pct"/>
            <w:vAlign w:val="center"/>
          </w:tcPr>
          <w:p w14:paraId="0478594B"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Yes </w:t>
            </w:r>
          </w:p>
        </w:tc>
        <w:tc>
          <w:tcPr>
            <w:tcW w:w="1151" w:type="pct"/>
            <w:vAlign w:val="center"/>
          </w:tcPr>
          <w:p w14:paraId="18064EA4" w14:textId="77777777" w:rsidR="00306D92" w:rsidRPr="00DA3C6E" w:rsidRDefault="00306D92" w:rsidP="00AE2089">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NBA funded </w:t>
            </w:r>
          </w:p>
          <w:p w14:paraId="4503AC7D" w14:textId="77777777" w:rsidR="00306D92" w:rsidRPr="00DA3C6E" w:rsidRDefault="00306D92" w:rsidP="00C44F6A">
            <w:pPr>
              <w:widowControl w:val="0"/>
              <w:spacing w:after="0" w:line="240" w:lineRule="auto"/>
              <w:rPr>
                <w:rFonts w:ascii="Arial Narrow" w:eastAsia="Calibri" w:hAnsi="Arial Narrow" w:cstheme="minorHAnsi"/>
                <w:sz w:val="20"/>
                <w:szCs w:val="20"/>
                <w:vertAlign w:val="superscript"/>
              </w:rPr>
            </w:pPr>
            <w:r w:rsidRPr="00DA3C6E">
              <w:rPr>
                <w:rFonts w:ascii="Arial Narrow" w:eastAsia="Calibri" w:hAnsi="Arial Narrow" w:cstheme="minorHAnsi"/>
                <w:sz w:val="20"/>
                <w:szCs w:val="20"/>
              </w:rPr>
              <w:t>$58.23</w:t>
            </w:r>
            <w:r w:rsidRPr="00DA3C6E">
              <w:rPr>
                <w:rFonts w:ascii="Arial Narrow" w:eastAsia="Calibri" w:hAnsi="Arial Narrow" w:cstheme="minorHAnsi"/>
                <w:sz w:val="20"/>
                <w:szCs w:val="20"/>
                <w:vertAlign w:val="superscript"/>
              </w:rPr>
              <w:t>1</w:t>
            </w:r>
          </w:p>
        </w:tc>
      </w:tr>
      <w:tr w:rsidR="00306D92" w:rsidRPr="00DA3C6E" w14:paraId="6A20EF0B" w14:textId="77777777" w:rsidTr="00FA72EB">
        <w:trPr>
          <w:trHeight w:val="962"/>
        </w:trPr>
        <w:tc>
          <w:tcPr>
            <w:tcW w:w="1491" w:type="pct"/>
            <w:vAlign w:val="center"/>
          </w:tcPr>
          <w:p w14:paraId="60B96857"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Privigen 10%</w:t>
            </w:r>
          </w:p>
        </w:tc>
        <w:tc>
          <w:tcPr>
            <w:tcW w:w="1336" w:type="pct"/>
            <w:vAlign w:val="center"/>
          </w:tcPr>
          <w:p w14:paraId="43E4C6A5"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p w14:paraId="3AA57724"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78D879B0"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23C15E6F"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40 g/400 mL</w:t>
            </w:r>
          </w:p>
        </w:tc>
        <w:tc>
          <w:tcPr>
            <w:tcW w:w="1022" w:type="pct"/>
            <w:vAlign w:val="center"/>
          </w:tcPr>
          <w:p w14:paraId="4C5087CA"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Yes </w:t>
            </w:r>
          </w:p>
        </w:tc>
        <w:tc>
          <w:tcPr>
            <w:tcW w:w="1151" w:type="pct"/>
            <w:vAlign w:val="center"/>
          </w:tcPr>
          <w:p w14:paraId="48762474" w14:textId="77777777" w:rsidR="00306D92" w:rsidRPr="00DA3C6E" w:rsidRDefault="00306D92" w:rsidP="00AE2089">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NBA funded </w:t>
            </w:r>
          </w:p>
          <w:p w14:paraId="77614855"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$45</w:t>
            </w:r>
          </w:p>
        </w:tc>
      </w:tr>
      <w:tr w:rsidR="00306D92" w:rsidRPr="00DA3C6E" w14:paraId="459AB18F" w14:textId="77777777" w:rsidTr="00FA72EB">
        <w:trPr>
          <w:trHeight w:val="962"/>
        </w:trPr>
        <w:tc>
          <w:tcPr>
            <w:tcW w:w="1491" w:type="pct"/>
            <w:vAlign w:val="center"/>
          </w:tcPr>
          <w:p w14:paraId="0C7F771B"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Octagam 5%</w:t>
            </w:r>
          </w:p>
        </w:tc>
        <w:tc>
          <w:tcPr>
            <w:tcW w:w="1336" w:type="pct"/>
            <w:vAlign w:val="center"/>
          </w:tcPr>
          <w:p w14:paraId="1108EED3"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 g/20 mL</w:t>
            </w:r>
          </w:p>
          <w:p w14:paraId="1EBEC7FB"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2.5 g/50 mL</w:t>
            </w:r>
          </w:p>
          <w:p w14:paraId="180AABEC"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g/100 mL</w:t>
            </w:r>
          </w:p>
          <w:p w14:paraId="6C723800"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g/200 mL</w:t>
            </w:r>
          </w:p>
        </w:tc>
        <w:tc>
          <w:tcPr>
            <w:tcW w:w="1022" w:type="pct"/>
            <w:vAlign w:val="center"/>
          </w:tcPr>
          <w:p w14:paraId="74DB4BD6"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1BF94A0E"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2632D4C6" w14:textId="77777777" w:rsidTr="00FA72EB">
        <w:trPr>
          <w:trHeight w:val="715"/>
        </w:trPr>
        <w:tc>
          <w:tcPr>
            <w:tcW w:w="1491" w:type="pct"/>
            <w:vAlign w:val="center"/>
          </w:tcPr>
          <w:p w14:paraId="5A9A96CF"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Octagam 10%</w:t>
            </w:r>
          </w:p>
        </w:tc>
        <w:tc>
          <w:tcPr>
            <w:tcW w:w="1336" w:type="pct"/>
            <w:vAlign w:val="center"/>
          </w:tcPr>
          <w:p w14:paraId="7798778F"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2F2FAC86"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52FA6905"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 g/20 mL</w:t>
            </w:r>
          </w:p>
          <w:p w14:paraId="6B9BC493"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tc>
        <w:tc>
          <w:tcPr>
            <w:tcW w:w="1022" w:type="pct"/>
            <w:vAlign w:val="center"/>
          </w:tcPr>
          <w:p w14:paraId="51D11A7C"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No </w:t>
            </w:r>
          </w:p>
        </w:tc>
        <w:tc>
          <w:tcPr>
            <w:tcW w:w="1151" w:type="pct"/>
            <w:vAlign w:val="center"/>
          </w:tcPr>
          <w:p w14:paraId="5DF1F437"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13C05D15" w14:textId="77777777" w:rsidTr="00FA72EB">
        <w:trPr>
          <w:trHeight w:val="480"/>
        </w:trPr>
        <w:tc>
          <w:tcPr>
            <w:tcW w:w="1491" w:type="pct"/>
            <w:vAlign w:val="center"/>
          </w:tcPr>
          <w:p w14:paraId="07196DE6"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Gammanorm 16.5%</w:t>
            </w:r>
          </w:p>
        </w:tc>
        <w:tc>
          <w:tcPr>
            <w:tcW w:w="1336" w:type="pct"/>
            <w:vAlign w:val="center"/>
          </w:tcPr>
          <w:p w14:paraId="7599CC58"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3300 mg/20 mL</w:t>
            </w:r>
          </w:p>
          <w:p w14:paraId="28414A3A"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1650 mg/10 mL</w:t>
            </w:r>
          </w:p>
        </w:tc>
        <w:tc>
          <w:tcPr>
            <w:tcW w:w="1022" w:type="pct"/>
            <w:vAlign w:val="center"/>
          </w:tcPr>
          <w:p w14:paraId="6BC94917"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2405F623"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0086CF33" w14:textId="77777777" w:rsidTr="00FA72EB">
        <w:trPr>
          <w:trHeight w:val="715"/>
        </w:trPr>
        <w:tc>
          <w:tcPr>
            <w:tcW w:w="1491" w:type="pct"/>
            <w:vAlign w:val="center"/>
          </w:tcPr>
          <w:p w14:paraId="55BFA33A"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Kiovig (10%)</w:t>
            </w:r>
          </w:p>
        </w:tc>
        <w:tc>
          <w:tcPr>
            <w:tcW w:w="1336" w:type="pct"/>
            <w:vAlign w:val="center"/>
          </w:tcPr>
          <w:p w14:paraId="33E5D58B"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30 g/300 mL</w:t>
            </w:r>
          </w:p>
          <w:p w14:paraId="133DF770"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4B4A312B"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784D2246"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p w14:paraId="4228C799"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2.5 g/25 mL</w:t>
            </w:r>
          </w:p>
          <w:p w14:paraId="317E0F46"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1 g/10 mL</w:t>
            </w:r>
          </w:p>
        </w:tc>
        <w:tc>
          <w:tcPr>
            <w:tcW w:w="1022" w:type="pct"/>
            <w:vAlign w:val="center"/>
          </w:tcPr>
          <w:p w14:paraId="4C1CD056"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Yes</w:t>
            </w:r>
          </w:p>
        </w:tc>
        <w:tc>
          <w:tcPr>
            <w:tcW w:w="1151" w:type="pct"/>
            <w:vAlign w:val="center"/>
          </w:tcPr>
          <w:p w14:paraId="08716044"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697EB0A7" w14:textId="77777777" w:rsidTr="00FA72EB">
        <w:trPr>
          <w:trHeight w:val="715"/>
        </w:trPr>
        <w:tc>
          <w:tcPr>
            <w:tcW w:w="1491" w:type="pct"/>
            <w:vAlign w:val="center"/>
          </w:tcPr>
          <w:p w14:paraId="4EC7775F"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Panzyga 10%</w:t>
            </w:r>
          </w:p>
        </w:tc>
        <w:tc>
          <w:tcPr>
            <w:tcW w:w="1336" w:type="pct"/>
            <w:vAlign w:val="center"/>
          </w:tcPr>
          <w:p w14:paraId="553B58EB"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 g/10 mL</w:t>
            </w:r>
          </w:p>
          <w:p w14:paraId="60CF19C5"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p w14:paraId="041C71B6"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5243101C"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2.5 g/25 mL</w:t>
            </w:r>
          </w:p>
          <w:p w14:paraId="71CDD677"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30 g/300 mL</w:t>
            </w:r>
          </w:p>
        </w:tc>
        <w:tc>
          <w:tcPr>
            <w:tcW w:w="1022" w:type="pct"/>
            <w:vAlign w:val="center"/>
          </w:tcPr>
          <w:p w14:paraId="00A97A56"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00C6E653"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1567C7AA" w14:textId="77777777" w:rsidTr="00FA72EB">
        <w:trPr>
          <w:trHeight w:val="715"/>
        </w:trPr>
        <w:tc>
          <w:tcPr>
            <w:tcW w:w="1491" w:type="pct"/>
            <w:vAlign w:val="center"/>
          </w:tcPr>
          <w:p w14:paraId="3C4BEC57"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Intratect 10%</w:t>
            </w:r>
          </w:p>
        </w:tc>
        <w:tc>
          <w:tcPr>
            <w:tcW w:w="1336" w:type="pct"/>
            <w:vAlign w:val="center"/>
          </w:tcPr>
          <w:p w14:paraId="47B6A5E3"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4506DEF7"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33A479FB"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p w14:paraId="47E85A44"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 g/10 mL</w:t>
            </w:r>
          </w:p>
        </w:tc>
        <w:tc>
          <w:tcPr>
            <w:tcW w:w="1022" w:type="pct"/>
            <w:vAlign w:val="center"/>
          </w:tcPr>
          <w:p w14:paraId="37DBB281"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025BC380"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5D7F5798" w14:textId="77777777" w:rsidTr="00FA72EB">
        <w:trPr>
          <w:trHeight w:val="715"/>
        </w:trPr>
        <w:tc>
          <w:tcPr>
            <w:tcW w:w="1491" w:type="pct"/>
            <w:vAlign w:val="center"/>
          </w:tcPr>
          <w:p w14:paraId="49638725"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Intratect 5%</w:t>
            </w:r>
          </w:p>
        </w:tc>
        <w:tc>
          <w:tcPr>
            <w:tcW w:w="1336" w:type="pct"/>
            <w:vAlign w:val="center"/>
          </w:tcPr>
          <w:p w14:paraId="0A4484BD"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g/100 mL</w:t>
            </w:r>
          </w:p>
          <w:p w14:paraId="01A50887"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 g/20 mL</w:t>
            </w:r>
          </w:p>
          <w:p w14:paraId="3344C98F"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g/200 mL</w:t>
            </w:r>
          </w:p>
          <w:p w14:paraId="70F5345C" w14:textId="77777777" w:rsidR="00306D92" w:rsidRPr="00DA3C6E" w:rsidRDefault="00306D92" w:rsidP="00C44F6A">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2.5 g/50 mL</w:t>
            </w:r>
          </w:p>
        </w:tc>
        <w:tc>
          <w:tcPr>
            <w:tcW w:w="1022" w:type="pct"/>
            <w:vAlign w:val="center"/>
          </w:tcPr>
          <w:p w14:paraId="09E6A8B8"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70E35D4D"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306D92" w:rsidRPr="00DA3C6E" w14:paraId="7C46EFD0" w14:textId="77777777" w:rsidTr="00FA72EB">
        <w:trPr>
          <w:trHeight w:val="315"/>
        </w:trPr>
        <w:tc>
          <w:tcPr>
            <w:tcW w:w="1491" w:type="pct"/>
            <w:vAlign w:val="center"/>
          </w:tcPr>
          <w:p w14:paraId="79504F89" w14:textId="77777777" w:rsidR="00306D92" w:rsidRPr="00DA3C6E" w:rsidRDefault="00306D92" w:rsidP="00C44F6A">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TBSF human immunoglobulin</w:t>
            </w:r>
          </w:p>
        </w:tc>
        <w:tc>
          <w:tcPr>
            <w:tcW w:w="1336" w:type="pct"/>
            <w:vAlign w:val="center"/>
          </w:tcPr>
          <w:p w14:paraId="19083B80"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NA</w:t>
            </w:r>
          </w:p>
        </w:tc>
        <w:tc>
          <w:tcPr>
            <w:tcW w:w="1022" w:type="pct"/>
            <w:vAlign w:val="center"/>
          </w:tcPr>
          <w:p w14:paraId="6BDF535F"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718E545A" w14:textId="77777777" w:rsidR="00306D92" w:rsidRPr="00DA3C6E" w:rsidRDefault="00306D92" w:rsidP="00C44F6A">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Not NBA funded</w:t>
            </w:r>
          </w:p>
        </w:tc>
      </w:tr>
      <w:tr w:rsidR="0051675F" w:rsidRPr="00DA3C6E" w14:paraId="3CD22865" w14:textId="77777777" w:rsidTr="00FA72EB">
        <w:trPr>
          <w:trHeight w:val="715"/>
        </w:trPr>
        <w:tc>
          <w:tcPr>
            <w:tcW w:w="1491" w:type="pct"/>
            <w:vAlign w:val="center"/>
          </w:tcPr>
          <w:p w14:paraId="486AE6CA" w14:textId="77777777" w:rsidR="0051675F" w:rsidRPr="00DA3C6E" w:rsidRDefault="0051675F" w:rsidP="0051675F">
            <w:pPr>
              <w:widowControl w:val="0"/>
              <w:spacing w:after="0" w:line="240"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lastRenderedPageBreak/>
              <w:t>Gamunex 10%</w:t>
            </w:r>
          </w:p>
        </w:tc>
        <w:tc>
          <w:tcPr>
            <w:tcW w:w="1336" w:type="pct"/>
            <w:vAlign w:val="center"/>
          </w:tcPr>
          <w:p w14:paraId="4824A056" w14:textId="77777777" w:rsidR="0051675F" w:rsidRPr="00DA3C6E" w:rsidRDefault="0051675F" w:rsidP="0051675F">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20 g/200 mL</w:t>
            </w:r>
          </w:p>
          <w:p w14:paraId="4027CBA0" w14:textId="77777777" w:rsidR="0051675F" w:rsidRPr="00DA3C6E" w:rsidRDefault="0051675F" w:rsidP="0051675F">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10 g/100 mL</w:t>
            </w:r>
          </w:p>
          <w:p w14:paraId="51BB7E6F" w14:textId="77777777" w:rsidR="0051675F" w:rsidRPr="00DA3C6E" w:rsidRDefault="0051675F" w:rsidP="0051675F">
            <w:pPr>
              <w:widowControl w:val="0"/>
              <w:spacing w:after="0" w:line="240" w:lineRule="auto"/>
              <w:rPr>
                <w:rFonts w:ascii="Arial Narrow" w:eastAsia="Calibri" w:hAnsi="Arial Narrow" w:cstheme="minorHAnsi"/>
                <w:sz w:val="20"/>
                <w:szCs w:val="20"/>
                <w:lang w:val="nn-NO"/>
              </w:rPr>
            </w:pPr>
            <w:r w:rsidRPr="00DA3C6E">
              <w:rPr>
                <w:rFonts w:ascii="Arial Narrow" w:eastAsia="Calibri" w:hAnsi="Arial Narrow" w:cstheme="minorHAnsi"/>
                <w:sz w:val="20"/>
                <w:szCs w:val="20"/>
                <w:lang w:val="nn-NO"/>
              </w:rPr>
              <w:t>5 g/50 mL</w:t>
            </w:r>
          </w:p>
          <w:p w14:paraId="20EE42D7" w14:textId="77777777" w:rsidR="0051675F" w:rsidRPr="00DA3C6E" w:rsidRDefault="0051675F" w:rsidP="0051675F">
            <w:pPr>
              <w:widowControl w:val="0"/>
              <w:spacing w:after="0" w:line="240" w:lineRule="auto"/>
              <w:rPr>
                <w:rFonts w:ascii="Arial Narrow" w:eastAsia="Calibri" w:hAnsi="Arial Narrow" w:cstheme="minorHAnsi"/>
                <w:sz w:val="20"/>
                <w:szCs w:val="20"/>
              </w:rPr>
            </w:pPr>
          </w:p>
        </w:tc>
        <w:tc>
          <w:tcPr>
            <w:tcW w:w="1022" w:type="pct"/>
            <w:vAlign w:val="center"/>
          </w:tcPr>
          <w:p w14:paraId="6F86F5C3" w14:textId="77777777" w:rsidR="0051675F" w:rsidRPr="00DA3C6E" w:rsidRDefault="0051675F" w:rsidP="0051675F">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No</w:t>
            </w:r>
          </w:p>
        </w:tc>
        <w:tc>
          <w:tcPr>
            <w:tcW w:w="1151" w:type="pct"/>
            <w:vAlign w:val="center"/>
          </w:tcPr>
          <w:p w14:paraId="278F3ADE" w14:textId="1F9F4848" w:rsidR="0051675F" w:rsidRPr="00DA3C6E" w:rsidRDefault="0051675F" w:rsidP="0051675F">
            <w:pPr>
              <w:widowControl w:val="0"/>
              <w:spacing w:after="0" w:line="240" w:lineRule="auto"/>
              <w:rPr>
                <w:rFonts w:ascii="Arial Narrow" w:eastAsia="Calibri" w:hAnsi="Arial Narrow" w:cstheme="minorHAnsi"/>
                <w:sz w:val="20"/>
                <w:szCs w:val="20"/>
              </w:rPr>
            </w:pPr>
            <w:r w:rsidRPr="00DA3C6E">
              <w:rPr>
                <w:rFonts w:ascii="Arial Narrow" w:eastAsia="Calibri" w:hAnsi="Arial Narrow" w:cstheme="minorHAnsi"/>
                <w:sz w:val="20"/>
                <w:szCs w:val="20"/>
              </w:rPr>
              <w:t>NBA funded; price is confidential.</w:t>
            </w:r>
          </w:p>
        </w:tc>
      </w:tr>
    </w:tbl>
    <w:p w14:paraId="65648B0C" w14:textId="77777777" w:rsidR="00C44F6A" w:rsidRPr="00DA3C6E" w:rsidRDefault="00C44F6A" w:rsidP="00C44F6A">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Abbreviations: Intravenous Ig = intravenous immunoglobulin; MMN = multifocal motor neuropathy; NA= not available; NBA = National Blood Authority; TBA = to be announced; TGA = Therapeutic Goods Association. </w:t>
      </w:r>
    </w:p>
    <w:p w14:paraId="5D373BD3" w14:textId="77777777" w:rsidR="00AE2089" w:rsidRPr="00DA3C6E" w:rsidRDefault="00AE2089" w:rsidP="00C44F6A">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Note: </w:t>
      </w:r>
      <w:r w:rsidRPr="00DA3C6E">
        <w:rPr>
          <w:rFonts w:ascii="Arial Narrow" w:eastAsia="Calibri" w:hAnsi="Arial Narrow" w:cs="Times New Roman"/>
          <w:sz w:val="18"/>
          <w:vertAlign w:val="superscript"/>
          <w:lang w:eastAsia="en-US"/>
        </w:rPr>
        <w:t>1</w:t>
      </w:r>
      <w:r w:rsidRPr="00DA3C6E">
        <w:rPr>
          <w:rFonts w:ascii="Arial Narrow" w:eastAsia="Calibri" w:hAnsi="Arial Narrow" w:cs="Times New Roman"/>
          <w:sz w:val="18"/>
          <w:lang w:eastAsia="en-US"/>
        </w:rPr>
        <w:t>The price does not include the starting plasma provided to CSL by the Australian Red Cross Blood Service.</w:t>
      </w:r>
    </w:p>
    <w:p w14:paraId="2AFF0025" w14:textId="77777777" w:rsidR="00C44F6A" w:rsidRPr="00DA3C6E" w:rsidRDefault="00C44F6A" w:rsidP="00C44F6A">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Source</w:t>
      </w:r>
      <w:r w:rsidR="00564C9C" w:rsidRPr="00DA3C6E">
        <w:rPr>
          <w:rFonts w:ascii="Arial Narrow" w:eastAsia="Calibri" w:hAnsi="Arial Narrow" w:cs="Times New Roman"/>
          <w:sz w:val="18"/>
          <w:lang w:eastAsia="en-US"/>
        </w:rPr>
        <w:t xml:space="preserve">: NBA website; </w:t>
      </w:r>
      <w:hyperlink r:id="rId18" w:history="1">
        <w:r w:rsidR="00564C9C" w:rsidRPr="00DA3C6E">
          <w:rPr>
            <w:rStyle w:val="Hyperlink"/>
            <w:rFonts w:ascii="Arial Narrow" w:eastAsia="Calibri" w:hAnsi="Arial Narrow" w:cs="Times New Roman"/>
            <w:sz w:val="18"/>
            <w:lang w:eastAsia="en-US"/>
          </w:rPr>
          <w:t>https://www.blood.gov.au/national-product-list</w:t>
        </w:r>
      </w:hyperlink>
      <w:r w:rsidR="00564C9C" w:rsidRPr="00DA3C6E">
        <w:rPr>
          <w:rFonts w:ascii="Arial Narrow" w:eastAsia="Calibri" w:hAnsi="Arial Narrow" w:cs="Times New Roman"/>
          <w:sz w:val="18"/>
          <w:lang w:eastAsia="en-US"/>
        </w:rPr>
        <w:t>, accessed 26 February 2020</w:t>
      </w:r>
      <w:r w:rsidRPr="00DA3C6E">
        <w:rPr>
          <w:rFonts w:ascii="Arial Narrow" w:eastAsia="Calibri" w:hAnsi="Arial Narrow" w:cs="Times New Roman"/>
          <w:sz w:val="18"/>
          <w:lang w:eastAsia="en-US"/>
        </w:rPr>
        <w:t>.</w:t>
      </w:r>
    </w:p>
    <w:p w14:paraId="13B553E6" w14:textId="77777777" w:rsidR="00C44F6A" w:rsidRPr="00DA3C6E" w:rsidRDefault="00C44F6A" w:rsidP="00DB1214">
      <w:pPr>
        <w:pStyle w:val="Heading3"/>
        <w:rPr>
          <w:rFonts w:eastAsia="MS Gothic"/>
          <w:lang w:eastAsia="en-US"/>
        </w:rPr>
      </w:pPr>
      <w:bookmarkStart w:id="65" w:name="_Toc37845714"/>
      <w:r w:rsidRPr="00DA3C6E">
        <w:rPr>
          <w:rFonts w:eastAsia="MS Gothic"/>
          <w:lang w:eastAsia="en-US"/>
        </w:rPr>
        <w:t>Service delivery</w:t>
      </w:r>
      <w:bookmarkEnd w:id="65"/>
      <w:r w:rsidRPr="00DA3C6E">
        <w:rPr>
          <w:rFonts w:eastAsia="MS Gothic"/>
          <w:lang w:eastAsia="en-US"/>
        </w:rPr>
        <w:t xml:space="preserve"> </w:t>
      </w:r>
    </w:p>
    <w:p w14:paraId="2E606AD5" w14:textId="77777777" w:rsidR="00C44F6A" w:rsidRPr="00DA3C6E" w:rsidRDefault="00C44F6A" w:rsidP="003B6AD6">
      <w:pPr>
        <w:spacing w:after="120" w:line="276" w:lineRule="auto"/>
        <w:rPr>
          <w:rFonts w:eastAsia="Calibri" w:cs="Times New Roman"/>
          <w:lang w:eastAsia="en-US"/>
        </w:rPr>
      </w:pPr>
      <w:r w:rsidRPr="00DA3C6E">
        <w:rPr>
          <w:rFonts w:eastAsia="Calibri" w:cs="Times New Roman"/>
          <w:lang w:eastAsia="en-US"/>
        </w:rPr>
        <w:t xml:space="preserve">Intravenous Ig can be delivered in different settings depending on various factors. In Australia, </w:t>
      </w:r>
      <w:r w:rsidR="00667BD9" w:rsidRPr="00DA3C6E">
        <w:rPr>
          <w:rFonts w:eastAsia="Calibri" w:cs="Times New Roman"/>
          <w:lang w:eastAsia="en-US"/>
        </w:rPr>
        <w:t xml:space="preserve">it </w:t>
      </w:r>
      <w:r w:rsidRPr="00DA3C6E">
        <w:rPr>
          <w:rFonts w:eastAsia="Calibri" w:cs="Times New Roman"/>
          <w:lang w:eastAsia="en-US"/>
        </w:rPr>
        <w:t>can be delivered in one of the following settings:</w:t>
      </w:r>
    </w:p>
    <w:p w14:paraId="43EF43C5"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Inpatient private hospital</w:t>
      </w:r>
    </w:p>
    <w:p w14:paraId="4D07C6F7"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Inpatient public hospital (as private or public patient)</w:t>
      </w:r>
    </w:p>
    <w:p w14:paraId="3E68C8DF"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Outpatient clinic</w:t>
      </w:r>
    </w:p>
    <w:p w14:paraId="54EEF65E"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Patient’s home</w:t>
      </w:r>
    </w:p>
    <w:p w14:paraId="6E6E4871"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Private same day infusion facility unattached to a hospital.</w:t>
      </w:r>
    </w:p>
    <w:p w14:paraId="17DDFE28" w14:textId="77777777" w:rsidR="00C44F6A" w:rsidRPr="00DA3C6E" w:rsidRDefault="00C44F6A" w:rsidP="003B6AD6">
      <w:pPr>
        <w:spacing w:after="120" w:line="276" w:lineRule="auto"/>
        <w:rPr>
          <w:rFonts w:eastAsia="Calibri" w:cs="Times New Roman"/>
          <w:lang w:eastAsia="en-US"/>
        </w:rPr>
      </w:pPr>
      <w:r w:rsidRPr="00DA3C6E">
        <w:rPr>
          <w:rFonts w:eastAsia="Calibri" w:cs="Times New Roman"/>
          <w:lang w:eastAsia="en-US"/>
        </w:rPr>
        <w:t xml:space="preserve">The timeframe taken to administer </w:t>
      </w:r>
      <w:r w:rsidR="00667BD9" w:rsidRPr="00DA3C6E">
        <w:rPr>
          <w:rFonts w:eastAsia="Calibri" w:cs="Times New Roman"/>
          <w:lang w:eastAsia="en-US"/>
        </w:rPr>
        <w:t>i</w:t>
      </w:r>
      <w:r w:rsidRPr="00DA3C6E">
        <w:rPr>
          <w:rFonts w:eastAsia="Calibri" w:cs="Times New Roman"/>
          <w:lang w:eastAsia="en-US"/>
        </w:rPr>
        <w:t>ntravenous Ig varies between patients and depends on:</w:t>
      </w:r>
    </w:p>
    <w:p w14:paraId="3A6BF59C"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Dose required;</w:t>
      </w:r>
    </w:p>
    <w:p w14:paraId="5ABA3A89"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Weight of the patient;</w:t>
      </w:r>
    </w:p>
    <w:p w14:paraId="356483F2" w14:textId="77777777" w:rsidR="00C44F6A" w:rsidRPr="00DA3C6E" w:rsidRDefault="00C44F6A" w:rsidP="00D778BE">
      <w:pPr>
        <w:numPr>
          <w:ilvl w:val="0"/>
          <w:numId w:val="19"/>
        </w:numPr>
        <w:spacing w:after="120" w:line="276" w:lineRule="auto"/>
        <w:ind w:left="1080"/>
        <w:contextualSpacing/>
        <w:rPr>
          <w:rFonts w:eastAsia="Calibri" w:cs="Times New Roman"/>
          <w:lang w:eastAsia="en-US"/>
        </w:rPr>
      </w:pPr>
      <w:r w:rsidRPr="00DA3C6E">
        <w:rPr>
          <w:rFonts w:eastAsia="Calibri" w:cs="Times New Roman"/>
          <w:lang w:eastAsia="en-US"/>
        </w:rPr>
        <w:t>Specifications of product information and administering centre protocol on infusion rate;</w:t>
      </w:r>
    </w:p>
    <w:p w14:paraId="6C269D26" w14:textId="77777777" w:rsidR="00C44F6A" w:rsidRPr="00DA3C6E" w:rsidRDefault="00C44F6A" w:rsidP="00E35C5E">
      <w:pPr>
        <w:numPr>
          <w:ilvl w:val="0"/>
          <w:numId w:val="19"/>
        </w:numPr>
        <w:spacing w:line="276" w:lineRule="auto"/>
        <w:ind w:left="1077" w:hanging="357"/>
        <w:contextualSpacing/>
        <w:rPr>
          <w:rFonts w:eastAsia="Calibri" w:cs="Times New Roman"/>
          <w:lang w:eastAsia="en-US"/>
        </w:rPr>
      </w:pPr>
      <w:r w:rsidRPr="00DA3C6E">
        <w:rPr>
          <w:rFonts w:eastAsia="Calibri" w:cs="Times New Roman"/>
          <w:lang w:eastAsia="en-US"/>
        </w:rPr>
        <w:t>Patient’s response during infusion.</w:t>
      </w:r>
    </w:p>
    <w:p w14:paraId="2067AA86" w14:textId="77777777" w:rsidR="00C44F6A" w:rsidRPr="00DA3C6E" w:rsidRDefault="00C44F6A" w:rsidP="003B6AD6">
      <w:pPr>
        <w:spacing w:after="120" w:line="276" w:lineRule="auto"/>
        <w:rPr>
          <w:rFonts w:eastAsia="Calibri" w:cs="Times New Roman"/>
          <w:lang w:eastAsia="en-US"/>
        </w:rPr>
      </w:pPr>
      <w:r w:rsidRPr="00DA3C6E">
        <w:rPr>
          <w:rFonts w:eastAsia="Calibri" w:cs="Times New Roman"/>
          <w:lang w:eastAsia="en-US"/>
        </w:rPr>
        <w:t>Patients requiring smaller doses are likely to attend the hospital/clinic for a day procedure. Patients requiring larger doses may require a number of infusions</w:t>
      </w:r>
      <w:r w:rsidRPr="00DA3C6E" w:rsidDel="00903CF0">
        <w:rPr>
          <w:rFonts w:eastAsia="Calibri" w:cs="Times New Roman"/>
          <w:lang w:eastAsia="en-US"/>
        </w:rPr>
        <w:t xml:space="preserve"> </w:t>
      </w:r>
      <w:r w:rsidRPr="00DA3C6E">
        <w:rPr>
          <w:rFonts w:eastAsia="Calibri" w:cs="Times New Roman"/>
          <w:lang w:eastAsia="en-US"/>
        </w:rPr>
        <w:t>and patients may (or may not) be required to attend a ‘day procedure’ on a number of days (usually consecutive) each month. However, some patients may require admission to hospital due to comorbidities, advanced age, doses required over multiple days and patient preference.</w:t>
      </w:r>
    </w:p>
    <w:p w14:paraId="4405A9ED" w14:textId="77777777" w:rsidR="00C44F6A" w:rsidRPr="00DA3C6E" w:rsidRDefault="00C44F6A" w:rsidP="003B6AD6">
      <w:pPr>
        <w:spacing w:after="120" w:line="276" w:lineRule="auto"/>
        <w:rPr>
          <w:rFonts w:eastAsia="Calibri" w:cs="Times New Roman"/>
          <w:lang w:eastAsia="en-US"/>
        </w:rPr>
      </w:pPr>
      <w:r w:rsidRPr="00DA3C6E">
        <w:rPr>
          <w:rFonts w:eastAsia="Calibri" w:cs="Times New Roman"/>
          <w:lang w:eastAsia="en-US"/>
        </w:rPr>
        <w:t xml:space="preserve">The required dose of </w:t>
      </w:r>
      <w:r w:rsidR="00121B97" w:rsidRPr="00DA3C6E">
        <w:rPr>
          <w:rFonts w:eastAsia="Calibri" w:cs="Times New Roman"/>
          <w:lang w:eastAsia="en-US"/>
        </w:rPr>
        <w:t>i</w:t>
      </w:r>
      <w:r w:rsidRPr="00DA3C6E">
        <w:rPr>
          <w:rFonts w:eastAsia="Calibri" w:cs="Times New Roman"/>
          <w:lang w:eastAsia="en-US"/>
        </w:rPr>
        <w:t xml:space="preserve">ntravenous Ig must be established by the treating doctor (neurologist) while its administration can be also undertaken by a doctor or by nursing staff. During the course of the infusion, the </w:t>
      </w:r>
      <w:r w:rsidR="00121B97" w:rsidRPr="00DA3C6E">
        <w:rPr>
          <w:rFonts w:eastAsia="Calibri" w:cs="Times New Roman"/>
          <w:lang w:eastAsia="en-US"/>
        </w:rPr>
        <w:t xml:space="preserve">patient’s </w:t>
      </w:r>
      <w:r w:rsidRPr="00DA3C6E">
        <w:rPr>
          <w:rFonts w:eastAsia="Calibri" w:cs="Times New Roman"/>
          <w:lang w:eastAsia="en-US"/>
        </w:rPr>
        <w:t xml:space="preserve">vital signs </w:t>
      </w:r>
      <w:r w:rsidR="00121B97" w:rsidRPr="00DA3C6E">
        <w:rPr>
          <w:rFonts w:eastAsia="Calibri" w:cs="Times New Roman"/>
          <w:lang w:eastAsia="en-US"/>
        </w:rPr>
        <w:t xml:space="preserve">have to be monitored </w:t>
      </w:r>
      <w:r w:rsidRPr="00DA3C6E">
        <w:rPr>
          <w:rFonts w:eastAsia="Calibri" w:cs="Times New Roman"/>
          <w:lang w:eastAsia="en-US"/>
        </w:rPr>
        <w:t xml:space="preserve">(temperature, pulse and blood pressure). Some </w:t>
      </w:r>
      <w:r w:rsidR="00121B97" w:rsidRPr="00DA3C6E">
        <w:rPr>
          <w:rFonts w:eastAsia="Calibri" w:cs="Times New Roman"/>
          <w:lang w:eastAsia="en-US"/>
        </w:rPr>
        <w:t>i</w:t>
      </w:r>
      <w:r w:rsidRPr="00DA3C6E">
        <w:rPr>
          <w:rFonts w:eastAsia="Calibri" w:cs="Times New Roman"/>
          <w:lang w:eastAsia="en-US"/>
        </w:rPr>
        <w:t>ntravenous Ig products, such as Flebogamma 5% DIF</w:t>
      </w:r>
      <w:r w:rsidRPr="00DA3C6E">
        <w:rPr>
          <w:rFonts w:eastAsia="Calibri" w:cs="Calibri"/>
          <w:lang w:eastAsia="en-US"/>
        </w:rPr>
        <w:t>®</w:t>
      </w:r>
      <w:r w:rsidRPr="00DA3C6E">
        <w:rPr>
          <w:rFonts w:eastAsia="Calibri" w:cs="Times New Roman"/>
          <w:lang w:eastAsia="en-US"/>
        </w:rPr>
        <w:t xml:space="preserve"> and Flebogamma 10% DIF</w:t>
      </w:r>
      <w:r w:rsidRPr="00DA3C6E">
        <w:rPr>
          <w:rFonts w:eastAsia="Calibri" w:cs="Calibri"/>
          <w:lang w:eastAsia="en-US"/>
        </w:rPr>
        <w:t>®</w:t>
      </w:r>
      <w:r w:rsidRPr="00DA3C6E">
        <w:rPr>
          <w:rFonts w:eastAsia="Calibri" w:cs="Times New Roman"/>
          <w:lang w:eastAsia="en-US"/>
        </w:rPr>
        <w:t>, require that the patient is hydrated before infusion and that urine output and serum creatinine levels be monitored. Concomitant medications such as antihistamines may be required to manage infusion reactions (e.g. rash and flushes).</w:t>
      </w:r>
    </w:p>
    <w:p w14:paraId="2854BB5F" w14:textId="73622B44" w:rsidR="0051675F" w:rsidRPr="00DA3C6E" w:rsidRDefault="00C44F6A" w:rsidP="0051675F">
      <w:pPr>
        <w:spacing w:after="120" w:line="276" w:lineRule="auto"/>
        <w:rPr>
          <w:rFonts w:eastAsia="Calibri" w:cs="Times New Roman"/>
          <w:lang w:eastAsia="en-US"/>
        </w:rPr>
      </w:pPr>
      <w:r w:rsidRPr="00DA3C6E">
        <w:rPr>
          <w:rFonts w:eastAsia="Calibri" w:cs="Times New Roman"/>
          <w:lang w:eastAsia="en-US"/>
        </w:rPr>
        <w:t xml:space="preserve">It should be noted that </w:t>
      </w:r>
      <w:r w:rsidR="00CB7A05" w:rsidRPr="00DA3C6E">
        <w:rPr>
          <w:rFonts w:eastAsia="Calibri" w:cs="Times New Roman"/>
          <w:lang w:eastAsia="en-US"/>
        </w:rPr>
        <w:t xml:space="preserve">in </w:t>
      </w:r>
      <w:r w:rsidRPr="00DA3C6E">
        <w:rPr>
          <w:rFonts w:eastAsia="Calibri" w:cs="Times New Roman"/>
          <w:lang w:eastAsia="en-US"/>
        </w:rPr>
        <w:t>December 2018, the Ig guidance in England was updated</w:t>
      </w:r>
      <w:r w:rsidR="00121B97" w:rsidRPr="00DA3C6E">
        <w:rPr>
          <w:rFonts w:eastAsia="Calibri" w:cs="Times New Roman"/>
          <w:lang w:eastAsia="en-US"/>
        </w:rPr>
        <w:t xml:space="preserve"> </w:t>
      </w:r>
      <w:r w:rsidR="00DB568A" w:rsidRPr="00DA3C6E">
        <w:rPr>
          <w:rFonts w:eastAsia="Calibri" w:cs="Times New Roman"/>
          <w:lang w:eastAsia="en-US"/>
        </w:rPr>
        <w:fldChar w:fldCharType="begin"/>
      </w:r>
      <w:r w:rsidR="00DB568A" w:rsidRPr="00DA3C6E">
        <w:rPr>
          <w:rFonts w:eastAsia="Calibri" w:cs="Times New Roman"/>
          <w:lang w:eastAsia="en-US"/>
        </w:rPr>
        <w:instrText xml:space="preserve"> ADDIN EN.CITE &lt;EndNote&gt;&lt;Cite&gt;&lt;Author&gt;NHS&lt;/Author&gt;&lt;Year&gt;2018&lt;/Year&gt;&lt;RecNum&gt;48&lt;/RecNum&gt;&lt;DisplayText&gt;(8)&lt;/DisplayText&gt;&lt;record&gt;&lt;rec-number&gt;48&lt;/rec-number&gt;&lt;foreign-keys&gt;&lt;key app="EN" db-id="0992p2ztn5fez9e2wvnpw2xstd20f9w2dezz" timestamp="1586818281"&gt;48&lt;/key&gt;&lt;/foreign-keys&gt;&lt;ref-type name="Report"&gt;27&lt;/ref-type&gt;&lt;contributors&gt;&lt;authors&gt;&lt;author&gt;NHS&lt;/author&gt;&lt;/authors&gt;&lt;/contributors&gt;&lt;titles&gt;&lt;title&gt;Updated Commissioning Guidance for the use of therapeutic immunoglobulin (Ig) in immunology, haematology, neurology and infectious diseases in England December 2018&lt;/title&gt;&lt;secondary-title&gt;Immunoglobulin Commissioning Guidelines &lt;/secondary-title&gt;&lt;/titles&gt;&lt;number&gt;V1.0 Dec 2018&lt;/number&gt;&lt;dates&gt;&lt;year&gt;2018&lt;/year&gt;&lt;/dates&gt;&lt;pub-location&gt;England&lt;/pub-location&gt;&lt;publisher&gt;NHS&lt;/publisher&gt;&lt;urls&gt;&lt;/urls&gt;&lt;/record&gt;&lt;/Cite&gt;&lt;/EndNote&gt;</w:instrText>
      </w:r>
      <w:r w:rsidR="00DB568A" w:rsidRPr="00DA3C6E">
        <w:rPr>
          <w:rFonts w:eastAsia="Calibri" w:cs="Times New Roman"/>
          <w:lang w:eastAsia="en-US"/>
        </w:rPr>
        <w:fldChar w:fldCharType="separate"/>
      </w:r>
      <w:r w:rsidR="00DB568A" w:rsidRPr="00DA3C6E">
        <w:rPr>
          <w:rFonts w:eastAsia="Calibri" w:cs="Times New Roman"/>
          <w:noProof/>
          <w:lang w:eastAsia="en-US"/>
        </w:rPr>
        <w:t>(</w:t>
      </w:r>
      <w:hyperlink w:anchor="_ENREF_8" w:tooltip="NHS, 2018 #48" w:history="1">
        <w:r w:rsidR="00C04BCE" w:rsidRPr="00DA3C6E">
          <w:rPr>
            <w:rFonts w:eastAsia="Calibri" w:cs="Times New Roman"/>
            <w:noProof/>
            <w:lang w:eastAsia="en-US"/>
          </w:rPr>
          <w:t>8</w:t>
        </w:r>
      </w:hyperlink>
      <w:r w:rsidR="00DB568A" w:rsidRPr="00DA3C6E">
        <w:rPr>
          <w:rFonts w:eastAsia="Calibri" w:cs="Times New Roman"/>
          <w:noProof/>
          <w:lang w:eastAsia="en-US"/>
        </w:rPr>
        <w:t>)</w:t>
      </w:r>
      <w:r w:rsidR="00DB568A" w:rsidRPr="00DA3C6E">
        <w:rPr>
          <w:rFonts w:eastAsia="Calibri" w:cs="Times New Roman"/>
          <w:lang w:eastAsia="en-US"/>
        </w:rPr>
        <w:fldChar w:fldCharType="end"/>
      </w:r>
      <w:r w:rsidR="002E2ABF" w:rsidRPr="00DA3C6E">
        <w:rPr>
          <w:rFonts w:eastAsia="Calibri" w:cs="Times New Roman"/>
          <w:lang w:eastAsia="en-US"/>
        </w:rPr>
        <w:t xml:space="preserve"> which recommends a dosage different to that recommended in Australia.</w:t>
      </w:r>
      <w:r w:rsidRPr="00DA3C6E">
        <w:rPr>
          <w:rFonts w:eastAsia="Calibri" w:cs="Times New Roman"/>
          <w:lang w:eastAsia="en-US"/>
        </w:rPr>
        <w:t xml:space="preserve"> The main difference is the higher dose for treatment initiation reaching 4</w:t>
      </w:r>
      <w:r w:rsidR="002E2ABF" w:rsidRPr="00DA3C6E">
        <w:rPr>
          <w:rFonts w:eastAsia="Calibri" w:cs="Times New Roman"/>
          <w:lang w:eastAsia="en-US"/>
        </w:rPr>
        <w:t xml:space="preserve"> </w:t>
      </w:r>
      <w:r w:rsidRPr="00DA3C6E">
        <w:rPr>
          <w:rFonts w:eastAsia="Calibri" w:cs="Times New Roman"/>
          <w:lang w:eastAsia="en-US"/>
        </w:rPr>
        <w:t xml:space="preserve">g/kg which should be divided into two courses of 1-2 g/kg each and given over a 4-8 week period. In Australia, </w:t>
      </w:r>
      <w:r w:rsidR="00E33615">
        <w:rPr>
          <w:rFonts w:eastAsia="Calibri" w:cs="Times New Roman"/>
          <w:lang w:eastAsia="en-US"/>
        </w:rPr>
        <w:t xml:space="preserve">summary level data from Bloodstar provided by </w:t>
      </w:r>
      <w:r w:rsidRPr="00DA3C6E">
        <w:rPr>
          <w:rFonts w:eastAsia="Calibri" w:cs="Times New Roman"/>
          <w:lang w:eastAsia="en-US"/>
        </w:rPr>
        <w:t>NBA</w:t>
      </w:r>
      <w:r w:rsidR="00E33615">
        <w:rPr>
          <w:rFonts w:eastAsia="Calibri" w:cs="Times New Roman"/>
          <w:lang w:eastAsia="en-US"/>
        </w:rPr>
        <w:t xml:space="preserve"> </w:t>
      </w:r>
      <w:r w:rsidRPr="00DA3C6E">
        <w:rPr>
          <w:rFonts w:eastAsia="Calibri" w:cs="Times New Roman"/>
          <w:lang w:eastAsia="en-US"/>
        </w:rPr>
        <w:t xml:space="preserve">for the period 2018-2019 shows that, on average, </w:t>
      </w:r>
      <w:bookmarkStart w:id="66" w:name="_Hlk37678164"/>
      <w:bookmarkStart w:id="67" w:name="_Hlk37678179"/>
      <w:r w:rsidR="0051675F" w:rsidRPr="00DA3C6E">
        <w:rPr>
          <w:rFonts w:eastAsia="Calibri" w:cs="Times New Roman"/>
          <w:lang w:eastAsia="en-US"/>
        </w:rPr>
        <w:t xml:space="preserve">a patient receiving Ig for MMN is administered 0.64 g/kg per </w:t>
      </w:r>
      <w:bookmarkEnd w:id="66"/>
      <w:r w:rsidR="0051675F" w:rsidRPr="00DA3C6E">
        <w:rPr>
          <w:rFonts w:eastAsia="Calibri" w:cs="Times New Roman"/>
          <w:lang w:eastAsia="en-US"/>
        </w:rPr>
        <w:t xml:space="preserve">month (equivalent to 0.41 g/kg per treatment episode as per NBA data) </w:t>
      </w:r>
      <w:r w:rsidR="00DB568A" w:rsidRPr="00DA3C6E">
        <w:rPr>
          <w:rFonts w:eastAsia="Calibri" w:cs="Times New Roman"/>
          <w:lang w:eastAsia="en-US"/>
        </w:rPr>
        <w:fldChar w:fldCharType="begin"/>
      </w:r>
      <w:r w:rsidR="007C7E04">
        <w:rPr>
          <w:rFonts w:eastAsia="Calibri" w:cs="Times New Roman"/>
          <w:lang w:eastAsia="en-US"/>
        </w:rPr>
        <w:instrText xml:space="preserve"> ADDIN EN.CITE &lt;EndNote&gt;&lt;Cite&gt;&lt;Author&gt;NBA&lt;/Author&gt;&lt;Year&gt;2019&lt;/Year&gt;&lt;RecNum&gt;47&lt;/RecNum&gt;&lt;DisplayText&gt;(9)&lt;/DisplayText&gt;&lt;record&gt;&lt;rec-number&gt;47&lt;/rec-number&gt;&lt;foreign-keys&gt;&lt;key app="EN" db-id="0992p2ztn5fez9e2wvnpw2xstd20f9w2dezz" timestamp="1586818281"&gt;47&lt;/key&gt;&lt;/foreign-keys&gt;&lt;ref-type name="Report"&gt;27&lt;/ref-type&gt;&lt;contributors&gt;&lt;authors&gt;&lt;author&gt;NBA&lt;/author&gt;&lt;/authors&gt;&lt;/contributors&gt;&lt;titles&gt;&lt;title&gt;Updated phase 2 HTA conditions report&lt;/title&gt;&lt;/titles&gt;&lt;dates&gt;&lt;year&gt;2019&lt;/year&gt;&lt;/dates&gt;&lt;pub-location&gt;Canberra&lt;/pub-location&gt;&lt;publisher&gt;NBA&lt;/publisher&gt;&lt;urls&gt;&lt;/urls&gt;&lt;/record&gt;&lt;/Cite&gt;&lt;/EndNote&gt;</w:instrText>
      </w:r>
      <w:r w:rsidR="00DB568A" w:rsidRPr="00DA3C6E">
        <w:rPr>
          <w:rFonts w:eastAsia="Calibri" w:cs="Times New Roman"/>
          <w:lang w:eastAsia="en-US"/>
        </w:rPr>
        <w:fldChar w:fldCharType="separate"/>
      </w:r>
      <w:r w:rsidR="00DB568A" w:rsidRPr="00DA3C6E">
        <w:rPr>
          <w:rFonts w:eastAsia="Calibri" w:cs="Times New Roman"/>
          <w:noProof/>
          <w:lang w:eastAsia="en-US"/>
        </w:rPr>
        <w:t>(</w:t>
      </w:r>
      <w:hyperlink w:anchor="_ENREF_9" w:tooltip="NBA, 2019 #47" w:history="1">
        <w:r w:rsidR="00C04BCE" w:rsidRPr="00DA3C6E">
          <w:rPr>
            <w:rFonts w:eastAsia="Calibri" w:cs="Times New Roman"/>
            <w:noProof/>
            <w:lang w:eastAsia="en-US"/>
          </w:rPr>
          <w:t>9</w:t>
        </w:r>
      </w:hyperlink>
      <w:r w:rsidR="00DB568A" w:rsidRPr="00DA3C6E">
        <w:rPr>
          <w:rFonts w:eastAsia="Calibri" w:cs="Times New Roman"/>
          <w:noProof/>
          <w:lang w:eastAsia="en-US"/>
        </w:rPr>
        <w:t>)</w:t>
      </w:r>
      <w:r w:rsidR="00DB568A" w:rsidRPr="00DA3C6E">
        <w:rPr>
          <w:rFonts w:eastAsia="Calibri" w:cs="Times New Roman"/>
          <w:lang w:eastAsia="en-US"/>
        </w:rPr>
        <w:fldChar w:fldCharType="end"/>
      </w:r>
      <w:r w:rsidR="0051675F" w:rsidRPr="00DA3C6E">
        <w:rPr>
          <w:rFonts w:eastAsia="Calibri" w:cs="Times New Roman"/>
          <w:lang w:eastAsia="en-US"/>
        </w:rPr>
        <w:t xml:space="preserve">. </w:t>
      </w:r>
    </w:p>
    <w:p w14:paraId="55A4EFEC" w14:textId="77777777" w:rsidR="00C44F6A" w:rsidRPr="00DA3C6E" w:rsidRDefault="00C44F6A" w:rsidP="00BA7C38">
      <w:pPr>
        <w:pStyle w:val="Heading3"/>
        <w:rPr>
          <w:rFonts w:eastAsia="MS Gothic"/>
          <w:lang w:eastAsia="en-US"/>
        </w:rPr>
      </w:pPr>
      <w:bookmarkStart w:id="68" w:name="_Toc37845715"/>
      <w:bookmarkEnd w:id="67"/>
      <w:r w:rsidRPr="00DA3C6E">
        <w:rPr>
          <w:rFonts w:eastAsia="MS Gothic"/>
          <w:lang w:eastAsia="en-US"/>
        </w:rPr>
        <w:lastRenderedPageBreak/>
        <w:t xml:space="preserve">Current usage of </w:t>
      </w:r>
      <w:r w:rsidR="00401ABF" w:rsidRPr="00DA3C6E">
        <w:rPr>
          <w:rFonts w:eastAsia="MS Gothic"/>
          <w:lang w:eastAsia="en-US"/>
        </w:rPr>
        <w:t>i</w:t>
      </w:r>
      <w:r w:rsidRPr="00DA3C6E">
        <w:rPr>
          <w:rFonts w:eastAsia="MS Gothic"/>
          <w:lang w:eastAsia="en-US"/>
        </w:rPr>
        <w:t>ntravenous Ig therapy for MMN in Australia</w:t>
      </w:r>
      <w:bookmarkEnd w:id="68"/>
    </w:p>
    <w:p w14:paraId="3395045B" w14:textId="6AD0D91C" w:rsidR="00C44F6A" w:rsidRPr="00165027" w:rsidRDefault="00C44F6A" w:rsidP="00D91A32">
      <w:pPr>
        <w:rPr>
          <w:rFonts w:eastAsia="Calibri"/>
          <w:lang w:eastAsia="en-US"/>
        </w:rPr>
      </w:pPr>
      <w:r w:rsidRPr="00165027">
        <w:rPr>
          <w:rFonts w:eastAsia="Calibri"/>
          <w:lang w:eastAsia="en-US"/>
        </w:rPr>
        <w:t xml:space="preserve">The use of </w:t>
      </w:r>
      <w:r w:rsidR="00401ABF" w:rsidRPr="00165027">
        <w:rPr>
          <w:rFonts w:eastAsia="Calibri"/>
          <w:lang w:eastAsia="en-US"/>
        </w:rPr>
        <w:t>i</w:t>
      </w:r>
      <w:r w:rsidRPr="00165027">
        <w:rPr>
          <w:rFonts w:eastAsia="Calibri"/>
          <w:lang w:eastAsia="en-US"/>
        </w:rPr>
        <w:t xml:space="preserve">ntravenous Ig therapy for MMN based on NBA internal data, is provided in </w:t>
      </w:r>
      <w:r w:rsidR="00165027" w:rsidRPr="00165027">
        <w:rPr>
          <w:rFonts w:eastAsia="Calibri"/>
          <w:lang w:eastAsia="en-US"/>
        </w:rPr>
        <w:fldChar w:fldCharType="begin"/>
      </w:r>
      <w:r w:rsidR="00165027" w:rsidRPr="00165027">
        <w:rPr>
          <w:rFonts w:eastAsia="Calibri"/>
          <w:lang w:eastAsia="en-US"/>
        </w:rPr>
        <w:instrText xml:space="preserve"> REF _Ref25925412 \h </w:instrText>
      </w:r>
      <w:r w:rsidR="00165027">
        <w:rPr>
          <w:rFonts w:eastAsia="Calibri"/>
          <w:lang w:eastAsia="en-US"/>
        </w:rPr>
        <w:instrText xml:space="preserve"> \* MERGEFORMAT </w:instrText>
      </w:r>
      <w:r w:rsidR="00165027" w:rsidRPr="00165027">
        <w:rPr>
          <w:rFonts w:eastAsia="Calibri"/>
          <w:lang w:eastAsia="en-US"/>
        </w:rPr>
      </w:r>
      <w:r w:rsidR="00165027" w:rsidRPr="00165027">
        <w:rPr>
          <w:rFonts w:eastAsia="Calibri"/>
          <w:lang w:eastAsia="en-US"/>
        </w:rPr>
        <w:fldChar w:fldCharType="separate"/>
      </w:r>
      <w:r w:rsidR="00165027" w:rsidRPr="00165027">
        <w:rPr>
          <w:rFonts w:eastAsia="Calibri"/>
          <w:lang w:eastAsia="en-US"/>
        </w:rPr>
        <w:t>Table 3</w:t>
      </w:r>
      <w:r w:rsidR="00165027" w:rsidRPr="00165027">
        <w:rPr>
          <w:rFonts w:eastAsia="Calibri"/>
          <w:lang w:eastAsia="en-US"/>
        </w:rPr>
        <w:fldChar w:fldCharType="end"/>
      </w:r>
      <w:r w:rsidR="00165027" w:rsidRPr="00165027">
        <w:rPr>
          <w:rFonts w:eastAsia="Calibri"/>
          <w:lang w:eastAsia="en-US"/>
        </w:rPr>
        <w:t xml:space="preserve"> </w:t>
      </w:r>
      <w:r w:rsidR="00DB568A" w:rsidRPr="00165027">
        <w:rPr>
          <w:rFonts w:eastAsia="Calibri"/>
          <w:lang w:eastAsia="en-US"/>
        </w:rPr>
        <w:fldChar w:fldCharType="begin"/>
      </w:r>
      <w:r w:rsidR="007C7E04" w:rsidRPr="00165027">
        <w:rPr>
          <w:rFonts w:eastAsia="Calibri"/>
          <w:lang w:eastAsia="en-US"/>
        </w:rPr>
        <w:instrText xml:space="preserve"> ADDIN EN.CITE &lt;EndNote&gt;&lt;Cite&gt;&lt;Author&gt;NBA&lt;/Author&gt;&lt;Year&gt;2019&lt;/Year&gt;&lt;RecNum&gt;47&lt;/RecNum&gt;&lt;DisplayText&gt;(9)&lt;/DisplayText&gt;&lt;record&gt;&lt;rec-number&gt;47&lt;/rec-number&gt;&lt;foreign-keys&gt;&lt;key app="EN" db-id="0992p2ztn5fez9e2wvnpw2xstd20f9w2dezz" timestamp="1586818281"&gt;47&lt;/key&gt;&lt;/foreign-keys&gt;&lt;ref-type name="Report"&gt;27&lt;/ref-type&gt;&lt;contributors&gt;&lt;authors&gt;&lt;author&gt;NBA&lt;/author&gt;&lt;/authors&gt;&lt;/contributors&gt;&lt;titles&gt;&lt;title&gt;Updated phase 2 HTA conditions report&lt;/title&gt;&lt;/titles&gt;&lt;dates&gt;&lt;year&gt;2019&lt;/year&gt;&lt;/dates&gt;&lt;pub-location&gt;Canberra&lt;/pub-location&gt;&lt;publisher&gt;NBA&lt;/publisher&gt;&lt;urls&gt;&lt;/urls&gt;&lt;/record&gt;&lt;/Cite&gt;&lt;/EndNote&gt;</w:instrText>
      </w:r>
      <w:r w:rsidR="00DB568A" w:rsidRPr="00165027">
        <w:rPr>
          <w:rFonts w:eastAsia="Calibri"/>
          <w:lang w:eastAsia="en-US"/>
        </w:rPr>
        <w:fldChar w:fldCharType="separate"/>
      </w:r>
      <w:r w:rsidR="00DB568A" w:rsidRPr="00165027">
        <w:rPr>
          <w:rFonts w:eastAsia="Calibri"/>
          <w:lang w:eastAsia="en-US"/>
        </w:rPr>
        <w:t>(</w:t>
      </w:r>
      <w:hyperlink w:anchor="_ENREF_9" w:tooltip="NBA, 2019 #47" w:history="1">
        <w:r w:rsidR="00C04BCE" w:rsidRPr="00165027">
          <w:rPr>
            <w:rFonts w:eastAsia="Calibri"/>
            <w:lang w:eastAsia="en-US"/>
          </w:rPr>
          <w:t>9</w:t>
        </w:r>
      </w:hyperlink>
      <w:r w:rsidR="00DB568A" w:rsidRPr="00165027">
        <w:rPr>
          <w:rFonts w:eastAsia="Calibri"/>
          <w:lang w:eastAsia="en-US"/>
        </w:rPr>
        <w:t>)</w:t>
      </w:r>
      <w:r w:rsidR="00DB568A" w:rsidRPr="00165027">
        <w:rPr>
          <w:rFonts w:eastAsia="Calibri"/>
          <w:lang w:eastAsia="en-US"/>
        </w:rPr>
        <w:fldChar w:fldCharType="end"/>
      </w:r>
      <w:r w:rsidRPr="00165027">
        <w:rPr>
          <w:rFonts w:eastAsia="Calibri"/>
          <w:lang w:eastAsia="en-US"/>
        </w:rPr>
        <w:t xml:space="preserve">. Compared to the 2017-2018 period, the average quantity (in grams) used per patient has remained constant </w:t>
      </w:r>
      <w:r w:rsidR="00BD6F50" w:rsidRPr="00165027">
        <w:rPr>
          <w:rFonts w:eastAsia="Calibri"/>
          <w:lang w:eastAsia="en-US"/>
        </w:rPr>
        <w:t xml:space="preserve">over </w:t>
      </w:r>
      <w:r w:rsidRPr="00165027">
        <w:rPr>
          <w:rFonts w:eastAsia="Calibri"/>
          <w:lang w:eastAsia="en-US"/>
        </w:rPr>
        <w:t>the past three years (</w:t>
      </w:r>
      <w:r w:rsidR="00386CE4" w:rsidRPr="00165027">
        <w:rPr>
          <w:rFonts w:eastAsia="Calibri"/>
          <w:lang w:eastAsia="en-US"/>
        </w:rPr>
        <w:t xml:space="preserve">628, </w:t>
      </w:r>
      <w:r w:rsidRPr="00165027">
        <w:rPr>
          <w:rFonts w:eastAsia="Calibri"/>
          <w:lang w:eastAsia="en-US"/>
        </w:rPr>
        <w:t xml:space="preserve">633 </w:t>
      </w:r>
      <w:r w:rsidR="00386CE4" w:rsidRPr="00165027">
        <w:rPr>
          <w:rFonts w:eastAsia="Calibri"/>
          <w:lang w:eastAsia="en-US"/>
        </w:rPr>
        <w:t>and</w:t>
      </w:r>
      <w:r w:rsidRPr="00165027">
        <w:rPr>
          <w:rFonts w:eastAsia="Calibri"/>
          <w:lang w:eastAsia="en-US"/>
        </w:rPr>
        <w:t xml:space="preserve"> 626 grams</w:t>
      </w:r>
      <w:r w:rsidR="00386CE4" w:rsidRPr="00165027">
        <w:rPr>
          <w:rFonts w:eastAsia="Calibri"/>
          <w:lang w:eastAsia="en-US"/>
        </w:rPr>
        <w:t xml:space="preserve"> respectively</w:t>
      </w:r>
      <w:r w:rsidRPr="00165027">
        <w:rPr>
          <w:rFonts w:eastAsia="Calibri"/>
          <w:lang w:eastAsia="en-US"/>
        </w:rPr>
        <w:t xml:space="preserve">). As discussed previously, The Criteria V3 restricts the qualifying criteria for the initial use of </w:t>
      </w:r>
      <w:r w:rsidR="00401ABF" w:rsidRPr="00165027">
        <w:rPr>
          <w:rFonts w:eastAsia="Calibri"/>
          <w:lang w:eastAsia="en-US"/>
        </w:rPr>
        <w:t>i</w:t>
      </w:r>
      <w:r w:rsidRPr="00165027">
        <w:rPr>
          <w:rFonts w:eastAsia="Calibri"/>
          <w:lang w:eastAsia="en-US"/>
        </w:rPr>
        <w:t xml:space="preserve">ntravenous Ig as well as for patients who relapse. Furthermore, it is more specific and expands on the exclusion criteria and recommends a lower induction dose for patients who relapse. These changes have not yet translated into lower use of </w:t>
      </w:r>
      <w:r w:rsidR="00401ABF" w:rsidRPr="00165027">
        <w:rPr>
          <w:rFonts w:eastAsia="Calibri"/>
          <w:lang w:eastAsia="en-US"/>
        </w:rPr>
        <w:t>in</w:t>
      </w:r>
      <w:r w:rsidRPr="00165027">
        <w:rPr>
          <w:rFonts w:eastAsia="Calibri"/>
          <w:lang w:eastAsia="en-US"/>
        </w:rPr>
        <w:t>travenous Ig per patient or a reduction in the number of patients receiving treatment. In terms of the expected dose per patient, there is evidence in Australia for the period 2015-2016 that show</w:t>
      </w:r>
      <w:r w:rsidR="00CB7A05" w:rsidRPr="00165027">
        <w:rPr>
          <w:rFonts w:eastAsia="Calibri"/>
          <w:lang w:eastAsia="en-US"/>
        </w:rPr>
        <w:t>s</w:t>
      </w:r>
      <w:r w:rsidRPr="00165027">
        <w:rPr>
          <w:rFonts w:eastAsia="Calibri"/>
          <w:lang w:eastAsia="en-US"/>
        </w:rPr>
        <w:t xml:space="preserve"> that most patients with MMN (61%) received the lowest recommended dose (0.4 g/kg) while 38% received a dose between 0.4-0.99 g/kg. The latter is consistent with data from the period 2018-19 that show</w:t>
      </w:r>
      <w:r w:rsidR="00CB7A05" w:rsidRPr="00165027">
        <w:rPr>
          <w:rFonts w:eastAsia="Calibri"/>
          <w:lang w:eastAsia="en-US"/>
        </w:rPr>
        <w:t>s</w:t>
      </w:r>
      <w:r w:rsidRPr="00165027">
        <w:rPr>
          <w:rFonts w:eastAsia="Calibri"/>
          <w:lang w:eastAsia="en-US"/>
        </w:rPr>
        <w:t xml:space="preserve"> that, on average, a patient is administered </w:t>
      </w:r>
      <w:r w:rsidR="0051675F" w:rsidRPr="00165027">
        <w:rPr>
          <w:rFonts w:eastAsia="Calibri"/>
          <w:lang w:eastAsia="en-US"/>
        </w:rPr>
        <w:t xml:space="preserve">0.64 g/kg </w:t>
      </w:r>
      <w:r w:rsidRPr="00165027">
        <w:rPr>
          <w:rFonts w:eastAsia="Calibri"/>
          <w:lang w:eastAsia="en-US"/>
        </w:rPr>
        <w:t xml:space="preserve">per </w:t>
      </w:r>
      <w:r w:rsidR="00C16F59" w:rsidRPr="00165027">
        <w:rPr>
          <w:rFonts w:eastAsia="Calibri"/>
          <w:lang w:eastAsia="en-US"/>
        </w:rPr>
        <w:t>month</w:t>
      </w:r>
      <w:r w:rsidRPr="00165027">
        <w:rPr>
          <w:rFonts w:eastAsia="Calibri"/>
          <w:lang w:eastAsia="en-US"/>
        </w:rPr>
        <w:t>.</w:t>
      </w:r>
      <w:r w:rsidR="00E33615" w:rsidRPr="00165027">
        <w:rPr>
          <w:rFonts w:eastAsia="Calibri"/>
          <w:lang w:eastAsia="en-US"/>
        </w:rPr>
        <w:t xml:space="preserve"> </w:t>
      </w:r>
      <w:r w:rsidRPr="00165027">
        <w:rPr>
          <w:rFonts w:eastAsia="Calibri"/>
          <w:lang w:eastAsia="en-US"/>
        </w:rPr>
        <w:t xml:space="preserve">This suggests that neurologists in Australia may have a conservative treatment approach for the management of MMN </w:t>
      </w:r>
      <w:r w:rsidR="00DB568A" w:rsidRPr="00165027">
        <w:rPr>
          <w:rFonts w:eastAsia="Calibri"/>
          <w:lang w:eastAsia="en-US"/>
        </w:rPr>
        <w:fldChar w:fldCharType="begin"/>
      </w:r>
      <w:r w:rsidR="00DB568A" w:rsidRPr="00165027">
        <w:rPr>
          <w:rFonts w:eastAsia="Calibri"/>
          <w:lang w:eastAsia="en-US"/>
        </w:rPr>
        <w:instrText xml:space="preserve"> ADDIN EN.CITE &lt;EndNote&gt;&lt;Cite ExcludeYear="1"&gt;&lt;Author&gt;National Blood Authority&lt;/Author&gt;&lt;RecNum&gt;46&lt;/RecNum&gt;&lt;DisplayText&gt;(10)&lt;/DisplayText&gt;&lt;record&gt;&lt;rec-number&gt;46&lt;/rec-number&gt;&lt;foreign-keys&gt;&lt;key app="EN" db-id="0992p2ztn5fez9e2wvnpw2xstd20f9w2dezz" timestamp="1586818281"&gt;46&lt;/key&gt;&lt;/foreign-keys&gt;&lt;ref-type name="Report"&gt;27&lt;/ref-type&gt;&lt;contributors&gt;&lt;authors&gt;&lt;author&gt;National Blood Authority,&lt;/author&gt;&lt;/authors&gt;&lt;subsidiary-authors&gt;&lt;author&gt;National Blood Authority&lt;/author&gt;&lt;/subsidiary-authors&gt;&lt;/contributors&gt;&lt;titles&gt;&lt;title&gt;National Report on the Issue and Use of Immunoglobulin (Ig) Annual Report 2015-16&lt;/title&gt;&lt;/titles&gt;&lt;dates&gt;&lt;/dates&gt;&lt;pub-location&gt;Canberra&lt;/pub-location&gt;&lt;urls&gt;&lt;/urls&gt;&lt;/record&gt;&lt;/Cite&gt;&lt;/EndNote&gt;</w:instrText>
      </w:r>
      <w:r w:rsidR="00DB568A" w:rsidRPr="00165027">
        <w:rPr>
          <w:rFonts w:eastAsia="Calibri"/>
          <w:lang w:eastAsia="en-US"/>
        </w:rPr>
        <w:fldChar w:fldCharType="separate"/>
      </w:r>
      <w:r w:rsidR="00DB568A" w:rsidRPr="00165027">
        <w:rPr>
          <w:rFonts w:eastAsia="Calibri"/>
          <w:lang w:eastAsia="en-US"/>
        </w:rPr>
        <w:t>(</w:t>
      </w:r>
      <w:hyperlink w:anchor="_ENREF_10" w:tooltip="National Blood Authority,  #46" w:history="1">
        <w:r w:rsidR="00C04BCE" w:rsidRPr="00165027">
          <w:rPr>
            <w:rFonts w:eastAsia="Calibri"/>
            <w:lang w:eastAsia="en-US"/>
          </w:rPr>
          <w:t>10</w:t>
        </w:r>
      </w:hyperlink>
      <w:r w:rsidR="00DB568A" w:rsidRPr="00165027">
        <w:rPr>
          <w:rFonts w:eastAsia="Calibri"/>
          <w:lang w:eastAsia="en-US"/>
        </w:rPr>
        <w:t>)</w:t>
      </w:r>
      <w:r w:rsidR="00DB568A" w:rsidRPr="00165027">
        <w:rPr>
          <w:rFonts w:eastAsia="Calibri"/>
          <w:lang w:eastAsia="en-US"/>
        </w:rPr>
        <w:fldChar w:fldCharType="end"/>
      </w:r>
      <w:r w:rsidRPr="00165027">
        <w:rPr>
          <w:rFonts w:eastAsia="Calibri"/>
          <w:lang w:eastAsia="en-US"/>
        </w:rPr>
        <w:t xml:space="preserve">. </w:t>
      </w:r>
      <w:r w:rsidR="00C16F59" w:rsidRPr="00165027">
        <w:rPr>
          <w:rFonts w:eastAsia="Calibri"/>
          <w:lang w:eastAsia="en-US"/>
        </w:rPr>
        <w:t xml:space="preserve">However, it should be noted that the annual data as per the NBA database includes patients who discontinue treatment </w:t>
      </w:r>
      <w:r w:rsidR="004A6643" w:rsidRPr="00165027">
        <w:rPr>
          <w:rFonts w:eastAsia="Calibri"/>
          <w:lang w:eastAsia="en-US"/>
        </w:rPr>
        <w:t>and who</w:t>
      </w:r>
      <w:r w:rsidR="00C16F59" w:rsidRPr="00165027">
        <w:rPr>
          <w:rFonts w:eastAsia="Calibri"/>
          <w:lang w:eastAsia="en-US"/>
        </w:rPr>
        <w:t xml:space="preserve"> were assigned 0 grams for</w:t>
      </w:r>
      <w:r w:rsidR="004A6643" w:rsidRPr="00165027">
        <w:rPr>
          <w:rFonts w:eastAsia="Calibri"/>
          <w:lang w:eastAsia="en-US"/>
        </w:rPr>
        <w:t xml:space="preserve"> an unknown number of </w:t>
      </w:r>
      <w:r w:rsidR="00C16F59" w:rsidRPr="00165027">
        <w:rPr>
          <w:rFonts w:eastAsia="Calibri"/>
          <w:lang w:eastAsia="en-US"/>
        </w:rPr>
        <w:t xml:space="preserve">months. The latter means that, from this database, the average </w:t>
      </w:r>
      <w:r w:rsidR="004A6643" w:rsidRPr="00165027">
        <w:rPr>
          <w:rFonts w:eastAsia="Calibri"/>
          <w:lang w:eastAsia="en-US"/>
        </w:rPr>
        <w:t xml:space="preserve">monthly </w:t>
      </w:r>
      <w:r w:rsidR="00C16F59" w:rsidRPr="00165027">
        <w:rPr>
          <w:rFonts w:eastAsia="Calibri"/>
          <w:lang w:eastAsia="en-US"/>
        </w:rPr>
        <w:t>dose could be higher</w:t>
      </w:r>
      <w:r w:rsidR="004A6643" w:rsidRPr="00165027">
        <w:rPr>
          <w:rFonts w:eastAsia="Calibri"/>
          <w:lang w:eastAsia="en-US"/>
        </w:rPr>
        <w:t xml:space="preserve"> than 0.64 g/kg. </w:t>
      </w:r>
    </w:p>
    <w:p w14:paraId="76D4E5CE" w14:textId="70C389B2" w:rsidR="00C44F6A" w:rsidRPr="00DA3C6E" w:rsidRDefault="00C44F6A" w:rsidP="008651E8">
      <w:pPr>
        <w:pStyle w:val="Caption"/>
        <w:keepNext/>
        <w:keepLines/>
        <w:rPr>
          <w:rFonts w:eastAsia="Calibri" w:cs="Times New Roman"/>
          <w:szCs w:val="20"/>
          <w:lang w:eastAsia="en-US"/>
        </w:rPr>
      </w:pPr>
      <w:bookmarkStart w:id="69" w:name="_Ref25925412"/>
      <w:bookmarkStart w:id="70" w:name="_Toc30497449"/>
      <w:bookmarkStart w:id="71" w:name="_Ref30587253"/>
      <w:bookmarkStart w:id="72" w:name="_Toc37845806"/>
      <w:r w:rsidRPr="00DA3C6E">
        <w:t xml:space="preserve">Table </w:t>
      </w:r>
      <w:r w:rsidR="00515153">
        <w:fldChar w:fldCharType="begin"/>
      </w:r>
      <w:r w:rsidR="00515153">
        <w:instrText xml:space="preserve"> SEQ Table \* ARABIC </w:instrText>
      </w:r>
      <w:r w:rsidR="00515153">
        <w:fldChar w:fldCharType="separate"/>
      </w:r>
      <w:r w:rsidR="00EA5DC1">
        <w:rPr>
          <w:noProof/>
        </w:rPr>
        <w:t>3</w:t>
      </w:r>
      <w:r w:rsidR="00515153">
        <w:rPr>
          <w:noProof/>
        </w:rPr>
        <w:fldChar w:fldCharType="end"/>
      </w:r>
      <w:bookmarkEnd w:id="69"/>
      <w:r w:rsidRPr="00DA3C6E">
        <w:rPr>
          <w:rFonts w:eastAsia="Calibri" w:cs="Times New Roman"/>
          <w:szCs w:val="20"/>
          <w:lang w:eastAsia="en-US"/>
        </w:rPr>
        <w:t xml:space="preserve">: Usage of </w:t>
      </w:r>
      <w:r w:rsidR="00547B9A" w:rsidRPr="00DA3C6E">
        <w:rPr>
          <w:rFonts w:eastAsia="Calibri" w:cs="Times New Roman"/>
          <w:szCs w:val="20"/>
          <w:lang w:eastAsia="en-US"/>
        </w:rPr>
        <w:t>i</w:t>
      </w:r>
      <w:r w:rsidRPr="00DA3C6E">
        <w:rPr>
          <w:rFonts w:eastAsia="Calibri" w:cs="Times New Roman"/>
          <w:szCs w:val="20"/>
          <w:lang w:eastAsia="en-US"/>
        </w:rPr>
        <w:t>ntravenous Ig therapy over recent years for the treatment of MMN based on of The Criteria V2 and V3.</w:t>
      </w:r>
      <w:bookmarkEnd w:id="70"/>
      <w:bookmarkEnd w:id="71"/>
      <w:bookmarkEnd w:id="72"/>
    </w:p>
    <w:tbl>
      <w:tblPr>
        <w:tblStyle w:val="TableGrid8"/>
        <w:tblW w:w="9044" w:type="dxa"/>
        <w:tblLayout w:type="fixed"/>
        <w:tblLook w:val="04A0" w:firstRow="1" w:lastRow="0" w:firstColumn="1" w:lastColumn="0" w:noHBand="0" w:noVBand="1"/>
        <w:tblCaption w:val="Table 3: Usage of intravenous Ig therapy over recent years for the treatment of MMN based on of The Criteria V2 and V3."/>
      </w:tblPr>
      <w:tblGrid>
        <w:gridCol w:w="2789"/>
        <w:gridCol w:w="1143"/>
        <w:gridCol w:w="1142"/>
        <w:gridCol w:w="1015"/>
        <w:gridCol w:w="1015"/>
        <w:gridCol w:w="970"/>
        <w:gridCol w:w="970"/>
      </w:tblGrid>
      <w:tr w:rsidR="00C44F6A" w:rsidRPr="00DA3C6E" w14:paraId="4135B566" w14:textId="77777777" w:rsidTr="008F410E">
        <w:trPr>
          <w:trHeight w:val="280"/>
          <w:tblHeader/>
        </w:trPr>
        <w:tc>
          <w:tcPr>
            <w:tcW w:w="2789" w:type="dxa"/>
            <w:vAlign w:val="center"/>
          </w:tcPr>
          <w:p w14:paraId="60810C5D" w14:textId="77777777" w:rsidR="00C44F6A" w:rsidRPr="00DA3C6E" w:rsidRDefault="00C44F6A" w:rsidP="007540BE">
            <w:pPr>
              <w:keepNext/>
              <w:keepLines/>
              <w:spacing w:after="0" w:line="276" w:lineRule="auto"/>
              <w:rPr>
                <w:rFonts w:ascii="Arial Narrow" w:eastAsia="Calibri" w:hAnsi="Arial Narrow" w:cstheme="minorHAnsi"/>
                <w:b/>
                <w:sz w:val="20"/>
                <w:szCs w:val="20"/>
              </w:rPr>
            </w:pPr>
          </w:p>
        </w:tc>
        <w:tc>
          <w:tcPr>
            <w:tcW w:w="1143" w:type="dxa"/>
            <w:vAlign w:val="center"/>
          </w:tcPr>
          <w:p w14:paraId="51C447CA" w14:textId="77777777" w:rsidR="00C44F6A" w:rsidRPr="00DA3C6E" w:rsidRDefault="00C44F6A" w:rsidP="007540BE">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2013-14</w:t>
            </w:r>
          </w:p>
        </w:tc>
        <w:tc>
          <w:tcPr>
            <w:tcW w:w="1142" w:type="dxa"/>
            <w:vAlign w:val="center"/>
          </w:tcPr>
          <w:p w14:paraId="720301D2" w14:textId="77777777" w:rsidR="00C44F6A" w:rsidRPr="00DA3C6E" w:rsidRDefault="00C44F6A" w:rsidP="007540BE">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2014-15</w:t>
            </w:r>
          </w:p>
        </w:tc>
        <w:tc>
          <w:tcPr>
            <w:tcW w:w="1015" w:type="dxa"/>
            <w:vAlign w:val="center"/>
          </w:tcPr>
          <w:p w14:paraId="7869D5A3" w14:textId="77777777" w:rsidR="00C44F6A" w:rsidRPr="00DA3C6E" w:rsidRDefault="00C44F6A" w:rsidP="007540BE">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2015-16</w:t>
            </w:r>
          </w:p>
        </w:tc>
        <w:tc>
          <w:tcPr>
            <w:tcW w:w="1015" w:type="dxa"/>
            <w:vAlign w:val="center"/>
          </w:tcPr>
          <w:p w14:paraId="0F35D444" w14:textId="77777777" w:rsidR="00C44F6A" w:rsidRPr="00DA3C6E" w:rsidRDefault="00C44F6A" w:rsidP="007540BE">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2016-17</w:t>
            </w:r>
          </w:p>
        </w:tc>
        <w:tc>
          <w:tcPr>
            <w:tcW w:w="970" w:type="dxa"/>
            <w:vAlign w:val="center"/>
          </w:tcPr>
          <w:p w14:paraId="1F1CE688" w14:textId="77777777" w:rsidR="00C44F6A" w:rsidRPr="00DA3C6E" w:rsidRDefault="00C44F6A" w:rsidP="007540BE">
            <w:pPr>
              <w:keepNext/>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2017-18</w:t>
            </w:r>
          </w:p>
        </w:tc>
        <w:tc>
          <w:tcPr>
            <w:tcW w:w="970" w:type="dxa"/>
          </w:tcPr>
          <w:p w14:paraId="32C4C13B" w14:textId="77777777" w:rsidR="00C44F6A" w:rsidRPr="00DA3C6E" w:rsidRDefault="00C44F6A" w:rsidP="00A93294">
            <w:pPr>
              <w:keepNext/>
              <w:keepLines/>
              <w:spacing w:after="0" w:line="276" w:lineRule="auto"/>
              <w:rPr>
                <w:rFonts w:ascii="Arial Narrow" w:eastAsia="Calibri" w:hAnsi="Arial Narrow" w:cstheme="minorHAnsi"/>
                <w:b/>
                <w:sz w:val="20"/>
                <w:szCs w:val="20"/>
                <w:vertAlign w:val="superscript"/>
              </w:rPr>
            </w:pPr>
            <w:r w:rsidRPr="00DA3C6E">
              <w:rPr>
                <w:rFonts w:ascii="Arial Narrow" w:eastAsia="Calibri" w:hAnsi="Arial Narrow" w:cstheme="minorHAnsi"/>
                <w:b/>
                <w:sz w:val="20"/>
                <w:szCs w:val="20"/>
              </w:rPr>
              <w:t>2018-19</w:t>
            </w:r>
            <w:r w:rsidRPr="00DA3C6E">
              <w:rPr>
                <w:rFonts w:ascii="Arial Narrow" w:eastAsia="Calibri" w:hAnsi="Arial Narrow" w:cstheme="minorHAnsi"/>
                <w:b/>
                <w:sz w:val="20"/>
                <w:szCs w:val="20"/>
                <w:vertAlign w:val="superscript"/>
              </w:rPr>
              <w:t>a</w:t>
            </w:r>
          </w:p>
        </w:tc>
      </w:tr>
      <w:tr w:rsidR="00C44F6A" w:rsidRPr="00DA3C6E" w14:paraId="634CB7D1" w14:textId="77777777" w:rsidTr="008F410E">
        <w:trPr>
          <w:trHeight w:val="292"/>
        </w:trPr>
        <w:tc>
          <w:tcPr>
            <w:tcW w:w="2789" w:type="dxa"/>
            <w:vAlign w:val="center"/>
          </w:tcPr>
          <w:p w14:paraId="447CD00A" w14:textId="77777777" w:rsidR="00C44F6A" w:rsidRPr="00DA3C6E" w:rsidRDefault="00C44F6A" w:rsidP="007540BE">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New patients</w:t>
            </w:r>
          </w:p>
        </w:tc>
        <w:tc>
          <w:tcPr>
            <w:tcW w:w="1143" w:type="dxa"/>
            <w:vAlign w:val="center"/>
          </w:tcPr>
          <w:p w14:paraId="0345DC23"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127</w:t>
            </w:r>
          </w:p>
        </w:tc>
        <w:tc>
          <w:tcPr>
            <w:tcW w:w="1142" w:type="dxa"/>
            <w:vAlign w:val="center"/>
          </w:tcPr>
          <w:p w14:paraId="2A1AEFA7"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105</w:t>
            </w:r>
          </w:p>
        </w:tc>
        <w:tc>
          <w:tcPr>
            <w:tcW w:w="1015" w:type="dxa"/>
            <w:vAlign w:val="center"/>
          </w:tcPr>
          <w:p w14:paraId="66689157"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137</w:t>
            </w:r>
          </w:p>
        </w:tc>
        <w:tc>
          <w:tcPr>
            <w:tcW w:w="1015" w:type="dxa"/>
            <w:vAlign w:val="center"/>
          </w:tcPr>
          <w:p w14:paraId="549CA5E0"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126</w:t>
            </w:r>
          </w:p>
        </w:tc>
        <w:tc>
          <w:tcPr>
            <w:tcW w:w="970" w:type="dxa"/>
            <w:vAlign w:val="center"/>
          </w:tcPr>
          <w:p w14:paraId="1894521A"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125</w:t>
            </w:r>
          </w:p>
        </w:tc>
        <w:tc>
          <w:tcPr>
            <w:tcW w:w="970" w:type="dxa"/>
          </w:tcPr>
          <w:p w14:paraId="0D1E6D1D"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123</w:t>
            </w:r>
          </w:p>
        </w:tc>
      </w:tr>
      <w:tr w:rsidR="00C44F6A" w:rsidRPr="00DA3C6E" w14:paraId="18E2AC68" w14:textId="77777777" w:rsidTr="008F410E">
        <w:trPr>
          <w:trHeight w:val="280"/>
        </w:trPr>
        <w:tc>
          <w:tcPr>
            <w:tcW w:w="2789" w:type="dxa"/>
            <w:vAlign w:val="center"/>
          </w:tcPr>
          <w:p w14:paraId="1134B54E" w14:textId="77777777" w:rsidR="00C44F6A" w:rsidRPr="00DA3C6E" w:rsidRDefault="00C44F6A" w:rsidP="007540BE">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Total patients</w:t>
            </w:r>
          </w:p>
        </w:tc>
        <w:tc>
          <w:tcPr>
            <w:tcW w:w="1143" w:type="dxa"/>
            <w:vAlign w:val="center"/>
          </w:tcPr>
          <w:p w14:paraId="2E1C25CA"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438</w:t>
            </w:r>
          </w:p>
        </w:tc>
        <w:tc>
          <w:tcPr>
            <w:tcW w:w="1142" w:type="dxa"/>
            <w:vAlign w:val="center"/>
          </w:tcPr>
          <w:p w14:paraId="08E26F8F"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444</w:t>
            </w:r>
          </w:p>
        </w:tc>
        <w:tc>
          <w:tcPr>
            <w:tcW w:w="1015" w:type="dxa"/>
            <w:vAlign w:val="center"/>
          </w:tcPr>
          <w:p w14:paraId="71DE64C3"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496</w:t>
            </w:r>
          </w:p>
        </w:tc>
        <w:tc>
          <w:tcPr>
            <w:tcW w:w="1015" w:type="dxa"/>
            <w:vAlign w:val="center"/>
          </w:tcPr>
          <w:p w14:paraId="7BCC864C"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527</w:t>
            </w:r>
          </w:p>
        </w:tc>
        <w:tc>
          <w:tcPr>
            <w:tcW w:w="970" w:type="dxa"/>
            <w:vAlign w:val="center"/>
          </w:tcPr>
          <w:p w14:paraId="7048FC61"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560</w:t>
            </w:r>
          </w:p>
        </w:tc>
        <w:tc>
          <w:tcPr>
            <w:tcW w:w="970" w:type="dxa"/>
          </w:tcPr>
          <w:p w14:paraId="3B070F4C"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596</w:t>
            </w:r>
          </w:p>
        </w:tc>
      </w:tr>
      <w:tr w:rsidR="00C44F6A" w:rsidRPr="00DA3C6E" w14:paraId="7ADF4BAA" w14:textId="77777777" w:rsidTr="008F410E">
        <w:trPr>
          <w:trHeight w:val="292"/>
        </w:trPr>
        <w:tc>
          <w:tcPr>
            <w:tcW w:w="2789" w:type="dxa"/>
            <w:vAlign w:val="center"/>
          </w:tcPr>
          <w:p w14:paraId="4AFCC46F" w14:textId="77777777" w:rsidR="00C44F6A" w:rsidRPr="00DA3C6E" w:rsidRDefault="00C44F6A" w:rsidP="007540BE">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Total grams issued/administered</w:t>
            </w:r>
          </w:p>
        </w:tc>
        <w:tc>
          <w:tcPr>
            <w:tcW w:w="1143" w:type="dxa"/>
            <w:vAlign w:val="center"/>
          </w:tcPr>
          <w:p w14:paraId="5E08A812"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239,791</w:t>
            </w:r>
          </w:p>
        </w:tc>
        <w:tc>
          <w:tcPr>
            <w:tcW w:w="1142" w:type="dxa"/>
            <w:vAlign w:val="center"/>
          </w:tcPr>
          <w:p w14:paraId="0D249AE6"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256,041</w:t>
            </w:r>
          </w:p>
        </w:tc>
        <w:tc>
          <w:tcPr>
            <w:tcW w:w="1015" w:type="dxa"/>
            <w:vAlign w:val="center"/>
          </w:tcPr>
          <w:p w14:paraId="505733A8"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293,458</w:t>
            </w:r>
          </w:p>
        </w:tc>
        <w:tc>
          <w:tcPr>
            <w:tcW w:w="1015" w:type="dxa"/>
            <w:vAlign w:val="center"/>
          </w:tcPr>
          <w:p w14:paraId="3C65A686"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331,147</w:t>
            </w:r>
          </w:p>
        </w:tc>
        <w:tc>
          <w:tcPr>
            <w:tcW w:w="970" w:type="dxa"/>
            <w:vAlign w:val="center"/>
          </w:tcPr>
          <w:p w14:paraId="22B22B23"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354,434</w:t>
            </w:r>
          </w:p>
        </w:tc>
        <w:tc>
          <w:tcPr>
            <w:tcW w:w="970" w:type="dxa"/>
          </w:tcPr>
          <w:p w14:paraId="282DA9FE"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372,434</w:t>
            </w:r>
          </w:p>
        </w:tc>
      </w:tr>
      <w:tr w:rsidR="00C44F6A" w:rsidRPr="00DA3C6E" w14:paraId="4FE161B3" w14:textId="77777777" w:rsidTr="008F410E">
        <w:trPr>
          <w:trHeight w:val="280"/>
        </w:trPr>
        <w:tc>
          <w:tcPr>
            <w:tcW w:w="2789" w:type="dxa"/>
            <w:vAlign w:val="center"/>
          </w:tcPr>
          <w:p w14:paraId="6366A327" w14:textId="77777777" w:rsidR="00C44F6A" w:rsidRPr="00DA3C6E" w:rsidRDefault="00C44F6A" w:rsidP="007540BE">
            <w:pPr>
              <w:keepNext/>
              <w:keepLines/>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Average grams per patient</w:t>
            </w:r>
          </w:p>
        </w:tc>
        <w:tc>
          <w:tcPr>
            <w:tcW w:w="1143" w:type="dxa"/>
            <w:vAlign w:val="center"/>
          </w:tcPr>
          <w:p w14:paraId="738E0CAC" w14:textId="77777777" w:rsidR="00C44F6A" w:rsidRPr="00DA3C6E" w:rsidRDefault="00C44F6A" w:rsidP="008F410E">
            <w:pPr>
              <w:keepNext/>
              <w:keepLines/>
              <w:spacing w:after="0" w:line="276" w:lineRule="auto"/>
              <w:jc w:val="center"/>
              <w:rPr>
                <w:rFonts w:ascii="Arial Narrow" w:eastAsia="Calibri" w:hAnsi="Arial Narrow" w:cstheme="minorHAnsi"/>
                <w:i/>
                <w:sz w:val="20"/>
                <w:szCs w:val="20"/>
                <w:vertAlign w:val="superscript"/>
              </w:rPr>
            </w:pPr>
            <w:r w:rsidRPr="00DA3C6E">
              <w:rPr>
                <w:rFonts w:ascii="Arial Narrow" w:eastAsia="Calibri" w:hAnsi="Arial Narrow" w:cstheme="minorHAnsi"/>
                <w:i/>
                <w:sz w:val="20"/>
                <w:szCs w:val="20"/>
              </w:rPr>
              <w:t>547</w:t>
            </w:r>
            <w:r w:rsidRPr="00DA3C6E">
              <w:rPr>
                <w:rFonts w:ascii="Arial Narrow" w:eastAsia="Calibri" w:hAnsi="Arial Narrow" w:cstheme="minorHAnsi"/>
                <w:i/>
                <w:sz w:val="20"/>
                <w:szCs w:val="20"/>
                <w:vertAlign w:val="superscript"/>
              </w:rPr>
              <w:t>b</w:t>
            </w:r>
          </w:p>
        </w:tc>
        <w:tc>
          <w:tcPr>
            <w:tcW w:w="1142" w:type="dxa"/>
            <w:vAlign w:val="center"/>
          </w:tcPr>
          <w:p w14:paraId="2B8905D7"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577</w:t>
            </w:r>
          </w:p>
        </w:tc>
        <w:tc>
          <w:tcPr>
            <w:tcW w:w="1015" w:type="dxa"/>
            <w:vAlign w:val="center"/>
          </w:tcPr>
          <w:p w14:paraId="42B1DD8D"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592</w:t>
            </w:r>
          </w:p>
        </w:tc>
        <w:tc>
          <w:tcPr>
            <w:tcW w:w="1015" w:type="dxa"/>
            <w:vAlign w:val="center"/>
          </w:tcPr>
          <w:p w14:paraId="3C8D38E6"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628</w:t>
            </w:r>
          </w:p>
        </w:tc>
        <w:tc>
          <w:tcPr>
            <w:tcW w:w="970" w:type="dxa"/>
            <w:vAlign w:val="center"/>
          </w:tcPr>
          <w:p w14:paraId="10CC9EC2"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633</w:t>
            </w:r>
          </w:p>
        </w:tc>
        <w:tc>
          <w:tcPr>
            <w:tcW w:w="970" w:type="dxa"/>
          </w:tcPr>
          <w:p w14:paraId="14F32BBB" w14:textId="77777777" w:rsidR="00C44F6A" w:rsidRPr="00DA3C6E" w:rsidRDefault="00C44F6A" w:rsidP="008F410E">
            <w:pPr>
              <w:keepNext/>
              <w:keepLines/>
              <w:spacing w:after="0" w:line="276" w:lineRule="auto"/>
              <w:jc w:val="center"/>
              <w:rPr>
                <w:rFonts w:ascii="Arial Narrow" w:eastAsia="Calibri" w:hAnsi="Arial Narrow" w:cstheme="minorHAnsi"/>
                <w:sz w:val="20"/>
                <w:szCs w:val="20"/>
              </w:rPr>
            </w:pPr>
            <w:r w:rsidRPr="00DA3C6E">
              <w:rPr>
                <w:rFonts w:ascii="Arial Narrow" w:eastAsia="Calibri" w:hAnsi="Arial Narrow" w:cstheme="minorHAnsi"/>
                <w:sz w:val="20"/>
                <w:szCs w:val="20"/>
              </w:rPr>
              <w:t>626</w:t>
            </w:r>
          </w:p>
        </w:tc>
      </w:tr>
    </w:tbl>
    <w:p w14:paraId="146DF5C8" w14:textId="77777777" w:rsidR="00C44F6A" w:rsidRPr="00DA3C6E" w:rsidRDefault="00C44F6A" w:rsidP="003B6AD6">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Abbreviations: Ig = immunoglobulin; MMN = multifocal motor neuropathy</w:t>
      </w:r>
    </w:p>
    <w:p w14:paraId="597AC6C2" w14:textId="77777777" w:rsidR="00C44F6A" w:rsidRPr="00DA3C6E" w:rsidRDefault="00C44F6A" w:rsidP="003B6AD6">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Note: </w:t>
      </w:r>
      <w:r w:rsidRPr="00DA3C6E">
        <w:rPr>
          <w:rFonts w:ascii="Arial Narrow" w:eastAsia="Calibri" w:hAnsi="Arial Narrow" w:cs="Times New Roman"/>
          <w:sz w:val="18"/>
          <w:vertAlign w:val="superscript"/>
          <w:lang w:eastAsia="en-US"/>
        </w:rPr>
        <w:t>a</w:t>
      </w:r>
      <w:r w:rsidRPr="00DA3C6E">
        <w:rPr>
          <w:rFonts w:ascii="Arial Narrow" w:eastAsia="Calibri" w:hAnsi="Arial Narrow" w:cs="Times New Roman"/>
          <w:sz w:val="18"/>
          <w:lang w:eastAsia="en-US"/>
        </w:rPr>
        <w:t xml:space="preserve">Data for the 2018-2019 (01 July 2018 – 30 June 2019) period incorporated version 2 and version 3 of The Criteria. </w:t>
      </w:r>
      <w:r w:rsidRPr="00DA3C6E">
        <w:rPr>
          <w:rFonts w:ascii="Arial Narrow" w:eastAsia="Calibri" w:hAnsi="Arial Narrow" w:cs="Times New Roman"/>
          <w:sz w:val="18"/>
          <w:vertAlign w:val="superscript"/>
          <w:lang w:eastAsia="en-US"/>
        </w:rPr>
        <w:t>b</w:t>
      </w:r>
      <w:r w:rsidRPr="00DA3C6E">
        <w:rPr>
          <w:rFonts w:ascii="Arial Narrow" w:eastAsia="Calibri" w:hAnsi="Arial Narrow" w:cs="Times New Roman"/>
          <w:sz w:val="18"/>
          <w:lang w:eastAsia="en-US"/>
        </w:rPr>
        <w:t xml:space="preserve">This was reported as 546 in the Referral but verified as 547 during the write-up of this assessment report. Data for the period from 2013-2018 reflects usage only under version 2 of The Criteria, which is prior to the introduction of key changes which aimed to address leakage. </w:t>
      </w:r>
    </w:p>
    <w:p w14:paraId="5627D6CB" w14:textId="77777777" w:rsidR="00C44F6A" w:rsidRPr="00DA3C6E" w:rsidRDefault="00C44F6A" w:rsidP="008F410E">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Source: Table 7, p.25 of the draft Referral form 1590 MMN. HTA Conditions Report 1, 2 and 3 provided by the NBA on 06 January 2020. </w:t>
      </w:r>
    </w:p>
    <w:p w14:paraId="51680D2D" w14:textId="77777777" w:rsidR="00C44F6A" w:rsidRPr="00DA3C6E" w:rsidRDefault="00C44F6A" w:rsidP="00C836F2">
      <w:pPr>
        <w:pStyle w:val="Heading3"/>
      </w:pPr>
      <w:bookmarkStart w:id="73" w:name="_Toc37845716"/>
      <w:r w:rsidRPr="00DA3C6E">
        <w:t xml:space="preserve">Conditions for </w:t>
      </w:r>
      <w:r w:rsidR="00547B9A" w:rsidRPr="00DA3C6E">
        <w:t xml:space="preserve">the </w:t>
      </w:r>
      <w:r w:rsidRPr="00DA3C6E">
        <w:t>fund</w:t>
      </w:r>
      <w:r w:rsidR="00547B9A" w:rsidRPr="00DA3C6E">
        <w:t>ing of Ig</w:t>
      </w:r>
      <w:bookmarkEnd w:id="73"/>
    </w:p>
    <w:p w14:paraId="1FCE529D" w14:textId="77777777" w:rsidR="00C44F6A" w:rsidRPr="00DA3C6E" w:rsidRDefault="00C44F6A" w:rsidP="004533CC">
      <w:pPr>
        <w:rPr>
          <w:rFonts w:eastAsia="Calibri"/>
          <w:lang w:eastAsia="en-US"/>
        </w:rPr>
      </w:pPr>
      <w:r w:rsidRPr="00DA3C6E">
        <w:rPr>
          <w:rFonts w:eastAsia="Calibri"/>
          <w:lang w:eastAsia="en-US"/>
        </w:rPr>
        <w:t xml:space="preserve">The review criteria outlines steps for assessing the effectiveness of </w:t>
      </w:r>
      <w:r w:rsidR="00547B9A" w:rsidRPr="00DA3C6E">
        <w:rPr>
          <w:rFonts w:eastAsia="Calibri"/>
          <w:lang w:eastAsia="en-US"/>
        </w:rPr>
        <w:t>i</w:t>
      </w:r>
      <w:r w:rsidRPr="00DA3C6E">
        <w:rPr>
          <w:rFonts w:eastAsia="Calibri"/>
          <w:lang w:eastAsia="en-US"/>
        </w:rPr>
        <w:t xml:space="preserve">ntravenous Ig in the management of MMN. For each indication, clinical effectiveness of </w:t>
      </w:r>
      <w:r w:rsidR="00547B9A" w:rsidRPr="00DA3C6E">
        <w:rPr>
          <w:rFonts w:eastAsia="Calibri"/>
          <w:lang w:eastAsia="en-US"/>
        </w:rPr>
        <w:t>i</w:t>
      </w:r>
      <w:r w:rsidRPr="00DA3C6E">
        <w:rPr>
          <w:rFonts w:eastAsia="Calibri"/>
          <w:lang w:eastAsia="en-US"/>
        </w:rPr>
        <w:t>ntravenous Ig therapy should be assessed as follows:</w:t>
      </w:r>
    </w:p>
    <w:p w14:paraId="49440DA7" w14:textId="77777777" w:rsidR="00C44F6A" w:rsidRPr="00DA3C6E" w:rsidRDefault="00C44F6A" w:rsidP="0073359F">
      <w:pPr>
        <w:pStyle w:val="ListParagraph"/>
        <w:numPr>
          <w:ilvl w:val="0"/>
          <w:numId w:val="64"/>
        </w:numPr>
        <w:rPr>
          <w:rFonts w:eastAsia="Calibri"/>
          <w:lang w:eastAsia="en-US"/>
        </w:rPr>
      </w:pPr>
      <w:r w:rsidRPr="00DA3C6E">
        <w:rPr>
          <w:rFonts w:eastAsia="Calibri"/>
          <w:lang w:eastAsia="en-US"/>
        </w:rPr>
        <w:t xml:space="preserve">An initial review (by a neurologist) within four months after treatment commences (referred to as ‘on review of the initial authorisation period’ by The Criteria V3). </w:t>
      </w:r>
    </w:p>
    <w:p w14:paraId="52CC977C" w14:textId="77777777" w:rsidR="00C44F6A" w:rsidRPr="00DA3C6E" w:rsidRDefault="00C44F6A" w:rsidP="0073359F">
      <w:pPr>
        <w:pStyle w:val="ListParagraph"/>
        <w:numPr>
          <w:ilvl w:val="0"/>
          <w:numId w:val="64"/>
        </w:numPr>
        <w:rPr>
          <w:rFonts w:eastAsia="Calibri"/>
          <w:lang w:eastAsia="en-US"/>
        </w:rPr>
      </w:pPr>
      <w:r w:rsidRPr="00DA3C6E">
        <w:rPr>
          <w:rFonts w:eastAsia="Calibri"/>
          <w:lang w:eastAsia="en-US"/>
        </w:rPr>
        <w:t xml:space="preserve">Ongoing reviews (by neurologist) to justify the continuous use of </w:t>
      </w:r>
      <w:r w:rsidR="00547B9A" w:rsidRPr="00DA3C6E">
        <w:rPr>
          <w:rFonts w:eastAsia="Calibri"/>
          <w:lang w:eastAsia="en-US"/>
        </w:rPr>
        <w:t>i</w:t>
      </w:r>
      <w:r w:rsidRPr="00DA3C6E">
        <w:rPr>
          <w:rFonts w:eastAsia="Calibri"/>
          <w:lang w:eastAsia="en-US"/>
        </w:rPr>
        <w:t>ntravenous Ig (referred to as ‘on review of the continuing authorisation period’ by The Criteria V3).</w:t>
      </w:r>
    </w:p>
    <w:p w14:paraId="0DDC4565" w14:textId="45B1A136" w:rsidR="00D642EF" w:rsidRPr="00DA3C6E" w:rsidRDefault="00C44F6A" w:rsidP="00D91A32">
      <w:pPr>
        <w:rPr>
          <w:rFonts w:eastAsia="Calibri"/>
          <w:lang w:eastAsia="en-US"/>
        </w:rPr>
      </w:pPr>
      <w:r w:rsidRPr="00DA3C6E">
        <w:rPr>
          <w:rFonts w:eastAsia="Calibri"/>
          <w:lang w:eastAsia="en-US"/>
        </w:rPr>
        <w:t xml:space="preserve">Details of the review criteria for the use of </w:t>
      </w:r>
      <w:r w:rsidR="00547B9A" w:rsidRPr="00DA3C6E">
        <w:rPr>
          <w:rFonts w:eastAsia="Calibri"/>
          <w:lang w:eastAsia="en-US"/>
        </w:rPr>
        <w:t>i</w:t>
      </w:r>
      <w:r w:rsidRPr="00DA3C6E">
        <w:rPr>
          <w:rFonts w:eastAsia="Calibri"/>
          <w:lang w:eastAsia="en-US"/>
        </w:rPr>
        <w:t xml:space="preserve">ntravenous Ig for the treatment of MMN are provided in </w:t>
      </w:r>
      <w:r w:rsidRPr="00DA3C6E">
        <w:rPr>
          <w:rFonts w:eastAsia="Calibri"/>
          <w:lang w:eastAsia="en-US"/>
        </w:rPr>
        <w:fldChar w:fldCharType="begin"/>
      </w:r>
      <w:r w:rsidRPr="00DA3C6E">
        <w:rPr>
          <w:rFonts w:eastAsia="Calibri"/>
          <w:lang w:eastAsia="en-US"/>
        </w:rPr>
        <w:instrText xml:space="preserve"> REF _Ref25919258 \h </w:instrText>
      </w:r>
      <w:r w:rsidR="00E8759F" w:rsidRPr="00DA3C6E">
        <w:rPr>
          <w:rFonts w:eastAsia="Calibri"/>
          <w:lang w:eastAsia="en-US"/>
        </w:rPr>
        <w:instrText xml:space="preserve"> \* MERGEFORMAT </w:instrText>
      </w:r>
      <w:r w:rsidRPr="00DA3C6E">
        <w:rPr>
          <w:rFonts w:eastAsia="Calibri"/>
          <w:lang w:eastAsia="en-US"/>
        </w:rPr>
      </w:r>
      <w:r w:rsidRPr="00DA3C6E">
        <w:rPr>
          <w:rFonts w:eastAsia="Calibri"/>
          <w:lang w:eastAsia="en-US"/>
        </w:rPr>
        <w:fldChar w:fldCharType="separate"/>
      </w:r>
      <w:r w:rsidR="00EA5DC1" w:rsidRPr="00DA3C6E">
        <w:t xml:space="preserve">Table </w:t>
      </w:r>
      <w:r w:rsidR="00EA5DC1">
        <w:rPr>
          <w:noProof/>
        </w:rPr>
        <w:t>4</w:t>
      </w:r>
      <w:r w:rsidRPr="00DA3C6E">
        <w:rPr>
          <w:rFonts w:eastAsia="Calibri"/>
          <w:lang w:eastAsia="en-US"/>
        </w:rPr>
        <w:fldChar w:fldCharType="end"/>
      </w:r>
      <w:r w:rsidRPr="00DA3C6E">
        <w:rPr>
          <w:rFonts w:eastAsia="Calibri"/>
          <w:lang w:eastAsia="en-US"/>
        </w:rPr>
        <w:t xml:space="preserve">. The Criteria establish the use of </w:t>
      </w:r>
      <w:r w:rsidR="00547B9A" w:rsidRPr="00DA3C6E">
        <w:rPr>
          <w:rFonts w:eastAsia="Calibri"/>
          <w:lang w:eastAsia="en-US"/>
        </w:rPr>
        <w:t>i</w:t>
      </w:r>
      <w:r w:rsidRPr="00DA3C6E">
        <w:rPr>
          <w:rFonts w:eastAsia="Calibri"/>
          <w:lang w:eastAsia="en-US"/>
        </w:rPr>
        <w:t xml:space="preserve">ntravenous Ig as initial and subsequent </w:t>
      </w:r>
      <w:r w:rsidR="00D642EF" w:rsidRPr="00DA3C6E">
        <w:rPr>
          <w:rFonts w:eastAsia="Calibri"/>
          <w:lang w:eastAsia="en-US"/>
        </w:rPr>
        <w:t xml:space="preserve">maintenance and </w:t>
      </w:r>
      <w:r w:rsidRPr="00DA3C6E">
        <w:rPr>
          <w:rFonts w:eastAsia="Calibri"/>
          <w:lang w:eastAsia="en-US"/>
        </w:rPr>
        <w:lastRenderedPageBreak/>
        <w:t>continuing in two different patient populations, previously untreated patients (first indication) and relapsed patients</w:t>
      </w:r>
      <w:r w:rsidRPr="00DA3C6E">
        <w:rPr>
          <w:rFonts w:eastAsia="Calibri"/>
          <w:vertAlign w:val="superscript"/>
          <w:lang w:eastAsia="en-US"/>
        </w:rPr>
        <w:footnoteReference w:id="1"/>
      </w:r>
      <w:r w:rsidRPr="00DA3C6E">
        <w:rPr>
          <w:rFonts w:eastAsia="Calibri"/>
          <w:lang w:eastAsia="en-US"/>
        </w:rPr>
        <w:t xml:space="preserve"> (second indication). Funding for both subgroups would include an initial treatment phase where patients are trialled for four months before they are assessed by a neurologist as a responder or non-responder. Only responders are eligible to access continuing treatment for up to 12 months. </w:t>
      </w:r>
      <w:r w:rsidR="00593A9F" w:rsidRPr="00DA3C6E">
        <w:rPr>
          <w:rFonts w:eastAsia="Calibri"/>
          <w:lang w:eastAsia="en-US"/>
        </w:rPr>
        <w:t>A patient is said to benefit from Ig if the disease remains stable or there is an improvement in muscle weakness and the level of disability as measured by the adjusted ONLS (</w:t>
      </w:r>
      <w:r w:rsidR="00593A9F" w:rsidRPr="00DA3C6E">
        <w:rPr>
          <w:rFonts w:eastAsia="Calibri"/>
          <w:lang w:eastAsia="en-US"/>
        </w:rPr>
        <w:fldChar w:fldCharType="begin"/>
      </w:r>
      <w:r w:rsidR="00593A9F" w:rsidRPr="00DA3C6E">
        <w:rPr>
          <w:rFonts w:eastAsia="Calibri"/>
          <w:lang w:eastAsia="en-US"/>
        </w:rPr>
        <w:instrText xml:space="preserve"> REF _Ref25919258 \h </w:instrText>
      </w:r>
      <w:r w:rsidR="00E8759F" w:rsidRPr="00DA3C6E">
        <w:rPr>
          <w:rFonts w:eastAsia="Calibri"/>
          <w:lang w:eastAsia="en-US"/>
        </w:rPr>
        <w:instrText xml:space="preserve"> \* MERGEFORMAT </w:instrText>
      </w:r>
      <w:r w:rsidR="00593A9F" w:rsidRPr="00DA3C6E">
        <w:rPr>
          <w:rFonts w:eastAsia="Calibri"/>
          <w:lang w:eastAsia="en-US"/>
        </w:rPr>
      </w:r>
      <w:r w:rsidR="00593A9F" w:rsidRPr="00DA3C6E">
        <w:rPr>
          <w:rFonts w:eastAsia="Calibri"/>
          <w:lang w:eastAsia="en-US"/>
        </w:rPr>
        <w:fldChar w:fldCharType="separate"/>
      </w:r>
      <w:r w:rsidR="00EA5DC1" w:rsidRPr="00DA3C6E">
        <w:t xml:space="preserve">Table </w:t>
      </w:r>
      <w:r w:rsidR="00EA5DC1">
        <w:rPr>
          <w:noProof/>
        </w:rPr>
        <w:t>4</w:t>
      </w:r>
      <w:r w:rsidR="00593A9F" w:rsidRPr="00DA3C6E">
        <w:rPr>
          <w:rFonts w:eastAsia="Calibri"/>
          <w:lang w:eastAsia="en-US"/>
        </w:rPr>
        <w:fldChar w:fldCharType="end"/>
      </w:r>
      <w:r w:rsidR="00593A9F" w:rsidRPr="00DA3C6E">
        <w:rPr>
          <w:rFonts w:eastAsia="Calibri"/>
          <w:lang w:eastAsia="en-US"/>
        </w:rPr>
        <w:t xml:space="preserve">). </w:t>
      </w:r>
      <w:r w:rsidRPr="00DA3C6E">
        <w:rPr>
          <w:rFonts w:eastAsia="Calibri"/>
          <w:lang w:eastAsia="en-US"/>
        </w:rPr>
        <w:t xml:space="preserve">The Criteria encourages a trial of weaning phase leading to cessation of </w:t>
      </w:r>
      <w:r w:rsidR="00547B9A" w:rsidRPr="00DA3C6E">
        <w:rPr>
          <w:rFonts w:eastAsia="Calibri"/>
          <w:lang w:eastAsia="en-US"/>
        </w:rPr>
        <w:t>i</w:t>
      </w:r>
      <w:r w:rsidRPr="00DA3C6E">
        <w:rPr>
          <w:rFonts w:eastAsia="Calibri"/>
          <w:lang w:eastAsia="en-US"/>
        </w:rPr>
        <w:t xml:space="preserve">ntravenous Ig therapy to be considered at least 12 months after treatment for all patients who have initiated continuing therapy (either as first line or relapsed) unless otherwise contraindicated. </w:t>
      </w:r>
      <w:r w:rsidR="00547B9A" w:rsidRPr="00DA3C6E">
        <w:rPr>
          <w:rFonts w:eastAsia="Calibri"/>
          <w:lang w:eastAsia="en-US"/>
        </w:rPr>
        <w:t>A t</w:t>
      </w:r>
      <w:r w:rsidRPr="00DA3C6E">
        <w:rPr>
          <w:rFonts w:eastAsia="Calibri"/>
          <w:lang w:eastAsia="en-US"/>
        </w:rPr>
        <w:t xml:space="preserve">rial of </w:t>
      </w:r>
      <w:r w:rsidR="00547B9A" w:rsidRPr="00DA3C6E">
        <w:rPr>
          <w:rFonts w:eastAsia="Calibri"/>
          <w:lang w:eastAsia="en-US"/>
        </w:rPr>
        <w:t xml:space="preserve">weaning of </w:t>
      </w:r>
      <w:r w:rsidRPr="00DA3C6E">
        <w:rPr>
          <w:rFonts w:eastAsia="Calibri"/>
          <w:lang w:eastAsia="en-US"/>
        </w:rPr>
        <w:t xml:space="preserve">Ig therapy is considered to test whether remission has been achieved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&lt;EndNote&gt;&lt;Cite&gt;&lt;Author&gt;BloodSTAR&lt;/Author&gt;&lt;Year&gt;2018&lt;/Year&gt;&lt;RecNum&gt;10&lt;/RecNum&gt;&lt;DisplayText&gt;(11)&lt;/DisplayText&gt;&lt;record&gt;&lt;rec-number&gt;10&lt;/rec-number&gt;&lt;foreign-keys&gt;&lt;key app="EN" db-id="0992p2ztn5fez9e2wvnpw2xstd20f9w2dezz" timestamp="1586818281"&gt;10&lt;/key&gt;&lt;/foreign-keys&gt;&lt;ref-type name="Report"&gt;27&lt;/ref-type&gt;&lt;contributors&gt;&lt;authors&gt;&lt;author&gt;BloodSTAR&lt;/author&gt;&lt;/authors&gt;&lt;/contributors&gt;&lt;titles&gt;&lt;title&gt;Multifocal motor neuropathy (MMN)&lt;/title&gt;&lt;secondary-title&gt;Criteria for Clinical Use of Immunoglobulin in Australia&lt;/secondary-title&gt;&lt;/titles&gt;&lt;number&gt;Version 3.0&lt;/number&gt;&lt;dates&gt;&lt;year&gt;2018&lt;/year&gt;&lt;/dates&gt;&lt;urls&gt;&lt;/urls&gt;&lt;/record&gt;&lt;/Cite&gt;&lt;/EndNote&gt;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11" w:tooltip="BloodSTAR, 2018 #10" w:history="1">
        <w:r w:rsidR="00C04BCE" w:rsidRPr="00DA3C6E">
          <w:rPr>
            <w:rFonts w:eastAsia="Calibri"/>
            <w:noProof/>
            <w:lang w:eastAsia="en-US"/>
          </w:rPr>
          <w:t>11</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Stable patients may achieve long-term remission which will only be evident if trialled off Ig therapy. Gradual dose reductions may occur over a period of up to a year prior to a trial cessation. </w:t>
      </w:r>
      <w:r w:rsidR="00AA521A" w:rsidRPr="00DA3C6E">
        <w:rPr>
          <w:rFonts w:eastAsia="Calibri"/>
          <w:lang w:eastAsia="en-US"/>
        </w:rPr>
        <w:t>Based on clinical expert opinion (Ig Review Reference Group)</w:t>
      </w:r>
      <w:r w:rsidR="005126E8" w:rsidRPr="00DA3C6E">
        <w:rPr>
          <w:rFonts w:eastAsia="Calibri"/>
          <w:lang w:eastAsia="en-US"/>
        </w:rPr>
        <w:t xml:space="preserve">, weaning was not considered common </w:t>
      </w:r>
      <w:r w:rsidR="0054663E" w:rsidRPr="00DA3C6E">
        <w:rPr>
          <w:rFonts w:eastAsia="Calibri"/>
          <w:lang w:eastAsia="en-US"/>
        </w:rPr>
        <w:t>practice</w:t>
      </w:r>
      <w:r w:rsidR="005126E8" w:rsidRPr="00DA3C6E">
        <w:rPr>
          <w:rFonts w:eastAsia="Calibri"/>
          <w:lang w:eastAsia="en-US"/>
        </w:rPr>
        <w:t xml:space="preserve"> in Australia, instead </w:t>
      </w:r>
      <w:r w:rsidR="007913B0" w:rsidRPr="00DA3C6E">
        <w:rPr>
          <w:rFonts w:eastAsia="Calibri"/>
          <w:lang w:eastAsia="en-US"/>
        </w:rPr>
        <w:t xml:space="preserve">it was more likely that patients were assessed </w:t>
      </w:r>
      <w:r w:rsidR="007913B0" w:rsidRPr="00DA3C6E">
        <w:t xml:space="preserve">for an end of dose effect (i.e. patient demonstrates an improvement in symptoms on the current dose). </w:t>
      </w:r>
      <w:r w:rsidR="00486846" w:rsidRPr="00DA3C6E">
        <w:t>Those</w:t>
      </w:r>
      <w:r w:rsidR="00486846" w:rsidRPr="00DA3C6E">
        <w:rPr>
          <w:rFonts w:eastAsia="Calibri"/>
          <w:lang w:eastAsia="en-US"/>
        </w:rPr>
        <w:t xml:space="preserve"> </w:t>
      </w:r>
      <w:r w:rsidR="00AA521A" w:rsidRPr="00DA3C6E">
        <w:rPr>
          <w:rFonts w:eastAsia="Calibri"/>
          <w:lang w:eastAsia="en-US"/>
        </w:rPr>
        <w:t xml:space="preserve">patients with no clear end of dose effect may be </w:t>
      </w:r>
      <w:r w:rsidR="00486846" w:rsidRPr="00DA3C6E">
        <w:rPr>
          <w:rFonts w:eastAsia="Calibri"/>
          <w:lang w:eastAsia="en-US"/>
        </w:rPr>
        <w:t xml:space="preserve">considered for </w:t>
      </w:r>
      <w:r w:rsidR="00AA521A" w:rsidRPr="00DA3C6E">
        <w:rPr>
          <w:rFonts w:eastAsia="Calibri"/>
          <w:lang w:eastAsia="en-US"/>
        </w:rPr>
        <w:t>wean</w:t>
      </w:r>
      <w:r w:rsidR="00486846" w:rsidRPr="00DA3C6E">
        <w:rPr>
          <w:rFonts w:eastAsia="Calibri"/>
          <w:lang w:eastAsia="en-US"/>
        </w:rPr>
        <w:t xml:space="preserve">ing for which </w:t>
      </w:r>
      <w:r w:rsidR="00AA521A" w:rsidRPr="00DA3C6E">
        <w:rPr>
          <w:rFonts w:eastAsia="Calibri"/>
          <w:lang w:eastAsia="en-US"/>
        </w:rPr>
        <w:t xml:space="preserve">the actual dose </w:t>
      </w:r>
      <w:r w:rsidR="00486846" w:rsidRPr="00DA3C6E">
        <w:rPr>
          <w:rFonts w:eastAsia="Calibri"/>
          <w:lang w:eastAsia="en-US"/>
        </w:rPr>
        <w:t xml:space="preserve">may be reduced </w:t>
      </w:r>
      <w:r w:rsidR="00AA521A" w:rsidRPr="00DA3C6E">
        <w:rPr>
          <w:rFonts w:eastAsia="Calibri"/>
          <w:lang w:eastAsia="en-US"/>
        </w:rPr>
        <w:t>and</w:t>
      </w:r>
      <w:r w:rsidR="00486846" w:rsidRPr="00DA3C6E">
        <w:rPr>
          <w:rFonts w:eastAsia="Calibri"/>
          <w:lang w:eastAsia="en-US"/>
        </w:rPr>
        <w:t>/or</w:t>
      </w:r>
      <w:r w:rsidR="00AA521A" w:rsidRPr="00DA3C6E">
        <w:rPr>
          <w:rFonts w:eastAsia="Calibri"/>
          <w:lang w:eastAsia="en-US"/>
        </w:rPr>
        <w:t xml:space="preserve"> the dose interval</w:t>
      </w:r>
      <w:r w:rsidR="00486846" w:rsidRPr="00DA3C6E">
        <w:rPr>
          <w:rFonts w:eastAsia="Calibri"/>
          <w:lang w:eastAsia="en-US"/>
        </w:rPr>
        <w:t xml:space="preserve"> increased</w:t>
      </w:r>
      <w:r w:rsidR="00AA521A" w:rsidRPr="00DA3C6E">
        <w:rPr>
          <w:rFonts w:eastAsia="Calibri"/>
          <w:lang w:eastAsia="en-US"/>
        </w:rPr>
        <w:t>.</w:t>
      </w:r>
      <w:r w:rsidR="00486846" w:rsidRPr="00DA3C6E">
        <w:rPr>
          <w:rFonts w:eastAsia="Calibri"/>
          <w:lang w:eastAsia="en-US"/>
        </w:rPr>
        <w:t xml:space="preserve"> Only a proportion of these patients will eventually cease treatment. </w:t>
      </w:r>
      <w:r w:rsidR="00AA521A" w:rsidRPr="00DA3C6E">
        <w:rPr>
          <w:rFonts w:eastAsia="Calibri"/>
          <w:lang w:eastAsia="en-US"/>
        </w:rPr>
        <w:t xml:space="preserve"> </w:t>
      </w:r>
    </w:p>
    <w:p w14:paraId="565EE2E5" w14:textId="60C88501" w:rsidR="00C44F6A" w:rsidRPr="00DA3C6E" w:rsidRDefault="00C44F6A" w:rsidP="004533CC">
      <w:pPr>
        <w:pStyle w:val="Caption"/>
        <w:keepNext/>
        <w:keepLines/>
        <w:rPr>
          <w:rFonts w:eastAsia="Calibri" w:cs="Times New Roman"/>
          <w:szCs w:val="20"/>
          <w:lang w:eastAsia="en-US"/>
        </w:rPr>
      </w:pPr>
      <w:bookmarkStart w:id="74" w:name="_Ref25919258"/>
      <w:bookmarkStart w:id="75" w:name="_Toc30497450"/>
      <w:bookmarkStart w:id="76" w:name="_Toc37845807"/>
      <w:r w:rsidRPr="00DA3C6E">
        <w:t xml:space="preserve">Table </w:t>
      </w:r>
      <w:r w:rsidR="00515153">
        <w:fldChar w:fldCharType="begin"/>
      </w:r>
      <w:r w:rsidR="00515153">
        <w:instrText xml:space="preserve"> SEQ Table \* ARABIC </w:instrText>
      </w:r>
      <w:r w:rsidR="00515153">
        <w:fldChar w:fldCharType="separate"/>
      </w:r>
      <w:r w:rsidR="00EA5DC1">
        <w:rPr>
          <w:noProof/>
        </w:rPr>
        <w:t>4</w:t>
      </w:r>
      <w:r w:rsidR="00515153">
        <w:rPr>
          <w:noProof/>
        </w:rPr>
        <w:fldChar w:fldCharType="end"/>
      </w:r>
      <w:bookmarkEnd w:id="74"/>
      <w:r w:rsidRPr="00DA3C6E">
        <w:rPr>
          <w:rFonts w:eastAsia="Calibri" w:cs="Times New Roman"/>
          <w:szCs w:val="20"/>
          <w:lang w:eastAsia="en-US"/>
        </w:rPr>
        <w:t xml:space="preserve">: Review criteria for assessing the effectiveness of </w:t>
      </w:r>
      <w:r w:rsidR="000A2E40" w:rsidRPr="00DA3C6E">
        <w:rPr>
          <w:rFonts w:eastAsia="Calibri" w:cs="Times New Roman"/>
          <w:szCs w:val="20"/>
          <w:lang w:eastAsia="en-US"/>
        </w:rPr>
        <w:t>i</w:t>
      </w:r>
      <w:r w:rsidRPr="00DA3C6E">
        <w:rPr>
          <w:rFonts w:eastAsia="Calibri" w:cs="Times New Roman"/>
          <w:szCs w:val="20"/>
          <w:lang w:eastAsia="en-US"/>
        </w:rPr>
        <w:t>ntravenous Ig therapy use in MMN as established in Version 3 of the ‘Criteria for Clinical Use of Immunoglobulin in Australia’</w:t>
      </w:r>
      <w:bookmarkEnd w:id="75"/>
      <w:bookmarkEnd w:id="76"/>
    </w:p>
    <w:tbl>
      <w:tblPr>
        <w:tblStyle w:val="TableGrid7"/>
        <w:tblW w:w="0" w:type="auto"/>
        <w:tblLook w:val="04A0" w:firstRow="1" w:lastRow="0" w:firstColumn="1" w:lastColumn="0" w:noHBand="0" w:noVBand="1"/>
        <w:tblCaption w:val="Table 4: Review criteria for assessing the effectiveness of intravenous Ig therapy use in MMN as established in Version 3 of the ‘Criteria for Clinical Use of Immunoglobulin in Australia’"/>
      </w:tblPr>
      <w:tblGrid>
        <w:gridCol w:w="1980"/>
        <w:gridCol w:w="7036"/>
      </w:tblGrid>
      <w:tr w:rsidR="00C44F6A" w:rsidRPr="00DA3C6E" w14:paraId="7B147BE1" w14:textId="77777777" w:rsidTr="00C836F2">
        <w:trPr>
          <w:tblHeader/>
        </w:trPr>
        <w:tc>
          <w:tcPr>
            <w:tcW w:w="1980" w:type="dxa"/>
            <w:vAlign w:val="center"/>
          </w:tcPr>
          <w:p w14:paraId="113355AB" w14:textId="77777777" w:rsidR="00C44F6A" w:rsidRPr="00DA3C6E" w:rsidRDefault="00C44F6A" w:rsidP="00C836F2">
            <w:pPr>
              <w:spacing w:after="0" w:line="276" w:lineRule="auto"/>
              <w:rPr>
                <w:rFonts w:ascii="Arial Narrow" w:eastAsia="Calibri" w:hAnsi="Arial Narrow" w:cstheme="minorHAnsi"/>
                <w:b/>
                <w:sz w:val="20"/>
              </w:rPr>
            </w:pPr>
            <w:r w:rsidRPr="00DA3C6E">
              <w:rPr>
                <w:rFonts w:ascii="Arial Narrow" w:eastAsia="Calibri" w:hAnsi="Arial Narrow" w:cstheme="minorHAnsi"/>
                <w:b/>
                <w:sz w:val="20"/>
              </w:rPr>
              <w:t xml:space="preserve">Indication </w:t>
            </w:r>
          </w:p>
        </w:tc>
        <w:tc>
          <w:tcPr>
            <w:tcW w:w="7036" w:type="dxa"/>
            <w:vAlign w:val="center"/>
          </w:tcPr>
          <w:p w14:paraId="796A38DD" w14:textId="77777777" w:rsidR="00C44F6A" w:rsidRPr="00DA3C6E" w:rsidRDefault="00C44F6A" w:rsidP="00C836F2">
            <w:pPr>
              <w:spacing w:after="0" w:line="276" w:lineRule="auto"/>
              <w:rPr>
                <w:rFonts w:ascii="Arial Narrow" w:eastAsia="Calibri" w:hAnsi="Arial Narrow" w:cstheme="minorHAnsi"/>
                <w:b/>
                <w:sz w:val="20"/>
              </w:rPr>
            </w:pPr>
            <w:r w:rsidRPr="00DA3C6E">
              <w:rPr>
                <w:rFonts w:ascii="Arial Narrow" w:eastAsia="Calibri" w:hAnsi="Arial Narrow" w:cstheme="minorHAnsi"/>
                <w:b/>
                <w:sz w:val="20"/>
              </w:rPr>
              <w:t>Review criteria</w:t>
            </w:r>
          </w:p>
        </w:tc>
      </w:tr>
      <w:tr w:rsidR="00C44F6A" w:rsidRPr="00DA3C6E" w14:paraId="355BB9A5" w14:textId="77777777" w:rsidTr="00C836F2">
        <w:tc>
          <w:tcPr>
            <w:tcW w:w="1980" w:type="dxa"/>
            <w:vAlign w:val="center"/>
          </w:tcPr>
          <w:p w14:paraId="5BE161D8" w14:textId="77777777" w:rsidR="00D642EF" w:rsidRPr="00DA3C6E" w:rsidRDefault="00D642EF" w:rsidP="000A2E40">
            <w:pPr>
              <w:spacing w:after="0" w:line="276" w:lineRule="auto"/>
              <w:rPr>
                <w:rFonts w:ascii="Arial Narrow" w:eastAsia="Calibri" w:hAnsi="Arial Narrow" w:cstheme="minorHAnsi"/>
                <w:sz w:val="20"/>
              </w:rPr>
            </w:pPr>
            <w:r w:rsidRPr="00DA3C6E">
              <w:rPr>
                <w:rFonts w:ascii="Arial Narrow" w:eastAsia="Calibri" w:hAnsi="Arial Narrow" w:cstheme="minorHAnsi"/>
                <w:sz w:val="20"/>
              </w:rPr>
              <w:t>‘</w:t>
            </w:r>
            <w:r w:rsidR="00C44F6A" w:rsidRPr="00DA3C6E">
              <w:rPr>
                <w:rFonts w:ascii="Arial Narrow" w:eastAsia="Calibri" w:hAnsi="Arial Narrow" w:cstheme="minorHAnsi"/>
                <w:sz w:val="20"/>
              </w:rPr>
              <w:t>First-line and subsequent maintenance</w:t>
            </w:r>
          </w:p>
          <w:p w14:paraId="70738617" w14:textId="77777777" w:rsidR="00C44F6A" w:rsidRPr="00DA3C6E" w:rsidRDefault="00C44F6A" w:rsidP="000A2E40">
            <w:pPr>
              <w:spacing w:after="0" w:line="276" w:lineRule="auto"/>
              <w:rPr>
                <w:rFonts w:ascii="Arial Narrow" w:eastAsia="Calibri" w:hAnsi="Arial Narrow" w:cstheme="minorHAnsi"/>
                <w:sz w:val="20"/>
              </w:rPr>
            </w:pPr>
            <w:r w:rsidRPr="00DA3C6E">
              <w:rPr>
                <w:rFonts w:ascii="Arial Narrow" w:eastAsia="Calibri" w:hAnsi="Arial Narrow" w:cstheme="minorHAnsi"/>
                <w:sz w:val="20"/>
              </w:rPr>
              <w:t>therapy for MMN</w:t>
            </w:r>
            <w:r w:rsidR="00D642EF" w:rsidRPr="00DA3C6E">
              <w:rPr>
                <w:rFonts w:ascii="Arial Narrow" w:eastAsia="Calibri" w:hAnsi="Arial Narrow" w:cstheme="minorHAnsi"/>
                <w:sz w:val="20"/>
              </w:rPr>
              <w:t>’</w:t>
            </w:r>
          </w:p>
        </w:tc>
        <w:tc>
          <w:tcPr>
            <w:tcW w:w="7036" w:type="dxa"/>
            <w:vAlign w:val="center"/>
          </w:tcPr>
          <w:p w14:paraId="1AEC0C68" w14:textId="77777777" w:rsidR="00C44F6A" w:rsidRPr="00DA3C6E" w:rsidRDefault="00C44F6A" w:rsidP="00C836F2">
            <w:pPr>
              <w:spacing w:after="0" w:line="276" w:lineRule="auto"/>
              <w:rPr>
                <w:rFonts w:ascii="Arial Narrow" w:eastAsia="Calibri" w:hAnsi="Arial Narrow" w:cstheme="minorHAnsi"/>
                <w:sz w:val="20"/>
                <w:u w:val="single"/>
              </w:rPr>
            </w:pPr>
            <w:r w:rsidRPr="00DA3C6E">
              <w:rPr>
                <w:rFonts w:ascii="Arial Narrow" w:eastAsia="Calibri" w:hAnsi="Arial Narrow" w:cstheme="minorHAnsi"/>
                <w:sz w:val="20"/>
                <w:u w:val="single"/>
              </w:rPr>
              <w:t>Initial treatment</w:t>
            </w:r>
          </w:p>
          <w:p w14:paraId="6CA4A28F"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Upon establishing diagnosis, </w:t>
            </w:r>
            <w:r w:rsidR="000A2E40" w:rsidRPr="00DA3C6E">
              <w:rPr>
                <w:rFonts w:ascii="Arial Narrow" w:eastAsia="Calibri" w:hAnsi="Arial Narrow" w:cstheme="minorHAnsi"/>
                <w:sz w:val="20"/>
              </w:rPr>
              <w:t>i</w:t>
            </w:r>
            <w:r w:rsidRPr="00DA3C6E">
              <w:rPr>
                <w:rFonts w:ascii="Arial Narrow" w:eastAsia="Calibri" w:hAnsi="Arial Narrow" w:cstheme="minorHAnsi"/>
                <w:sz w:val="20"/>
              </w:rPr>
              <w:t xml:space="preserve">ntravenous Ig should be used for a maximum of four months (induction plus three maintenance cycles) before determining whether the patient has responded. If there is no benefit after this treatment, </w:t>
            </w:r>
            <w:r w:rsidR="00D642EF" w:rsidRPr="00DA3C6E">
              <w:rPr>
                <w:rFonts w:ascii="Arial Narrow" w:eastAsia="Calibri" w:hAnsi="Arial Narrow" w:cstheme="minorHAnsi"/>
                <w:sz w:val="20"/>
              </w:rPr>
              <w:t xml:space="preserve">intravenous </w:t>
            </w:r>
            <w:r w:rsidRPr="00DA3C6E">
              <w:rPr>
                <w:rFonts w:ascii="Arial Narrow" w:eastAsia="Calibri" w:hAnsi="Arial Narrow" w:cstheme="minorHAnsi"/>
                <w:sz w:val="20"/>
              </w:rPr>
              <w:t>Ig therapy should be discontinued.</w:t>
            </w:r>
          </w:p>
          <w:p w14:paraId="02FD2B4F" w14:textId="77777777" w:rsidR="00C44F6A" w:rsidRPr="00DA3C6E" w:rsidRDefault="00C44F6A" w:rsidP="00C836F2">
            <w:pPr>
              <w:spacing w:after="0" w:line="276" w:lineRule="auto"/>
              <w:rPr>
                <w:rFonts w:ascii="Arial Narrow" w:eastAsia="Calibri" w:hAnsi="Arial Narrow" w:cstheme="minorHAnsi"/>
                <w:sz w:val="20"/>
              </w:rPr>
            </w:pPr>
          </w:p>
          <w:p w14:paraId="457323C8"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Review by a neurologist is required within four months of treatment and annually thereafter. Documentation of clinical efficacy is necessary for continuation of Ig therapy. </w:t>
            </w:r>
          </w:p>
          <w:p w14:paraId="6D307E55" w14:textId="77777777" w:rsidR="00C44F6A" w:rsidRPr="00DA3C6E" w:rsidRDefault="00C44F6A" w:rsidP="00C836F2">
            <w:pPr>
              <w:spacing w:after="0" w:line="276" w:lineRule="auto"/>
              <w:rPr>
                <w:rFonts w:ascii="Arial Narrow" w:eastAsia="Calibri" w:hAnsi="Arial Narrow" w:cstheme="minorHAnsi"/>
                <w:sz w:val="20"/>
              </w:rPr>
            </w:pPr>
          </w:p>
          <w:p w14:paraId="786B6914" w14:textId="77777777" w:rsidR="00C44F6A" w:rsidRPr="00DA3C6E" w:rsidRDefault="00C44F6A" w:rsidP="00C836F2">
            <w:pPr>
              <w:spacing w:after="0" w:line="276" w:lineRule="auto"/>
              <w:rPr>
                <w:rFonts w:ascii="Arial Narrow" w:eastAsia="Calibri" w:hAnsi="Arial Narrow" w:cstheme="minorHAnsi"/>
                <w:sz w:val="20"/>
                <w:u w:val="single"/>
              </w:rPr>
            </w:pPr>
            <w:r w:rsidRPr="00DA3C6E">
              <w:rPr>
                <w:rFonts w:ascii="Arial Narrow" w:eastAsia="Calibri" w:hAnsi="Arial Narrow" w:cstheme="minorHAnsi"/>
                <w:sz w:val="20"/>
                <w:u w:val="single"/>
              </w:rPr>
              <w:t>On review of an initial authorisation period</w:t>
            </w:r>
          </w:p>
          <w:p w14:paraId="4BAB1B2D" w14:textId="77777777" w:rsidR="00C44F6A" w:rsidRPr="00DA3C6E" w:rsidRDefault="00C44F6A" w:rsidP="00C836F2">
            <w:pPr>
              <w:spacing w:after="0" w:line="276" w:lineRule="auto"/>
              <w:ind w:left="720"/>
              <w:contextualSpacing/>
              <w:rPr>
                <w:rFonts w:ascii="Arial Narrow" w:eastAsia="Calibri" w:hAnsi="Arial Narrow" w:cstheme="minorHAnsi"/>
                <w:sz w:val="20"/>
              </w:rPr>
            </w:pPr>
            <w:r w:rsidRPr="00DA3C6E">
              <w:rPr>
                <w:rFonts w:ascii="Arial Narrow" w:eastAsia="Calibri" w:hAnsi="Arial Narrow" w:cstheme="minorHAnsi"/>
                <w:sz w:val="20"/>
              </w:rPr>
              <w:t xml:space="preserve"> </w:t>
            </w:r>
          </w:p>
          <w:p w14:paraId="7E3E7160"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Clinical effectiveness of Ig therapy will be demonstrated by:</w:t>
            </w:r>
          </w:p>
          <w:p w14:paraId="3C905C86" w14:textId="77777777" w:rsidR="00C44F6A" w:rsidRPr="00DA3C6E" w:rsidRDefault="00C44F6A" w:rsidP="00C836F2">
            <w:pPr>
              <w:numPr>
                <w:ilvl w:val="0"/>
                <w:numId w:val="11"/>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focal weakness in previously weak (but not end-stage) muscles;</w:t>
            </w:r>
          </w:p>
          <w:p w14:paraId="093A42D8"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1B231ADC" w14:textId="77777777" w:rsidR="00C44F6A" w:rsidRPr="00DA3C6E" w:rsidRDefault="00C44F6A" w:rsidP="00C836F2">
            <w:pPr>
              <w:numPr>
                <w:ilvl w:val="0"/>
                <w:numId w:val="12"/>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 xml:space="preserve">Improvement in the level of disability as measured by the adjusted ONLS of at least one point less than the qualifying score. </w:t>
            </w:r>
          </w:p>
          <w:p w14:paraId="2CCA1ADA" w14:textId="77777777" w:rsidR="00C44F6A" w:rsidRPr="00DA3C6E" w:rsidRDefault="00C44F6A" w:rsidP="00C836F2">
            <w:pPr>
              <w:spacing w:after="0" w:line="276" w:lineRule="auto"/>
              <w:rPr>
                <w:rFonts w:ascii="Arial Narrow" w:eastAsia="Calibri" w:hAnsi="Arial Narrow" w:cstheme="minorHAnsi"/>
                <w:sz w:val="20"/>
              </w:rPr>
            </w:pPr>
          </w:p>
          <w:p w14:paraId="6074E81F"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u w:val="single"/>
              </w:rPr>
              <w:lastRenderedPageBreak/>
              <w:t>On review of a continuing authorisation period</w:t>
            </w:r>
          </w:p>
          <w:p w14:paraId="7FF9DFAC"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After a period of </w:t>
            </w:r>
            <w:r w:rsidR="00D642EF" w:rsidRPr="00DA3C6E">
              <w:rPr>
                <w:rFonts w:ascii="Arial Narrow" w:eastAsia="Calibri" w:hAnsi="Arial Narrow" w:cstheme="minorHAnsi"/>
                <w:sz w:val="20"/>
              </w:rPr>
              <w:t>i</w:t>
            </w:r>
            <w:r w:rsidRPr="00DA3C6E">
              <w:rPr>
                <w:rFonts w:ascii="Arial Narrow" w:eastAsia="Calibri" w:hAnsi="Arial Narrow" w:cstheme="minorHAnsi"/>
                <w:sz w:val="20"/>
              </w:rPr>
              <w:t>ntravenous Ig treatment of no more than 12 months, all patients need to be assessed for clinical effectiveness and may be eligible for continuing if they demonstrated clinical improvement measured as:</w:t>
            </w:r>
          </w:p>
          <w:p w14:paraId="3006D7B3" w14:textId="77777777" w:rsidR="00C44F6A" w:rsidRPr="00DA3C6E" w:rsidRDefault="00C44F6A" w:rsidP="00C836F2">
            <w:pPr>
              <w:numPr>
                <w:ilvl w:val="0"/>
                <w:numId w:val="13"/>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or stabilisation of weakness after previous evidence of deterioration in motor strength. It is acknowledged that very slow deterioration may occur over several years in stable patients;</w:t>
            </w:r>
          </w:p>
          <w:p w14:paraId="118DBE94"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05D4F15C" w14:textId="77777777" w:rsidR="00C44F6A" w:rsidRPr="00DA3C6E" w:rsidRDefault="00C44F6A" w:rsidP="00C836F2">
            <w:pPr>
              <w:numPr>
                <w:ilvl w:val="0"/>
                <w:numId w:val="14"/>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or stabilisation of disability as measured by the adjusted ONLS score compared to the previous review score (gradual deterioration of one point over several years is acceptable);</w:t>
            </w:r>
          </w:p>
          <w:p w14:paraId="553C15BC"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7D1AB9CA" w14:textId="77777777" w:rsidR="00C44F6A" w:rsidRPr="00DA3C6E" w:rsidRDefault="00C44F6A" w:rsidP="00C836F2">
            <w:pPr>
              <w:numPr>
                <w:ilvl w:val="0"/>
                <w:numId w:val="10"/>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 xml:space="preserve">A trial of weaning/cessation of </w:t>
            </w:r>
            <w:r w:rsidR="00D642EF" w:rsidRPr="00DA3C6E">
              <w:rPr>
                <w:rFonts w:ascii="Arial Narrow" w:eastAsia="Calibri" w:hAnsi="Arial Narrow" w:cstheme="minorHAnsi"/>
                <w:sz w:val="20"/>
              </w:rPr>
              <w:t>i</w:t>
            </w:r>
            <w:r w:rsidRPr="00DA3C6E">
              <w:rPr>
                <w:rFonts w:ascii="Arial Narrow" w:eastAsia="Calibri" w:hAnsi="Arial Narrow" w:cstheme="minorHAnsi"/>
                <w:sz w:val="20"/>
              </w:rPr>
              <w:t>ntravenous Ig therapy is planned for patients who are clinically stable to identify those in remission or a reason provided as to why a trial is not being planned.</w:t>
            </w:r>
          </w:p>
          <w:p w14:paraId="05567B30"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For patients in remission on continuing therapy, a trial of weaning </w:t>
            </w:r>
            <w:r w:rsidR="006A2E92" w:rsidRPr="00DA3C6E">
              <w:rPr>
                <w:rFonts w:ascii="Arial Narrow" w:eastAsia="Calibri" w:hAnsi="Arial Narrow" w:cstheme="minorHAnsi"/>
                <w:sz w:val="20"/>
              </w:rPr>
              <w:t xml:space="preserve">potentially </w:t>
            </w:r>
            <w:r w:rsidRPr="00DA3C6E">
              <w:rPr>
                <w:rFonts w:ascii="Arial Narrow" w:eastAsia="Calibri" w:hAnsi="Arial Narrow" w:cstheme="minorHAnsi"/>
                <w:sz w:val="20"/>
              </w:rPr>
              <w:t>leading to cessation should be considered. If the patient relapses within six months, they may be eligible for further Ig therapy under the indication</w:t>
            </w:r>
            <w:r w:rsidRPr="00DA3C6E">
              <w:rPr>
                <w:rFonts w:ascii="Arial Narrow" w:eastAsia="Calibri" w:hAnsi="Arial Narrow" w:cstheme="minorHAnsi"/>
                <w:i/>
                <w:sz w:val="20"/>
              </w:rPr>
              <w:t xml:space="preserve"> </w:t>
            </w:r>
            <w:r w:rsidRPr="00DA3C6E">
              <w:rPr>
                <w:rFonts w:ascii="Arial Narrow" w:eastAsia="Calibri" w:hAnsi="Arial Narrow" w:cstheme="minorHAnsi"/>
                <w:sz w:val="20"/>
              </w:rPr>
              <w:t>‘</w:t>
            </w:r>
            <w:r w:rsidRPr="00DA3C6E">
              <w:rPr>
                <w:rFonts w:ascii="Arial Narrow" w:eastAsia="Calibri" w:hAnsi="Arial Narrow" w:cstheme="minorHAnsi"/>
                <w:bCs/>
                <w:sz w:val="20"/>
              </w:rPr>
              <w:t>Further and subsequent maintenance</w:t>
            </w:r>
            <w:r w:rsidR="00D642EF" w:rsidRPr="00DA3C6E">
              <w:rPr>
                <w:rFonts w:ascii="Arial Narrow" w:eastAsia="Calibri" w:hAnsi="Arial Narrow" w:cstheme="minorHAnsi"/>
                <w:bCs/>
                <w:sz w:val="20"/>
              </w:rPr>
              <w:t xml:space="preserve"> </w:t>
            </w:r>
            <w:r w:rsidRPr="00DA3C6E">
              <w:rPr>
                <w:rFonts w:ascii="Arial Narrow" w:eastAsia="Calibri" w:hAnsi="Arial Narrow" w:cstheme="minorHAnsi"/>
                <w:bCs/>
                <w:sz w:val="20"/>
              </w:rPr>
              <w:t>therapy for MMN patients who relapse within six months of commencement of a trial off Ig therapy</w:t>
            </w:r>
            <w:r w:rsidRPr="00DA3C6E">
              <w:rPr>
                <w:rFonts w:ascii="Arial Narrow" w:eastAsia="Calibri" w:hAnsi="Arial Narrow" w:cstheme="minorHAnsi"/>
                <w:bCs/>
                <w:i/>
                <w:sz w:val="20"/>
              </w:rPr>
              <w:t>’</w:t>
            </w:r>
            <w:r w:rsidRPr="00DA3C6E">
              <w:rPr>
                <w:rFonts w:ascii="Arial Narrow" w:eastAsia="Calibri" w:hAnsi="Arial Narrow" w:cstheme="minorHAnsi"/>
                <w:sz w:val="20"/>
              </w:rPr>
              <w:t xml:space="preserve">. A subsequent trial of weaning leading to cessation might be considered after a further two years of Ig therapy. </w:t>
            </w:r>
          </w:p>
          <w:p w14:paraId="61C09D34" w14:textId="77777777" w:rsidR="00C44F6A" w:rsidRPr="00DA3C6E" w:rsidRDefault="00C44F6A" w:rsidP="0020441D">
            <w:pPr>
              <w:spacing w:after="0" w:line="276" w:lineRule="auto"/>
              <w:rPr>
                <w:rFonts w:ascii="Arial Narrow" w:eastAsia="Calibri" w:hAnsi="Arial Narrow" w:cstheme="minorHAnsi"/>
                <w:sz w:val="20"/>
              </w:rPr>
            </w:pPr>
            <w:r w:rsidRPr="00DA3C6E">
              <w:rPr>
                <w:rFonts w:ascii="Arial Narrow" w:eastAsia="Calibri" w:hAnsi="Arial Narrow" w:cstheme="minorHAnsi"/>
                <w:i/>
                <w:sz w:val="20"/>
              </w:rPr>
              <w:t>If a patient relapses after six months of a trial of weaning leading to cessation, they may be eligible for further Ig therapy under the indication ‘First-line and subsequent maintenance therapy for MMN’.</w:t>
            </w:r>
          </w:p>
        </w:tc>
      </w:tr>
      <w:tr w:rsidR="00C44F6A" w:rsidRPr="00DA3C6E" w14:paraId="09F3A4A4" w14:textId="77777777" w:rsidTr="00C836F2">
        <w:tc>
          <w:tcPr>
            <w:tcW w:w="1980" w:type="dxa"/>
            <w:vAlign w:val="center"/>
          </w:tcPr>
          <w:p w14:paraId="1AEDBC0C" w14:textId="77777777" w:rsidR="00C44F6A" w:rsidRPr="00DA3C6E" w:rsidRDefault="00926797" w:rsidP="0020441D">
            <w:pPr>
              <w:spacing w:after="0" w:line="276" w:lineRule="auto"/>
              <w:rPr>
                <w:rFonts w:ascii="Arial Narrow" w:eastAsia="Calibri" w:hAnsi="Arial Narrow" w:cstheme="minorHAnsi"/>
                <w:sz w:val="20"/>
              </w:rPr>
            </w:pPr>
            <w:r w:rsidRPr="00DA3C6E">
              <w:rPr>
                <w:rFonts w:ascii="Arial Narrow" w:eastAsia="Calibri" w:hAnsi="Arial Narrow" w:cstheme="minorHAnsi"/>
                <w:sz w:val="20"/>
              </w:rPr>
              <w:lastRenderedPageBreak/>
              <w:t>‘</w:t>
            </w:r>
            <w:r w:rsidR="00C44F6A" w:rsidRPr="00DA3C6E">
              <w:rPr>
                <w:rFonts w:ascii="Arial Narrow" w:eastAsia="Calibri" w:hAnsi="Arial Narrow" w:cstheme="minorHAnsi"/>
                <w:sz w:val="20"/>
              </w:rPr>
              <w:t>Further and subsequent maintenance therapy for  MMN patients who relapse within six months of commencement of a trial off Ig therapy</w:t>
            </w:r>
            <w:r w:rsidRPr="00DA3C6E">
              <w:rPr>
                <w:rFonts w:ascii="Arial Narrow" w:eastAsia="Calibri" w:hAnsi="Arial Narrow" w:cstheme="minorHAnsi"/>
                <w:sz w:val="20"/>
              </w:rPr>
              <w:t>’</w:t>
            </w:r>
          </w:p>
        </w:tc>
        <w:tc>
          <w:tcPr>
            <w:tcW w:w="7036" w:type="dxa"/>
            <w:vAlign w:val="center"/>
          </w:tcPr>
          <w:p w14:paraId="2D53C851"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u w:val="single"/>
              </w:rPr>
              <w:t>Initial treatment</w:t>
            </w:r>
            <w:r w:rsidRPr="00DA3C6E">
              <w:rPr>
                <w:rFonts w:ascii="Arial Narrow" w:eastAsia="Calibri" w:hAnsi="Arial Narrow" w:cstheme="minorHAnsi"/>
                <w:sz w:val="20"/>
              </w:rPr>
              <w:t xml:space="preserve"> </w:t>
            </w:r>
          </w:p>
          <w:p w14:paraId="0238887F" w14:textId="77777777" w:rsidR="00C44F6A" w:rsidRPr="00DA3C6E" w:rsidRDefault="006A2E92"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Intravenous Ig </w:t>
            </w:r>
            <w:r w:rsidR="00C44F6A" w:rsidRPr="00DA3C6E">
              <w:rPr>
                <w:rFonts w:ascii="Arial Narrow" w:eastAsia="Calibri" w:hAnsi="Arial Narrow" w:cstheme="minorHAnsi"/>
                <w:sz w:val="20"/>
              </w:rPr>
              <w:t xml:space="preserve">should be used for a maximum of four months (induction plus three maintenance cycles) before determining whether the patient has responded. If there is no benefit after this treatment, </w:t>
            </w:r>
            <w:r w:rsidR="00C013C7" w:rsidRPr="00DA3C6E">
              <w:rPr>
                <w:rFonts w:ascii="Arial Narrow" w:eastAsia="Calibri" w:hAnsi="Arial Narrow" w:cstheme="minorHAnsi"/>
                <w:sz w:val="20"/>
              </w:rPr>
              <w:t>i</w:t>
            </w:r>
            <w:r w:rsidR="00C44F6A" w:rsidRPr="00DA3C6E">
              <w:rPr>
                <w:rFonts w:ascii="Arial Narrow" w:eastAsia="Calibri" w:hAnsi="Arial Narrow" w:cstheme="minorHAnsi"/>
                <w:sz w:val="20"/>
              </w:rPr>
              <w:t>ntravenous Ig therapy should be abandoned.</w:t>
            </w:r>
          </w:p>
          <w:p w14:paraId="4DD92509" w14:textId="77777777" w:rsidR="00C44F6A" w:rsidRPr="00DA3C6E" w:rsidRDefault="00C44F6A" w:rsidP="00C836F2">
            <w:pPr>
              <w:spacing w:after="0" w:line="276" w:lineRule="auto"/>
              <w:rPr>
                <w:rFonts w:ascii="Arial Narrow" w:eastAsia="Calibri" w:hAnsi="Arial Narrow" w:cstheme="minorHAnsi"/>
                <w:sz w:val="20"/>
              </w:rPr>
            </w:pPr>
          </w:p>
          <w:p w14:paraId="1E6EAD41"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Review by a neurologist is required within four months of treatment and annually thereafter. Documentation of clinical efficacy is necessary for continuation of </w:t>
            </w:r>
            <w:r w:rsidR="00C013C7" w:rsidRPr="00DA3C6E">
              <w:rPr>
                <w:rFonts w:ascii="Arial Narrow" w:eastAsia="Calibri" w:hAnsi="Arial Narrow" w:cstheme="minorHAnsi"/>
                <w:sz w:val="20"/>
              </w:rPr>
              <w:t>i</w:t>
            </w:r>
            <w:r w:rsidRPr="00DA3C6E">
              <w:rPr>
                <w:rFonts w:ascii="Arial Narrow" w:eastAsia="Calibri" w:hAnsi="Arial Narrow" w:cstheme="minorHAnsi"/>
                <w:sz w:val="20"/>
              </w:rPr>
              <w:t>ntravenous Ig therapy.</w:t>
            </w:r>
          </w:p>
          <w:p w14:paraId="16F95F12" w14:textId="77777777" w:rsidR="00C44F6A" w:rsidRPr="00DA3C6E" w:rsidRDefault="00C44F6A" w:rsidP="00C836F2">
            <w:pPr>
              <w:spacing w:after="0" w:line="276" w:lineRule="auto"/>
              <w:rPr>
                <w:rFonts w:ascii="Arial Narrow" w:eastAsia="Calibri" w:hAnsi="Arial Narrow" w:cstheme="minorHAnsi"/>
                <w:sz w:val="20"/>
              </w:rPr>
            </w:pPr>
          </w:p>
          <w:p w14:paraId="77C101D0"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Patient qualifies for continuing treatment with </w:t>
            </w:r>
            <w:r w:rsidR="00C013C7" w:rsidRPr="00DA3C6E">
              <w:rPr>
                <w:rFonts w:ascii="Arial Narrow" w:eastAsia="Calibri" w:hAnsi="Arial Narrow" w:cstheme="minorHAnsi"/>
                <w:sz w:val="20"/>
              </w:rPr>
              <w:t>i</w:t>
            </w:r>
            <w:r w:rsidRPr="00DA3C6E">
              <w:rPr>
                <w:rFonts w:ascii="Arial Narrow" w:eastAsia="Calibri" w:hAnsi="Arial Narrow" w:cstheme="minorHAnsi"/>
                <w:sz w:val="20"/>
              </w:rPr>
              <w:t>ntravenous Ig once its clinical benefit/ effectiveness has been confirmed within four months of treatment initiation by a neurologist.</w:t>
            </w:r>
          </w:p>
          <w:p w14:paraId="426F8551" w14:textId="77777777" w:rsidR="00C44F6A" w:rsidRPr="00DA3C6E" w:rsidRDefault="00C44F6A" w:rsidP="00C836F2">
            <w:pPr>
              <w:spacing w:after="0" w:line="276" w:lineRule="auto"/>
              <w:rPr>
                <w:rFonts w:ascii="Arial Narrow" w:eastAsia="Calibri" w:hAnsi="Arial Narrow" w:cstheme="minorHAnsi"/>
                <w:sz w:val="20"/>
              </w:rPr>
            </w:pPr>
          </w:p>
          <w:p w14:paraId="4B5A5EE6"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u w:val="single"/>
              </w:rPr>
              <w:t>On review of the initial authorization period</w:t>
            </w:r>
            <w:r w:rsidRPr="00DA3C6E">
              <w:rPr>
                <w:rFonts w:ascii="Arial Narrow" w:eastAsia="Calibri" w:hAnsi="Arial Narrow" w:cstheme="minorHAnsi"/>
                <w:sz w:val="20"/>
              </w:rPr>
              <w:t xml:space="preserve"> (e.g. initial treatment) </w:t>
            </w:r>
          </w:p>
          <w:p w14:paraId="64F77BAA"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Clinical effectiveness of </w:t>
            </w:r>
            <w:r w:rsidR="00703705" w:rsidRPr="00DA3C6E">
              <w:rPr>
                <w:rFonts w:ascii="Arial Narrow" w:eastAsia="Calibri" w:hAnsi="Arial Narrow" w:cstheme="minorHAnsi"/>
                <w:sz w:val="20"/>
              </w:rPr>
              <w:t>i</w:t>
            </w:r>
            <w:r w:rsidRPr="00DA3C6E">
              <w:rPr>
                <w:rFonts w:ascii="Arial Narrow" w:eastAsia="Calibri" w:hAnsi="Arial Narrow" w:cstheme="minorHAnsi"/>
                <w:sz w:val="20"/>
              </w:rPr>
              <w:t>ntravenous Ig therapy will be demonstrated by:</w:t>
            </w:r>
          </w:p>
          <w:p w14:paraId="055007FF" w14:textId="77777777" w:rsidR="00C44F6A" w:rsidRPr="00DA3C6E" w:rsidRDefault="00C44F6A" w:rsidP="00C836F2">
            <w:pPr>
              <w:numPr>
                <w:ilvl w:val="0"/>
                <w:numId w:val="15"/>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focal motor weakness in response to four months of Ig therapy compared to muscle strength at the qualifying assessment following relapse</w:t>
            </w:r>
          </w:p>
          <w:p w14:paraId="6A4F6FF1"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04865422" w14:textId="77777777" w:rsidR="00C44F6A" w:rsidRPr="00DA3C6E" w:rsidRDefault="00C44F6A" w:rsidP="00C836F2">
            <w:pPr>
              <w:numPr>
                <w:ilvl w:val="0"/>
                <w:numId w:val="15"/>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 xml:space="preserve">Improvement in disability as measured by the adjusted ONLS compared to the qualifying assessment at relapse. </w:t>
            </w:r>
          </w:p>
          <w:p w14:paraId="30565F30" w14:textId="77777777" w:rsidR="00C44F6A" w:rsidRPr="00DA3C6E" w:rsidRDefault="00C44F6A" w:rsidP="00C836F2">
            <w:pPr>
              <w:spacing w:after="0" w:line="276" w:lineRule="auto"/>
              <w:rPr>
                <w:rFonts w:ascii="Arial Narrow" w:eastAsia="Calibri" w:hAnsi="Arial Narrow" w:cstheme="minorHAnsi"/>
                <w:sz w:val="20"/>
              </w:rPr>
            </w:pPr>
          </w:p>
          <w:p w14:paraId="7C8E8F2C"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On review of a continuing authorisation period </w:t>
            </w:r>
          </w:p>
          <w:p w14:paraId="041789EB"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Clinical effectiveness of </w:t>
            </w:r>
            <w:r w:rsidR="00703705" w:rsidRPr="00DA3C6E">
              <w:rPr>
                <w:rFonts w:ascii="Arial Narrow" w:eastAsia="Calibri" w:hAnsi="Arial Narrow" w:cstheme="minorHAnsi"/>
                <w:sz w:val="20"/>
              </w:rPr>
              <w:t>i</w:t>
            </w:r>
            <w:r w:rsidRPr="00DA3C6E">
              <w:rPr>
                <w:rFonts w:ascii="Arial Narrow" w:eastAsia="Calibri" w:hAnsi="Arial Narrow" w:cstheme="minorHAnsi"/>
                <w:sz w:val="20"/>
              </w:rPr>
              <w:t>ntravenous Ig therapy will be demonstrated by:</w:t>
            </w:r>
          </w:p>
          <w:p w14:paraId="1612A476" w14:textId="77777777" w:rsidR="00C44F6A" w:rsidRPr="00DA3C6E" w:rsidRDefault="00C44F6A" w:rsidP="00C836F2">
            <w:pPr>
              <w:numPr>
                <w:ilvl w:val="0"/>
                <w:numId w:val="16"/>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or stabilisation of focal motor weakness as compared to the focal muscle strength at the previous review assessment;</w:t>
            </w:r>
          </w:p>
          <w:p w14:paraId="643BFD29"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6C6BF3DF" w14:textId="77777777" w:rsidR="00C44F6A" w:rsidRPr="00DA3C6E" w:rsidRDefault="00C44F6A" w:rsidP="00C836F2">
            <w:pPr>
              <w:numPr>
                <w:ilvl w:val="0"/>
                <w:numId w:val="17"/>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t>Improvement in or stabilisation of disability as measured by the adjusted ONLS compared to the previous review score (gradual deterioration of one point over several years is acceptable);</w:t>
            </w:r>
          </w:p>
          <w:p w14:paraId="04779406" w14:textId="77777777" w:rsidR="00C44F6A" w:rsidRPr="00DA3C6E" w:rsidRDefault="00C44F6A" w:rsidP="00C836F2">
            <w:pPr>
              <w:spacing w:after="0" w:line="276" w:lineRule="auto"/>
              <w:ind w:left="1080" w:hanging="360"/>
              <w:rPr>
                <w:rFonts w:ascii="Arial Narrow" w:eastAsia="Calibri" w:hAnsi="Arial Narrow" w:cstheme="minorHAnsi"/>
                <w:sz w:val="20"/>
              </w:rPr>
            </w:pPr>
            <w:r w:rsidRPr="00DA3C6E">
              <w:rPr>
                <w:rFonts w:ascii="Arial Narrow" w:eastAsia="Calibri" w:hAnsi="Arial Narrow" w:cstheme="minorHAnsi"/>
                <w:sz w:val="20"/>
              </w:rPr>
              <w:t>AND</w:t>
            </w:r>
          </w:p>
          <w:p w14:paraId="7A764DC4" w14:textId="77777777" w:rsidR="00C44F6A" w:rsidRPr="00DA3C6E" w:rsidRDefault="00C44F6A" w:rsidP="00C836F2">
            <w:pPr>
              <w:numPr>
                <w:ilvl w:val="0"/>
                <w:numId w:val="18"/>
              </w:numPr>
              <w:spacing w:after="0" w:line="240" w:lineRule="auto"/>
              <w:contextualSpacing/>
              <w:rPr>
                <w:rFonts w:ascii="Arial Narrow" w:eastAsia="Calibri" w:hAnsi="Arial Narrow" w:cstheme="minorHAnsi"/>
                <w:sz w:val="20"/>
              </w:rPr>
            </w:pPr>
            <w:r w:rsidRPr="00DA3C6E">
              <w:rPr>
                <w:rFonts w:ascii="Arial Narrow" w:eastAsia="Calibri" w:hAnsi="Arial Narrow" w:cstheme="minorHAnsi"/>
                <w:sz w:val="20"/>
              </w:rPr>
              <w:lastRenderedPageBreak/>
              <w:t xml:space="preserve">A trial of weaning/cessation of </w:t>
            </w:r>
            <w:r w:rsidR="00703705" w:rsidRPr="00DA3C6E">
              <w:rPr>
                <w:rFonts w:ascii="Arial Narrow" w:eastAsia="Calibri" w:hAnsi="Arial Narrow" w:cstheme="minorHAnsi"/>
                <w:sz w:val="20"/>
              </w:rPr>
              <w:t>i</w:t>
            </w:r>
            <w:r w:rsidRPr="00DA3C6E">
              <w:rPr>
                <w:rFonts w:ascii="Arial Narrow" w:eastAsia="Calibri" w:hAnsi="Arial Narrow" w:cstheme="minorHAnsi"/>
                <w:sz w:val="20"/>
              </w:rPr>
              <w:t>ntravenous Ig therapy is considered annually for patients who are clinically stable to identify those in remission or a valid reason provided as to why a trial is not being planned or is contraindicated at this time.</w:t>
            </w:r>
          </w:p>
          <w:p w14:paraId="2792631F" w14:textId="77777777" w:rsidR="00C44F6A" w:rsidRPr="00DA3C6E" w:rsidRDefault="00C44F6A" w:rsidP="00C836F2">
            <w:pPr>
              <w:spacing w:after="0" w:line="276" w:lineRule="auto"/>
              <w:rPr>
                <w:rFonts w:ascii="Arial Narrow" w:eastAsia="Calibri" w:hAnsi="Arial Narrow" w:cstheme="minorHAnsi"/>
                <w:sz w:val="20"/>
              </w:rPr>
            </w:pPr>
            <w:r w:rsidRPr="00DA3C6E">
              <w:rPr>
                <w:rFonts w:ascii="Arial Narrow" w:eastAsia="Calibri" w:hAnsi="Arial Narrow" w:cstheme="minorHAnsi"/>
                <w:sz w:val="20"/>
              </w:rPr>
              <w:t xml:space="preserve">For patients in remission on continuing therapy, a trial of weaning leading to cessation should be considered. If the patient relapses, again within six months of commencement of a trail off Ig therapy, they may be eligible for further </w:t>
            </w:r>
            <w:r w:rsidR="00703705" w:rsidRPr="00DA3C6E">
              <w:rPr>
                <w:rFonts w:ascii="Arial Narrow" w:eastAsia="Calibri" w:hAnsi="Arial Narrow" w:cstheme="minorHAnsi"/>
                <w:sz w:val="20"/>
              </w:rPr>
              <w:t>i</w:t>
            </w:r>
            <w:r w:rsidRPr="00DA3C6E">
              <w:rPr>
                <w:rFonts w:ascii="Arial Narrow" w:eastAsia="Calibri" w:hAnsi="Arial Narrow" w:cstheme="minorHAnsi"/>
                <w:sz w:val="20"/>
              </w:rPr>
              <w:t xml:space="preserve">ntravenous Ig therapy under this indication. A subsequent trial of weaning leading to cessation might be considered after a further two years of </w:t>
            </w:r>
            <w:r w:rsidR="00703705" w:rsidRPr="00DA3C6E">
              <w:rPr>
                <w:rFonts w:ascii="Arial Narrow" w:eastAsia="Calibri" w:hAnsi="Arial Narrow" w:cstheme="minorHAnsi"/>
                <w:sz w:val="20"/>
              </w:rPr>
              <w:t>i</w:t>
            </w:r>
            <w:r w:rsidRPr="00DA3C6E">
              <w:rPr>
                <w:rFonts w:ascii="Arial Narrow" w:eastAsia="Calibri" w:hAnsi="Arial Narrow" w:cstheme="minorHAnsi"/>
                <w:sz w:val="20"/>
              </w:rPr>
              <w:t>ntravenous Ig therapy.</w:t>
            </w:r>
          </w:p>
          <w:p w14:paraId="35F16D1C" w14:textId="77777777" w:rsidR="00C44F6A" w:rsidRPr="00DA3C6E" w:rsidRDefault="00C44F6A" w:rsidP="0020441D">
            <w:pPr>
              <w:spacing w:after="0" w:line="276" w:lineRule="auto"/>
              <w:rPr>
                <w:rFonts w:ascii="Arial Narrow" w:eastAsia="Calibri" w:hAnsi="Arial Narrow" w:cstheme="minorHAnsi"/>
                <w:sz w:val="20"/>
              </w:rPr>
            </w:pPr>
            <w:r w:rsidRPr="00DA3C6E">
              <w:rPr>
                <w:rFonts w:ascii="Arial Narrow" w:eastAsia="Calibri" w:hAnsi="Arial Narrow" w:cstheme="minorHAnsi"/>
                <w:i/>
                <w:sz w:val="20"/>
              </w:rPr>
              <w:t>If a patient relapses after six months of a trial of weaning leading to cessation, they may be eligible for further Ig therapy under the indication ‘First-line and subsequent maintenance therapy for MMN’.</w:t>
            </w:r>
          </w:p>
        </w:tc>
      </w:tr>
    </w:tbl>
    <w:p w14:paraId="62FFD668" w14:textId="77777777" w:rsidR="00C44F6A" w:rsidRPr="00DA3C6E" w:rsidRDefault="00C44F6A" w:rsidP="00C836F2">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lastRenderedPageBreak/>
        <w:t>Abbreviations: Ig = immunoglobulin; MMN = multifocal motor neuropathy; ONSL = overall neuropathy limitations scale.</w:t>
      </w:r>
    </w:p>
    <w:p w14:paraId="0BD141C8" w14:textId="77777777" w:rsidR="00C44F6A" w:rsidRPr="00DA3C6E" w:rsidRDefault="00C44F6A" w:rsidP="00C836F2">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Note: Italicised sentences are contributions/advice from the Ig reference group during the PICO confirmation and compilation of this report.</w:t>
      </w:r>
    </w:p>
    <w:p w14:paraId="75D53BA4" w14:textId="3A5D2DEC" w:rsidR="00C44F6A" w:rsidRPr="00DA3C6E" w:rsidRDefault="00C44F6A" w:rsidP="00C836F2">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Source: BloodSTAR (2018). The Criteria for clinical use of immunoglobulin in Australia (the Criteria); multifocal motor neuropathy, Version 3 (</w:t>
      </w:r>
      <w:hyperlink r:id="rId19" w:history="1">
        <w:r w:rsidRPr="00DA3C6E">
          <w:rPr>
            <w:rFonts w:ascii="Arial Narrow" w:eastAsia="Calibri" w:hAnsi="Arial Narrow" w:cs="Times New Roman"/>
            <w:color w:val="0000FF"/>
            <w:sz w:val="18"/>
            <w:szCs w:val="18"/>
            <w:u w:val="single"/>
            <w:lang w:eastAsia="en-US"/>
          </w:rPr>
          <w:t>https://www.criteria.blood.gov.au/MedicalCondition/View/2558</w:t>
        </w:r>
      </w:hyperlink>
      <w:r w:rsidR="00CB7A05" w:rsidRPr="00DA3C6E">
        <w:rPr>
          <w:rFonts w:ascii="Arial Narrow" w:eastAsia="Calibri" w:hAnsi="Arial Narrow" w:cs="Times New Roman"/>
          <w:color w:val="0000FF"/>
          <w:sz w:val="18"/>
          <w:szCs w:val="18"/>
          <w:u w:val="single"/>
          <w:lang w:eastAsia="en-US"/>
        </w:rPr>
        <w:t xml:space="preserve"> accessed September 2019</w:t>
      </w:r>
      <w:r w:rsidRPr="00DA3C6E">
        <w:rPr>
          <w:rFonts w:ascii="Arial Narrow" w:eastAsia="Calibri" w:hAnsi="Arial Narrow" w:cs="Times New Roman"/>
          <w:sz w:val="18"/>
          <w:szCs w:val="18"/>
          <w:lang w:eastAsia="en-US"/>
        </w:rPr>
        <w:t>).</w:t>
      </w:r>
    </w:p>
    <w:p w14:paraId="105E064E" w14:textId="77777777" w:rsidR="00BD6F50" w:rsidRPr="00DA3C6E" w:rsidRDefault="00BD6F50" w:rsidP="00C836F2">
      <w:pPr>
        <w:spacing w:after="0" w:line="240" w:lineRule="auto"/>
        <w:rPr>
          <w:rFonts w:ascii="Arial Narrow" w:eastAsia="Calibri" w:hAnsi="Arial Narrow" w:cs="Times New Roman"/>
          <w:sz w:val="18"/>
          <w:szCs w:val="18"/>
          <w:lang w:eastAsia="en-US"/>
        </w:rPr>
      </w:pPr>
    </w:p>
    <w:p w14:paraId="02249E67" w14:textId="2907639B" w:rsidR="00D642EF" w:rsidRPr="00DA3C6E" w:rsidRDefault="006A2E92" w:rsidP="00703705">
      <w:pPr>
        <w:rPr>
          <w:rFonts w:eastAsia="Calibri"/>
          <w:lang w:eastAsia="en-US"/>
        </w:rPr>
      </w:pPr>
      <w:r w:rsidRPr="00DA3C6E">
        <w:rPr>
          <w:rFonts w:eastAsia="Calibri"/>
          <w:lang w:eastAsia="en-US"/>
        </w:rPr>
        <w:t xml:space="preserve">There is </w:t>
      </w:r>
      <w:r w:rsidR="00CB7A05" w:rsidRPr="00DA3C6E">
        <w:rPr>
          <w:rFonts w:eastAsia="Calibri"/>
          <w:lang w:eastAsia="en-US"/>
        </w:rPr>
        <w:t>the</w:t>
      </w:r>
      <w:r w:rsidRPr="00DA3C6E">
        <w:rPr>
          <w:rFonts w:eastAsia="Calibri"/>
          <w:lang w:eastAsia="en-US"/>
        </w:rPr>
        <w:t xml:space="preserve"> potential that continuing therapy may be provided to patients who do not have a confirmed diagnosis of MMN or who have not shown a treatment response, which may result in leakage. </w:t>
      </w:r>
      <w:r w:rsidR="00BD6F50" w:rsidRPr="00DA3C6E">
        <w:rPr>
          <w:rFonts w:eastAsia="Calibri"/>
          <w:lang w:eastAsia="en-US"/>
        </w:rPr>
        <w:t xml:space="preserve">In the context of this assessment, leakage refers to the use of intravenous Ig outside the specified criteria which may have implications in terms of product availability and likely to have financial implications to the NBA. </w:t>
      </w:r>
      <w:r w:rsidR="00703705" w:rsidRPr="00DA3C6E">
        <w:rPr>
          <w:rFonts w:eastAsia="Calibri"/>
          <w:lang w:eastAsia="en-US"/>
        </w:rPr>
        <w:t>Much of the review assessment described above was implemented to</w:t>
      </w:r>
      <w:r w:rsidR="00BD6F50" w:rsidRPr="00DA3C6E">
        <w:rPr>
          <w:rFonts w:eastAsia="Calibri"/>
          <w:lang w:eastAsia="en-US"/>
        </w:rPr>
        <w:t xml:space="preserve"> control leakage and ensure the appropriate use of intravenous Ig in MMN</w:t>
      </w:r>
      <w:r w:rsidR="00703705" w:rsidRPr="00DA3C6E">
        <w:rPr>
          <w:rFonts w:eastAsia="Calibri"/>
          <w:lang w:eastAsia="en-US"/>
        </w:rPr>
        <w:t xml:space="preserve">. </w:t>
      </w:r>
      <w:r w:rsidR="00D642EF" w:rsidRPr="00DA3C6E">
        <w:rPr>
          <w:rFonts w:eastAsia="Calibri"/>
          <w:lang w:eastAsia="en-US"/>
        </w:rPr>
        <w:t>Despite The Criteria’s approach to control leakage, dosing may become another factor with a potential risk of leakage for consideration. However, the introduction of The Criteria V3 coupled with the now Nation-wide implementation of the BloodSTAR system to manage the authorisation and review process, will further improve the national process for the delivery of Ig and may adequately address possible concerns around leakage.</w:t>
      </w:r>
    </w:p>
    <w:p w14:paraId="51DD9482" w14:textId="77777777" w:rsidR="00C44F6A" w:rsidRPr="00DA3C6E" w:rsidRDefault="00C44F6A" w:rsidP="007D2548">
      <w:pPr>
        <w:pStyle w:val="Heading3"/>
      </w:pPr>
      <w:bookmarkStart w:id="77" w:name="_Toc37845717"/>
      <w:r w:rsidRPr="00DA3C6E">
        <w:t>Current funding</w:t>
      </w:r>
      <w:bookmarkEnd w:id="77"/>
      <w:r w:rsidRPr="00DA3C6E">
        <w:t xml:space="preserve"> </w:t>
      </w:r>
    </w:p>
    <w:p w14:paraId="3C9716D2" w14:textId="0F1F145E" w:rsidR="00C44F6A" w:rsidRPr="00DA3C6E" w:rsidRDefault="0020441D" w:rsidP="00495584">
      <w:r w:rsidRPr="00DA3C6E">
        <w:t xml:space="preserve">Intravenous Ig </w:t>
      </w:r>
      <w:r w:rsidR="00C44F6A" w:rsidRPr="00DA3C6E">
        <w:t>is currently being use</w:t>
      </w:r>
      <w:r w:rsidR="00CB7A05" w:rsidRPr="00DA3C6E">
        <w:t>d</w:t>
      </w:r>
      <w:r w:rsidR="00C44F6A" w:rsidRPr="00DA3C6E">
        <w:t xml:space="preserve"> in Australia for several different indications, for some as replacement therapy and for others as immunomodulatory therapy. The role of Ig for each indication can be classified as an established therapeutic role, emerging therapeutic role or use under exceptional circumstances only. The use</w:t>
      </w:r>
      <w:r w:rsidR="006E1E66" w:rsidRPr="00DA3C6E">
        <w:t xml:space="preserve"> of</w:t>
      </w:r>
      <w:r w:rsidR="00C44F6A" w:rsidRPr="00DA3C6E">
        <w:t xml:space="preserve"> </w:t>
      </w:r>
      <w:r w:rsidR="006A2E92" w:rsidRPr="00DA3C6E">
        <w:t xml:space="preserve">intravenous </w:t>
      </w:r>
      <w:r w:rsidR="00C44F6A" w:rsidRPr="00DA3C6E">
        <w:t xml:space="preserve">Ig for MMN has been classified as an established therapeutic role and is currently funded by the NBA under </w:t>
      </w:r>
      <w:r w:rsidRPr="00DA3C6E">
        <w:t xml:space="preserve">The </w:t>
      </w:r>
      <w:r w:rsidR="00C44F6A" w:rsidRPr="00DA3C6E">
        <w:rPr>
          <w:iCs/>
        </w:rPr>
        <w:t>Criteria V3</w:t>
      </w:r>
      <w:r w:rsidR="00C44F6A" w:rsidRPr="00DA3C6E">
        <w:t>. The purpose of this contracted assessment is to consider the new available clinical evidence and cost-effectiveness of this intervention as currently funded through the NBA.</w:t>
      </w:r>
    </w:p>
    <w:p w14:paraId="0B534DBC" w14:textId="77777777" w:rsidR="00C44F6A" w:rsidRPr="00DA3C6E" w:rsidDel="00A134DA" w:rsidRDefault="00C44F6A" w:rsidP="00D778BE">
      <w:pPr>
        <w:pStyle w:val="Heading2"/>
        <w:numPr>
          <w:ilvl w:val="0"/>
          <w:numId w:val="8"/>
        </w:numPr>
      </w:pPr>
      <w:bookmarkStart w:id="78" w:name="_Toc37845718"/>
      <w:r w:rsidRPr="00DA3C6E" w:rsidDel="00A134DA">
        <w:t>Public Funding</w:t>
      </w:r>
      <w:bookmarkEnd w:id="78"/>
    </w:p>
    <w:p w14:paraId="15D9D7CD" w14:textId="77777777" w:rsidR="00C44F6A" w:rsidRPr="00DA3C6E" w:rsidRDefault="00C44F6A" w:rsidP="00A24A29">
      <w:r w:rsidRPr="00DA3C6E">
        <w:t xml:space="preserve">Intravenous Ig therapy for MMN is already funded by the NBA and represents the standard of care in Australia. </w:t>
      </w:r>
    </w:p>
    <w:p w14:paraId="61389748" w14:textId="77777777" w:rsidR="00C44F6A" w:rsidRPr="00DA3C6E" w:rsidRDefault="00C44F6A" w:rsidP="00D778BE">
      <w:pPr>
        <w:pStyle w:val="Heading2"/>
        <w:numPr>
          <w:ilvl w:val="0"/>
          <w:numId w:val="8"/>
        </w:numPr>
      </w:pPr>
      <w:bookmarkStart w:id="79" w:name="_Toc37845719"/>
      <w:r w:rsidRPr="00DA3C6E">
        <w:lastRenderedPageBreak/>
        <w:t>population</w:t>
      </w:r>
      <w:bookmarkEnd w:id="79"/>
    </w:p>
    <w:p w14:paraId="53108DC1" w14:textId="77777777" w:rsidR="00C44F6A" w:rsidRPr="00DA3C6E" w:rsidRDefault="00C44F6A" w:rsidP="00C44F6A">
      <w:pPr>
        <w:pStyle w:val="Heading3"/>
        <w:rPr>
          <w:rFonts w:eastAsia="MS Gothic"/>
          <w:lang w:eastAsia="en-US"/>
        </w:rPr>
      </w:pPr>
      <w:bookmarkStart w:id="80" w:name="_Toc37845720"/>
      <w:r w:rsidRPr="00DA3C6E">
        <w:rPr>
          <w:rFonts w:eastAsia="MS Gothic"/>
          <w:lang w:eastAsia="en-US"/>
        </w:rPr>
        <w:t>Epidemiology of MMN and patient characteristics</w:t>
      </w:r>
      <w:bookmarkEnd w:id="80"/>
    </w:p>
    <w:p w14:paraId="3D1B14D5" w14:textId="2CCB21FB" w:rsidR="00C44F6A" w:rsidRPr="00DA3C6E" w:rsidRDefault="00C44F6A" w:rsidP="00C44F6A">
      <w:pPr>
        <w:rPr>
          <w:rFonts w:eastAsia="Calibri"/>
          <w:lang w:eastAsia="en-US"/>
        </w:rPr>
      </w:pPr>
      <w:r w:rsidRPr="00DA3C6E">
        <w:rPr>
          <w:rFonts w:eastAsia="Calibri"/>
          <w:lang w:eastAsia="en-US"/>
        </w:rPr>
        <w:t xml:space="preserve">MMN is a rare inflammatory neuropathy with a reported prevalence that ranges from 0.3 to 2 cases per 100,000 depending on jurisdiction and on how the estimates were derived </w:t>
      </w:r>
      <w:r w:rsidR="00DB568A" w:rsidRPr="00DA3C6E">
        <w:rPr>
          <w:rFonts w:eastAsia="Calibri"/>
          <w:lang w:eastAsia="en-US"/>
        </w:rPr>
        <w:fldChar w:fldCharType="begin">
          <w:fldData xml:space="preserve">PEVuZE5vdGU+PENpdGU+PEF1dGhvcj5NaXlhc2hpcm88L0F1dGhvcj48WWVhcj4yMDE0PC9ZZWFy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PEVuZE5vdGU+PENpdGU+PEF1dGhvcj5NaXlhc2hpcm88L0F1dGhvcj48WWVhcj4yMDE0PC9ZZWFy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2" w:tooltip="Miyashiro, 2014 #45" w:history="1">
        <w:r w:rsidR="00C04BCE" w:rsidRPr="00DA3C6E">
          <w:rPr>
            <w:rFonts w:eastAsia="Calibri"/>
            <w:noProof/>
            <w:lang w:eastAsia="en-US"/>
          </w:rPr>
          <w:t>12-14</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(See</w:t>
      </w:r>
      <w:r w:rsidR="003D17A8" w:rsidRPr="00DA3C6E">
        <w:rPr>
          <w:rFonts w:eastAsia="Calibri"/>
          <w:lang w:eastAsia="en-US"/>
        </w:rPr>
        <w:t xml:space="preserve"> </w:t>
      </w:r>
      <w:r w:rsidR="003D17A8" w:rsidRPr="00DA3C6E">
        <w:rPr>
          <w:rFonts w:eastAsia="Calibri"/>
          <w:lang w:eastAsia="en-US"/>
        </w:rPr>
        <w:fldChar w:fldCharType="begin"/>
      </w:r>
      <w:r w:rsidR="003D17A8" w:rsidRPr="00DA3C6E">
        <w:rPr>
          <w:rFonts w:eastAsia="Calibri"/>
          <w:lang w:eastAsia="en-US"/>
        </w:rPr>
        <w:instrText xml:space="preserve"> REF _Ref31115614 \h </w:instrText>
      </w:r>
      <w:r w:rsidR="00E8759F" w:rsidRPr="00DA3C6E">
        <w:rPr>
          <w:rFonts w:eastAsia="Calibri"/>
          <w:lang w:eastAsia="en-US"/>
        </w:rPr>
        <w:instrText xml:space="preserve"> \* MERGEFORMAT </w:instrText>
      </w:r>
      <w:r w:rsidR="003D17A8" w:rsidRPr="00DA3C6E">
        <w:rPr>
          <w:rFonts w:eastAsia="Calibri"/>
          <w:lang w:eastAsia="en-US"/>
        </w:rPr>
      </w:r>
      <w:r w:rsidR="003D17A8" w:rsidRPr="00DA3C6E">
        <w:rPr>
          <w:rFonts w:eastAsia="Calibri"/>
          <w:lang w:eastAsia="en-US"/>
        </w:rPr>
        <w:fldChar w:fldCharType="separate"/>
      </w:r>
      <w:r w:rsidR="00EA5DC1" w:rsidRPr="00DA3C6E">
        <w:t xml:space="preserve">Table </w:t>
      </w:r>
      <w:r w:rsidR="00EA5DC1">
        <w:rPr>
          <w:noProof/>
        </w:rPr>
        <w:t>5</w:t>
      </w:r>
      <w:r w:rsidR="003D17A8" w:rsidRPr="00DA3C6E">
        <w:rPr>
          <w:rFonts w:eastAsia="Calibri"/>
          <w:lang w:eastAsia="en-US"/>
        </w:rPr>
        <w:fldChar w:fldCharType="end"/>
      </w:r>
      <w:r w:rsidRPr="00DA3C6E">
        <w:rPr>
          <w:rFonts w:eastAsia="Calibri"/>
          <w:lang w:eastAsia="en-US"/>
        </w:rPr>
        <w:t xml:space="preserve">). The age at disease onset is variable ranging from 15-74 years, however MMN is mostly diagnosed in adults, with a mean age of onset of 41 years. MMN is very rare in paediatric populations with very few cases being reported in the literature </w:t>
      </w:r>
      <w:r w:rsidR="00DB568A" w:rsidRPr="00DA3C6E">
        <w:rPr>
          <w:rFonts w:eastAsia="Calibri"/>
          <w:lang w:eastAsia="en-US"/>
        </w:rPr>
        <w:fldChar w:fldCharType="begin">
          <w:fldData xml:space="preserve">PEVuZE5vdGU+PENpdGU+PEF1dGhvcj5Jc2hpZ2FraTwvQXV0aG9yPjxZZWFyPjIwMTY8L1llYXI+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==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PEVuZE5vdGU+PENpdGU+PEF1dGhvcj5Jc2hpZ2FraTwvQXV0aG9yPjxZZWFyPjIwMTY8L1llYXI+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==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5" w:tooltip="Ishigaki, 2016 #30" w:history="1">
        <w:r w:rsidR="00C04BCE" w:rsidRPr="00DA3C6E">
          <w:rPr>
            <w:rFonts w:eastAsia="Calibri"/>
            <w:noProof/>
            <w:lang w:eastAsia="en-US"/>
          </w:rPr>
          <w:t>15</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The available epidemiological studies consistently show that this is a disease more commonly observed in males compared to females, with a reported ratio of 2.5-2.7 : 1 </w:t>
      </w:r>
      <w:r w:rsidR="00DB568A" w:rsidRPr="00DA3C6E">
        <w:rPr>
          <w:rFonts w:eastAsia="Calibri"/>
          <w:lang w:eastAsia="en-US"/>
        </w:rPr>
        <w:fldChar w:fldCharType="begin">
          <w:fldData xml:space="preserve">PEVuZE5vdGU+PENpdGU+PEF1dGhvcj5NaXlhc2hpcm88L0F1dGhvcj48WWVhcj4yMDE0PC9ZZWFy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PEVuZE5vdGU+PENpdGU+PEF1dGhvcj5NaXlhc2hpcm88L0F1dGhvcj48WWVhcj4yMDE0PC9ZZWFy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2" w:tooltip="Miyashiro, 2014 #45" w:history="1">
        <w:r w:rsidR="00C04BCE" w:rsidRPr="00DA3C6E">
          <w:rPr>
            <w:rFonts w:eastAsia="Calibri"/>
            <w:noProof/>
            <w:lang w:eastAsia="en-US"/>
          </w:rPr>
          <w:t>12-14</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w:t>
      </w:r>
    </w:p>
    <w:p w14:paraId="52FB028C" w14:textId="77777777" w:rsidR="00C44F6A" w:rsidRPr="00DA3C6E" w:rsidRDefault="00C44F6A" w:rsidP="00C44F6A">
      <w:pPr>
        <w:rPr>
          <w:rFonts w:eastAsia="Calibri"/>
          <w:lang w:eastAsia="en-US"/>
        </w:rPr>
      </w:pPr>
      <w:r w:rsidRPr="00DA3C6E">
        <w:rPr>
          <w:rFonts w:eastAsia="Calibri"/>
          <w:lang w:eastAsia="en-US"/>
        </w:rPr>
        <w:t>Given the rarity of the disease and lack of complete understanding of the underlying pathophysiological mechanism of MMN, there is a risk of misdiagnosis and/or under diagnosis and hence estimates of the epidemiology of the condition should be interpreted with caution.</w:t>
      </w:r>
    </w:p>
    <w:p w14:paraId="029DA688" w14:textId="68777FAE" w:rsidR="00C44F6A" w:rsidRPr="00DA3C6E" w:rsidRDefault="00C44F6A" w:rsidP="00C44F6A">
      <w:pPr>
        <w:pStyle w:val="Caption"/>
        <w:keepNext/>
        <w:rPr>
          <w:rFonts w:eastAsia="Calibri" w:cs="Times New Roman"/>
          <w:szCs w:val="20"/>
          <w:lang w:eastAsia="en-US"/>
        </w:rPr>
      </w:pPr>
      <w:bookmarkStart w:id="81" w:name="_Ref31115614"/>
      <w:bookmarkStart w:id="82" w:name="_Toc37845808"/>
      <w:r w:rsidRPr="00DA3C6E">
        <w:t xml:space="preserve">Table </w:t>
      </w:r>
      <w:r w:rsidR="00515153">
        <w:fldChar w:fldCharType="begin"/>
      </w:r>
      <w:r w:rsidR="00515153">
        <w:instrText xml:space="preserve"> SEQ Table \* ARABIC </w:instrText>
      </w:r>
      <w:r w:rsidR="00515153">
        <w:fldChar w:fldCharType="separate"/>
      </w:r>
      <w:r w:rsidR="00EA5DC1">
        <w:rPr>
          <w:noProof/>
        </w:rPr>
        <w:t>5</w:t>
      </w:r>
      <w:r w:rsidR="00515153">
        <w:rPr>
          <w:noProof/>
        </w:rPr>
        <w:fldChar w:fldCharType="end"/>
      </w:r>
      <w:bookmarkEnd w:id="81"/>
      <w:r w:rsidRPr="00DA3C6E">
        <w:rPr>
          <w:rFonts w:eastAsia="Calibri" w:cs="Times New Roman"/>
          <w:szCs w:val="20"/>
          <w:lang w:eastAsia="en-US"/>
        </w:rPr>
        <w:t>: Overview of MMN prevalence estimates in the literature</w:t>
      </w:r>
      <w:bookmarkEnd w:id="82"/>
    </w:p>
    <w:tbl>
      <w:tblPr>
        <w:tblStyle w:val="TableGrid10"/>
        <w:tblW w:w="5000" w:type="pct"/>
        <w:tblLook w:val="04A0" w:firstRow="1" w:lastRow="0" w:firstColumn="1" w:lastColumn="0" w:noHBand="0" w:noVBand="1"/>
        <w:tblCaption w:val="Table 5: Overview of MMN prevalence estimates in the literature"/>
      </w:tblPr>
      <w:tblGrid>
        <w:gridCol w:w="1402"/>
        <w:gridCol w:w="1215"/>
        <w:gridCol w:w="2198"/>
        <w:gridCol w:w="1601"/>
        <w:gridCol w:w="1251"/>
        <w:gridCol w:w="1349"/>
      </w:tblGrid>
      <w:tr w:rsidR="00C44F6A" w:rsidRPr="00DA3C6E" w14:paraId="64C132EB" w14:textId="77777777" w:rsidTr="00C44F6A">
        <w:trPr>
          <w:tblHeader/>
        </w:trPr>
        <w:tc>
          <w:tcPr>
            <w:tcW w:w="777" w:type="pct"/>
            <w:vAlign w:val="center"/>
          </w:tcPr>
          <w:p w14:paraId="750A5192"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Study (author, year)</w:t>
            </w:r>
          </w:p>
        </w:tc>
        <w:tc>
          <w:tcPr>
            <w:tcW w:w="674" w:type="pct"/>
            <w:vAlign w:val="center"/>
          </w:tcPr>
          <w:p w14:paraId="27E847A7"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Country </w:t>
            </w:r>
          </w:p>
        </w:tc>
        <w:tc>
          <w:tcPr>
            <w:tcW w:w="1219" w:type="pct"/>
            <w:vAlign w:val="center"/>
          </w:tcPr>
          <w:p w14:paraId="15119495"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Study design/method</w:t>
            </w:r>
          </w:p>
        </w:tc>
        <w:tc>
          <w:tcPr>
            <w:tcW w:w="888" w:type="pct"/>
            <w:vAlign w:val="center"/>
          </w:tcPr>
          <w:p w14:paraId="5E7DD378"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Estimated prevalence per 100,000</w:t>
            </w:r>
          </w:p>
        </w:tc>
        <w:tc>
          <w:tcPr>
            <w:tcW w:w="694" w:type="pct"/>
            <w:vAlign w:val="center"/>
          </w:tcPr>
          <w:p w14:paraId="1C269D67"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Male: female ratio</w:t>
            </w:r>
          </w:p>
        </w:tc>
        <w:tc>
          <w:tcPr>
            <w:tcW w:w="748" w:type="pct"/>
            <w:vAlign w:val="center"/>
          </w:tcPr>
          <w:p w14:paraId="10714719" w14:textId="77777777" w:rsidR="00C44F6A" w:rsidRPr="00DA3C6E" w:rsidRDefault="00C44F6A" w:rsidP="00C44F6A">
            <w:pPr>
              <w:keepNext/>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Mean age of onset (range)</w:t>
            </w:r>
          </w:p>
        </w:tc>
      </w:tr>
      <w:tr w:rsidR="00C44F6A" w:rsidRPr="00DA3C6E" w14:paraId="4B97700E" w14:textId="77777777" w:rsidTr="00C44F6A">
        <w:trPr>
          <w:tblHeader/>
        </w:trPr>
        <w:tc>
          <w:tcPr>
            <w:tcW w:w="777" w:type="pct"/>
            <w:vAlign w:val="center"/>
          </w:tcPr>
          <w:p w14:paraId="62CB3AFC" w14:textId="3DA420DD" w:rsidR="00C44F6A" w:rsidRPr="00DA3C6E" w:rsidRDefault="00C44F6A" w:rsidP="00C04BCE">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Miyashiro et al</w:t>
            </w:r>
            <w:r w:rsidR="000A26CB" w:rsidRPr="00DA3C6E">
              <w:rPr>
                <w:rFonts w:ascii="Arial Narrow" w:eastAsia="Calibri" w:hAnsi="Arial Narrow" w:cstheme="minorHAnsi"/>
                <w:sz w:val="20"/>
                <w:szCs w:val="20"/>
              </w:rPr>
              <w:t>.</w:t>
            </w:r>
            <w:r w:rsidRPr="00DA3C6E">
              <w:rPr>
                <w:rFonts w:ascii="Arial Narrow" w:eastAsia="Calibri" w:hAnsi="Arial Narrow" w:cstheme="minorHAnsi"/>
                <w:sz w:val="20"/>
                <w:szCs w:val="20"/>
              </w:rPr>
              <w:t xml:space="preserve"> 2014</w:t>
            </w:r>
            <w:r w:rsidR="00DB568A" w:rsidRPr="00DA3C6E">
              <w:rPr>
                <w:rFonts w:ascii="Arial Narrow" w:eastAsia="Calibri" w:hAnsi="Arial Narrow" w:cstheme="minorHAnsi"/>
                <w:sz w:val="20"/>
                <w:szCs w:val="20"/>
              </w:rPr>
              <w:fldChar w:fldCharType="begin"/>
            </w:r>
            <w:r w:rsidR="00DB568A" w:rsidRPr="00DA3C6E">
              <w:rPr>
                <w:rFonts w:ascii="Arial Narrow" w:eastAsia="Calibri" w:hAnsi="Arial Narrow" w:cstheme="minorHAnsi"/>
                <w:sz w:val="20"/>
                <w:szCs w:val="20"/>
              </w:rPr>
              <w:instrText xml:space="preserve"> ADDIN EN.CITE &lt;EndNote&gt;&lt;Cite&gt;&lt;Author&gt;Miyashiro&lt;/Author&gt;&lt;Year&gt;2014&lt;/Year&gt;&lt;RecNum&gt;45&lt;/RecNum&gt;&lt;DisplayText&gt;(12)&lt;/DisplayText&gt;&lt;record&gt;&lt;rec-number&gt;45&lt;/rec-number&gt;&lt;foreign-keys&gt;&lt;key app="EN" db-id="0992p2ztn5fez9e2wvnpw2xstd20f9w2dezz" timestamp="1586818281"&gt;45&lt;/key&gt;&lt;/foreign-keys&gt;&lt;ref-type name="Journal Article"&gt;17&lt;/ref-type&gt;&lt;contributors&gt;&lt;authors&gt;&lt;author&gt;Miyashiro, Ai&lt;/author&gt;&lt;author&gt;Matsui, Naoko&lt;/author&gt;&lt;author&gt;Shimatani, Yoshimitsu&lt;/author&gt;&lt;author&gt;Nodera, Hiroyuki&lt;/author&gt;&lt;author&gt;Izumi, Yuishin&lt;/author&gt;&lt;author&gt;Kuwabara, Satoshi&lt;/author&gt;&lt;author&gt;Imai, Tomihiro&lt;/author&gt;&lt;author&gt;Baba, Masayuki&lt;/author&gt;&lt;author&gt;Komori, Tetsuo&lt;/author&gt;&lt;author&gt;Sonoo, Masahiro&lt;/author&gt;&lt;author&gt;Mezaki, Takahiro&lt;/author&gt;&lt;author&gt;Kawamata, Jun&lt;/author&gt;&lt;author&gt;Hitomi, Takefumi&lt;/author&gt;&lt;author&gt;Kohara, Nobuo&lt;/author&gt;&lt;author&gt;Arimura, Kimiyoshi&lt;/author&gt;&lt;author&gt;Hashimoto, Shuji&lt;/author&gt;&lt;author&gt;Arisawa, Kokichi&lt;/author&gt;&lt;author&gt;Kusunoki, Susumu&lt;/author&gt;&lt;author&gt;Kaji, Ryuji&lt;/author&gt;&lt;author&gt;on behalf of the Japanese Multifocal Motor Neuropathy Study, Group&lt;/author&gt;&lt;/authors&gt;&lt;/contributors&gt;&lt;titles&gt;&lt;title&gt;Are multifocal motor neuropathy patients underdiagnosed? An epidemiological survey in Japan&lt;/title&gt;&lt;secondary-title&gt;Muscle &amp;amp; Nerve&lt;/secondary-title&gt;&lt;/titles&gt;&lt;periodical&gt;&lt;full-title&gt;Muscle &amp;amp; Nerve&lt;/full-title&gt;&lt;/periodical&gt;&lt;pages&gt;357-361&lt;/pages&gt;&lt;volume&gt;49&lt;/volume&gt;&lt;number&gt;3&lt;/number&gt;&lt;keywords&gt;&lt;keyword&gt;amyotrophic lateral sclerosis&lt;/keyword&gt;&lt;keyword&gt;conduction block&lt;/keyword&gt;&lt;keyword&gt;diagnosis&lt;/keyword&gt;&lt;keyword&gt;multifocal motor neuropathy&lt;/keyword&gt;&lt;keyword&gt;prevalence&lt;/keyword&gt;&lt;/keywords&gt;&lt;dates&gt;&lt;year&gt;2014&lt;/year&gt;&lt;pub-dates&gt;&lt;date&gt;2014/03/01&lt;/date&gt;&lt;/pub-dates&gt;&lt;/dates&gt;&lt;publisher&gt;John Wiley &amp;amp; Sons, Ltd&lt;/publisher&gt;&lt;isbn&gt;0148-639X&lt;/isbn&gt;&lt;urls&gt;&lt;related-urls&gt;&lt;url&gt;https://doi.org/10.1002/mus.23930&lt;/url&gt;&lt;/related-urls&gt;&lt;/urls&gt;&lt;electronic-resource-num&gt;10.1002/mus.23930&lt;/electronic-resource-num&gt;&lt;access-date&gt;2019/09/18&lt;/access-date&gt;&lt;/record&gt;&lt;/Cite&gt;&lt;/EndNote&gt;</w:instrText>
            </w:r>
            <w:r w:rsidR="00DB568A" w:rsidRPr="00DA3C6E">
              <w:rPr>
                <w:rFonts w:ascii="Arial Narrow" w:eastAsia="Calibri" w:hAnsi="Arial Narrow" w:cstheme="minorHAnsi"/>
                <w:sz w:val="20"/>
                <w:szCs w:val="20"/>
              </w:rPr>
              <w:fldChar w:fldCharType="separate"/>
            </w:r>
            <w:r w:rsidR="00DB568A" w:rsidRPr="00DA3C6E">
              <w:rPr>
                <w:rFonts w:ascii="Arial Narrow" w:eastAsia="Calibri" w:hAnsi="Arial Narrow" w:cstheme="minorHAnsi"/>
                <w:noProof/>
                <w:sz w:val="20"/>
                <w:szCs w:val="20"/>
              </w:rPr>
              <w:t>(</w:t>
            </w:r>
            <w:hyperlink w:anchor="_ENREF_12" w:tooltip="Miyashiro, 2014 #45" w:history="1">
              <w:r w:rsidR="00C04BCE" w:rsidRPr="00DA3C6E">
                <w:rPr>
                  <w:rFonts w:ascii="Arial Narrow" w:eastAsia="Calibri" w:hAnsi="Arial Narrow" w:cstheme="minorHAnsi"/>
                  <w:noProof/>
                  <w:sz w:val="20"/>
                  <w:szCs w:val="20"/>
                </w:rPr>
                <w:t>12</w:t>
              </w:r>
            </w:hyperlink>
            <w:r w:rsidR="00DB568A" w:rsidRPr="00DA3C6E">
              <w:rPr>
                <w:rFonts w:ascii="Arial Narrow" w:eastAsia="Calibri" w:hAnsi="Arial Narrow" w:cstheme="minorHAnsi"/>
                <w:noProof/>
                <w:sz w:val="20"/>
                <w:szCs w:val="20"/>
              </w:rPr>
              <w:t>)</w:t>
            </w:r>
            <w:r w:rsidR="00DB568A" w:rsidRPr="00DA3C6E">
              <w:rPr>
                <w:rFonts w:ascii="Arial Narrow" w:eastAsia="Calibri" w:hAnsi="Arial Narrow" w:cstheme="minorHAnsi"/>
                <w:sz w:val="20"/>
                <w:szCs w:val="20"/>
              </w:rPr>
              <w:fldChar w:fldCharType="end"/>
            </w:r>
          </w:p>
        </w:tc>
        <w:tc>
          <w:tcPr>
            <w:tcW w:w="674" w:type="pct"/>
            <w:vAlign w:val="center"/>
          </w:tcPr>
          <w:p w14:paraId="29A2B8AE"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Japan</w:t>
            </w:r>
          </w:p>
        </w:tc>
        <w:tc>
          <w:tcPr>
            <w:tcW w:w="1219" w:type="pct"/>
            <w:vAlign w:val="center"/>
          </w:tcPr>
          <w:p w14:paraId="6293AA99" w14:textId="77777777" w:rsidR="00C44F6A" w:rsidRPr="00DA3C6E" w:rsidRDefault="00C44F6A" w:rsidP="00C44F6A">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Retrospective analysis using a nationwide survey. Diagnosis of MMN was based on 2006 EFNS/PNS criteria</w:t>
            </w:r>
            <w:r w:rsidR="000A26CB" w:rsidRPr="00DA3C6E">
              <w:rPr>
                <w:rFonts w:ascii="Arial Narrow" w:eastAsia="Calibri" w:hAnsi="Arial Narrow" w:cstheme="minorHAnsi"/>
                <w:sz w:val="20"/>
                <w:szCs w:val="20"/>
              </w:rPr>
              <w:t>.</w:t>
            </w:r>
          </w:p>
        </w:tc>
        <w:tc>
          <w:tcPr>
            <w:tcW w:w="888" w:type="pct"/>
            <w:vAlign w:val="center"/>
          </w:tcPr>
          <w:p w14:paraId="5604A30C"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0.29</w:t>
            </w:r>
          </w:p>
        </w:tc>
        <w:tc>
          <w:tcPr>
            <w:tcW w:w="694" w:type="pct"/>
            <w:vAlign w:val="center"/>
          </w:tcPr>
          <w:p w14:paraId="0AEFD9AE"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2.5 : 1</w:t>
            </w:r>
          </w:p>
        </w:tc>
        <w:tc>
          <w:tcPr>
            <w:tcW w:w="748" w:type="pct"/>
            <w:vAlign w:val="center"/>
          </w:tcPr>
          <w:p w14:paraId="2E7EA547"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42.5 (16-74)</w:t>
            </w:r>
          </w:p>
        </w:tc>
      </w:tr>
      <w:tr w:rsidR="00C44F6A" w:rsidRPr="00DA3C6E" w14:paraId="1DAA143C" w14:textId="77777777" w:rsidTr="00C44F6A">
        <w:trPr>
          <w:tblHeader/>
        </w:trPr>
        <w:tc>
          <w:tcPr>
            <w:tcW w:w="777" w:type="pct"/>
            <w:vAlign w:val="center"/>
          </w:tcPr>
          <w:p w14:paraId="0BB2AC12" w14:textId="5FBE7DE8" w:rsidR="00C44F6A" w:rsidRPr="00DA3C6E" w:rsidRDefault="00C44F6A" w:rsidP="00C04BCE">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Nobile-Orazio</w:t>
            </w:r>
            <w:r w:rsidR="000A26CB" w:rsidRPr="00DA3C6E">
              <w:rPr>
                <w:rFonts w:ascii="Arial Narrow" w:eastAsia="Calibri" w:hAnsi="Arial Narrow" w:cstheme="minorHAnsi"/>
                <w:sz w:val="20"/>
                <w:szCs w:val="20"/>
              </w:rPr>
              <w:t>.</w:t>
            </w:r>
            <w:r w:rsidRPr="00DA3C6E">
              <w:rPr>
                <w:rFonts w:ascii="Arial Narrow" w:eastAsia="Calibri" w:hAnsi="Arial Narrow" w:cstheme="minorHAnsi"/>
                <w:sz w:val="20"/>
                <w:szCs w:val="20"/>
              </w:rPr>
              <w:t xml:space="preserve"> 2001</w:t>
            </w:r>
            <w:r w:rsidR="00DB568A" w:rsidRPr="00DA3C6E">
              <w:rPr>
                <w:rFonts w:ascii="Arial Narrow" w:eastAsia="Calibri" w:hAnsi="Arial Narrow" w:cstheme="minorHAnsi"/>
                <w:sz w:val="20"/>
                <w:szCs w:val="20"/>
              </w:rPr>
              <w:fldChar w:fldCharType="begin">
                <w:fldData xml:space="preserve">PEVuZE5vdGU+PENpdGU+PEF1dGhvcj5Ob2JpbGUtT3JhemlvPC9BdXRob3I+PFllYXI+MjAwMTwv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</w:fldData>
              </w:fldChar>
            </w:r>
            <w:r w:rsidR="00DB568A" w:rsidRPr="00DA3C6E">
              <w:rPr>
                <w:rFonts w:ascii="Arial Narrow" w:eastAsia="Calibri" w:hAnsi="Arial Narrow" w:cstheme="minorHAnsi"/>
                <w:sz w:val="20"/>
                <w:szCs w:val="20"/>
              </w:rPr>
              <w:instrText xml:space="preserve"> ADDIN EN.CITE </w:instrText>
            </w:r>
            <w:r w:rsidR="00DB568A" w:rsidRPr="00DA3C6E">
              <w:rPr>
                <w:rFonts w:ascii="Arial Narrow" w:eastAsia="Calibri" w:hAnsi="Arial Narrow" w:cstheme="minorHAnsi"/>
                <w:sz w:val="20"/>
                <w:szCs w:val="20"/>
              </w:rPr>
              <w:fldChar w:fldCharType="begin">
                <w:fldData xml:space="preserve">PEVuZE5vdGU+PENpdGU+PEF1dGhvcj5Ob2JpbGUtT3JhemlvPC9BdXRob3I+PFllYXI+MjAwMTwv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</w:fldData>
              </w:fldChar>
            </w:r>
            <w:r w:rsidR="00DB568A" w:rsidRPr="00DA3C6E">
              <w:rPr>
                <w:rFonts w:ascii="Arial Narrow" w:eastAsia="Calibri" w:hAnsi="Arial Narrow" w:cstheme="minorHAnsi"/>
                <w:sz w:val="20"/>
                <w:szCs w:val="20"/>
              </w:rPr>
              <w:instrText xml:space="preserve"> ADDIN EN.CITE.DATA </w:instrText>
            </w:r>
            <w:r w:rsidR="00DB568A" w:rsidRPr="00DA3C6E">
              <w:rPr>
                <w:rFonts w:ascii="Arial Narrow" w:eastAsia="Calibri" w:hAnsi="Arial Narrow" w:cstheme="minorHAnsi"/>
                <w:sz w:val="20"/>
                <w:szCs w:val="20"/>
              </w:rPr>
            </w:r>
            <w:r w:rsidR="00DB568A" w:rsidRPr="00DA3C6E">
              <w:rPr>
                <w:rFonts w:ascii="Arial Narrow" w:eastAsia="Calibri" w:hAnsi="Arial Narrow" w:cstheme="minorHAnsi"/>
                <w:sz w:val="20"/>
                <w:szCs w:val="20"/>
              </w:rPr>
              <w:fldChar w:fldCharType="end"/>
            </w:r>
            <w:r w:rsidR="00DB568A" w:rsidRPr="00DA3C6E">
              <w:rPr>
                <w:rFonts w:ascii="Arial Narrow" w:eastAsia="Calibri" w:hAnsi="Arial Narrow" w:cstheme="minorHAnsi"/>
                <w:sz w:val="20"/>
                <w:szCs w:val="20"/>
              </w:rPr>
            </w:r>
            <w:r w:rsidR="00DB568A" w:rsidRPr="00DA3C6E">
              <w:rPr>
                <w:rFonts w:ascii="Arial Narrow" w:eastAsia="Calibri" w:hAnsi="Arial Narrow" w:cstheme="minorHAnsi"/>
                <w:sz w:val="20"/>
                <w:szCs w:val="20"/>
              </w:rPr>
              <w:fldChar w:fldCharType="separate"/>
            </w:r>
            <w:r w:rsidR="00DB568A" w:rsidRPr="00DA3C6E">
              <w:rPr>
                <w:rFonts w:ascii="Arial Narrow" w:eastAsia="Calibri" w:hAnsi="Arial Narrow" w:cstheme="minorHAnsi"/>
                <w:noProof/>
                <w:sz w:val="20"/>
                <w:szCs w:val="20"/>
              </w:rPr>
              <w:t>(</w:t>
            </w:r>
            <w:hyperlink w:anchor="_ENREF_13" w:tooltip="Nobile-Orazio, 2001 #75" w:history="1">
              <w:r w:rsidR="00C04BCE" w:rsidRPr="00DA3C6E">
                <w:rPr>
                  <w:rFonts w:ascii="Arial Narrow" w:eastAsia="Calibri" w:hAnsi="Arial Narrow" w:cstheme="minorHAnsi"/>
                  <w:noProof/>
                  <w:sz w:val="20"/>
                  <w:szCs w:val="20"/>
                </w:rPr>
                <w:t>13</w:t>
              </w:r>
            </w:hyperlink>
            <w:r w:rsidR="00DB568A" w:rsidRPr="00DA3C6E">
              <w:rPr>
                <w:rFonts w:ascii="Arial Narrow" w:eastAsia="Calibri" w:hAnsi="Arial Narrow" w:cstheme="minorHAnsi"/>
                <w:noProof/>
                <w:sz w:val="20"/>
                <w:szCs w:val="20"/>
              </w:rPr>
              <w:t>)</w:t>
            </w:r>
            <w:r w:rsidR="00DB568A" w:rsidRPr="00DA3C6E">
              <w:rPr>
                <w:rFonts w:ascii="Arial Narrow" w:eastAsia="Calibri" w:hAnsi="Arial Narrow" w:cstheme="minorHAnsi"/>
                <w:sz w:val="20"/>
                <w:szCs w:val="20"/>
              </w:rPr>
              <w:fldChar w:fldCharType="end"/>
            </w:r>
          </w:p>
        </w:tc>
        <w:tc>
          <w:tcPr>
            <w:tcW w:w="674" w:type="pct"/>
            <w:vAlign w:val="center"/>
          </w:tcPr>
          <w:p w14:paraId="607FDFFD"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Italy</w:t>
            </w:r>
          </w:p>
        </w:tc>
        <w:tc>
          <w:tcPr>
            <w:tcW w:w="1219" w:type="pct"/>
            <w:vAlign w:val="center"/>
          </w:tcPr>
          <w:p w14:paraId="24C0E89E" w14:textId="77777777" w:rsidR="00C44F6A" w:rsidRPr="00DA3C6E" w:rsidRDefault="00C44F6A" w:rsidP="000A26CB">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Approximate estimate using proportion of MMN in patients initially diagnosed of MND</w:t>
            </w:r>
            <w:r w:rsidR="000A26CB" w:rsidRPr="00DA3C6E">
              <w:rPr>
                <w:rFonts w:ascii="Arial Narrow" w:eastAsia="Calibri" w:hAnsi="Arial Narrow" w:cstheme="minorHAnsi"/>
                <w:sz w:val="20"/>
                <w:szCs w:val="20"/>
              </w:rPr>
              <w:t>.</w:t>
            </w:r>
          </w:p>
        </w:tc>
        <w:tc>
          <w:tcPr>
            <w:tcW w:w="888" w:type="pct"/>
            <w:vAlign w:val="center"/>
          </w:tcPr>
          <w:p w14:paraId="17A8CAF8"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Approximately 1 to 2</w:t>
            </w:r>
          </w:p>
        </w:tc>
        <w:tc>
          <w:tcPr>
            <w:tcW w:w="694" w:type="pct"/>
            <w:vAlign w:val="center"/>
          </w:tcPr>
          <w:p w14:paraId="417F5034"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2.6 : 1</w:t>
            </w:r>
          </w:p>
        </w:tc>
        <w:tc>
          <w:tcPr>
            <w:tcW w:w="748" w:type="pct"/>
            <w:vAlign w:val="center"/>
          </w:tcPr>
          <w:p w14:paraId="4C34B900"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41 (15-72)</w:t>
            </w:r>
          </w:p>
        </w:tc>
      </w:tr>
      <w:tr w:rsidR="00C44F6A" w:rsidRPr="00DA3C6E" w14:paraId="3DD2D8CE" w14:textId="77777777" w:rsidTr="00C44F6A">
        <w:trPr>
          <w:tblHeader/>
        </w:trPr>
        <w:tc>
          <w:tcPr>
            <w:tcW w:w="777" w:type="pct"/>
            <w:vAlign w:val="center"/>
          </w:tcPr>
          <w:p w14:paraId="20D71678" w14:textId="46015ED0" w:rsidR="00C44F6A" w:rsidRPr="00DA3C6E" w:rsidRDefault="00C44F6A" w:rsidP="00C04BCE">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Cats et al</w:t>
            </w:r>
            <w:r w:rsidR="000A26CB" w:rsidRPr="00DA3C6E">
              <w:rPr>
                <w:rFonts w:ascii="Arial Narrow" w:eastAsia="Calibri" w:hAnsi="Arial Narrow" w:cstheme="minorHAnsi"/>
                <w:sz w:val="20"/>
                <w:szCs w:val="20"/>
              </w:rPr>
              <w:t>.</w:t>
            </w:r>
            <w:r w:rsidRPr="00DA3C6E">
              <w:rPr>
                <w:rFonts w:ascii="Arial Narrow" w:eastAsia="Calibri" w:hAnsi="Arial Narrow" w:cstheme="minorHAnsi"/>
                <w:sz w:val="20"/>
                <w:szCs w:val="20"/>
              </w:rPr>
              <w:t xml:space="preserve"> 2010</w:t>
            </w:r>
            <w:r w:rsidR="001F4B3B" w:rsidRPr="00DA3C6E">
              <w:rPr>
                <w:rFonts w:ascii="Arial Narrow" w:eastAsia="Calibri" w:hAnsi="Arial Narrow" w:cstheme="minorHAnsi"/>
                <w:sz w:val="20"/>
                <w:szCs w:val="20"/>
              </w:rPr>
              <w:t xml:space="preserve"> </w:t>
            </w:r>
            <w:r w:rsidR="00DB568A" w:rsidRPr="00DA3C6E">
              <w:rPr>
                <w:rFonts w:ascii="Arial Narrow" w:eastAsia="Calibri" w:hAnsi="Arial Narrow" w:cstheme="minorHAnsi"/>
                <w:sz w:val="2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ascii="Arial Narrow" w:eastAsia="Calibri" w:hAnsi="Arial Narrow" w:cstheme="minorHAnsi"/>
                <w:sz w:val="20"/>
                <w:szCs w:val="20"/>
              </w:rPr>
              <w:instrText xml:space="preserve"> ADDIN EN.CITE </w:instrText>
            </w:r>
            <w:r w:rsidR="00DB568A" w:rsidRPr="00DA3C6E">
              <w:rPr>
                <w:rFonts w:ascii="Arial Narrow" w:eastAsia="Calibri" w:hAnsi="Arial Narrow" w:cstheme="minorHAnsi"/>
                <w:sz w:val="2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ascii="Arial Narrow" w:eastAsia="Calibri" w:hAnsi="Arial Narrow" w:cstheme="minorHAnsi"/>
                <w:sz w:val="20"/>
                <w:szCs w:val="20"/>
              </w:rPr>
              <w:instrText xml:space="preserve"> ADDIN EN.CITE.DATA </w:instrText>
            </w:r>
            <w:r w:rsidR="00DB568A" w:rsidRPr="00DA3C6E">
              <w:rPr>
                <w:rFonts w:ascii="Arial Narrow" w:eastAsia="Calibri" w:hAnsi="Arial Narrow" w:cstheme="minorHAnsi"/>
                <w:sz w:val="20"/>
                <w:szCs w:val="20"/>
              </w:rPr>
            </w:r>
            <w:r w:rsidR="00DB568A" w:rsidRPr="00DA3C6E">
              <w:rPr>
                <w:rFonts w:ascii="Arial Narrow" w:eastAsia="Calibri" w:hAnsi="Arial Narrow" w:cstheme="minorHAnsi"/>
                <w:sz w:val="20"/>
                <w:szCs w:val="20"/>
              </w:rPr>
              <w:fldChar w:fldCharType="end"/>
            </w:r>
            <w:r w:rsidR="00DB568A" w:rsidRPr="00DA3C6E">
              <w:rPr>
                <w:rFonts w:ascii="Arial Narrow" w:eastAsia="Calibri" w:hAnsi="Arial Narrow" w:cstheme="minorHAnsi"/>
                <w:sz w:val="20"/>
                <w:szCs w:val="20"/>
              </w:rPr>
            </w:r>
            <w:r w:rsidR="00DB568A" w:rsidRPr="00DA3C6E">
              <w:rPr>
                <w:rFonts w:ascii="Arial Narrow" w:eastAsia="Calibri" w:hAnsi="Arial Narrow" w:cstheme="minorHAnsi"/>
                <w:sz w:val="20"/>
                <w:szCs w:val="20"/>
              </w:rPr>
              <w:fldChar w:fldCharType="separate"/>
            </w:r>
            <w:r w:rsidR="00DB568A" w:rsidRPr="00DA3C6E">
              <w:rPr>
                <w:rFonts w:ascii="Arial Narrow" w:eastAsia="Calibri" w:hAnsi="Arial Narrow" w:cstheme="minorHAnsi"/>
                <w:noProof/>
                <w:sz w:val="20"/>
                <w:szCs w:val="20"/>
              </w:rPr>
              <w:t>(</w:t>
            </w:r>
            <w:hyperlink w:anchor="_ENREF_14" w:tooltip="Cats, 2010 #13" w:history="1">
              <w:r w:rsidR="00C04BCE" w:rsidRPr="00DA3C6E">
                <w:rPr>
                  <w:rFonts w:ascii="Arial Narrow" w:eastAsia="Calibri" w:hAnsi="Arial Narrow" w:cstheme="minorHAnsi"/>
                  <w:noProof/>
                  <w:sz w:val="20"/>
                  <w:szCs w:val="20"/>
                </w:rPr>
                <w:t>14</w:t>
              </w:r>
            </w:hyperlink>
            <w:r w:rsidR="00DB568A" w:rsidRPr="00DA3C6E">
              <w:rPr>
                <w:rFonts w:ascii="Arial Narrow" w:eastAsia="Calibri" w:hAnsi="Arial Narrow" w:cstheme="minorHAnsi"/>
                <w:noProof/>
                <w:sz w:val="20"/>
                <w:szCs w:val="20"/>
              </w:rPr>
              <w:t>)</w:t>
            </w:r>
            <w:r w:rsidR="00DB568A" w:rsidRPr="00DA3C6E">
              <w:rPr>
                <w:rFonts w:ascii="Arial Narrow" w:eastAsia="Calibri" w:hAnsi="Arial Narrow" w:cstheme="minorHAnsi"/>
                <w:sz w:val="20"/>
                <w:szCs w:val="20"/>
              </w:rPr>
              <w:fldChar w:fldCharType="end"/>
            </w:r>
          </w:p>
        </w:tc>
        <w:tc>
          <w:tcPr>
            <w:tcW w:w="674" w:type="pct"/>
            <w:vAlign w:val="center"/>
          </w:tcPr>
          <w:p w14:paraId="7685B6CF"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 xml:space="preserve">Netherlands </w:t>
            </w:r>
          </w:p>
        </w:tc>
        <w:tc>
          <w:tcPr>
            <w:tcW w:w="1219" w:type="pct"/>
            <w:vAlign w:val="center"/>
          </w:tcPr>
          <w:p w14:paraId="02C30C67" w14:textId="3A5A5BB8" w:rsidR="00C44F6A" w:rsidRPr="00DA3C6E" w:rsidRDefault="00C44F6A" w:rsidP="00C04BCE">
            <w:pPr>
              <w:keepNext/>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Nationwide survey. MMN was diagnosed using the diagnostic criteria recommended by </w:t>
            </w:r>
            <w:r w:rsidR="00F9175C" w:rsidRPr="00DA3C6E">
              <w:rPr>
                <w:rFonts w:ascii="Arial Narrow" w:eastAsia="Calibri" w:hAnsi="Arial Narrow" w:cstheme="minorHAnsi"/>
                <w:sz w:val="20"/>
                <w:szCs w:val="20"/>
              </w:rPr>
              <w:t xml:space="preserve">Van den </w:t>
            </w:r>
            <w:r w:rsidRPr="00DA3C6E">
              <w:rPr>
                <w:rFonts w:ascii="Arial Narrow" w:eastAsia="Calibri" w:hAnsi="Arial Narrow" w:cstheme="minorHAnsi"/>
                <w:sz w:val="20"/>
                <w:szCs w:val="20"/>
              </w:rPr>
              <w:t>Berg-Vos et al. 2000</w:t>
            </w:r>
            <w:r w:rsidR="002D45A1" w:rsidRPr="00DA3C6E">
              <w:rPr>
                <w:rFonts w:ascii="Arial Narrow" w:eastAsia="Calibri" w:hAnsi="Arial Narrow" w:cstheme="minorHAnsi"/>
                <w:sz w:val="20"/>
                <w:szCs w:val="20"/>
              </w:rPr>
              <w:t xml:space="preserve"> </w:t>
            </w:r>
            <w:r w:rsidR="00DB568A" w:rsidRPr="00DA3C6E">
              <w:rPr>
                <w:rFonts w:ascii="Arial Narrow" w:eastAsia="Calibri" w:hAnsi="Arial Narrow" w:cstheme="minorHAnsi"/>
                <w:sz w:val="20"/>
                <w:szCs w:val="20"/>
              </w:rPr>
              <w:fldChar w:fldCharType="begin"/>
            </w:r>
            <w:r w:rsidR="00DB568A" w:rsidRPr="00DA3C6E">
              <w:rPr>
                <w:rFonts w:ascii="Arial Narrow" w:eastAsia="Calibri" w:hAnsi="Arial Narrow" w:cstheme="minorHAnsi"/>
                <w:sz w:val="20"/>
                <w:szCs w:val="20"/>
              </w:rPr>
              <w:instrText xml:space="preserve"> ADDIN EN.CITE &lt;EndNote&gt;&lt;Cite&gt;&lt;Author&gt;Van Den Berg-Vos&lt;/Author&gt;&lt;Year&gt;2000&lt;/Year&gt;&lt;RecNum&gt;69&lt;/RecNum&gt;&lt;DisplayText&gt;(16)&lt;/DisplayText&gt;&lt;record&gt;&lt;rec-number&gt;69&lt;/rec-number&gt;&lt;foreign-keys&gt;&lt;key app="EN" db-id="0992p2ztn5fez9e2wvnpw2xstd20f9w2dezz" timestamp="1586818281"&gt;69&lt;/key&gt;&lt;/foreign-keys&gt;&lt;ref-type name="Journal Article"&gt;17&lt;/ref-type&gt;&lt;contributors&gt;&lt;authors&gt;&lt;author&gt;Van Den Berg-Vos, R. M.&lt;/author&gt;&lt;author&gt;Franssen, H.&lt;/author&gt;&lt;author&gt;Wokke, J. H. J.&lt;/author&gt;&lt;author&gt;Van Es, H. W.&lt;/author&gt;&lt;author&gt;Van Den Berg, L. H.&lt;/author&gt;&lt;/authors&gt;&lt;/contributors&gt;&lt;titles&gt;&lt;title&gt;Multifocal motor neuropathy: Diagnostic criteria that predict the response to immunoglobulin treatment&lt;/title&gt;&lt;secondary-title&gt;Annals of Neurology&lt;/secondary-title&gt;&lt;/titles&gt;&lt;periodical&gt;&lt;full-title&gt;Annals of Neurology&lt;/full-title&gt;&lt;/periodical&gt;&lt;pages&gt;919-926&lt;/pages&gt;&lt;volume&gt;48&lt;/volume&gt;&lt;number&gt;6&lt;/number&gt;&lt;dates&gt;&lt;year&gt;2000&lt;/year&gt;&lt;/dates&gt;&lt;isbn&gt;0364-5134&lt;/isbn&gt;&lt;urls&gt;&lt;related-urls&gt;&lt;url&gt;https://onlinelibrary.wiley.com/doi/abs/10.1002/1531-8249%28200012%2948%3A6%3C919%3A%3AAID-ANA13%3E3.0.CO%3B2-J&lt;/url&gt;&lt;/related-urls&gt;&lt;/urls&gt;&lt;electronic-resource-num&gt;10.1002/1531-8249(200012)48:6&amp;lt;919::aid-ana13&amp;gt;3.0.co;2-j&lt;/electronic-resource-num&gt;&lt;/record&gt;&lt;/Cite&gt;&lt;/EndNote&gt;</w:instrText>
            </w:r>
            <w:r w:rsidR="00DB568A" w:rsidRPr="00DA3C6E">
              <w:rPr>
                <w:rFonts w:ascii="Arial Narrow" w:eastAsia="Calibri" w:hAnsi="Arial Narrow" w:cstheme="minorHAnsi"/>
                <w:sz w:val="20"/>
                <w:szCs w:val="20"/>
              </w:rPr>
              <w:fldChar w:fldCharType="separate"/>
            </w:r>
            <w:r w:rsidR="00DB568A" w:rsidRPr="00DA3C6E">
              <w:rPr>
                <w:rFonts w:ascii="Arial Narrow" w:eastAsia="Calibri" w:hAnsi="Arial Narrow" w:cstheme="minorHAnsi"/>
                <w:noProof/>
                <w:sz w:val="20"/>
                <w:szCs w:val="20"/>
              </w:rPr>
              <w:t>(</w:t>
            </w:r>
            <w:hyperlink w:anchor="_ENREF_16" w:tooltip="Van Den Berg-Vos, 2000 #69" w:history="1">
              <w:r w:rsidR="00C04BCE" w:rsidRPr="00DA3C6E">
                <w:rPr>
                  <w:rFonts w:ascii="Arial Narrow" w:eastAsia="Calibri" w:hAnsi="Arial Narrow" w:cstheme="minorHAnsi"/>
                  <w:noProof/>
                  <w:sz w:val="20"/>
                  <w:szCs w:val="20"/>
                </w:rPr>
                <w:t>16</w:t>
              </w:r>
            </w:hyperlink>
            <w:r w:rsidR="00DB568A" w:rsidRPr="00DA3C6E">
              <w:rPr>
                <w:rFonts w:ascii="Arial Narrow" w:eastAsia="Calibri" w:hAnsi="Arial Narrow" w:cstheme="minorHAnsi"/>
                <w:noProof/>
                <w:sz w:val="20"/>
                <w:szCs w:val="20"/>
              </w:rPr>
              <w:t>)</w:t>
            </w:r>
            <w:r w:rsidR="00DB568A" w:rsidRPr="00DA3C6E">
              <w:rPr>
                <w:rFonts w:ascii="Arial Narrow" w:eastAsia="Calibri" w:hAnsi="Arial Narrow" w:cstheme="minorHAnsi"/>
                <w:sz w:val="20"/>
                <w:szCs w:val="20"/>
              </w:rPr>
              <w:fldChar w:fldCharType="end"/>
            </w:r>
            <w:r w:rsidRPr="00DA3C6E">
              <w:rPr>
                <w:rFonts w:ascii="Arial Narrow" w:eastAsia="Calibri" w:hAnsi="Arial Narrow" w:cstheme="minorHAnsi"/>
                <w:sz w:val="20"/>
                <w:szCs w:val="20"/>
              </w:rPr>
              <w:t>.</w:t>
            </w:r>
          </w:p>
        </w:tc>
        <w:tc>
          <w:tcPr>
            <w:tcW w:w="888" w:type="pct"/>
            <w:vAlign w:val="center"/>
          </w:tcPr>
          <w:p w14:paraId="0FBF7FCC"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0.6</w:t>
            </w:r>
          </w:p>
        </w:tc>
        <w:tc>
          <w:tcPr>
            <w:tcW w:w="694" w:type="pct"/>
            <w:vAlign w:val="center"/>
          </w:tcPr>
          <w:p w14:paraId="40966750"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2.7 : 1</w:t>
            </w:r>
          </w:p>
        </w:tc>
        <w:tc>
          <w:tcPr>
            <w:tcW w:w="748" w:type="pct"/>
            <w:vAlign w:val="center"/>
          </w:tcPr>
          <w:p w14:paraId="65064D5D" w14:textId="77777777" w:rsidR="00C44F6A" w:rsidRPr="00DA3C6E" w:rsidRDefault="00C44F6A" w:rsidP="00C44F6A">
            <w:pPr>
              <w:keepNext/>
              <w:spacing w:after="0" w:line="276" w:lineRule="auto"/>
              <w:rPr>
                <w:rFonts w:ascii="Arial Narrow" w:eastAsia="Calibri" w:hAnsi="Arial Narrow" w:cstheme="minorHAnsi"/>
                <w:sz w:val="20"/>
                <w:szCs w:val="20"/>
              </w:rPr>
            </w:pPr>
            <w:r w:rsidRPr="00DA3C6E">
              <w:rPr>
                <w:rFonts w:ascii="Arial Narrow" w:eastAsia="Calibri" w:hAnsi="Arial Narrow" w:cstheme="minorHAnsi"/>
                <w:sz w:val="20"/>
                <w:szCs w:val="20"/>
              </w:rPr>
              <w:t>40 (22-66)</w:t>
            </w:r>
          </w:p>
        </w:tc>
      </w:tr>
    </w:tbl>
    <w:p w14:paraId="5CD41F84" w14:textId="77777777" w:rsidR="00C44F6A" w:rsidRPr="00DA3C6E" w:rsidRDefault="00C44F6A" w:rsidP="00C44F6A">
      <w:pPr>
        <w:keepNext/>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Abbreviations: EFNS/PNS = European federation of neurological societies/Peripheral nerve society; MMN = multifocal motor neuropathy</w:t>
      </w:r>
      <w:r w:rsidR="000A26CB" w:rsidRPr="00DA3C6E">
        <w:rPr>
          <w:rFonts w:ascii="Arial Narrow" w:eastAsia="Calibri" w:hAnsi="Arial Narrow" w:cs="Times New Roman"/>
          <w:sz w:val="18"/>
          <w:lang w:eastAsia="en-US"/>
        </w:rPr>
        <w:t>.</w:t>
      </w:r>
    </w:p>
    <w:p w14:paraId="50C9EC22" w14:textId="6A61C18F" w:rsidR="00C44F6A" w:rsidRPr="00DA3C6E" w:rsidRDefault="00C44F6A" w:rsidP="000A26CB">
      <w:pPr>
        <w:rPr>
          <w:rFonts w:eastAsia="Calibri"/>
          <w:lang w:eastAsia="en-US"/>
        </w:rPr>
      </w:pPr>
      <w:r w:rsidRPr="00DA3C6E">
        <w:rPr>
          <w:rFonts w:eastAsia="Calibri"/>
          <w:lang w:eastAsia="en-US"/>
        </w:rPr>
        <w:t xml:space="preserve">There are currently no epidemiological data available for MMN in Australia. This </w:t>
      </w:r>
      <w:r w:rsidR="000A26CB" w:rsidRPr="00DA3C6E">
        <w:rPr>
          <w:rFonts w:eastAsia="Calibri"/>
          <w:lang w:eastAsia="en-US"/>
        </w:rPr>
        <w:t>Contracted A</w:t>
      </w:r>
      <w:r w:rsidRPr="00DA3C6E">
        <w:rPr>
          <w:rFonts w:eastAsia="Calibri"/>
          <w:lang w:eastAsia="en-US"/>
        </w:rPr>
        <w:t xml:space="preserve">ssessment used the population-based prevalence rate estimates for MMN reported by Cats et al. 2010 </w:t>
      </w:r>
      <w:r w:rsidR="00DB568A" w:rsidRPr="00DA3C6E">
        <w:rPr>
          <w:rFonts w:eastAsia="Calibri"/>
          <w:lang w:eastAsia="en-US"/>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4" w:tooltip="Cats, 2010 #13" w:history="1">
        <w:r w:rsidR="00C04BCE" w:rsidRPr="00DA3C6E">
          <w:rPr>
            <w:rFonts w:eastAsia="Calibri"/>
            <w:noProof/>
            <w:lang w:eastAsia="en-US"/>
          </w:rPr>
          <w:t>14</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as a proxy to project the number of Australians likely to be living with MMN. This prevalence estimate was recommended by the Ig Review Reference Group at the Ig review meeting (9 October 2019), because the study was conducted in a systematic way and their findings are widely used. </w:t>
      </w:r>
      <w:r w:rsidR="0020441D" w:rsidRPr="00DA3C6E">
        <w:rPr>
          <w:rFonts w:eastAsia="Calibri"/>
          <w:lang w:eastAsia="en-US"/>
        </w:rPr>
        <w:t>In addition, t</w:t>
      </w:r>
      <w:r w:rsidRPr="00DA3C6E">
        <w:rPr>
          <w:rFonts w:eastAsia="Calibri"/>
          <w:lang w:eastAsia="en-US"/>
        </w:rPr>
        <w:t>he clinical criteria used for Ig</w:t>
      </w:r>
      <w:r w:rsidR="0020441D" w:rsidRPr="00DA3C6E">
        <w:rPr>
          <w:rFonts w:eastAsia="Calibri"/>
          <w:lang w:eastAsia="en-US"/>
        </w:rPr>
        <w:t xml:space="preserve"> </w:t>
      </w:r>
      <w:r w:rsidRPr="00DA3C6E">
        <w:rPr>
          <w:rFonts w:eastAsia="Calibri"/>
          <w:lang w:eastAsia="en-US"/>
        </w:rPr>
        <w:t>therapy for MMN in the Cats et al. 2010 study</w:t>
      </w:r>
      <w:r w:rsidR="00DB568A" w:rsidRPr="00DA3C6E">
        <w:rPr>
          <w:rFonts w:eastAsia="Calibri"/>
          <w:lang w:eastAsia="en-US"/>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4" w:tooltip="Cats, 2010 #13" w:history="1">
        <w:r w:rsidR="00C04BCE" w:rsidRPr="00DA3C6E">
          <w:rPr>
            <w:rFonts w:eastAsia="Calibri"/>
            <w:noProof/>
            <w:lang w:eastAsia="en-US"/>
          </w:rPr>
          <w:t>14</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were consistent with the qualifying criteria (The Criteria V3) for </w:t>
      </w:r>
      <w:r w:rsidR="0020441D" w:rsidRPr="00DA3C6E">
        <w:rPr>
          <w:rFonts w:eastAsia="Calibri"/>
          <w:lang w:eastAsia="en-US"/>
        </w:rPr>
        <w:t>i</w:t>
      </w:r>
      <w:r w:rsidRPr="00DA3C6E">
        <w:rPr>
          <w:rFonts w:eastAsia="Calibri"/>
          <w:lang w:eastAsia="en-US"/>
        </w:rPr>
        <w:t>ntravenous Ig</w:t>
      </w:r>
      <w:r w:rsidR="0020441D" w:rsidRPr="00DA3C6E">
        <w:rPr>
          <w:rFonts w:eastAsia="Calibri"/>
          <w:lang w:eastAsia="en-US"/>
        </w:rPr>
        <w:t xml:space="preserve"> </w:t>
      </w:r>
      <w:r w:rsidRPr="00DA3C6E">
        <w:rPr>
          <w:rFonts w:eastAsia="Calibri"/>
          <w:lang w:eastAsia="en-US"/>
        </w:rPr>
        <w:t xml:space="preserve">therapy for MMN used in Australia. </w:t>
      </w:r>
      <w:r w:rsidR="000A26CB" w:rsidRPr="00DA3C6E">
        <w:rPr>
          <w:rFonts w:eastAsia="Calibri"/>
          <w:lang w:eastAsia="en-US"/>
        </w:rPr>
        <w:t>T</w:t>
      </w:r>
      <w:r w:rsidRPr="00DA3C6E">
        <w:rPr>
          <w:rFonts w:eastAsia="Calibri"/>
          <w:lang w:eastAsia="en-US"/>
        </w:rPr>
        <w:t>he estimated prevalence rate from Cats et al. 2010</w:t>
      </w:r>
      <w:r w:rsidR="000A26CB" w:rsidRPr="00DA3C6E">
        <w:rPr>
          <w:rFonts w:eastAsia="Calibri"/>
          <w:lang w:eastAsia="en-US"/>
        </w:rPr>
        <w:t xml:space="preserve"> was applied</w:t>
      </w:r>
      <w:r w:rsidRPr="00DA3C6E">
        <w:rPr>
          <w:rFonts w:eastAsia="Calibri"/>
          <w:lang w:eastAsia="en-US"/>
        </w:rPr>
        <w:t xml:space="preserve"> to an estimate of the Australian population as at June 2019 of 25,364,307 individuals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&lt;EndNote&gt;&lt;Cite&gt;&lt;Author&gt;ABS&lt;/Author&gt;&lt;Year&gt;2018&lt;/Year&gt;&lt;RecNum&gt;2&lt;/RecNum&gt;&lt;DisplayText&gt;(17)&lt;/DisplayText&gt;&lt;record&gt;&lt;rec-number&gt;2&lt;/rec-number&gt;&lt;foreign-keys&gt;&lt;key app="EN" db-id="0992p2ztn5fez9e2wvnpw2xstd20f9w2dezz" timestamp="1586818281"&gt;2&lt;/key&gt;&lt;/foreign-keys&gt;&lt;ref-type name="Dataset"&gt;59&lt;/ref-type&gt;&lt;contributors&gt;&lt;authors&gt;&lt;author&gt;ABS&lt;/author&gt;&lt;/authors&gt;&lt;secondary-authors&gt;&lt;author&gt;Australian Bureau of Statistics&lt;/author&gt;&lt;/secondary-authors&gt;&lt;/contributors&gt;&lt;titles&gt;&lt;title&gt;Quarterly Population Estimates (ERP), by State/Territory, Sex and Age&lt;/title&gt;&lt;/titles&gt;&lt;dates&gt;&lt;year&gt;2018&lt;/year&gt;&lt;/dates&gt;&lt;pub-location&gt;Canberra&lt;/pub-location&gt;&lt;urls&gt;&lt;/urls&gt;&lt;access-date&gt;10/09/2019&lt;/access-date&gt;&lt;/record&gt;&lt;/Cite&gt;&lt;/EndNote&gt;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17" w:tooltip="ABS, 2018 #2" w:history="1">
        <w:r w:rsidR="00C04BCE" w:rsidRPr="00DA3C6E">
          <w:rPr>
            <w:rFonts w:eastAsia="Calibri"/>
            <w:noProof/>
            <w:lang w:eastAsia="en-US"/>
          </w:rPr>
          <w:t>17</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By assuming a prevalence rate of 0.6 per 100,000 population, this would equate to 152 patients with a definite MMN diagnosis</w:t>
      </w:r>
      <w:r w:rsidR="000A26CB" w:rsidRPr="00DA3C6E">
        <w:rPr>
          <w:rFonts w:eastAsia="Calibri"/>
          <w:lang w:eastAsia="en-US"/>
        </w:rPr>
        <w:t xml:space="preserve"> (versus </w:t>
      </w:r>
      <w:r w:rsidR="000A26CB" w:rsidRPr="00DA3C6E">
        <w:rPr>
          <w:rFonts w:eastAsia="Calibri"/>
          <w:lang w:eastAsia="en-US"/>
        </w:rPr>
        <w:lastRenderedPageBreak/>
        <w:t>596 MMN Ig treated patients in the period 2018-2019)</w:t>
      </w:r>
      <w:r w:rsidRPr="00DA3C6E">
        <w:rPr>
          <w:rFonts w:eastAsia="Calibri"/>
          <w:lang w:eastAsia="en-US"/>
        </w:rPr>
        <w:t xml:space="preserve">. However, this estimate is lower than the number of patients who received </w:t>
      </w:r>
      <w:r w:rsidR="0020441D" w:rsidRPr="00DA3C6E">
        <w:rPr>
          <w:rFonts w:eastAsia="Calibri"/>
          <w:lang w:eastAsia="en-US"/>
        </w:rPr>
        <w:t>i</w:t>
      </w:r>
      <w:r w:rsidRPr="00DA3C6E">
        <w:rPr>
          <w:rFonts w:eastAsia="Calibri"/>
          <w:lang w:eastAsia="en-US"/>
        </w:rPr>
        <w:t>ntravenous Ig</w:t>
      </w:r>
      <w:r w:rsidR="0020441D" w:rsidRPr="00DA3C6E">
        <w:rPr>
          <w:rFonts w:eastAsia="Calibri"/>
          <w:lang w:eastAsia="en-US"/>
        </w:rPr>
        <w:t xml:space="preserve"> </w:t>
      </w:r>
      <w:r w:rsidRPr="00DA3C6E">
        <w:rPr>
          <w:rFonts w:eastAsia="Calibri"/>
          <w:lang w:eastAsia="en-US"/>
        </w:rPr>
        <w:t xml:space="preserve">treatment for MMN in Australia based on the latest utilisation data provided by the NBA for the period 2018-19 which considered both, </w:t>
      </w:r>
      <w:r w:rsidR="0020441D" w:rsidRPr="00DA3C6E">
        <w:rPr>
          <w:rFonts w:eastAsia="Calibri"/>
          <w:lang w:eastAsia="en-US"/>
        </w:rPr>
        <w:t xml:space="preserve">The Criteria </w:t>
      </w:r>
      <w:r w:rsidRPr="00DA3C6E">
        <w:rPr>
          <w:rFonts w:eastAsia="Calibri"/>
          <w:lang w:eastAsia="en-US"/>
        </w:rPr>
        <w:t>V2 and V3 of (see</w:t>
      </w:r>
      <w:r w:rsidR="0020441D" w:rsidRPr="00DA3C6E">
        <w:rPr>
          <w:rFonts w:eastAsia="Calibri"/>
          <w:lang w:eastAsia="en-US"/>
        </w:rPr>
        <w:t xml:space="preserve"> </w:t>
      </w:r>
      <w:r w:rsidRPr="00DA3C6E">
        <w:rPr>
          <w:rFonts w:eastAsia="Calibri"/>
          <w:lang w:eastAsia="en-US"/>
        </w:rPr>
        <w:fldChar w:fldCharType="begin"/>
      </w:r>
      <w:r w:rsidRPr="00DA3C6E">
        <w:rPr>
          <w:rFonts w:eastAsia="Calibri"/>
          <w:lang w:eastAsia="en-US"/>
        </w:rPr>
        <w:instrText xml:space="preserve"> REF _Ref25925412 \h </w:instrText>
      </w:r>
      <w:r w:rsidR="00E8759F" w:rsidRPr="00DA3C6E">
        <w:rPr>
          <w:rFonts w:eastAsia="Calibri"/>
          <w:lang w:eastAsia="en-US"/>
        </w:rPr>
        <w:instrText xml:space="preserve"> \* MERGEFORMAT </w:instrText>
      </w:r>
      <w:r w:rsidRPr="00DA3C6E">
        <w:rPr>
          <w:rFonts w:eastAsia="Calibri"/>
          <w:lang w:eastAsia="en-US"/>
        </w:rPr>
      </w:r>
      <w:r w:rsidRPr="00DA3C6E">
        <w:rPr>
          <w:rFonts w:eastAsia="Calibri"/>
          <w:lang w:eastAsia="en-US"/>
        </w:rPr>
        <w:fldChar w:fldCharType="separate"/>
      </w:r>
      <w:r w:rsidR="00EA5DC1" w:rsidRPr="00DA3C6E">
        <w:t xml:space="preserve">Table </w:t>
      </w:r>
      <w:r w:rsidR="00EA5DC1">
        <w:rPr>
          <w:noProof/>
        </w:rPr>
        <w:t>3</w:t>
      </w:r>
      <w:r w:rsidRPr="00DA3C6E">
        <w:rPr>
          <w:rFonts w:eastAsia="Calibri"/>
          <w:lang w:eastAsia="en-US"/>
        </w:rPr>
        <w:fldChar w:fldCharType="end"/>
      </w:r>
      <w:r w:rsidRPr="00DA3C6E">
        <w:rPr>
          <w:rFonts w:eastAsia="Calibri"/>
          <w:lang w:eastAsia="en-US"/>
        </w:rPr>
        <w:t xml:space="preserve">). A further discussion on the prevalence sources available is provided in Section E.6. </w:t>
      </w:r>
    </w:p>
    <w:p w14:paraId="6D74C4BE" w14:textId="77777777" w:rsidR="00C44F6A" w:rsidRPr="00DA3C6E" w:rsidRDefault="00C44F6A" w:rsidP="00432F09">
      <w:pPr>
        <w:pStyle w:val="Heading3"/>
        <w:rPr>
          <w:rFonts w:eastAsia="MS Gothic"/>
          <w:lang w:eastAsia="en-US"/>
        </w:rPr>
      </w:pPr>
      <w:bookmarkStart w:id="83" w:name="_Toc37845721"/>
      <w:r w:rsidRPr="00DA3C6E">
        <w:rPr>
          <w:rFonts w:eastAsia="MS Gothic"/>
          <w:lang w:eastAsia="en-US"/>
        </w:rPr>
        <w:t>How are patients diagnosed?</w:t>
      </w:r>
      <w:bookmarkEnd w:id="83"/>
    </w:p>
    <w:p w14:paraId="33AC988C" w14:textId="582C627A" w:rsidR="00C44F6A" w:rsidRPr="00DA3C6E" w:rsidRDefault="00C44F6A" w:rsidP="00E16E87">
      <w:pPr>
        <w:rPr>
          <w:rFonts w:eastAsia="Calibri"/>
          <w:lang w:eastAsia="en-US"/>
        </w:rPr>
      </w:pPr>
      <w:r w:rsidRPr="00DA3C6E">
        <w:rPr>
          <w:rFonts w:eastAsia="Calibri"/>
          <w:lang w:eastAsia="en-US"/>
        </w:rPr>
        <w:t xml:space="preserve">MMN is difficult to diagnose because of the incomplete understanding of the pathophysiology of the illness and the similarities of clinical symptoms associated with motor neuron disease (MND) and chronic inflammatory demyelinating polyneuropathy (CIDP). In particular, there is difficulty in distinguishing between MMN and MND clinically because both are characterised by weakness in the arms in combination with cramps, wasting and fasciculation. </w:t>
      </w:r>
      <w:r w:rsidR="004133C2" w:rsidRPr="00DA3C6E">
        <w:rPr>
          <w:rFonts w:eastAsia="Calibri"/>
          <w:lang w:eastAsia="en-US"/>
        </w:rPr>
        <w:t>One potential implication of not being able to establish an accurate diagnose, is that patients with a diagnos</w:t>
      </w:r>
      <w:r w:rsidR="00E678F6" w:rsidRPr="00DA3C6E">
        <w:rPr>
          <w:rFonts w:eastAsia="Calibri"/>
          <w:lang w:eastAsia="en-US"/>
        </w:rPr>
        <w:t>is</w:t>
      </w:r>
      <w:r w:rsidR="004133C2" w:rsidRPr="00DA3C6E">
        <w:rPr>
          <w:rFonts w:eastAsia="Calibri"/>
          <w:lang w:eastAsia="en-US"/>
        </w:rPr>
        <w:t xml:space="preserve"> different to MMN (possibly MND) may be receiving intravenous Ig treatment and potentially not deriving the expected </w:t>
      </w:r>
      <w:r w:rsidR="004A6643" w:rsidRPr="00DA3C6E">
        <w:rPr>
          <w:rFonts w:eastAsia="Calibri"/>
          <w:lang w:eastAsia="en-US"/>
        </w:rPr>
        <w:t xml:space="preserve">clinical </w:t>
      </w:r>
      <w:r w:rsidR="004133C2" w:rsidRPr="00DA3C6E">
        <w:rPr>
          <w:rFonts w:eastAsia="Calibri"/>
          <w:lang w:eastAsia="en-US"/>
        </w:rPr>
        <w:t xml:space="preserve">benefit. A discussion regarding </w:t>
      </w:r>
      <w:r w:rsidR="004A6643" w:rsidRPr="00DA3C6E">
        <w:rPr>
          <w:rFonts w:eastAsia="Calibri"/>
          <w:lang w:eastAsia="en-US"/>
        </w:rPr>
        <w:t xml:space="preserve">the </w:t>
      </w:r>
      <w:r w:rsidR="004133C2" w:rsidRPr="00DA3C6E">
        <w:rPr>
          <w:rFonts w:eastAsia="Calibri"/>
          <w:lang w:eastAsia="en-US"/>
        </w:rPr>
        <w:t xml:space="preserve">differences </w:t>
      </w:r>
      <w:r w:rsidR="004A6643" w:rsidRPr="00DA3C6E">
        <w:rPr>
          <w:rFonts w:eastAsia="Calibri"/>
          <w:lang w:eastAsia="en-US"/>
        </w:rPr>
        <w:t xml:space="preserve">observed </w:t>
      </w:r>
      <w:r w:rsidR="004133C2" w:rsidRPr="00DA3C6E">
        <w:rPr>
          <w:rFonts w:eastAsia="Calibri"/>
          <w:lang w:eastAsia="en-US"/>
        </w:rPr>
        <w:t>in the estimated prevalence from epidemiological data and number of cases as per NBA data is discussed further in Section E</w:t>
      </w:r>
      <w:r w:rsidR="004A6643" w:rsidRPr="00DA3C6E">
        <w:rPr>
          <w:rFonts w:eastAsia="Calibri"/>
          <w:lang w:eastAsia="en-US"/>
        </w:rPr>
        <w:t>.6</w:t>
      </w:r>
      <w:r w:rsidR="004133C2" w:rsidRPr="00DA3C6E">
        <w:rPr>
          <w:rFonts w:eastAsia="Calibri"/>
          <w:lang w:eastAsia="en-US"/>
        </w:rPr>
        <w:t xml:space="preserve">. </w:t>
      </w:r>
      <w:r w:rsidRPr="00DA3C6E">
        <w:rPr>
          <w:rFonts w:eastAsia="Calibri"/>
          <w:lang w:eastAsia="en-US"/>
        </w:rPr>
        <w:t>The principal differential diagnosis of MMN to MND is that motor deficits in MMN occur in the distribution of a single nerve whilst in MND they occur in the distribution of spinal segments</w:t>
      </w:r>
      <w:r w:rsidR="00BD09ED" w:rsidRPr="00DA3C6E">
        <w:rPr>
          <w:rFonts w:eastAsia="Calibri"/>
          <w:lang w:eastAsia="en-US"/>
        </w:rPr>
        <w:t xml:space="preserve">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&lt;EndNote&gt;&lt;Cite&gt;&lt;Author&gt;Norris&lt;/Author&gt;&lt;Year&gt;1993&lt;/Year&gt;&lt;RecNum&gt;52&lt;/RecNum&gt;&lt;DisplayText&gt;(6)&lt;/DisplayText&gt;&lt;record&gt;&lt;rec-number&gt;52&lt;/rec-number&gt;&lt;foreign-keys&gt;&lt;key app="EN" db-id="0992p2ztn5fez9e2wvnpw2xstd20f9w2dezz" timestamp="1586818281"&gt;52&lt;/key&gt;&lt;/foreign-keys&gt;&lt;ref-type name="Journal Article"&gt;17&lt;/ref-type&gt;&lt;contributors&gt;&lt;authors&gt;&lt;author&gt;Norris, Forbes&lt;/author&gt;&lt;author&gt;Shepherd, Rodger&lt;/author&gt;&lt;author&gt;Denys, Eric&lt;/author&gt;&lt;author&gt;U, Kwei&lt;/author&gt;&lt;author&gt;Mukai, Eichiro&lt;/author&gt;&lt;author&gt;Elias, Linda&lt;/author&gt;&lt;author&gt;Holden, Dolores&lt;/author&gt;&lt;author&gt;Norris, Holten&lt;/author&gt;&lt;/authors&gt;&lt;/contributors&gt;&lt;titles&gt;&lt;title&gt;Onset, natural history and outcome in idiopathic adult motor neuron disease&lt;/title&gt;&lt;secondary-title&gt;Journal of the Neurological Sciences&lt;/secondary-title&gt;&lt;/titles&gt;&lt;periodical&gt;&lt;full-title&gt;Journal of the Neurological Sciences&lt;/full-title&gt;&lt;/periodical&gt;&lt;pages&gt;48-55&lt;/pages&gt;&lt;volume&gt;118&lt;/volume&gt;&lt;number&gt;1&lt;/number&gt;&lt;keywords&gt;&lt;keyword&gt;Natural history&lt;/keyword&gt;&lt;keyword&gt;Motor neuron disease&lt;/keyword&gt;&lt;keyword&gt;Amyotrophic lateral sclerosis&lt;/keyword&gt;&lt;keyword&gt;Prospective series&lt;/keyword&gt;&lt;keyword&gt;Outcome&lt;/keyword&gt;&lt;/keywords&gt;&lt;dates&gt;&lt;year&gt;1993&lt;/year&gt;&lt;pub-dates&gt;&lt;date&gt;1993/08/01/&lt;/date&gt;&lt;/pub-dates&gt;&lt;/dates&gt;&lt;isbn&gt;0022-510X&lt;/isbn&gt;&lt;urls&gt;&lt;related-urls&gt;&lt;url&gt;http://www.sciencedirect.com/science/article/pii/0022510X9390245T&lt;/url&gt;&lt;/related-urls&gt;&lt;/urls&gt;&lt;electronic-resource-num&gt;https://doi.org/10.1016/0022-510X(93)90245-T&lt;/electronic-resource-num&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6" w:tooltip="Norris, 1993 #52" w:history="1">
        <w:r w:rsidR="00C04BCE" w:rsidRPr="00DA3C6E">
          <w:rPr>
            <w:rFonts w:eastAsia="Calibri"/>
            <w:noProof/>
            <w:lang w:eastAsia="en-US"/>
          </w:rPr>
          <w:t>6</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In addition, in contrast to MMN, MND is characterised by muscle rigidity, inability to move muscles and loss of the ability to control muscles over</w:t>
      </w:r>
      <w:r w:rsidR="00A3779D">
        <w:rPr>
          <w:rFonts w:eastAsia="Calibri"/>
          <w:lang w:eastAsia="en-US"/>
        </w:rPr>
        <w:t xml:space="preserve"> </w:t>
      </w:r>
      <w:r w:rsidRPr="00DA3C6E">
        <w:rPr>
          <w:rFonts w:eastAsia="Calibri"/>
          <w:lang w:eastAsia="en-US"/>
        </w:rPr>
        <w:t xml:space="preserve">time. </w:t>
      </w:r>
    </w:p>
    <w:p w14:paraId="7F64FF82" w14:textId="6994B1F0" w:rsidR="00C44F6A" w:rsidRPr="00DA3C6E" w:rsidRDefault="00C44F6A" w:rsidP="00E16E87">
      <w:pPr>
        <w:rPr>
          <w:rFonts w:eastAsia="Calibri"/>
          <w:lang w:eastAsia="en-US"/>
        </w:rPr>
      </w:pPr>
      <w:r w:rsidRPr="00DA3C6E">
        <w:rPr>
          <w:rFonts w:eastAsia="Calibri"/>
          <w:lang w:eastAsia="en-US"/>
        </w:rPr>
        <w:t xml:space="preserve">Due to the difficulty in diagnosing MMN, </w:t>
      </w:r>
      <w:r w:rsidR="00BD09ED" w:rsidRPr="00DA3C6E">
        <w:rPr>
          <w:rFonts w:eastAsia="Calibri"/>
          <w:lang w:eastAsia="en-US"/>
        </w:rPr>
        <w:t>t</w:t>
      </w:r>
      <w:r w:rsidRPr="00DA3C6E">
        <w:rPr>
          <w:rFonts w:eastAsia="Calibri"/>
          <w:lang w:eastAsia="en-US"/>
        </w:rPr>
        <w:t xml:space="preserve">he Ig Review Reference Group recommended that </w:t>
      </w:r>
      <w:r w:rsidR="00C16F59" w:rsidRPr="00DA3C6E">
        <w:rPr>
          <w:rFonts w:eastAsia="Calibri"/>
          <w:lang w:eastAsia="en-US"/>
        </w:rPr>
        <w:t xml:space="preserve">MMN should be diagnosed by two clinicians (neurologists) </w:t>
      </w:r>
      <w:r w:rsidR="00C16F59" w:rsidRPr="00DA3C6E">
        <w:t>but this may have an impact on access and equity</w:t>
      </w:r>
      <w:r w:rsidR="00C16F59" w:rsidRPr="00DA3C6E">
        <w:rPr>
          <w:rFonts w:eastAsia="Calibri"/>
          <w:lang w:eastAsia="en-US"/>
        </w:rPr>
        <w:t>.</w:t>
      </w:r>
      <w:r w:rsidRPr="00DA3C6E">
        <w:rPr>
          <w:rFonts w:eastAsia="Calibri"/>
          <w:lang w:eastAsia="en-US"/>
        </w:rPr>
        <w:t xml:space="preserve"> The draft Referral for MMN 1590 noted that referral pathways to a neurologist are varied including general practitioners (GP</w:t>
      </w:r>
      <w:r w:rsidR="001F4B3B" w:rsidRPr="00DA3C6E">
        <w:rPr>
          <w:rFonts w:eastAsia="Calibri"/>
          <w:lang w:eastAsia="en-US"/>
        </w:rPr>
        <w:t>s</w:t>
      </w:r>
      <w:r w:rsidRPr="00DA3C6E">
        <w:rPr>
          <w:rFonts w:eastAsia="Calibri"/>
          <w:lang w:eastAsia="en-US"/>
        </w:rPr>
        <w:t xml:space="preserve">) or other specialists such as rheumatologists or orthopaedic surgeons. </w:t>
      </w:r>
      <w:r w:rsidR="00AF5025" w:rsidRPr="00DA3C6E">
        <w:rPr>
          <w:rFonts w:eastAsia="Calibri"/>
          <w:lang w:eastAsia="en-US"/>
        </w:rPr>
        <w:t>It was</w:t>
      </w:r>
      <w:r w:rsidRPr="00DA3C6E">
        <w:rPr>
          <w:rFonts w:eastAsia="Calibri"/>
          <w:lang w:eastAsia="en-US"/>
        </w:rPr>
        <w:t xml:space="preserve"> further stated that to rule out the main differential diagnosis, MND,</w:t>
      </w:r>
      <w:r w:rsidR="00BF47F5" w:rsidRPr="00DA3C6E">
        <w:rPr>
          <w:rFonts w:eastAsia="Calibri"/>
          <w:lang w:eastAsia="en-US"/>
        </w:rPr>
        <w:t xml:space="preserve"> </w:t>
      </w:r>
      <w:r w:rsidRPr="00DA3C6E">
        <w:rPr>
          <w:rFonts w:eastAsia="Calibri"/>
          <w:lang w:eastAsia="en-US"/>
        </w:rPr>
        <w:t xml:space="preserve">genetic testing may be conducted, however the gene based diagnostic test for MND is not currently funded under the MBS. The </w:t>
      </w:r>
      <w:r w:rsidR="00BD09ED" w:rsidRPr="00DA3C6E">
        <w:rPr>
          <w:rFonts w:eastAsia="Calibri"/>
          <w:lang w:eastAsia="en-US"/>
        </w:rPr>
        <w:t>recommendation</w:t>
      </w:r>
      <w:r w:rsidRPr="00DA3C6E">
        <w:rPr>
          <w:rFonts w:eastAsia="Calibri"/>
          <w:lang w:eastAsia="en-US"/>
        </w:rPr>
        <w:t xml:space="preserve"> </w:t>
      </w:r>
      <w:r w:rsidR="00BD09ED" w:rsidRPr="00DA3C6E">
        <w:rPr>
          <w:rFonts w:eastAsia="Calibri"/>
          <w:lang w:eastAsia="en-US"/>
        </w:rPr>
        <w:t>for</w:t>
      </w:r>
      <w:r w:rsidRPr="00DA3C6E">
        <w:rPr>
          <w:rFonts w:eastAsia="Calibri"/>
          <w:lang w:eastAsia="en-US"/>
        </w:rPr>
        <w:t xml:space="preserve"> two neurologists</w:t>
      </w:r>
      <w:r w:rsidR="00BD09ED" w:rsidRPr="00DA3C6E">
        <w:rPr>
          <w:rFonts w:eastAsia="Calibri"/>
          <w:lang w:eastAsia="en-US"/>
        </w:rPr>
        <w:t xml:space="preserve"> to confirm </w:t>
      </w:r>
      <w:r w:rsidR="0050199D" w:rsidRPr="00DA3C6E">
        <w:rPr>
          <w:rFonts w:eastAsia="Calibri"/>
          <w:lang w:eastAsia="en-US"/>
        </w:rPr>
        <w:t xml:space="preserve">diagnosis </w:t>
      </w:r>
      <w:r w:rsidR="00BF47F5" w:rsidRPr="00DA3C6E">
        <w:rPr>
          <w:rFonts w:eastAsia="Calibri"/>
          <w:lang w:eastAsia="en-US"/>
        </w:rPr>
        <w:t>and conduct the genetic testing for MMN</w:t>
      </w:r>
      <w:r w:rsidRPr="00DA3C6E">
        <w:rPr>
          <w:rFonts w:eastAsia="Calibri"/>
          <w:lang w:eastAsia="en-US"/>
        </w:rPr>
        <w:t xml:space="preserve"> may </w:t>
      </w:r>
      <w:r w:rsidR="00BF47F5" w:rsidRPr="00DA3C6E">
        <w:rPr>
          <w:rFonts w:eastAsia="Calibri"/>
          <w:lang w:eastAsia="en-US"/>
        </w:rPr>
        <w:t>lead to</w:t>
      </w:r>
      <w:r w:rsidRPr="00DA3C6E">
        <w:rPr>
          <w:rFonts w:eastAsia="Calibri"/>
          <w:lang w:eastAsia="en-US"/>
        </w:rPr>
        <w:t xml:space="preserve"> equity issues due to difficulties in gaining access to </w:t>
      </w:r>
      <w:r w:rsidR="00BF47F5" w:rsidRPr="00DA3C6E">
        <w:rPr>
          <w:rFonts w:eastAsia="Calibri"/>
          <w:lang w:eastAsia="en-US"/>
        </w:rPr>
        <w:t>specialists</w:t>
      </w:r>
      <w:r w:rsidRPr="00DA3C6E">
        <w:rPr>
          <w:rFonts w:eastAsia="Calibri"/>
          <w:lang w:eastAsia="en-US"/>
        </w:rPr>
        <w:t xml:space="preserve"> and potential </w:t>
      </w:r>
      <w:r w:rsidR="00BF47F5" w:rsidRPr="00DA3C6E">
        <w:rPr>
          <w:rFonts w:eastAsia="Calibri"/>
          <w:lang w:eastAsia="en-US"/>
        </w:rPr>
        <w:t>out of</w:t>
      </w:r>
      <w:r w:rsidRPr="00DA3C6E">
        <w:rPr>
          <w:rFonts w:eastAsia="Calibri"/>
          <w:lang w:eastAsia="en-US"/>
        </w:rPr>
        <w:t xml:space="preserve"> pocket expenses</w:t>
      </w:r>
      <w:r w:rsidR="00BF47F5" w:rsidRPr="00DA3C6E">
        <w:rPr>
          <w:rFonts w:eastAsia="Calibri"/>
          <w:lang w:eastAsia="en-US"/>
        </w:rPr>
        <w:t>.</w:t>
      </w:r>
      <w:r w:rsidRPr="00DA3C6E">
        <w:rPr>
          <w:rFonts w:eastAsia="Calibri"/>
          <w:lang w:eastAsia="en-US"/>
        </w:rPr>
        <w:t xml:space="preserve"> As indicated in</w:t>
      </w:r>
      <w:r w:rsidR="00BF47F5" w:rsidRPr="00DA3C6E">
        <w:rPr>
          <w:rFonts w:eastAsia="Calibri"/>
          <w:lang w:eastAsia="en-US"/>
        </w:rPr>
        <w:t xml:space="preserve"> </w:t>
      </w:r>
      <w:r w:rsidR="00BF47F5" w:rsidRPr="00DA3C6E">
        <w:rPr>
          <w:rFonts w:eastAsia="Calibri"/>
          <w:lang w:eastAsia="en-US"/>
        </w:rPr>
        <w:fldChar w:fldCharType="begin"/>
      </w:r>
      <w:r w:rsidR="00BF47F5" w:rsidRPr="00DA3C6E">
        <w:rPr>
          <w:rFonts w:eastAsia="Calibri"/>
          <w:lang w:eastAsia="en-US"/>
        </w:rPr>
        <w:instrText xml:space="preserve"> REF _Ref25825294 \h </w:instrText>
      </w:r>
      <w:r w:rsidR="00E8759F" w:rsidRPr="00DA3C6E">
        <w:rPr>
          <w:rFonts w:eastAsia="Calibri"/>
          <w:lang w:eastAsia="en-US"/>
        </w:rPr>
        <w:instrText xml:space="preserve"> \* MERGEFORMAT </w:instrText>
      </w:r>
      <w:r w:rsidR="00BF47F5" w:rsidRPr="00DA3C6E">
        <w:rPr>
          <w:rFonts w:eastAsia="Calibri"/>
          <w:lang w:eastAsia="en-US"/>
        </w:rPr>
      </w:r>
      <w:r w:rsidR="00BF47F5" w:rsidRPr="00DA3C6E">
        <w:rPr>
          <w:rFonts w:eastAsia="Calibri"/>
          <w:lang w:eastAsia="en-US"/>
        </w:rPr>
        <w:fldChar w:fldCharType="separate"/>
      </w:r>
      <w:r w:rsidR="00EA5DC1" w:rsidRPr="00DA3C6E">
        <w:t xml:space="preserve">Table </w:t>
      </w:r>
      <w:r w:rsidR="00EA5DC1">
        <w:rPr>
          <w:noProof/>
        </w:rPr>
        <w:t>1</w:t>
      </w:r>
      <w:r w:rsidR="00BF47F5" w:rsidRPr="00DA3C6E">
        <w:rPr>
          <w:rFonts w:eastAsia="Calibri"/>
          <w:lang w:eastAsia="en-US"/>
        </w:rPr>
        <w:fldChar w:fldCharType="end"/>
      </w:r>
      <w:r w:rsidRPr="00DA3C6E">
        <w:rPr>
          <w:rFonts w:eastAsia="Calibri"/>
          <w:lang w:eastAsia="en-US"/>
        </w:rPr>
        <w:t xml:space="preserve">, the clinical criteria for assessing </w:t>
      </w:r>
      <w:r w:rsidR="00BF47F5" w:rsidRPr="00DA3C6E">
        <w:rPr>
          <w:rFonts w:eastAsia="Calibri"/>
          <w:lang w:eastAsia="en-US"/>
        </w:rPr>
        <w:t>i</w:t>
      </w:r>
      <w:r w:rsidRPr="00DA3C6E">
        <w:rPr>
          <w:rFonts w:eastAsia="Calibri"/>
          <w:lang w:eastAsia="en-US"/>
        </w:rPr>
        <w:t xml:space="preserve">ntravenous </w:t>
      </w:r>
      <w:r w:rsidR="00BF47F5" w:rsidRPr="00DA3C6E">
        <w:rPr>
          <w:rFonts w:eastAsia="Calibri"/>
          <w:lang w:eastAsia="en-US"/>
        </w:rPr>
        <w:t xml:space="preserve">Ig </w:t>
      </w:r>
      <w:r w:rsidRPr="00DA3C6E">
        <w:rPr>
          <w:rFonts w:eastAsia="Calibri"/>
          <w:lang w:eastAsia="en-US"/>
        </w:rPr>
        <w:t xml:space="preserve">for MMN in Australia include progressive motor weakness and a disability of </w:t>
      </w:r>
      <w:r w:rsidRPr="00DA3C6E">
        <w:rPr>
          <w:rFonts w:eastAsia="Calibri" w:cs="Calibri"/>
          <w:lang w:eastAsia="en-US"/>
        </w:rPr>
        <w:t>≥</w:t>
      </w:r>
      <w:r w:rsidRPr="00DA3C6E">
        <w:rPr>
          <w:rFonts w:eastAsia="Calibri"/>
          <w:lang w:eastAsia="en-US"/>
        </w:rPr>
        <w:t xml:space="preserve">2 as measured by the ONLS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&lt;EndNote&gt;&lt;Cite&gt;&lt;Author&gt;BloodSTAR&lt;/Author&gt;&lt;Year&gt;2018&lt;/Year&gt;&lt;RecNum&gt;9&lt;/RecNum&gt;&lt;DisplayText&gt;(3)&lt;/DisplayText&gt;&lt;record&gt;&lt;rec-number&gt;9&lt;/rec-number&gt;&lt;foreign-keys&gt;&lt;key app="EN" db-id="0992p2ztn5fez9e2wvnpw2xstd20f9w2dezz" timestamp="1586818281"&gt;9&lt;/key&gt;&lt;/foreign-keys&gt;&lt;ref-type name="Journal Article"&gt;17&lt;/ref-type&gt;&lt;contributors&gt;&lt;authors&gt;&lt;author&gt;BloodSTAR&lt;/author&gt;&lt;/authors&gt;&lt;/contributors&gt;&lt;titles&gt;&lt;title&gt;Current Ig use in Australia: Multifocal motor neuropathy&lt;/title&gt;&lt;/titles&gt;&lt;pages&gt;7&lt;/pages&gt;&lt;dates&gt;&lt;year&gt;2018&lt;/year&gt;&lt;/dates&gt;&lt;urls&gt;&lt;related-urls&gt;&lt;url&gt; (https://www.criteria.blood.gov.au/MedicalCondition/View/2558).&lt;/url&gt;&lt;/related-urls&gt;&lt;/urls&gt;&lt;/record&gt;&lt;/Cite&gt;&lt;/EndNote&gt;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3" w:tooltip="BloodSTAR, 2018 #9" w:history="1">
        <w:r w:rsidR="00C04BCE" w:rsidRPr="00DA3C6E">
          <w:rPr>
            <w:rFonts w:eastAsia="Calibri"/>
            <w:noProof/>
            <w:lang w:eastAsia="en-US"/>
          </w:rPr>
          <w:t>3</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w:t>
      </w:r>
    </w:p>
    <w:p w14:paraId="60AB1775" w14:textId="4FBCACB4" w:rsidR="00C44F6A" w:rsidRPr="00DA3C6E" w:rsidRDefault="00C44F6A" w:rsidP="00E16E87">
      <w:pPr>
        <w:rPr>
          <w:rFonts w:eastAsia="Calibri"/>
          <w:lang w:eastAsia="en-US"/>
        </w:rPr>
      </w:pPr>
      <w:r w:rsidRPr="00DA3C6E">
        <w:rPr>
          <w:rFonts w:eastAsia="Calibri"/>
          <w:lang w:eastAsia="en-US"/>
        </w:rPr>
        <w:t xml:space="preserve">The European Federation of Neurological Societies/Peripheral Nerve Society (EFNS/PNS) guideline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&lt;EndNote&gt;&lt;Cite&gt;&lt;Author&gt;Joint Task Force of the EFNS and PNS&lt;/Author&gt;&lt;Year&gt;2010&lt;/Year&gt;&lt;RecNum&gt;32&lt;/RecNum&gt;&lt;DisplayText&gt;(18)&lt;/DisplayText&gt;&lt;record&gt;&lt;rec-number&gt;32&lt;/rec-number&gt;&lt;foreign-keys&gt;&lt;key app="EN" db-id="0992p2ztn5fez9e2wvnpw2xstd20f9w2dezz" timestamp="1586818281"&gt;32&lt;/key&gt;&lt;/foreign-keys&gt;&lt;ref-type name="Journal Article"&gt;17&lt;/ref-type&gt;&lt;contributors&gt;&lt;authors&gt;&lt;author&gt;Joint Task Force of the EFNS and PNS,&lt;/author&gt;&lt;/authors&gt;&lt;/contributors&gt;&lt;titles&gt;&lt;title&gt;European Federation of Neurological Societies/Peripheral Nerve Society Guideline on management of multifocal motor neuropathy. Report of a Joint Task Force of the European Federation of Neurological Societies and the Peripheral Nerve Society – first revision&lt;/title&gt;&lt;secondary-title&gt;Journal of the Peripheral Nervous System&lt;/secondary-title&gt;&lt;/titles&gt;&lt;periodical&gt;&lt;full-title&gt;Journal of the Peripheral Nervous System&lt;/full-title&gt;&lt;/periodical&gt;&lt;pages&gt;295-301&lt;/pages&gt;&lt;volume&gt;15&lt;/volume&gt;&lt;number&gt;4&lt;/number&gt;&lt;keywords&gt;&lt;keyword&gt;definition&lt;/keyword&gt;&lt;keyword&gt;diagnosis&lt;/keyword&gt;&lt;keyword&gt;guidelines&lt;/keyword&gt;&lt;keyword&gt;multifocal motor neuropathy&lt;/keyword&gt;&lt;keyword&gt;treatment&lt;/keyword&gt;&lt;/keywords&gt;&lt;dates&gt;&lt;year&gt;2010&lt;/year&gt;&lt;pub-dates&gt;&lt;date&gt;2010/12/01&lt;/date&gt;&lt;/pub-dates&gt;&lt;/dates&gt;&lt;publisher&gt;John Wiley &amp;amp; Sons, Ltd (10.1111)&lt;/publisher&gt;&lt;isbn&gt;1085-9489&lt;/isbn&gt;&lt;urls&gt;&lt;related-urls&gt;&lt;url&gt;https://doi.org/10.1111/j.1529-8027.2010.00290.x&lt;/url&gt;&lt;/related-urls&gt;&lt;/urls&gt;&lt;electronic-resource-num&gt;10.1111/j.1529-8027.2010.00290.x&lt;/electronic-resource-num&gt;&lt;access-date&gt;2019/09/18&lt;/access-date&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18" w:tooltip="Joint Task Force of the EFNS and PNS, 2010 #32" w:history="1">
        <w:r w:rsidR="00C04BCE" w:rsidRPr="00DA3C6E">
          <w:rPr>
            <w:rFonts w:eastAsia="Calibri"/>
            <w:noProof/>
            <w:lang w:eastAsia="en-US"/>
          </w:rPr>
          <w:t>18</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suggests that the diagnosis of MMN should be based on clinical and electrophysiological criteria, and supplemented with other supportive criteria. The criteria for these diagnostic tests and recommendations for good practice as included in the 2010 EFNS/PNS guideline are presented in </w:t>
      </w:r>
      <w:r w:rsidRPr="00DA3C6E">
        <w:rPr>
          <w:rFonts w:eastAsia="Calibri"/>
          <w:lang w:eastAsia="en-US"/>
        </w:rPr>
        <w:fldChar w:fldCharType="begin"/>
      </w:r>
      <w:r w:rsidRPr="00DA3C6E">
        <w:rPr>
          <w:rFonts w:eastAsia="Calibri"/>
          <w:lang w:eastAsia="en-US"/>
        </w:rPr>
        <w:instrText xml:space="preserve"> REF _Ref25844307 \h  \* MERGEFORMAT </w:instrText>
      </w:r>
      <w:r w:rsidRPr="00DA3C6E">
        <w:rPr>
          <w:rFonts w:eastAsia="Calibri"/>
          <w:lang w:eastAsia="en-US"/>
        </w:rPr>
      </w:r>
      <w:r w:rsidRPr="00DA3C6E">
        <w:rPr>
          <w:rFonts w:eastAsia="Calibri"/>
          <w:lang w:eastAsia="en-US"/>
        </w:rPr>
        <w:fldChar w:fldCharType="separate"/>
      </w:r>
      <w:r w:rsidR="00EA5DC1" w:rsidRPr="00DA3C6E">
        <w:t xml:space="preserve">Table </w:t>
      </w:r>
      <w:r w:rsidR="00EA5DC1">
        <w:rPr>
          <w:noProof/>
        </w:rPr>
        <w:t>6</w:t>
      </w:r>
      <w:r w:rsidRPr="00DA3C6E">
        <w:rPr>
          <w:rFonts w:eastAsia="Calibri"/>
          <w:lang w:eastAsia="en-US"/>
        </w:rPr>
        <w:fldChar w:fldCharType="end"/>
      </w:r>
      <w:r w:rsidRPr="00DA3C6E">
        <w:rPr>
          <w:rFonts w:eastAsia="Calibri"/>
          <w:lang w:eastAsia="en-US"/>
        </w:rPr>
        <w:t>. The main clinical characteristics of MMN are slowly progressive or stepwise progressive weakness, weakness without objective sensory loss, asymmetric involvement of two or more nerves, and the absence of upper motor neuron signs. The criteria used for Ig</w:t>
      </w:r>
      <w:r w:rsidR="00BF47F5" w:rsidRPr="00DA3C6E">
        <w:rPr>
          <w:rFonts w:eastAsia="Calibri"/>
          <w:lang w:eastAsia="en-US"/>
        </w:rPr>
        <w:t xml:space="preserve"> </w:t>
      </w:r>
      <w:r w:rsidRPr="00DA3C6E">
        <w:rPr>
          <w:rFonts w:eastAsia="Calibri"/>
          <w:lang w:eastAsia="en-US"/>
        </w:rPr>
        <w:t xml:space="preserve">therapy for MMN in Australia are consistent with the clinical diagnostic criteria established by the EFNS/PNS. In addition, the </w:t>
      </w:r>
      <w:r w:rsidRPr="00DA3C6E">
        <w:rPr>
          <w:rFonts w:eastAsia="Calibri"/>
          <w:lang w:eastAsia="en-US"/>
        </w:rPr>
        <w:lastRenderedPageBreak/>
        <w:t>electrophysiological criteria include definite or probable motor CB and normal sensory nerve conduction.</w:t>
      </w:r>
    </w:p>
    <w:p w14:paraId="1EAFDFD0" w14:textId="4448EE9E" w:rsidR="00C44F6A" w:rsidRPr="00DA3C6E" w:rsidRDefault="00C44F6A" w:rsidP="00E16E87">
      <w:pPr>
        <w:rPr>
          <w:rFonts w:eastAsia="Calibri"/>
          <w:lang w:eastAsia="en-US"/>
        </w:rPr>
      </w:pPr>
      <w:r w:rsidRPr="00DA3C6E">
        <w:rPr>
          <w:rFonts w:eastAsia="Calibri"/>
          <w:lang w:eastAsia="en-US"/>
        </w:rPr>
        <w:t xml:space="preserve">Other tests that could support the diagnosis of MMN are: elevated IgM anti-ganglioside GM1 antibodies, normal or mildly increased cerebrospinal fluid protein (&lt;1 g/l) and increased signal intensity on T2-weighted magnetic resonance imaging (MRI) scans of the brachial plexus associated with a diffuse nerve swelling. </w:t>
      </w:r>
      <w:r w:rsidR="000B75F5" w:rsidRPr="00DA3C6E">
        <w:rPr>
          <w:rFonts w:eastAsia="Calibri"/>
          <w:lang w:eastAsia="en-US"/>
        </w:rPr>
        <w:t>In addition, a</w:t>
      </w:r>
      <w:r w:rsidRPr="00DA3C6E">
        <w:rPr>
          <w:rFonts w:eastAsia="Calibri"/>
          <w:lang w:eastAsia="en-US"/>
        </w:rPr>
        <w:t xml:space="preserve">n objective clinical improvement following </w:t>
      </w:r>
      <w:r w:rsidR="00BF47F5" w:rsidRPr="00DA3C6E">
        <w:rPr>
          <w:rFonts w:eastAsia="Calibri"/>
          <w:lang w:eastAsia="en-US"/>
        </w:rPr>
        <w:t>i</w:t>
      </w:r>
      <w:r w:rsidRPr="00DA3C6E">
        <w:rPr>
          <w:rFonts w:eastAsia="Calibri"/>
          <w:lang w:eastAsia="en-US"/>
        </w:rPr>
        <w:t>ntravenous Ig</w:t>
      </w:r>
      <w:r w:rsidR="00BF47F5" w:rsidRPr="00DA3C6E">
        <w:rPr>
          <w:rFonts w:eastAsia="Calibri"/>
          <w:lang w:eastAsia="en-US"/>
        </w:rPr>
        <w:t xml:space="preserve"> </w:t>
      </w:r>
      <w:r w:rsidRPr="00DA3C6E">
        <w:rPr>
          <w:rFonts w:eastAsia="Calibri"/>
          <w:lang w:eastAsia="en-US"/>
        </w:rPr>
        <w:t>treatment could also support the diagnosis of MMN</w:t>
      </w:r>
      <w:r w:rsidR="000B75F5" w:rsidRPr="00DA3C6E">
        <w:rPr>
          <w:rFonts w:eastAsia="Calibri"/>
          <w:lang w:eastAsia="en-US"/>
        </w:rPr>
        <w:t xml:space="preserve"> noting that </w:t>
      </w:r>
      <w:r w:rsidR="00BF47F5" w:rsidRPr="00DA3C6E">
        <w:rPr>
          <w:rFonts w:eastAsia="Calibri"/>
          <w:lang w:eastAsia="en-US"/>
        </w:rPr>
        <w:t xml:space="preserve">this </w:t>
      </w:r>
      <w:r w:rsidR="000B75F5" w:rsidRPr="00DA3C6E">
        <w:rPr>
          <w:rFonts w:eastAsia="Calibri"/>
          <w:lang w:eastAsia="en-US"/>
        </w:rPr>
        <w:t xml:space="preserve">may </w:t>
      </w:r>
      <w:r w:rsidRPr="00DA3C6E">
        <w:rPr>
          <w:rFonts w:eastAsia="Calibri"/>
          <w:lang w:eastAsia="en-US"/>
        </w:rPr>
        <w:t xml:space="preserve">have a placebo effect on MND patients for a short term. Therefore, it should be noted that, objective clinical response to </w:t>
      </w:r>
      <w:r w:rsidR="000B75F5" w:rsidRPr="00DA3C6E">
        <w:rPr>
          <w:rFonts w:eastAsia="Calibri"/>
          <w:lang w:eastAsia="en-US"/>
        </w:rPr>
        <w:t xml:space="preserve">Ig </w:t>
      </w:r>
      <w:r w:rsidRPr="00DA3C6E">
        <w:rPr>
          <w:rFonts w:eastAsia="Calibri"/>
          <w:lang w:eastAsia="en-US"/>
        </w:rPr>
        <w:t xml:space="preserve">therapy and all of these other tests (for supportive criteria) are not required for patients who satisfy the clinical and electro-diagnostic criteria of MMN: that is when a definitive diagnosis of MMN can be made (see </w:t>
      </w:r>
      <w:r w:rsidRPr="00DA3C6E">
        <w:rPr>
          <w:rFonts w:eastAsia="Calibri"/>
          <w:lang w:eastAsia="en-US"/>
        </w:rPr>
        <w:fldChar w:fldCharType="begin"/>
      </w:r>
      <w:r w:rsidRPr="00DA3C6E">
        <w:rPr>
          <w:rFonts w:eastAsia="Calibri"/>
          <w:lang w:eastAsia="en-US"/>
        </w:rPr>
        <w:instrText xml:space="preserve"> REF _Ref25844307 \h </w:instrText>
      </w:r>
      <w:r w:rsidR="00E8759F" w:rsidRPr="00DA3C6E">
        <w:rPr>
          <w:rFonts w:eastAsia="Calibri"/>
          <w:lang w:eastAsia="en-US"/>
        </w:rPr>
        <w:instrText xml:space="preserve"> \* MERGEFORMAT </w:instrText>
      </w:r>
      <w:r w:rsidRPr="00DA3C6E">
        <w:rPr>
          <w:rFonts w:eastAsia="Calibri"/>
          <w:lang w:eastAsia="en-US"/>
        </w:rPr>
      </w:r>
      <w:r w:rsidRPr="00DA3C6E">
        <w:rPr>
          <w:rFonts w:eastAsia="Calibri"/>
          <w:lang w:eastAsia="en-US"/>
        </w:rPr>
        <w:fldChar w:fldCharType="separate"/>
      </w:r>
      <w:r w:rsidR="00EA5DC1" w:rsidRPr="00DA3C6E">
        <w:t xml:space="preserve">Table </w:t>
      </w:r>
      <w:r w:rsidR="00EA5DC1">
        <w:rPr>
          <w:noProof/>
        </w:rPr>
        <w:t>6</w:t>
      </w:r>
      <w:r w:rsidRPr="00DA3C6E">
        <w:rPr>
          <w:rFonts w:eastAsia="Calibri"/>
          <w:lang w:eastAsia="en-US"/>
        </w:rPr>
        <w:fldChar w:fldCharType="end"/>
      </w:r>
      <w:r w:rsidRPr="00DA3C6E">
        <w:rPr>
          <w:rFonts w:eastAsia="Calibri"/>
          <w:lang w:eastAsia="en-US"/>
        </w:rPr>
        <w:t>).</w:t>
      </w:r>
    </w:p>
    <w:p w14:paraId="5C29EF26" w14:textId="4EC9717F" w:rsidR="00C44F6A" w:rsidRPr="00DA3C6E" w:rsidRDefault="00C44F6A" w:rsidP="00C836F2">
      <w:pPr>
        <w:pStyle w:val="Caption"/>
        <w:rPr>
          <w:rFonts w:eastAsia="Calibri" w:cs="Times New Roman"/>
          <w:szCs w:val="20"/>
          <w:lang w:eastAsia="en-US"/>
        </w:rPr>
      </w:pPr>
      <w:bookmarkStart w:id="84" w:name="_Ref25844307"/>
      <w:bookmarkStart w:id="85" w:name="_Toc30497453"/>
      <w:bookmarkStart w:id="86" w:name="_Toc37845809"/>
      <w:r w:rsidRPr="00DA3C6E">
        <w:t xml:space="preserve">Table </w:t>
      </w:r>
      <w:r w:rsidR="00515153">
        <w:fldChar w:fldCharType="begin"/>
      </w:r>
      <w:r w:rsidR="00515153">
        <w:instrText xml:space="preserve"> SEQ Table \* ARABIC </w:instrText>
      </w:r>
      <w:r w:rsidR="00515153">
        <w:fldChar w:fldCharType="separate"/>
      </w:r>
      <w:r w:rsidR="00EA5DC1">
        <w:rPr>
          <w:noProof/>
        </w:rPr>
        <w:t>6</w:t>
      </w:r>
      <w:r w:rsidR="00515153">
        <w:rPr>
          <w:noProof/>
        </w:rPr>
        <w:fldChar w:fldCharType="end"/>
      </w:r>
      <w:bookmarkEnd w:id="84"/>
      <w:r w:rsidRPr="00DA3C6E">
        <w:rPr>
          <w:rFonts w:eastAsia="Calibri" w:cs="Times New Roman"/>
          <w:szCs w:val="20"/>
          <w:lang w:eastAsia="en-US"/>
        </w:rPr>
        <w:t xml:space="preserve">: Diagnostic criteria and diagnostic tests for MMN as presented in the 2010 EFNS/PNS guideline </w:t>
      </w:r>
      <w:bookmarkEnd w:id="85"/>
      <w:r w:rsidR="00DB568A" w:rsidRPr="00DA3C6E">
        <w:rPr>
          <w:rFonts w:eastAsia="Calibri" w:cs="Times New Roman"/>
          <w:szCs w:val="20"/>
          <w:lang w:eastAsia="en-US"/>
        </w:rPr>
        <w:fldChar w:fldCharType="begin"/>
      </w:r>
      <w:r w:rsidR="00DB568A" w:rsidRPr="00DA3C6E">
        <w:rPr>
          <w:rFonts w:eastAsia="Calibri" w:cs="Times New Roman"/>
          <w:szCs w:val="20"/>
          <w:lang w:eastAsia="en-US"/>
        </w:rPr>
        <w:instrText xml:space="preserve"> ADDIN EN.CITE &lt;EndNote&gt;&lt;Cite&gt;&lt;Author&gt;Joint Task Force of the EFNS and PNS&lt;/Author&gt;&lt;Year&gt;2010&lt;/Year&gt;&lt;RecNum&gt;32&lt;/RecNum&gt;&lt;DisplayText&gt;(18)&lt;/DisplayText&gt;&lt;record&gt;&lt;rec-number&gt;32&lt;/rec-number&gt;&lt;foreign-keys&gt;&lt;key app="EN" db-id="0992p2ztn5fez9e2wvnpw2xstd20f9w2dezz" timestamp="1586818281"&gt;32&lt;/key&gt;&lt;/foreign-keys&gt;&lt;ref-type name="Journal Article"&gt;17&lt;/ref-type&gt;&lt;contributors&gt;&lt;authors&gt;&lt;author&gt;Joint Task Force of the EFNS and PNS,&lt;/author&gt;&lt;/authors&gt;&lt;/contributors&gt;&lt;titles&gt;&lt;title&gt;European Federation of Neurological Societies/Peripheral Nerve Society Guideline on management of multifocal motor neuropathy. Report of a Joint Task Force of the European Federation of Neurological Societies and the Peripheral Nerve Society – first revision&lt;/title&gt;&lt;secondary-title&gt;Journal of the Peripheral Nervous System&lt;/secondary-title&gt;&lt;/titles&gt;&lt;periodical&gt;&lt;full-title&gt;Journal of the Peripheral Nervous System&lt;/full-title&gt;&lt;/periodical&gt;&lt;pages&gt;295-301&lt;/pages&gt;&lt;volume&gt;15&lt;/volume&gt;&lt;number&gt;4&lt;/number&gt;&lt;keywords&gt;&lt;keyword&gt;definition&lt;/keyword&gt;&lt;keyword&gt;diagnosis&lt;/keyword&gt;&lt;keyword&gt;guidelines&lt;/keyword&gt;&lt;keyword&gt;multifocal motor neuropathy&lt;/keyword&gt;&lt;keyword&gt;treatment&lt;/keyword&gt;&lt;/keywords&gt;&lt;dates&gt;&lt;year&gt;2010&lt;/year&gt;&lt;pub-dates&gt;&lt;date&gt;2010/12/01&lt;/date&gt;&lt;/pub-dates&gt;&lt;/dates&gt;&lt;publisher&gt;John Wiley &amp;amp; Sons, Ltd (10.1111)&lt;/publisher&gt;&lt;isbn&gt;1085-9489&lt;/isbn&gt;&lt;urls&gt;&lt;related-urls&gt;&lt;url&gt;https://doi.org/10.1111/j.1529-8027.2010.00290.x&lt;/url&gt;&lt;/related-urls&gt;&lt;/urls&gt;&lt;electronic-resource-num&gt;10.1111/j.1529-8027.2010.00290.x&lt;/electronic-resource-num&gt;&lt;access-date&gt;2019/09/18&lt;/access-date&gt;&lt;/record&gt;&lt;/Cite&gt;&lt;/EndNote&gt;</w:instrText>
      </w:r>
      <w:r w:rsidR="00DB568A" w:rsidRPr="00DA3C6E">
        <w:rPr>
          <w:rFonts w:eastAsia="Calibri" w:cs="Times New Roman"/>
          <w:szCs w:val="20"/>
          <w:lang w:eastAsia="en-US"/>
        </w:rPr>
        <w:fldChar w:fldCharType="separate"/>
      </w:r>
      <w:r w:rsidR="00DB568A" w:rsidRPr="00DA3C6E">
        <w:rPr>
          <w:rFonts w:eastAsia="Calibri" w:cs="Times New Roman"/>
          <w:noProof/>
          <w:szCs w:val="20"/>
          <w:lang w:eastAsia="en-US"/>
        </w:rPr>
        <w:t>(</w:t>
      </w:r>
      <w:hyperlink w:anchor="_ENREF_18" w:tooltip="Joint Task Force of the EFNS and PNS, 2010 #32" w:history="1">
        <w:r w:rsidR="00C04BCE" w:rsidRPr="00DA3C6E">
          <w:rPr>
            <w:rFonts w:eastAsia="Calibri" w:cs="Times New Roman"/>
            <w:noProof/>
            <w:szCs w:val="20"/>
            <w:lang w:eastAsia="en-US"/>
          </w:rPr>
          <w:t>18</w:t>
        </w:r>
      </w:hyperlink>
      <w:r w:rsidR="00DB568A" w:rsidRPr="00DA3C6E">
        <w:rPr>
          <w:rFonts w:eastAsia="Calibri" w:cs="Times New Roman"/>
          <w:noProof/>
          <w:szCs w:val="20"/>
          <w:lang w:eastAsia="en-US"/>
        </w:rPr>
        <w:t>)</w:t>
      </w:r>
      <w:bookmarkEnd w:id="86"/>
      <w:r w:rsidR="00DB568A" w:rsidRPr="00DA3C6E">
        <w:rPr>
          <w:rFonts w:eastAsia="Calibri" w:cs="Times New Roman"/>
          <w:szCs w:val="20"/>
          <w:lang w:eastAsia="en-US"/>
        </w:rPr>
        <w:fldChar w:fldCharType="end"/>
      </w:r>
    </w:p>
    <w:tbl>
      <w:tblPr>
        <w:tblStyle w:val="TableGrid10"/>
        <w:tblW w:w="0" w:type="auto"/>
        <w:tblLook w:val="04A0" w:firstRow="1" w:lastRow="0" w:firstColumn="1" w:lastColumn="0" w:noHBand="0" w:noVBand="1"/>
        <w:tblCaption w:val="Table 6: Diagnostic criteria and diagnostic tests for MMN as presented in the 2010 EFNS/PNS guideline (18)"/>
      </w:tblPr>
      <w:tblGrid>
        <w:gridCol w:w="3005"/>
        <w:gridCol w:w="3369"/>
        <w:gridCol w:w="2642"/>
      </w:tblGrid>
      <w:tr w:rsidR="00C44F6A" w:rsidRPr="00DA3C6E" w14:paraId="76AB186F" w14:textId="77777777" w:rsidTr="00D2465D">
        <w:trPr>
          <w:tblHeader/>
        </w:trPr>
        <w:tc>
          <w:tcPr>
            <w:tcW w:w="3005" w:type="dxa"/>
            <w:vAlign w:val="center"/>
          </w:tcPr>
          <w:p w14:paraId="4FC874AC" w14:textId="77777777" w:rsidR="00C44F6A" w:rsidRPr="00DA3C6E" w:rsidRDefault="00C44F6A" w:rsidP="00862BB1">
            <w:pPr>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 xml:space="preserve">Clinical criteria </w:t>
            </w:r>
          </w:p>
        </w:tc>
        <w:tc>
          <w:tcPr>
            <w:tcW w:w="3369" w:type="dxa"/>
            <w:vAlign w:val="center"/>
          </w:tcPr>
          <w:p w14:paraId="5830CB97" w14:textId="77777777" w:rsidR="00C44F6A" w:rsidRPr="00DA3C6E" w:rsidRDefault="00C44F6A" w:rsidP="00862BB1">
            <w:pPr>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Electrophysiological criteria</w:t>
            </w:r>
          </w:p>
        </w:tc>
        <w:tc>
          <w:tcPr>
            <w:tcW w:w="2642" w:type="dxa"/>
            <w:vAlign w:val="center"/>
          </w:tcPr>
          <w:p w14:paraId="62FF4947" w14:textId="77777777" w:rsidR="00C44F6A" w:rsidRPr="00DA3C6E" w:rsidRDefault="00C44F6A" w:rsidP="00862BB1">
            <w:pPr>
              <w:keepLines/>
              <w:spacing w:after="0" w:line="276" w:lineRule="auto"/>
              <w:rPr>
                <w:rFonts w:ascii="Arial Narrow" w:eastAsia="Calibri" w:hAnsi="Arial Narrow" w:cstheme="minorHAnsi"/>
                <w:b/>
                <w:sz w:val="20"/>
                <w:szCs w:val="20"/>
              </w:rPr>
            </w:pPr>
            <w:r w:rsidRPr="00DA3C6E">
              <w:rPr>
                <w:rFonts w:ascii="Arial Narrow" w:eastAsia="Calibri" w:hAnsi="Arial Narrow" w:cstheme="minorHAnsi"/>
                <w:b/>
                <w:sz w:val="20"/>
                <w:szCs w:val="20"/>
              </w:rPr>
              <w:t>Supportive criteria</w:t>
            </w:r>
          </w:p>
        </w:tc>
      </w:tr>
      <w:tr w:rsidR="00C44F6A" w:rsidRPr="00DA3C6E" w14:paraId="2BE9137B" w14:textId="77777777" w:rsidTr="00D2465D">
        <w:tc>
          <w:tcPr>
            <w:tcW w:w="3005" w:type="dxa"/>
            <w:vAlign w:val="center"/>
          </w:tcPr>
          <w:p w14:paraId="1CD54CE4"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Core (required)</w:t>
            </w:r>
          </w:p>
          <w:p w14:paraId="3DF39654"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Slowly progressive or stepwise progressive, focal, asymmetric limb weakness; that is, motor involvement in the motor nerve distribution of at least two nerves for more than 1 month. If symptoms and signs are present only in the distribution of one nerve, only a possible diagnosis can be made.</w:t>
            </w:r>
          </w:p>
          <w:p w14:paraId="44DAE3A4"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No objective sensory abnormalities except for minor vibration sense abnormalities in the lower limbs.</w:t>
            </w:r>
          </w:p>
          <w:p w14:paraId="1C5BDD3A"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Supportive</w:t>
            </w:r>
          </w:p>
          <w:p w14:paraId="0B42BAF6"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Predominant upper limb involvement.</w:t>
            </w:r>
          </w:p>
          <w:p w14:paraId="1A0B2E62"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Decreased or absent tendon reflexes in the affected limb.</w:t>
            </w:r>
          </w:p>
          <w:p w14:paraId="39FF363A"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Absence of cranial nerve involvement.</w:t>
            </w:r>
          </w:p>
          <w:p w14:paraId="0ED013A2"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Cramps and fasciculations in the affected limb.</w:t>
            </w:r>
          </w:p>
          <w:p w14:paraId="5F8DE90B"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Response in terms of disability or muscle strength to immunomodulatory therapy.</w:t>
            </w:r>
          </w:p>
          <w:p w14:paraId="623237DD"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Exclusion criteria</w:t>
            </w:r>
          </w:p>
          <w:p w14:paraId="3B961691"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Upper motor neuron signs.</w:t>
            </w:r>
          </w:p>
          <w:p w14:paraId="07EC8721" w14:textId="77777777" w:rsidR="00C44F6A" w:rsidRPr="00DA3C6E" w:rsidRDefault="00C44F6A" w:rsidP="0073359F">
            <w:pPr>
              <w:numPr>
                <w:ilvl w:val="0"/>
                <w:numId w:val="20"/>
              </w:numPr>
              <w:spacing w:after="0" w:line="240" w:lineRule="auto"/>
              <w:ind w:left="313" w:hanging="219"/>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Marked bulbar involvement.</w:t>
            </w:r>
          </w:p>
          <w:p w14:paraId="1808B749" w14:textId="77777777" w:rsidR="00C44F6A" w:rsidRPr="00DA3C6E" w:rsidRDefault="00C44F6A" w:rsidP="0073359F">
            <w:pPr>
              <w:numPr>
                <w:ilvl w:val="0"/>
                <w:numId w:val="20"/>
              </w:numPr>
              <w:spacing w:after="0" w:line="240" w:lineRule="auto"/>
              <w:ind w:left="313" w:hanging="31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Sensory impairment more marked than minor vibration loss in the lower limbs.</w:t>
            </w:r>
          </w:p>
          <w:p w14:paraId="216C2B23" w14:textId="77777777" w:rsidR="00C44F6A" w:rsidRPr="00DA3C6E" w:rsidRDefault="00C44F6A" w:rsidP="0073359F">
            <w:pPr>
              <w:numPr>
                <w:ilvl w:val="0"/>
                <w:numId w:val="20"/>
              </w:numPr>
              <w:spacing w:after="0" w:line="240" w:lineRule="auto"/>
              <w:ind w:left="313" w:hanging="31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Diffuse symmetric weakness during initial weeks.</w:t>
            </w:r>
          </w:p>
        </w:tc>
        <w:tc>
          <w:tcPr>
            <w:tcW w:w="3369" w:type="dxa"/>
            <w:vAlign w:val="center"/>
          </w:tcPr>
          <w:p w14:paraId="4DBF995B" w14:textId="77777777" w:rsidR="00C44F6A" w:rsidRPr="00DA3C6E" w:rsidRDefault="00C44F6A" w:rsidP="00F94BC3">
            <w:p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Definite motor CB</w:t>
            </w:r>
            <w:r w:rsidRPr="00DA3C6E">
              <w:rPr>
                <w:rFonts w:ascii="Arial Narrow" w:eastAsia="Calibri" w:hAnsi="Arial Narrow" w:cstheme="minorHAnsi"/>
                <w:sz w:val="20"/>
                <w:szCs w:val="20"/>
                <w:vertAlign w:val="superscript"/>
              </w:rPr>
              <w:t>a</w:t>
            </w:r>
          </w:p>
          <w:p w14:paraId="4A6B2860"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Negative peak CMAP area reduction on proximal versus distal stimulation of at least 50% regardless of nerve segment length (median, ulnar, and peroneal). </w:t>
            </w:r>
          </w:p>
          <w:p w14:paraId="0BF8CF6F"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Negative peak CMAP amplitude on stimulation of the distal nerve segment &gt;20% of the lower limit of normal and &gt;1 mV. </w:t>
            </w:r>
          </w:p>
          <w:p w14:paraId="633A7FA8"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Increase of proximal to distal negative peak CMAP duration of ≤30%.</w:t>
            </w:r>
          </w:p>
          <w:p w14:paraId="564041EC" w14:textId="77777777" w:rsidR="00C44F6A" w:rsidRPr="00DA3C6E" w:rsidRDefault="00C44F6A" w:rsidP="00F94BC3">
            <w:pPr>
              <w:spacing w:after="0" w:line="240" w:lineRule="auto"/>
              <w:ind w:left="14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Probable motor CB</w:t>
            </w:r>
            <w:r w:rsidRPr="00DA3C6E">
              <w:rPr>
                <w:rFonts w:ascii="Arial Narrow" w:eastAsia="Calibri" w:hAnsi="Arial Narrow" w:cstheme="minorHAnsi"/>
                <w:sz w:val="20"/>
                <w:szCs w:val="20"/>
                <w:vertAlign w:val="superscript"/>
              </w:rPr>
              <w:t>a</w:t>
            </w:r>
          </w:p>
          <w:p w14:paraId="7A2DD82B"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Negative peak CMAP area reduction of at least 30% over a long segment (eg, wrist to elbow or elbow to axilla) of an upper limb nerve with increase of proximal to distal negative peak CMAP duration of ≤30%. </w:t>
            </w:r>
          </w:p>
          <w:p w14:paraId="4BCAD6DE" w14:textId="77777777" w:rsidR="00C44F6A" w:rsidRPr="00DA3C6E" w:rsidRDefault="00C44F6A" w:rsidP="00F94BC3">
            <w:pPr>
              <w:spacing w:after="0" w:line="240" w:lineRule="auto"/>
              <w:ind w:left="426"/>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OR</w:t>
            </w:r>
          </w:p>
          <w:p w14:paraId="3FA1D632"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Negative peak CMAP area reduction of at least 50% with an increase of proximal to distal negative peak CMAP duration of &gt;30%.</w:t>
            </w:r>
          </w:p>
          <w:p w14:paraId="3EA303F2" w14:textId="77777777" w:rsidR="00C44F6A" w:rsidRPr="00DA3C6E" w:rsidRDefault="00C44F6A" w:rsidP="0073359F">
            <w:pPr>
              <w:numPr>
                <w:ilvl w:val="0"/>
                <w:numId w:val="21"/>
              </w:numPr>
              <w:spacing w:after="0" w:line="240" w:lineRule="auto"/>
              <w:ind w:left="426" w:hanging="283"/>
              <w:contextualSpacing/>
              <w:jc w:val="left"/>
              <w:rPr>
                <w:rFonts w:ascii="Arial Narrow" w:eastAsia="Calibri" w:hAnsi="Arial Narrow" w:cstheme="minorHAnsi"/>
                <w:sz w:val="20"/>
                <w:szCs w:val="20"/>
              </w:rPr>
            </w:pPr>
            <w:r w:rsidRPr="00DA3C6E">
              <w:rPr>
                <w:rFonts w:ascii="Arial Narrow" w:eastAsia="Calibri" w:hAnsi="Arial Narrow" w:cstheme="minorHAnsi"/>
                <w:bCs/>
                <w:sz w:val="20"/>
                <w:szCs w:val="20"/>
              </w:rPr>
              <w:t>Normal sensory nerve conduction</w:t>
            </w:r>
            <w:r w:rsidRPr="00DA3C6E">
              <w:rPr>
                <w:rFonts w:ascii="Arial Narrow" w:eastAsia="Calibri" w:hAnsi="Arial Narrow" w:cstheme="minorHAnsi"/>
                <w:sz w:val="20"/>
                <w:szCs w:val="20"/>
              </w:rPr>
              <w:t xml:space="preserve"> in upper limb segments with CB (see exclusion criteria under clinical criteria).</w:t>
            </w:r>
          </w:p>
        </w:tc>
        <w:tc>
          <w:tcPr>
            <w:tcW w:w="2642" w:type="dxa"/>
            <w:vAlign w:val="center"/>
          </w:tcPr>
          <w:p w14:paraId="0EDB3535" w14:textId="77777777" w:rsidR="00C44F6A" w:rsidRPr="00DA3C6E" w:rsidRDefault="00C44F6A" w:rsidP="0073359F">
            <w:pPr>
              <w:numPr>
                <w:ilvl w:val="0"/>
                <w:numId w:val="22"/>
              </w:numPr>
              <w:spacing w:after="0" w:line="240" w:lineRule="auto"/>
              <w:ind w:left="460"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Elevated IgM anti-ganglioside GM1 antibodies.</w:t>
            </w:r>
          </w:p>
          <w:p w14:paraId="0A94E103" w14:textId="77777777" w:rsidR="00C44F6A" w:rsidRPr="00DA3C6E" w:rsidRDefault="00C44F6A" w:rsidP="0073359F">
            <w:pPr>
              <w:numPr>
                <w:ilvl w:val="0"/>
                <w:numId w:val="22"/>
              </w:numPr>
              <w:spacing w:after="0" w:line="240" w:lineRule="auto"/>
              <w:ind w:left="460"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Increased CSF protein (</w:t>
            </w:r>
            <w:r w:rsidRPr="00DA3C6E">
              <w:rPr>
                <w:rFonts w:ascii="Arial Narrow" w:eastAsia="Calibri" w:hAnsi="Arial Narrow" w:cstheme="minorHAnsi"/>
                <w:i/>
                <w:iCs/>
                <w:sz w:val="20"/>
                <w:szCs w:val="20"/>
              </w:rPr>
              <w:t>&lt;</w:t>
            </w:r>
            <w:r w:rsidRPr="00DA3C6E">
              <w:rPr>
                <w:rFonts w:ascii="Arial Narrow" w:eastAsia="Calibri" w:hAnsi="Arial Narrow" w:cstheme="minorHAnsi"/>
                <w:sz w:val="20"/>
                <w:szCs w:val="20"/>
              </w:rPr>
              <w:t>1 g/l).</w:t>
            </w:r>
          </w:p>
          <w:p w14:paraId="0C88F0C2" w14:textId="77777777" w:rsidR="00C44F6A" w:rsidRPr="00DA3C6E" w:rsidRDefault="00C44F6A" w:rsidP="0073359F">
            <w:pPr>
              <w:numPr>
                <w:ilvl w:val="0"/>
                <w:numId w:val="22"/>
              </w:numPr>
              <w:spacing w:after="0" w:line="240" w:lineRule="auto"/>
              <w:ind w:left="460"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Magnetic resonance imaging showing increased signal intensity on T2-weighted imaging associated with a diffuse nerve swelling of the brachial plexus.</w:t>
            </w:r>
          </w:p>
          <w:p w14:paraId="7C88EC95" w14:textId="77777777" w:rsidR="00C44F6A" w:rsidRPr="00DA3C6E" w:rsidRDefault="00C44F6A" w:rsidP="000B75F5">
            <w:pPr>
              <w:numPr>
                <w:ilvl w:val="0"/>
                <w:numId w:val="22"/>
              </w:numPr>
              <w:spacing w:after="0" w:line="240" w:lineRule="auto"/>
              <w:ind w:left="460" w:hanging="283"/>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Objective clinical improvement following Ig</w:t>
            </w:r>
            <w:r w:rsidR="000B75F5" w:rsidRPr="00DA3C6E">
              <w:rPr>
                <w:rFonts w:ascii="Arial Narrow" w:eastAsia="Calibri" w:hAnsi="Arial Narrow" w:cstheme="minorHAnsi"/>
                <w:sz w:val="20"/>
                <w:szCs w:val="20"/>
              </w:rPr>
              <w:t xml:space="preserve"> </w:t>
            </w:r>
            <w:r w:rsidRPr="00DA3C6E">
              <w:rPr>
                <w:rFonts w:ascii="Arial Narrow" w:eastAsia="Calibri" w:hAnsi="Arial Narrow" w:cstheme="minorHAnsi"/>
                <w:sz w:val="20"/>
                <w:szCs w:val="20"/>
              </w:rPr>
              <w:t>treatment.</w:t>
            </w:r>
          </w:p>
        </w:tc>
      </w:tr>
      <w:tr w:rsidR="00C44F6A" w:rsidRPr="00DA3C6E" w14:paraId="2181D340" w14:textId="77777777" w:rsidTr="00D2465D">
        <w:tc>
          <w:tcPr>
            <w:tcW w:w="9016" w:type="dxa"/>
            <w:gridSpan w:val="3"/>
            <w:vAlign w:val="center"/>
          </w:tcPr>
          <w:p w14:paraId="279D1932" w14:textId="77777777" w:rsidR="00C44F6A" w:rsidRPr="00DA3C6E" w:rsidRDefault="00C44F6A" w:rsidP="00F94BC3">
            <w:pPr>
              <w:spacing w:after="0" w:line="276" w:lineRule="auto"/>
              <w:jc w:val="left"/>
              <w:rPr>
                <w:rFonts w:ascii="Arial Narrow" w:eastAsia="Calibri" w:hAnsi="Arial Narrow" w:cstheme="minorHAnsi"/>
                <w:sz w:val="20"/>
                <w:szCs w:val="20"/>
                <w:u w:val="single"/>
              </w:rPr>
            </w:pPr>
            <w:r w:rsidRPr="00DA3C6E">
              <w:rPr>
                <w:rFonts w:ascii="Arial Narrow" w:eastAsia="Calibri" w:hAnsi="Arial Narrow" w:cstheme="minorHAnsi"/>
                <w:sz w:val="20"/>
                <w:szCs w:val="20"/>
                <w:u w:val="single"/>
              </w:rPr>
              <w:t xml:space="preserve">Diagnostic categories </w:t>
            </w:r>
          </w:p>
          <w:p w14:paraId="50DC5FE4"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Definite MMN: </w:t>
            </w:r>
          </w:p>
          <w:p w14:paraId="315787AB" w14:textId="77777777" w:rsidR="00C44F6A" w:rsidRPr="00DA3C6E" w:rsidRDefault="00C44F6A" w:rsidP="0073359F">
            <w:pPr>
              <w:numPr>
                <w:ilvl w:val="0"/>
                <w:numId w:val="27"/>
              </w:num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clinical criteria 1,2, AND 8-11 AND electrophysiological criteria 1 and 3 in one nerve.</w:t>
            </w:r>
          </w:p>
          <w:p w14:paraId="05FC7CCC"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lastRenderedPageBreak/>
              <w:t xml:space="preserve">Probable MMN: </w:t>
            </w:r>
          </w:p>
          <w:p w14:paraId="424C5123" w14:textId="77777777" w:rsidR="00C44F6A" w:rsidRPr="00DA3C6E" w:rsidRDefault="00C44F6A" w:rsidP="0073359F">
            <w:pPr>
              <w:numPr>
                <w:ilvl w:val="0"/>
                <w:numId w:val="25"/>
              </w:num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clinical criteria 1,2, AND 8-11 AND electrophysiological criteria 2 and 3 in two nerves; </w:t>
            </w:r>
          </w:p>
          <w:p w14:paraId="04D179F2" w14:textId="77777777" w:rsidR="00C44F6A" w:rsidRPr="00DA3C6E" w:rsidRDefault="00C44F6A" w:rsidP="0073359F">
            <w:pPr>
              <w:numPr>
                <w:ilvl w:val="0"/>
                <w:numId w:val="25"/>
              </w:num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clinical criteria 1,2, and 8-11 AND electrophysiological criteria 2 and 3 in two nerves AND at least two supportive criteria 1-4.</w:t>
            </w:r>
          </w:p>
          <w:p w14:paraId="733FDE4D"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Possible MMN: </w:t>
            </w:r>
          </w:p>
          <w:p w14:paraId="7440224F" w14:textId="77777777" w:rsidR="00C44F6A" w:rsidRPr="00DA3C6E" w:rsidRDefault="00C44F6A" w:rsidP="0073359F">
            <w:pPr>
              <w:numPr>
                <w:ilvl w:val="0"/>
                <w:numId w:val="26"/>
              </w:num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 xml:space="preserve">clinical criteria 1, 2, AND 8-11 AND normal sensory nerve conduction studies AND supportive criteria 4; </w:t>
            </w:r>
          </w:p>
          <w:p w14:paraId="5B713818" w14:textId="77777777" w:rsidR="00C44F6A" w:rsidRPr="00DA3C6E" w:rsidRDefault="00C44F6A" w:rsidP="0073359F">
            <w:pPr>
              <w:numPr>
                <w:ilvl w:val="0"/>
                <w:numId w:val="26"/>
              </w:numPr>
              <w:spacing w:after="0" w:line="240" w:lineRule="auto"/>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clinical criteria 1 with clinical signs present in only one nerve, clinical criteria 2 AND 8-11 AND electrophysiological criteria 1 or 2 and 3 in one nerve.</w:t>
            </w:r>
          </w:p>
        </w:tc>
      </w:tr>
      <w:tr w:rsidR="00C44F6A" w:rsidRPr="00DA3C6E" w14:paraId="5BC61220" w14:textId="77777777" w:rsidTr="00D2465D">
        <w:tc>
          <w:tcPr>
            <w:tcW w:w="9016" w:type="dxa"/>
            <w:gridSpan w:val="3"/>
            <w:vAlign w:val="center"/>
          </w:tcPr>
          <w:p w14:paraId="0C92129F"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lastRenderedPageBreak/>
              <w:t>Good practice points for diagnostic criteria</w:t>
            </w:r>
          </w:p>
          <w:p w14:paraId="5AE12577" w14:textId="77777777" w:rsidR="00C44F6A" w:rsidRPr="00DA3C6E" w:rsidRDefault="00C44F6A" w:rsidP="0073359F">
            <w:pPr>
              <w:numPr>
                <w:ilvl w:val="0"/>
                <w:numId w:val="23"/>
              </w:numPr>
              <w:spacing w:after="0" w:line="240" w:lineRule="auto"/>
              <w:ind w:left="313" w:hanging="266"/>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Clinical: the two core criteria and all exclusion criteria should be met.</w:t>
            </w:r>
          </w:p>
          <w:p w14:paraId="0A673FEB" w14:textId="77777777" w:rsidR="00C44F6A" w:rsidRPr="00DA3C6E" w:rsidRDefault="00C44F6A" w:rsidP="0073359F">
            <w:pPr>
              <w:numPr>
                <w:ilvl w:val="0"/>
                <w:numId w:val="23"/>
              </w:numPr>
              <w:spacing w:after="0" w:line="240" w:lineRule="auto"/>
              <w:ind w:left="313" w:hanging="266"/>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Electro-diagnostic: definite or probable CB in at least one nerve.</w:t>
            </w:r>
          </w:p>
          <w:p w14:paraId="360BCD40" w14:textId="77777777" w:rsidR="00C44F6A" w:rsidRPr="00DA3C6E" w:rsidRDefault="00C44F6A" w:rsidP="0073359F">
            <w:pPr>
              <w:numPr>
                <w:ilvl w:val="0"/>
                <w:numId w:val="23"/>
              </w:numPr>
              <w:spacing w:after="0" w:line="240" w:lineRule="auto"/>
              <w:ind w:left="313" w:hanging="266"/>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Supportive: anti-GM1 antibodies, MRI, CSF, and treatment response</w:t>
            </w:r>
          </w:p>
          <w:p w14:paraId="7DCDD089" w14:textId="77777777" w:rsidR="00C44F6A" w:rsidRPr="00DA3C6E" w:rsidRDefault="00C44F6A" w:rsidP="0073359F">
            <w:pPr>
              <w:numPr>
                <w:ilvl w:val="0"/>
                <w:numId w:val="23"/>
              </w:numPr>
              <w:spacing w:after="0" w:line="240" w:lineRule="auto"/>
              <w:ind w:left="313" w:hanging="266"/>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Categories: definite and probable MMN</w:t>
            </w:r>
          </w:p>
        </w:tc>
      </w:tr>
      <w:tr w:rsidR="00C44F6A" w:rsidRPr="00DA3C6E" w14:paraId="49117731" w14:textId="77777777" w:rsidTr="00D2465D">
        <w:tc>
          <w:tcPr>
            <w:tcW w:w="9016" w:type="dxa"/>
            <w:gridSpan w:val="3"/>
            <w:vAlign w:val="center"/>
          </w:tcPr>
          <w:p w14:paraId="58B2474A" w14:textId="77777777" w:rsidR="00C44F6A" w:rsidRPr="00DA3C6E" w:rsidRDefault="00C44F6A" w:rsidP="00F94BC3">
            <w:pPr>
              <w:spacing w:after="0" w:line="276" w:lineRule="auto"/>
              <w:jc w:val="left"/>
              <w:rPr>
                <w:rFonts w:ascii="Arial Narrow" w:eastAsia="Calibri" w:hAnsi="Arial Narrow" w:cstheme="minorHAnsi"/>
                <w:sz w:val="20"/>
                <w:szCs w:val="20"/>
              </w:rPr>
            </w:pPr>
            <w:r w:rsidRPr="00DA3C6E">
              <w:rPr>
                <w:rFonts w:ascii="Arial Narrow" w:eastAsia="Calibri" w:hAnsi="Arial Narrow" w:cstheme="minorHAnsi"/>
                <w:sz w:val="20"/>
                <w:szCs w:val="20"/>
              </w:rPr>
              <w:t>Good practice points for diagnostic tests</w:t>
            </w:r>
          </w:p>
          <w:p w14:paraId="4A65D0C7" w14:textId="77777777" w:rsidR="00C44F6A" w:rsidRPr="00DA3C6E" w:rsidRDefault="00C44F6A" w:rsidP="0073359F">
            <w:pPr>
              <w:numPr>
                <w:ilvl w:val="0"/>
                <w:numId w:val="24"/>
              </w:numPr>
              <w:spacing w:after="0" w:line="240" w:lineRule="auto"/>
              <w:ind w:left="313" w:hanging="284"/>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Clinical examination and electro-diagnostic tests should be done in all patients.</w:t>
            </w:r>
          </w:p>
          <w:p w14:paraId="3F07358A" w14:textId="77777777" w:rsidR="00C44F6A" w:rsidRPr="00DA3C6E" w:rsidRDefault="00C44F6A" w:rsidP="0073359F">
            <w:pPr>
              <w:numPr>
                <w:ilvl w:val="0"/>
                <w:numId w:val="24"/>
              </w:numPr>
              <w:spacing w:after="0" w:line="240" w:lineRule="auto"/>
              <w:ind w:left="313" w:hanging="284"/>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Anti-ganglioside GM1 antibody testing, MRI of the brachial plexus, and CSF examination should be considered in selected patients.</w:t>
            </w:r>
          </w:p>
          <w:p w14:paraId="129DC168" w14:textId="77777777" w:rsidR="00C44F6A" w:rsidRPr="00DA3C6E" w:rsidRDefault="00C44F6A" w:rsidP="0073359F">
            <w:pPr>
              <w:numPr>
                <w:ilvl w:val="0"/>
                <w:numId w:val="24"/>
              </w:numPr>
              <w:spacing w:after="0" w:line="240" w:lineRule="auto"/>
              <w:ind w:left="313" w:hanging="284"/>
              <w:contextualSpacing/>
              <w:jc w:val="left"/>
              <w:rPr>
                <w:rFonts w:ascii="Arial Narrow" w:eastAsia="Calibri" w:hAnsi="Arial Narrow" w:cstheme="minorHAnsi"/>
                <w:sz w:val="20"/>
                <w:szCs w:val="20"/>
              </w:rPr>
            </w:pPr>
            <w:r w:rsidRPr="00DA3C6E">
              <w:rPr>
                <w:rFonts w:ascii="Arial Narrow" w:eastAsia="Calibri" w:hAnsi="Arial Narrow" w:cstheme="minorHAnsi"/>
                <w:sz w:val="20"/>
                <w:szCs w:val="20"/>
              </w:rPr>
              <w:t>Investigations to discover concomitant disease or exclude other possible causes should be considered, but the choice of tests will depend on the individual circumstances</w:t>
            </w:r>
          </w:p>
        </w:tc>
      </w:tr>
    </w:tbl>
    <w:p w14:paraId="3E16666C" w14:textId="77777777" w:rsidR="00C44F6A" w:rsidRPr="00DA3C6E" w:rsidRDefault="00C44F6A" w:rsidP="00862BB1">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Abbreviations: CB = conduction block; CMAP = compound muscle action potential; CSF = cerebrospinal fluid; </w:t>
      </w:r>
      <w:r w:rsidR="00E04496" w:rsidRPr="00DA3C6E">
        <w:rPr>
          <w:rFonts w:ascii="Arial Narrow" w:eastAsia="Calibri" w:hAnsi="Arial Narrow" w:cs="Times New Roman"/>
          <w:sz w:val="18"/>
          <w:lang w:eastAsia="en-US"/>
        </w:rPr>
        <w:t xml:space="preserve">Ig = </w:t>
      </w:r>
      <w:r w:rsidR="00BB78CC" w:rsidRPr="00DA3C6E">
        <w:rPr>
          <w:rFonts w:ascii="Arial Narrow" w:eastAsia="Calibri" w:hAnsi="Arial Narrow" w:cs="Times New Roman"/>
          <w:sz w:val="18"/>
          <w:lang w:eastAsia="en-US"/>
        </w:rPr>
        <w:t xml:space="preserve">immunoglobulin; </w:t>
      </w:r>
      <w:r w:rsidRPr="00DA3C6E">
        <w:rPr>
          <w:rFonts w:ascii="Arial Narrow" w:eastAsia="Calibri" w:hAnsi="Arial Narrow" w:cs="Times New Roman"/>
          <w:sz w:val="18"/>
          <w:lang w:eastAsia="en-US"/>
        </w:rPr>
        <w:t>MMN = multifocal motor neuropathy; MRI = magnetic resonance imaging</w:t>
      </w:r>
      <w:r w:rsidR="00AF5025" w:rsidRPr="00DA3C6E">
        <w:rPr>
          <w:rFonts w:ascii="Arial Narrow" w:eastAsia="Calibri" w:hAnsi="Arial Narrow" w:cs="Times New Roman"/>
          <w:sz w:val="18"/>
          <w:lang w:eastAsia="en-US"/>
        </w:rPr>
        <w:t xml:space="preserve">. </w:t>
      </w:r>
    </w:p>
    <w:p w14:paraId="7C640BFB" w14:textId="77777777" w:rsidR="00C44F6A" w:rsidRPr="00DA3C6E" w:rsidRDefault="00C44F6A" w:rsidP="00862BB1">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Note: </w:t>
      </w:r>
      <w:r w:rsidRPr="00DA3C6E">
        <w:rPr>
          <w:rFonts w:ascii="Arial Narrow" w:eastAsia="Calibri" w:hAnsi="Arial Narrow" w:cs="Times New Roman"/>
          <w:sz w:val="18"/>
          <w:vertAlign w:val="superscript"/>
          <w:lang w:eastAsia="en-US"/>
        </w:rPr>
        <w:t>a</w:t>
      </w:r>
      <w:r w:rsidRPr="00DA3C6E">
        <w:rPr>
          <w:rFonts w:ascii="Arial Narrow" w:eastAsia="Calibri" w:hAnsi="Arial Narrow" w:cs="Times New Roman"/>
          <w:sz w:val="18"/>
          <w:lang w:eastAsia="en-US"/>
        </w:rPr>
        <w:t>Evidence of CB must be found at sites distinct from common entrapment or compression syndromes.</w:t>
      </w:r>
    </w:p>
    <w:p w14:paraId="252C98B7" w14:textId="77777777" w:rsidR="00C44F6A" w:rsidRPr="00DA3C6E" w:rsidRDefault="00C44F6A" w:rsidP="00E16E87">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Source: van Schaik et al, 2010 (Table 1, p.298; Table 2, p.297; Table 3, p.298; Table 4, p.299; and text p298).</w:t>
      </w:r>
    </w:p>
    <w:p w14:paraId="3AEB7A20" w14:textId="77777777" w:rsidR="00C44F6A" w:rsidRPr="00DA3C6E" w:rsidRDefault="00C44F6A" w:rsidP="00D778BE">
      <w:pPr>
        <w:pStyle w:val="Heading2"/>
        <w:numPr>
          <w:ilvl w:val="0"/>
          <w:numId w:val="8"/>
        </w:numPr>
      </w:pPr>
      <w:bookmarkStart w:id="87" w:name="_Toc37845722"/>
      <w:r w:rsidRPr="00DA3C6E">
        <w:t xml:space="preserve">Comparator </w:t>
      </w:r>
      <w:r w:rsidR="00BB78CC" w:rsidRPr="00DA3C6E">
        <w:t>d</w:t>
      </w:r>
      <w:r w:rsidRPr="00DA3C6E">
        <w:t>etails</w:t>
      </w:r>
      <w:bookmarkEnd w:id="87"/>
    </w:p>
    <w:p w14:paraId="76B8E8B3" w14:textId="77777777" w:rsidR="00C44F6A" w:rsidRPr="00DA3C6E" w:rsidRDefault="00C44F6A" w:rsidP="00E16E87">
      <w:pPr>
        <w:rPr>
          <w:rFonts w:eastAsia="Calibri"/>
          <w:lang w:eastAsia="en-US"/>
        </w:rPr>
      </w:pPr>
      <w:r w:rsidRPr="00DA3C6E">
        <w:rPr>
          <w:rFonts w:eastAsia="Calibri"/>
          <w:lang w:eastAsia="en-US"/>
        </w:rPr>
        <w:t>There are no other NBA or Pharmaceutical Benefit Scheme</w:t>
      </w:r>
      <w:r w:rsidR="00BB78CC" w:rsidRPr="00DA3C6E">
        <w:rPr>
          <w:rFonts w:eastAsia="Calibri"/>
          <w:lang w:eastAsia="en-US"/>
        </w:rPr>
        <w:t xml:space="preserve"> (PBS) </w:t>
      </w:r>
      <w:r w:rsidRPr="00DA3C6E">
        <w:rPr>
          <w:rFonts w:eastAsia="Calibri"/>
          <w:lang w:eastAsia="en-US"/>
        </w:rPr>
        <w:t xml:space="preserve">subsidised treatments for MMN. The current practice for the treatment of MMN is </w:t>
      </w:r>
      <w:r w:rsidR="00BB78CC" w:rsidRPr="00DA3C6E">
        <w:rPr>
          <w:rFonts w:eastAsia="Calibri"/>
          <w:lang w:eastAsia="en-US"/>
        </w:rPr>
        <w:t>i</w:t>
      </w:r>
      <w:r w:rsidRPr="00DA3C6E">
        <w:rPr>
          <w:rFonts w:eastAsia="Calibri"/>
          <w:lang w:eastAsia="en-US"/>
        </w:rPr>
        <w:t>ntravenous Ig</w:t>
      </w:r>
      <w:r w:rsidR="00BB78CC" w:rsidRPr="00DA3C6E">
        <w:rPr>
          <w:rFonts w:eastAsia="Calibri"/>
          <w:lang w:eastAsia="en-US"/>
        </w:rPr>
        <w:t xml:space="preserve"> </w:t>
      </w:r>
      <w:r w:rsidRPr="00DA3C6E">
        <w:rPr>
          <w:rFonts w:eastAsia="Calibri"/>
          <w:lang w:eastAsia="en-US"/>
        </w:rPr>
        <w:t xml:space="preserve">available through the NBA. </w:t>
      </w:r>
    </w:p>
    <w:p w14:paraId="2EC41B62" w14:textId="77777777" w:rsidR="00C44F6A" w:rsidRPr="00DA3C6E" w:rsidRDefault="009E5A09" w:rsidP="001207B3">
      <w:pPr>
        <w:pStyle w:val="Heading3"/>
        <w:rPr>
          <w:rFonts w:eastAsia="MS Gothic"/>
          <w:lang w:eastAsia="en-US"/>
        </w:rPr>
      </w:pPr>
      <w:bookmarkStart w:id="88" w:name="_Toc37845723"/>
      <w:r w:rsidRPr="00DA3C6E">
        <w:rPr>
          <w:rFonts w:eastAsia="MS Gothic"/>
          <w:lang w:eastAsia="en-US"/>
        </w:rPr>
        <w:t xml:space="preserve">No </w:t>
      </w:r>
      <w:r w:rsidR="00C44F6A" w:rsidRPr="00DA3C6E">
        <w:rPr>
          <w:rFonts w:eastAsia="MS Gothic"/>
          <w:lang w:eastAsia="en-US"/>
        </w:rPr>
        <w:t xml:space="preserve">Ig </w:t>
      </w:r>
      <w:r w:rsidRPr="00DA3C6E">
        <w:rPr>
          <w:rFonts w:eastAsia="MS Gothic"/>
          <w:lang w:eastAsia="en-US"/>
        </w:rPr>
        <w:t xml:space="preserve">with </w:t>
      </w:r>
      <w:r w:rsidR="00BB78CC" w:rsidRPr="00DA3C6E">
        <w:rPr>
          <w:rFonts w:eastAsia="MS Gothic"/>
          <w:lang w:eastAsia="en-US"/>
        </w:rPr>
        <w:t>b</w:t>
      </w:r>
      <w:r w:rsidR="00C44F6A" w:rsidRPr="00DA3C6E">
        <w:rPr>
          <w:rFonts w:eastAsia="MS Gothic"/>
          <w:lang w:eastAsia="en-US"/>
        </w:rPr>
        <w:t xml:space="preserve">est </w:t>
      </w:r>
      <w:r w:rsidR="00BB78CC" w:rsidRPr="00DA3C6E">
        <w:rPr>
          <w:rFonts w:eastAsia="MS Gothic"/>
          <w:lang w:eastAsia="en-US"/>
        </w:rPr>
        <w:t>s</w:t>
      </w:r>
      <w:r w:rsidR="00C44F6A" w:rsidRPr="00DA3C6E">
        <w:rPr>
          <w:rFonts w:eastAsia="MS Gothic"/>
          <w:lang w:eastAsia="en-US"/>
        </w:rPr>
        <w:t>upportive care</w:t>
      </w:r>
      <w:bookmarkEnd w:id="88"/>
    </w:p>
    <w:p w14:paraId="345B37EC" w14:textId="4BE1BC20" w:rsidR="00C44F6A" w:rsidRPr="00DA3C6E" w:rsidRDefault="00C44F6A" w:rsidP="00E16E87">
      <w:pPr>
        <w:rPr>
          <w:rFonts w:eastAsia="Calibri"/>
          <w:lang w:eastAsia="en-US"/>
        </w:rPr>
      </w:pPr>
      <w:r w:rsidRPr="00DA3C6E">
        <w:rPr>
          <w:rFonts w:eastAsia="Calibri"/>
          <w:lang w:eastAsia="en-US"/>
        </w:rPr>
        <w:t xml:space="preserve">Immunoglobulins have been the gold standard of treatment for MMN since the early 1990s and are the standard treatment recommended in the 2010 EFNS/PNS MMN guideline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&lt;EndNote&gt;&lt;Cite&gt;&lt;Author&gt;Joint Task Force of the EFNS and PNS&lt;/Author&gt;&lt;Year&gt;2010&lt;/Year&gt;&lt;RecNum&gt;32&lt;/RecNum&gt;&lt;DisplayText&gt;(18)&lt;/DisplayText&gt;&lt;record&gt;&lt;rec-number&gt;32&lt;/rec-number&gt;&lt;foreign-keys&gt;&lt;key app="EN" db-id="0992p2ztn5fez9e2wvnpw2xstd20f9w2dezz" timestamp="1586818281"&gt;32&lt;/key&gt;&lt;/foreign-keys&gt;&lt;ref-type name="Journal Article"&gt;17&lt;/ref-type&gt;&lt;contributors&gt;&lt;authors&gt;&lt;author&gt;Joint Task Force of the EFNS and PNS,&lt;/author&gt;&lt;/authors&gt;&lt;/contributors&gt;&lt;titles&gt;&lt;title&gt;European Federation of Neurological Societies/Peripheral Nerve Society Guideline on management of multifocal motor neuropathy. Report of a Joint Task Force of the European Federation of Neurological Societies and the Peripheral Nerve Society – first revision&lt;/title&gt;&lt;secondary-title&gt;Journal of the Peripheral Nervous System&lt;/secondary-title&gt;&lt;/titles&gt;&lt;periodical&gt;&lt;full-title&gt;Journal of the Peripheral Nervous System&lt;/full-title&gt;&lt;/periodical&gt;&lt;pages&gt;295-301&lt;/pages&gt;&lt;volume&gt;15&lt;/volume&gt;&lt;number&gt;4&lt;/number&gt;&lt;keywords&gt;&lt;keyword&gt;definition&lt;/keyword&gt;&lt;keyword&gt;diagnosis&lt;/keyword&gt;&lt;keyword&gt;guidelines&lt;/keyword&gt;&lt;keyword&gt;multifocal motor neuropathy&lt;/keyword&gt;&lt;keyword&gt;treatment&lt;/keyword&gt;&lt;/keywords&gt;&lt;dates&gt;&lt;year&gt;2010&lt;/year&gt;&lt;pub-dates&gt;&lt;date&gt;2010/12/01&lt;/date&gt;&lt;/pub-dates&gt;&lt;/dates&gt;&lt;publisher&gt;John Wiley &amp;amp; Sons, Ltd (10.1111)&lt;/publisher&gt;&lt;isbn&gt;1085-9489&lt;/isbn&gt;&lt;urls&gt;&lt;related-urls&gt;&lt;url&gt;https://doi.org/10.1111/j.1529-8027.2010.00290.x&lt;/url&gt;&lt;/related-urls&gt;&lt;/urls&gt;&lt;electronic-resource-num&gt;10.1111/j.1529-8027.2010.00290.x&lt;/electronic-resource-num&gt;&lt;access-date&gt;2019/09/18&lt;/access-date&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18" w:tooltip="Joint Task Force of the EFNS and PNS, 2010 #32" w:history="1">
        <w:r w:rsidR="00C04BCE" w:rsidRPr="00DA3C6E">
          <w:rPr>
            <w:rFonts w:eastAsia="Calibri"/>
            <w:noProof/>
            <w:lang w:eastAsia="en-US"/>
          </w:rPr>
          <w:t>18</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and </w:t>
      </w:r>
      <w:r w:rsidR="005C129C" w:rsidRPr="00DA3C6E">
        <w:rPr>
          <w:rFonts w:eastAsia="Calibri"/>
          <w:lang w:eastAsia="en-US"/>
        </w:rPr>
        <w:t xml:space="preserve">The Criteria V3 in </w:t>
      </w:r>
      <w:r w:rsidR="0051675F" w:rsidRPr="00DA3C6E">
        <w:rPr>
          <w:rFonts w:eastAsia="Calibri"/>
          <w:lang w:eastAsia="en-US"/>
        </w:rPr>
        <w:t>Austral</w:t>
      </w:r>
      <w:r w:rsidR="00DA3C6E">
        <w:rPr>
          <w:rFonts w:eastAsia="Calibri"/>
          <w:lang w:eastAsia="en-US"/>
        </w:rPr>
        <w:t>ia</w:t>
      </w:r>
      <w:r w:rsidRPr="00DA3C6E">
        <w:rPr>
          <w:rFonts w:eastAsia="Calibri"/>
          <w:lang w:eastAsia="en-US"/>
        </w:rPr>
        <w:t xml:space="preserve">. </w:t>
      </w:r>
      <w:r w:rsidR="00881C9F" w:rsidRPr="00DA3C6E">
        <w:rPr>
          <w:rFonts w:eastAsia="Calibri"/>
          <w:lang w:eastAsia="en-US"/>
        </w:rPr>
        <w:t xml:space="preserve">Hence, the comparator represents a hypothetical scenario where Ig </w:t>
      </w:r>
      <w:r w:rsidR="006E1E66" w:rsidRPr="00DA3C6E">
        <w:rPr>
          <w:rFonts w:eastAsia="Calibri"/>
          <w:lang w:eastAsia="en-US"/>
        </w:rPr>
        <w:t xml:space="preserve">is </w:t>
      </w:r>
      <w:r w:rsidR="00881C9F" w:rsidRPr="00DA3C6E">
        <w:rPr>
          <w:rFonts w:eastAsia="Calibri"/>
          <w:lang w:eastAsia="en-US"/>
        </w:rPr>
        <w:t xml:space="preserve">not available and patients would receive what is currently given as BSC. The latter would include health checks with a neurologist, physiotherapy and rehabilitation services. </w:t>
      </w:r>
    </w:p>
    <w:p w14:paraId="2A7D30DA" w14:textId="59F5D1B7" w:rsidR="00C44F6A" w:rsidRPr="00DA3C6E" w:rsidRDefault="00C44F6A" w:rsidP="008769F9">
      <w:pPr>
        <w:rPr>
          <w:rFonts w:eastAsia="Calibri"/>
          <w:lang w:eastAsia="en-US"/>
        </w:rPr>
      </w:pPr>
      <w:r w:rsidRPr="00DA3C6E">
        <w:rPr>
          <w:rFonts w:eastAsia="Calibri"/>
          <w:lang w:eastAsia="en-US"/>
        </w:rPr>
        <w:t xml:space="preserve">A systematic literature review that assessed the use of immunosuppressant and immunomodulatory therapies suggested there might be a possible therapeutic role for cyclophosphamide in the treatment of patients who do not respond to </w:t>
      </w:r>
      <w:r w:rsidR="0050199D" w:rsidRPr="00DA3C6E">
        <w:rPr>
          <w:rFonts w:eastAsia="Calibri"/>
          <w:lang w:eastAsia="en-US"/>
        </w:rPr>
        <w:t xml:space="preserve">intravenous </w:t>
      </w:r>
      <w:r w:rsidRPr="00DA3C6E">
        <w:rPr>
          <w:rFonts w:eastAsia="Calibri"/>
          <w:lang w:eastAsia="en-US"/>
        </w:rPr>
        <w:t>Ig</w:t>
      </w:r>
      <w:r w:rsidR="00BB78CC" w:rsidRPr="00DA3C6E">
        <w:rPr>
          <w:rFonts w:eastAsia="Calibri"/>
          <w:lang w:eastAsia="en-US"/>
        </w:rPr>
        <w:t xml:space="preserve"> </w:t>
      </w:r>
      <w:r w:rsidRPr="00DA3C6E">
        <w:rPr>
          <w:rFonts w:eastAsia="Calibri"/>
          <w:lang w:eastAsia="en-US"/>
        </w:rPr>
        <w:t xml:space="preserve">and have progressed in their disease to a level where the benefits outweigh the safety risks associated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&lt;EndNote&gt;&lt;Cite&gt;&lt;Author&gt;Umapathi&lt;/Author&gt;&lt;Year&gt;2015&lt;/Year&gt;&lt;RecNum&gt;63&lt;/RecNum&gt;&lt;DisplayText&gt;(1)&lt;/DisplayText&gt;&lt;record&gt;&lt;rec-number&gt;63&lt;/rec-number&gt;&lt;foreign-keys&gt;&lt;key app="EN" db-id="0992p2ztn5fez9e2wvnpw2xstd20f9w2dezz" timestamp="1586818281"&gt;63&lt;/key&gt;&lt;/foreign-keys&gt;&lt;ref-type name="Journal Article"&gt;17&lt;/ref-type&gt;&lt;contributors&gt;&lt;authors&gt;&lt;author&gt;Umapathi, T.&lt;/author&gt;&lt;author&gt;Hughes, R. A.&lt;/author&gt;&lt;author&gt;Nobile-Orazio, E.&lt;/author&gt;&lt;author&gt;Leger, J. M.&lt;/author&gt;&lt;/authors&gt;&lt;/contributors&gt;&lt;auth-address&gt;Department of Neurology, National Neuroscience Institute, 11 Jalan Tan, Tock Seng, Singapore, Singapore, 308433.&lt;/auth-address&gt;&lt;titles&gt;&lt;title&gt;Immunosuppressant and immunomodulatory treatments for multifocal motor neuropathy&lt;/title&gt;&lt;secondary-title&gt;Cochrane Database Syst Rev&lt;/secondary-title&gt;&lt;/titles&gt;&lt;periodical&gt;&lt;full-title&gt;Cochrane Database Syst Rev&lt;/full-title&gt;&lt;/periodical&gt;&lt;pages&gt;CD003217&lt;/pages&gt;&lt;number&gt;3&lt;/number&gt;&lt;keywords&gt;&lt;keyword&gt;Drug Therapy, Combination&lt;/keyword&gt;&lt;keyword&gt;Humans&lt;/keyword&gt;&lt;keyword&gt;Immunoglobulins, Intravenous/ therapeutic use&lt;/keyword&gt;&lt;keyword&gt;Immunologic Factors/ therapeutic use&lt;/keyword&gt;&lt;keyword&gt;Immunosuppressive Agents/ therapeutic use&lt;/keyword&gt;&lt;keyword&gt;Motor Neuron Disease/ drug therapy&lt;/keyword&gt;&lt;keyword&gt;Muscle Strength/drug effects&lt;/keyword&gt;&lt;keyword&gt;Mycophenolic Acid/ analogs &amp;amp; derivatives/therapeutic use&lt;/keyword&gt;&lt;keyword&gt;Polyneuropathies/ drug therapy&lt;/keyword&gt;&lt;keyword&gt;Randomized Controlled Trials as Topic&lt;/keyword&gt;&lt;/keywords&gt;&lt;dates&gt;&lt;year&gt;2015&lt;/year&gt;&lt;pub-dates&gt;&lt;date&gt;Mar 4&lt;/date&gt;&lt;/pub-dates&gt;&lt;/dates&gt;&lt;accession-num&gt;25739040&lt;/accession-num&gt;&lt;urls&gt;&lt;/urls&gt;&lt;research-notes&gt;h. SLR&lt;/research-notes&gt;&lt;/record&gt;&lt;/Cite&gt;&lt;/EndNote&gt;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1" w:tooltip="Umapathi, 2015 #63" w:history="1">
        <w:r w:rsidR="00C04BCE" w:rsidRPr="00DA3C6E">
          <w:rPr>
            <w:rFonts w:eastAsia="Calibri"/>
            <w:noProof/>
            <w:lang w:eastAsia="en-US"/>
          </w:rPr>
          <w:t>1</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Cyclophosphamide is </w:t>
      </w:r>
      <w:r w:rsidR="001B2D55" w:rsidRPr="00DA3C6E">
        <w:rPr>
          <w:rFonts w:eastAsia="Calibri"/>
          <w:lang w:eastAsia="en-US"/>
        </w:rPr>
        <w:t xml:space="preserve">sometimes </w:t>
      </w:r>
      <w:r w:rsidRPr="00DA3C6E">
        <w:rPr>
          <w:rFonts w:eastAsia="Calibri"/>
          <w:lang w:eastAsia="en-US"/>
        </w:rPr>
        <w:t xml:space="preserve">used in patients who have not responded </w:t>
      </w:r>
      <w:r w:rsidR="00A3779D">
        <w:rPr>
          <w:rFonts w:eastAsia="Calibri"/>
          <w:lang w:eastAsia="en-US"/>
        </w:rPr>
        <w:t xml:space="preserve">to </w:t>
      </w:r>
      <w:r w:rsidR="001B2D55" w:rsidRPr="00DA3C6E">
        <w:rPr>
          <w:rFonts w:eastAsia="Calibri"/>
          <w:lang w:eastAsia="en-US"/>
        </w:rPr>
        <w:t>or have failed</w:t>
      </w:r>
      <w:r w:rsidRPr="00DA3C6E">
        <w:rPr>
          <w:rFonts w:eastAsia="Calibri"/>
          <w:lang w:eastAsia="en-US"/>
        </w:rPr>
        <w:t xml:space="preserve"> </w:t>
      </w:r>
      <w:r w:rsidR="0050199D" w:rsidRPr="00DA3C6E">
        <w:rPr>
          <w:rFonts w:eastAsia="Calibri"/>
          <w:lang w:eastAsia="en-US"/>
        </w:rPr>
        <w:t xml:space="preserve">intravenous </w:t>
      </w:r>
      <w:r w:rsidRPr="00DA3C6E">
        <w:rPr>
          <w:rFonts w:eastAsia="Calibri"/>
          <w:lang w:eastAsia="en-US"/>
        </w:rPr>
        <w:t>Ig</w:t>
      </w:r>
      <w:r w:rsidR="00BB78CC" w:rsidRPr="00DA3C6E">
        <w:rPr>
          <w:rFonts w:eastAsia="Calibri"/>
          <w:lang w:eastAsia="en-US"/>
        </w:rPr>
        <w:t xml:space="preserve"> </w:t>
      </w:r>
      <w:r w:rsidRPr="00DA3C6E">
        <w:rPr>
          <w:rFonts w:eastAsia="Calibri"/>
          <w:lang w:eastAsia="en-US"/>
        </w:rPr>
        <w:t xml:space="preserve">however, it is used later in the disease course and as observed in case series, in a minority of patients </w:t>
      </w:r>
      <w:r w:rsidR="00DB568A" w:rsidRPr="00DA3C6E">
        <w:rPr>
          <w:rFonts w:eastAsia="Calibri"/>
          <w:lang w:eastAsia="en-US"/>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19" w:tooltip="Leger, 2008 #40" w:history="1">
        <w:r w:rsidR="00C04BCE" w:rsidRPr="00DA3C6E">
          <w:rPr>
            <w:rFonts w:eastAsia="Calibri"/>
            <w:noProof/>
            <w:lang w:eastAsia="en-US"/>
          </w:rPr>
          <w:t>19</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vertAlign w:val="superscript"/>
          <w:lang w:eastAsia="en-US"/>
        </w:rPr>
        <w:footnoteReference w:id="2"/>
      </w:r>
      <w:r w:rsidRPr="00DA3C6E">
        <w:rPr>
          <w:rFonts w:eastAsia="Calibri"/>
          <w:lang w:eastAsia="en-US"/>
        </w:rPr>
        <w:t xml:space="preserve">. It should be noted that all the available </w:t>
      </w:r>
      <w:r w:rsidRPr="00DA3C6E">
        <w:rPr>
          <w:rFonts w:eastAsia="Calibri"/>
          <w:lang w:eastAsia="en-US"/>
        </w:rPr>
        <w:lastRenderedPageBreak/>
        <w:t xml:space="preserve">evidence comes from non-randomised studies and that this is not the patient population targeted in </w:t>
      </w:r>
      <w:r w:rsidR="001B2D55" w:rsidRPr="00DA3C6E">
        <w:rPr>
          <w:rFonts w:eastAsia="Calibri"/>
          <w:lang w:eastAsia="en-US"/>
        </w:rPr>
        <w:t>this Contracted Assessment</w:t>
      </w:r>
      <w:r w:rsidRPr="00DA3C6E">
        <w:rPr>
          <w:rFonts w:eastAsia="Calibri"/>
          <w:lang w:eastAsia="en-US"/>
        </w:rPr>
        <w:t>.</w:t>
      </w:r>
    </w:p>
    <w:p w14:paraId="1FC7E60D" w14:textId="4CCF53B6" w:rsidR="00C44F6A" w:rsidRPr="00DA3C6E" w:rsidRDefault="00C44F6A" w:rsidP="008769F9">
      <w:pPr>
        <w:rPr>
          <w:rFonts w:eastAsia="Calibri"/>
          <w:lang w:eastAsia="en-US"/>
        </w:rPr>
      </w:pPr>
      <w:r w:rsidRPr="00DA3C6E">
        <w:rPr>
          <w:rFonts w:eastAsia="Calibri"/>
          <w:lang w:eastAsia="en-US"/>
        </w:rPr>
        <w:t>Cyclophosphamide was the first immunosuppressive agent assessed for the treatment of MMN. The evidence available to support the use of cyclophosphamide comes from several case reports available since 1988, where two patients achieved an improvement in limb strength after receiving intravenous cyclophosphamide 3g/m</w:t>
      </w:r>
      <w:r w:rsidRPr="00DA3C6E">
        <w:rPr>
          <w:rFonts w:eastAsia="Calibri"/>
          <w:vertAlign w:val="superscript"/>
          <w:lang w:eastAsia="en-US"/>
        </w:rPr>
        <w:t>2</w:t>
      </w:r>
      <w:r w:rsidRPr="00DA3C6E">
        <w:rPr>
          <w:rFonts w:eastAsia="Calibri"/>
          <w:lang w:eastAsia="en-US"/>
        </w:rPr>
        <w:t xml:space="preserve"> followed by 100 mg oral cyclophosphamide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&lt;EndNote&gt;&lt;Cite&gt;&lt;Author&gt;Pestronk&lt;/Author&gt;&lt;Year&gt;1988&lt;/Year&gt;&lt;RecNum&gt;56&lt;/RecNum&gt;&lt;DisplayText&gt;(20)&lt;/DisplayText&gt;&lt;record&gt;&lt;rec-number&gt;56&lt;/rec-number&gt;&lt;foreign-keys&gt;&lt;key app="EN" db-id="0992p2ztn5fez9e2wvnpw2xstd20f9w2dezz" timestamp="1586818281"&gt;56&lt;/key&gt;&lt;/foreign-keys&gt;&lt;ref-type name="Journal Article"&gt;17&lt;/ref-type&gt;&lt;contributors&gt;&lt;authors&gt;&lt;author&gt;Pestronk, A.&lt;/author&gt;&lt;author&gt;Cornblath, D. R.&lt;/author&gt;&lt;author&gt;Ilyas, A. A.&lt;/author&gt;&lt;author&gt;Baba, H.&lt;/author&gt;&lt;author&gt;Quarles, R. H.&lt;/author&gt;&lt;author&gt;Griffin, J. W.&lt;/author&gt;&lt;author&gt;Alderson, K.&lt;/author&gt;&lt;author&gt;Adams, R. N.&lt;/author&gt;&lt;/authors&gt;&lt;/contributors&gt;&lt;auth-address&gt;Department of Neurology, Johns Hopkins School of Medicine, Baltimore, MD 21205.&lt;/auth-address&gt;&lt;titles&gt;&lt;title&gt;A treatable multifocal motor neuropathy with antibodies to GM1 ganglioside&lt;/title&gt;&lt;secondary-title&gt;Ann Neurol&lt;/secondary-title&gt;&lt;alt-title&gt;Annals of neurology&lt;/alt-title&gt;&lt;/titles&gt;&lt;periodical&gt;&lt;full-title&gt;Ann Neurol&lt;/full-title&gt;&lt;/periodical&gt;&lt;alt-periodical&gt;&lt;full-title&gt;Annals of Neurology&lt;/full-title&gt;&lt;/alt-periodical&gt;&lt;pages&gt;73-8&lt;/pages&gt;&lt;volume&gt;24&lt;/volume&gt;&lt;number&gt;1&lt;/number&gt;&lt;edition&gt;1988/07/01&lt;/edition&gt;&lt;keywords&gt;&lt;keyword&gt;Adult&lt;/keyword&gt;&lt;keyword&gt;Autoantibodies/*analysis&lt;/keyword&gt;&lt;keyword&gt;Autoimmune Diseases/*drug therapy/immunology&lt;/keyword&gt;&lt;keyword&gt;Cyclophosphamide/*therapeutic use&lt;/keyword&gt;&lt;keyword&gt;Female&lt;/keyword&gt;&lt;keyword&gt;G(M1) Ganglioside/*immunology&lt;/keyword&gt;&lt;keyword&gt;Humans&lt;/keyword&gt;&lt;keyword&gt;Infusions, Intravenous&lt;/keyword&gt;&lt;keyword&gt;Male&lt;/keyword&gt;&lt;keyword&gt;Middle Aged&lt;/keyword&gt;&lt;keyword&gt;Motor Neurons/*immunology&lt;/keyword&gt;&lt;keyword&gt;Neuromuscular Diseases/*drug therapy/immunology&lt;/keyword&gt;&lt;keyword&gt;Synaptic Transmission/drug effects&lt;/keyword&gt;&lt;/keywords&gt;&lt;dates&gt;&lt;year&gt;1988&lt;/year&gt;&lt;pub-dates&gt;&lt;date&gt;Jul&lt;/date&gt;&lt;/pub-dates&gt;&lt;/dates&gt;&lt;isbn&gt;0364-5134 (Print)&amp;#xD;0364-5134&lt;/isbn&gt;&lt;accession-num&gt;2843079&lt;/accession-num&gt;&lt;urls&gt;&lt;/urls&gt;&lt;electronic-resource-num&gt;10.1002/ana.410240113&lt;/electronic-resource-num&gt;&lt;remote-database-provider&gt;NLM&lt;/remote-database-provider&gt;&lt;language&gt;eng&lt;/language&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20" w:tooltip="Pestronk, 1988 #56" w:history="1">
        <w:r w:rsidR="00C04BCE" w:rsidRPr="00DA3C6E">
          <w:rPr>
            <w:rFonts w:eastAsia="Calibri"/>
            <w:noProof/>
            <w:lang w:eastAsia="en-US"/>
          </w:rPr>
          <w:t>20</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Several series of case reports have been published thereafter with differences identified in terms of previous line of treatment (e.g. failed to corticosteroid and/or plasma exchange) and adjuvant treatments (e.g. plasma exchange, azathioprine, among others). Overall, high dose intravenous cyclophosphamide has been shown to be effective in up to 50% of patients, with lower doses being ineffective </w:t>
      </w:r>
      <w:r w:rsidR="00DB568A" w:rsidRPr="00DA3C6E">
        <w:rPr>
          <w:rFonts w:eastAsia="Calibri"/>
          <w:lang w:eastAsia="en-US"/>
        </w:rPr>
        <w:fldChar w:fldCharType="begin">
          <w:fldData xml:space="preserve">PEVuZE5vdGU+PENpdGU+PEF1dGhvcj5GZWxkbWFuPC9BdXRob3I+PFllYXI+MTk5MTwvWWVhcj48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</w:fldData>
        </w:fldChar>
      </w:r>
      <w:r w:rsidR="00DB568A" w:rsidRPr="00DA3C6E">
        <w:rPr>
          <w:rFonts w:eastAsia="Calibri"/>
          <w:lang w:eastAsia="en-US"/>
        </w:rPr>
        <w:instrText xml:space="preserve"> ADDIN EN.CITE </w:instrText>
      </w:r>
      <w:r w:rsidR="00DB568A" w:rsidRPr="00DA3C6E">
        <w:rPr>
          <w:rFonts w:eastAsia="Calibri"/>
          <w:lang w:eastAsia="en-US"/>
        </w:rPr>
        <w:fldChar w:fldCharType="begin">
          <w:fldData xml:space="preserve">PEVuZE5vdGU+PENpdGU+PEF1dGhvcj5GZWxkbWFuPC9BdXRob3I+PFllYXI+MTk5MTwvWWVhcj48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</w:fldData>
        </w:fldChar>
      </w:r>
      <w:r w:rsidR="00DB568A" w:rsidRPr="00DA3C6E">
        <w:rPr>
          <w:rFonts w:eastAsia="Calibri"/>
          <w:lang w:eastAsia="en-US"/>
        </w:rPr>
        <w:instrText xml:space="preserve"> ADDIN EN.CITE.DATA </w:instrText>
      </w:r>
      <w:r w:rsidR="00DB568A" w:rsidRPr="00DA3C6E">
        <w:rPr>
          <w:rFonts w:eastAsia="Calibri"/>
          <w:lang w:eastAsia="en-US"/>
        </w:rPr>
      </w:r>
      <w:r w:rsidR="00DB568A" w:rsidRPr="00DA3C6E">
        <w:rPr>
          <w:rFonts w:eastAsia="Calibri"/>
          <w:lang w:eastAsia="en-US"/>
        </w:rPr>
        <w:fldChar w:fldCharType="end"/>
      </w:r>
      <w:r w:rsidR="00DB568A" w:rsidRPr="00DA3C6E">
        <w:rPr>
          <w:rFonts w:eastAsia="Calibri"/>
          <w:lang w:eastAsia="en-US"/>
        </w:rPr>
      </w:r>
      <w:r w:rsidR="00DB568A" w:rsidRPr="00DA3C6E">
        <w:rPr>
          <w:rFonts w:eastAsia="Calibri"/>
          <w:lang w:eastAsia="en-US"/>
        </w:rPr>
        <w:fldChar w:fldCharType="separate"/>
      </w:r>
      <w:r w:rsidR="00DB568A" w:rsidRPr="00DA3C6E">
        <w:rPr>
          <w:rFonts w:eastAsia="Calibri"/>
          <w:noProof/>
          <w:lang w:eastAsia="en-US"/>
        </w:rPr>
        <w:t>(</w:t>
      </w:r>
      <w:hyperlink w:anchor="_ENREF_20" w:tooltip="Pestronk, 1988 #56" w:history="1">
        <w:r w:rsidR="00C04BCE" w:rsidRPr="00DA3C6E">
          <w:rPr>
            <w:rFonts w:eastAsia="Calibri"/>
            <w:noProof/>
            <w:lang w:eastAsia="en-US"/>
          </w:rPr>
          <w:t>20-23</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with all reports showing a non-favourable safety profile. Patients treated with cyclophosphamide often suffer adverse events, some of which are serious</w:t>
      </w:r>
      <w:r w:rsidR="004E38DF" w:rsidRPr="00DA3C6E">
        <w:rPr>
          <w:rFonts w:eastAsia="Calibri"/>
          <w:lang w:eastAsia="en-US"/>
        </w:rPr>
        <w:t>,</w:t>
      </w:r>
      <w:r w:rsidRPr="00DA3C6E">
        <w:rPr>
          <w:rFonts w:eastAsia="Calibri"/>
          <w:lang w:eastAsia="en-US"/>
        </w:rPr>
        <w:t xml:space="preserve"> including death. Of the 56 patients receiving cyclophosphamide from 14 published articles, all reported adverse events (AEs), such as bone marrow suppression, alopecia, haemorrhagic cystitis, delayed bladder cancer, terato</w:t>
      </w:r>
      <w:r w:rsidRPr="00DA3C6E">
        <w:rPr>
          <w:rFonts w:eastAsia="Calibri"/>
          <w:lang w:eastAsia="en-US"/>
        </w:rPr>
        <w:softHyphen/>
        <w:t xml:space="preserve">genicity, azoospermia, and infections </w:t>
      </w:r>
      <w:r w:rsidR="00DB568A" w:rsidRPr="00DA3C6E">
        <w:rPr>
          <w:rFonts w:eastAsia="Calibri"/>
          <w:lang w:eastAsia="en-US"/>
        </w:rPr>
        <w:fldChar w:fldCharType="begin"/>
      </w:r>
      <w:r w:rsidR="00DB568A" w:rsidRPr="00DA3C6E">
        <w:rPr>
          <w:rFonts w:eastAsia="Calibri"/>
          <w:lang w:eastAsia="en-US"/>
        </w:rPr>
        <w:instrText xml:space="preserve"> ADDIN EN.CITE &lt;EndNote&gt;&lt;Cite&gt;&lt;Author&gt;Lawson&lt;/Author&gt;&lt;Year&gt;2014&lt;/Year&gt;&lt;RecNum&gt;38&lt;/RecNum&gt;&lt;DisplayText&gt;(2)&lt;/DisplayText&gt;&lt;record&gt;&lt;rec-number&gt;38&lt;/rec-number&gt;&lt;foreign-keys&gt;&lt;key app="EN" db-id="0992p2ztn5fez9e2wvnpw2xstd20f9w2dezz" timestamp="1586818281"&gt;38&lt;/key&gt;&lt;/foreign-keys&gt;&lt;ref-type name="Journal Article"&gt;17&lt;/ref-type&gt;&lt;contributors&gt;&lt;authors&gt;&lt;author&gt;Lawson, V. H.&lt;/author&gt;&lt;author&gt;Arnold, W. D.&lt;/author&gt;&lt;/authors&gt;&lt;/contributors&gt;&lt;auth-address&gt;Division of Neuromuscular Disorders, Department of Neurology, Wexner Medical Center at The Ohio State University, Columbus, Ohio, USA.&amp;#xD;Division of Neuromuscular Disorders, Department of Neurology, Wexner Medical Center at The Ohio State University, Columbus, Ohio, USA ; Department of Physical Medicine and Rehabilitation, Wexner Medical Center at The Ohio State University, Columbus, Ohio, USA.&lt;/auth-address&gt;&lt;titles&gt;&lt;title&gt;Multifocal motor neuropathy: a review of pathogenesis, diagnosis, and treatment&lt;/title&gt;&lt;secondary-title&gt;Neuropsychiatr Dis Treat&lt;/secondary-title&gt;&lt;alt-title&gt;Neuropsychiatric disease and treatment&lt;/alt-title&gt;&lt;/titles&gt;&lt;periodical&gt;&lt;full-title&gt;Neuropsychiatr Dis Treat&lt;/full-title&gt;&lt;abbr-1&gt;Neuropsychiatric disease and treatment&lt;/abbr-1&gt;&lt;/periodical&gt;&lt;alt-periodical&gt;&lt;full-title&gt;Neuropsychiatr Dis Treat&lt;/full-title&gt;&lt;abbr-1&gt;Neuropsychiatric disease and treatment&lt;/abbr-1&gt;&lt;/alt-periodical&gt;&lt;pages&gt;567-76&lt;/pages&gt;&lt;volume&gt;10&lt;/volume&gt;&lt;edition&gt;2014/04/18&lt;/edition&gt;&lt;keywords&gt;&lt;keyword&gt;autoimmune&lt;/keyword&gt;&lt;keyword&gt;conduction block&lt;/keyword&gt;&lt;keyword&gt;electrodiagnosis&lt;/keyword&gt;&lt;keyword&gt;inflammatory&lt;/keyword&gt;&lt;keyword&gt;motor neuron&lt;/keyword&gt;&lt;keyword&gt;nerve&lt;/keyword&gt;&lt;/keywords&gt;&lt;dates&gt;&lt;year&gt;2014&lt;/year&gt;&lt;/dates&gt;&lt;isbn&gt;1176-6328 (Print)&amp;#xD;1176-6328&lt;/isbn&gt;&lt;accession-num&gt;24741315&lt;/accession-num&gt;&lt;urls&gt;&lt;/urls&gt;&lt;custom2&gt;PMC3983019&lt;/custom2&gt;&lt;electronic-resource-num&gt;10.2147/ndt.S39592&lt;/electronic-resource-num&gt;&lt;remote-database-provider&gt;NLM&lt;/remote-database-provider&gt;&lt;language&gt;eng&lt;/language&gt;&lt;/record&gt;&lt;/Cite&gt;&lt;/EndNote&gt;</w:instrText>
      </w:r>
      <w:r w:rsidR="00DB568A" w:rsidRPr="00DA3C6E">
        <w:rPr>
          <w:rFonts w:eastAsia="Calibri"/>
          <w:lang w:eastAsia="en-US"/>
        </w:rPr>
        <w:fldChar w:fldCharType="separate"/>
      </w:r>
      <w:r w:rsidR="00DB568A" w:rsidRPr="00DA3C6E">
        <w:rPr>
          <w:rFonts w:eastAsia="Calibri"/>
          <w:noProof/>
          <w:lang w:eastAsia="en-US"/>
        </w:rPr>
        <w:t>(</w:t>
      </w:r>
      <w:hyperlink w:anchor="_ENREF_2" w:tooltip="Lawson, 2014 #38" w:history="1">
        <w:r w:rsidR="00C04BCE" w:rsidRPr="00DA3C6E">
          <w:rPr>
            <w:rFonts w:eastAsia="Calibri"/>
            <w:noProof/>
            <w:lang w:eastAsia="en-US"/>
          </w:rPr>
          <w:t>2</w:t>
        </w:r>
      </w:hyperlink>
      <w:r w:rsidR="00DB568A" w:rsidRPr="00DA3C6E">
        <w:rPr>
          <w:rFonts w:eastAsia="Calibri"/>
          <w:noProof/>
          <w:lang w:eastAsia="en-US"/>
        </w:rPr>
        <w:t>)</w:t>
      </w:r>
      <w:r w:rsidR="00DB568A" w:rsidRPr="00DA3C6E">
        <w:rPr>
          <w:rFonts w:eastAsia="Calibri"/>
          <w:lang w:eastAsia="en-US"/>
        </w:rPr>
        <w:fldChar w:fldCharType="end"/>
      </w:r>
      <w:r w:rsidRPr="00DA3C6E">
        <w:rPr>
          <w:rFonts w:eastAsia="Calibri"/>
          <w:lang w:eastAsia="en-US"/>
        </w:rPr>
        <w:t xml:space="preserve">. There were also two deaths reported, one due to listeria meningitis and the other a bone myelogenous leukaemia. </w:t>
      </w:r>
    </w:p>
    <w:p w14:paraId="52D145CE" w14:textId="77777777" w:rsidR="00C44F6A" w:rsidRPr="00DA3C6E" w:rsidRDefault="00C44F6A" w:rsidP="00E16E87">
      <w:pPr>
        <w:rPr>
          <w:rFonts w:eastAsia="Calibri"/>
          <w:lang w:eastAsia="en-US"/>
        </w:rPr>
      </w:pPr>
      <w:r w:rsidRPr="00DA3C6E">
        <w:rPr>
          <w:rFonts w:eastAsia="Calibri"/>
          <w:lang w:eastAsia="en-US"/>
        </w:rPr>
        <w:t>Cyclophosphamide is not specifically approved by the TGA for the treatment of MMN, however the PI states that it can be ‘recommended for use in treatment of non-malignancies only when, in the opinion of the physician, the benefits to the patient outweigh the risk of treatment with cyclophosphamide’.</w:t>
      </w:r>
    </w:p>
    <w:p w14:paraId="416FDBCF" w14:textId="77777777" w:rsidR="00C44F6A" w:rsidRPr="00DA3C6E" w:rsidRDefault="00C44F6A" w:rsidP="00E16E87">
      <w:pPr>
        <w:rPr>
          <w:rFonts w:eastAsia="Calibri"/>
          <w:b/>
          <w:lang w:eastAsia="en-US"/>
        </w:rPr>
      </w:pPr>
      <w:r w:rsidRPr="00DA3C6E">
        <w:rPr>
          <w:rFonts w:eastAsia="Calibri"/>
          <w:lang w:eastAsia="en-US"/>
        </w:rPr>
        <w:t xml:space="preserve">Accordingly, cyclophosphamide was not considered a relevant comparator because of inappropriately high toxicity in a non-life-threatening illness like MMN. </w:t>
      </w:r>
      <w:r w:rsidR="00593A9F" w:rsidRPr="00DA3C6E">
        <w:rPr>
          <w:rFonts w:eastAsia="Calibri"/>
          <w:lang w:eastAsia="en-US"/>
        </w:rPr>
        <w:t>Furthermore, the Ig Review Reference group stated that there is no convincing literature that cyclophosphamide actually benefits patients with MMN and that it should not be regarded as an alternative treatment</w:t>
      </w:r>
      <w:r w:rsidR="001B2D55" w:rsidRPr="00DA3C6E">
        <w:rPr>
          <w:rFonts w:eastAsia="Calibri"/>
          <w:lang w:eastAsia="en-US"/>
        </w:rPr>
        <w:t xml:space="preserve"> in Australia</w:t>
      </w:r>
      <w:r w:rsidR="00593A9F" w:rsidRPr="00DA3C6E">
        <w:rPr>
          <w:rFonts w:eastAsia="Calibri"/>
          <w:lang w:eastAsia="en-US"/>
        </w:rPr>
        <w:t xml:space="preserve">. </w:t>
      </w:r>
      <w:r w:rsidRPr="00DA3C6E">
        <w:rPr>
          <w:rFonts w:eastAsia="Calibri"/>
          <w:lang w:eastAsia="en-US"/>
        </w:rPr>
        <w:t>For this reason, ‘</w:t>
      </w:r>
      <w:r w:rsidR="00593A9F" w:rsidRPr="00DA3C6E">
        <w:rPr>
          <w:rFonts w:eastAsia="Calibri"/>
          <w:lang w:eastAsia="en-US"/>
        </w:rPr>
        <w:t xml:space="preserve">No Ig with </w:t>
      </w:r>
      <w:r w:rsidRPr="00DA3C6E">
        <w:rPr>
          <w:rFonts w:eastAsia="Calibri"/>
          <w:lang w:eastAsia="en-US"/>
        </w:rPr>
        <w:t xml:space="preserve">BSC’ is considered the relevant comparator to </w:t>
      </w:r>
      <w:r w:rsidR="00593A9F" w:rsidRPr="00DA3C6E">
        <w:rPr>
          <w:rFonts w:eastAsia="Calibri"/>
          <w:lang w:eastAsia="en-US"/>
        </w:rPr>
        <w:t>i</w:t>
      </w:r>
      <w:r w:rsidRPr="00DA3C6E">
        <w:rPr>
          <w:rFonts w:eastAsia="Calibri"/>
          <w:lang w:eastAsia="en-US"/>
        </w:rPr>
        <w:t>ntravenous Ig</w:t>
      </w:r>
      <w:r w:rsidR="00BB78CC" w:rsidRPr="00DA3C6E">
        <w:rPr>
          <w:rFonts w:eastAsia="Calibri"/>
          <w:lang w:eastAsia="en-US"/>
        </w:rPr>
        <w:t xml:space="preserve"> </w:t>
      </w:r>
      <w:r w:rsidRPr="00DA3C6E">
        <w:rPr>
          <w:rFonts w:eastAsia="Calibri"/>
          <w:lang w:eastAsia="en-US"/>
        </w:rPr>
        <w:t xml:space="preserve">in MMN. </w:t>
      </w:r>
    </w:p>
    <w:p w14:paraId="7B506438" w14:textId="77777777" w:rsidR="00C44F6A" w:rsidRPr="00DA3C6E" w:rsidRDefault="00C44F6A" w:rsidP="00C836F2">
      <w:pPr>
        <w:pStyle w:val="Heading2"/>
        <w:numPr>
          <w:ilvl w:val="0"/>
          <w:numId w:val="8"/>
        </w:numPr>
      </w:pPr>
      <w:bookmarkStart w:id="89" w:name="_Toc37845724"/>
      <w:r w:rsidRPr="00DA3C6E">
        <w:t>Clinical management Algorithm(s)</w:t>
      </w:r>
      <w:bookmarkEnd w:id="89"/>
      <w:r w:rsidRPr="00DA3C6E">
        <w:t xml:space="preserve"> </w:t>
      </w:r>
    </w:p>
    <w:p w14:paraId="5621B83F" w14:textId="6E03235D" w:rsidR="005C129C" w:rsidRPr="00DA3C6E" w:rsidRDefault="00C44F6A" w:rsidP="005C129C">
      <w:pPr>
        <w:rPr>
          <w:rFonts w:eastAsia="Calibri"/>
          <w:lang w:eastAsia="en-US"/>
        </w:rPr>
      </w:pPr>
      <w:r w:rsidRPr="00DA3C6E">
        <w:rPr>
          <w:rFonts w:eastAsia="Calibri"/>
          <w:lang w:eastAsia="en-US"/>
        </w:rPr>
        <w:t>The clinical management algorithm for the initial and maintenance use of intravenous Ig</w:t>
      </w:r>
      <w:r w:rsidR="00DD7AD2" w:rsidRPr="00DA3C6E">
        <w:rPr>
          <w:rFonts w:eastAsia="Calibri"/>
          <w:lang w:eastAsia="en-US"/>
        </w:rPr>
        <w:t xml:space="preserve"> </w:t>
      </w:r>
      <w:r w:rsidRPr="00DA3C6E">
        <w:rPr>
          <w:rFonts w:eastAsia="Calibri"/>
          <w:lang w:eastAsia="en-US"/>
        </w:rPr>
        <w:t xml:space="preserve">from the PICO Confirmation is presented in </w:t>
      </w:r>
      <w:r w:rsidRPr="00DA3C6E">
        <w:rPr>
          <w:rFonts w:eastAsia="Calibri"/>
          <w:lang w:eastAsia="en-US"/>
        </w:rPr>
        <w:fldChar w:fldCharType="begin"/>
      </w:r>
      <w:r w:rsidRPr="00DA3C6E">
        <w:rPr>
          <w:rFonts w:eastAsia="Calibri"/>
          <w:lang w:eastAsia="en-US"/>
        </w:rPr>
        <w:instrText xml:space="preserve"> REF _Ref29370256 \h </w:instrText>
      </w:r>
      <w:r w:rsidR="00E8759F" w:rsidRPr="00DA3C6E">
        <w:rPr>
          <w:rFonts w:eastAsia="Calibri"/>
          <w:lang w:eastAsia="en-US"/>
        </w:rPr>
        <w:instrText xml:space="preserve"> \* MERGEFORMAT </w:instrText>
      </w:r>
      <w:r w:rsidRPr="00DA3C6E">
        <w:rPr>
          <w:rFonts w:eastAsia="Calibri"/>
          <w:lang w:eastAsia="en-US"/>
        </w:rPr>
      </w:r>
      <w:r w:rsidRPr="00DA3C6E">
        <w:rPr>
          <w:rFonts w:eastAsia="Calibri"/>
          <w:lang w:eastAsia="en-US"/>
        </w:rPr>
        <w:fldChar w:fldCharType="separate"/>
      </w:r>
      <w:r w:rsidR="00EA5DC1" w:rsidRPr="00DA3C6E">
        <w:t xml:space="preserve">Figure </w:t>
      </w:r>
      <w:r w:rsidR="00EA5DC1">
        <w:rPr>
          <w:noProof/>
        </w:rPr>
        <w:t>1</w:t>
      </w:r>
      <w:r w:rsidRPr="00DA3C6E">
        <w:rPr>
          <w:rFonts w:eastAsia="Calibri"/>
          <w:lang w:eastAsia="en-US"/>
        </w:rPr>
        <w:fldChar w:fldCharType="end"/>
      </w:r>
      <w:r w:rsidRPr="00DA3C6E">
        <w:rPr>
          <w:rFonts w:eastAsia="Calibri"/>
          <w:lang w:eastAsia="en-US"/>
        </w:rPr>
        <w:t xml:space="preserve"> and </w:t>
      </w:r>
      <w:r w:rsidRPr="00DA3C6E">
        <w:rPr>
          <w:rFonts w:eastAsia="Calibri"/>
          <w:lang w:eastAsia="en-US"/>
        </w:rPr>
        <w:fldChar w:fldCharType="begin"/>
      </w:r>
      <w:r w:rsidRPr="00DA3C6E">
        <w:rPr>
          <w:rFonts w:eastAsia="Calibri"/>
          <w:lang w:eastAsia="en-US"/>
        </w:rPr>
        <w:instrText xml:space="preserve"> REF _Ref29370266 \h </w:instrText>
      </w:r>
      <w:r w:rsidR="00E8759F" w:rsidRPr="00DA3C6E">
        <w:rPr>
          <w:rFonts w:eastAsia="Calibri"/>
          <w:lang w:eastAsia="en-US"/>
        </w:rPr>
        <w:instrText xml:space="preserve"> \* MERGEFORMAT </w:instrText>
      </w:r>
      <w:r w:rsidRPr="00DA3C6E">
        <w:rPr>
          <w:rFonts w:eastAsia="Calibri"/>
          <w:lang w:eastAsia="en-US"/>
        </w:rPr>
      </w:r>
      <w:r w:rsidRPr="00DA3C6E">
        <w:rPr>
          <w:rFonts w:eastAsia="Calibri"/>
          <w:lang w:eastAsia="en-US"/>
        </w:rPr>
        <w:fldChar w:fldCharType="separate"/>
      </w:r>
      <w:r w:rsidR="00EA5DC1" w:rsidRPr="003A3CAF">
        <w:t xml:space="preserve">Figure </w:t>
      </w:r>
      <w:r w:rsidR="00EA5DC1">
        <w:rPr>
          <w:noProof/>
        </w:rPr>
        <w:t>2</w:t>
      </w:r>
      <w:r w:rsidRPr="00DA3C6E">
        <w:rPr>
          <w:rFonts w:eastAsia="Calibri"/>
          <w:lang w:eastAsia="en-US"/>
        </w:rPr>
        <w:fldChar w:fldCharType="end"/>
      </w:r>
      <w:r w:rsidRPr="00DA3C6E">
        <w:rPr>
          <w:rFonts w:eastAsia="Calibri"/>
          <w:lang w:eastAsia="en-US"/>
        </w:rPr>
        <w:t xml:space="preserve"> (current) and </w:t>
      </w:r>
      <w:r w:rsidRPr="00DA3C6E">
        <w:rPr>
          <w:rFonts w:eastAsia="Calibri"/>
          <w:lang w:eastAsia="en-US"/>
        </w:rPr>
        <w:fldChar w:fldCharType="begin"/>
      </w:r>
      <w:r w:rsidRPr="00DA3C6E">
        <w:rPr>
          <w:rFonts w:eastAsia="Calibri"/>
          <w:lang w:eastAsia="en-US"/>
        </w:rPr>
        <w:instrText xml:space="preserve"> REF _Ref25846098 \h  \* MERGEFORMAT </w:instrText>
      </w:r>
      <w:r w:rsidRPr="00DA3C6E">
        <w:rPr>
          <w:rFonts w:eastAsia="Calibri"/>
          <w:lang w:eastAsia="en-US"/>
        </w:rPr>
      </w:r>
      <w:r w:rsidRPr="00DA3C6E">
        <w:rPr>
          <w:rFonts w:eastAsia="Calibri"/>
          <w:lang w:eastAsia="en-US"/>
        </w:rPr>
        <w:fldChar w:fldCharType="separate"/>
      </w:r>
      <w:r w:rsidR="00EA5DC1" w:rsidRPr="00EA5DC1">
        <w:t xml:space="preserve">Figure </w:t>
      </w:r>
      <w:r w:rsidR="00EA5DC1" w:rsidRPr="00EA5DC1">
        <w:rPr>
          <w:noProof/>
        </w:rPr>
        <w:t>3</w:t>
      </w:r>
      <w:r w:rsidRPr="00DA3C6E">
        <w:rPr>
          <w:rFonts w:eastAsia="Calibri"/>
          <w:lang w:eastAsia="en-US"/>
        </w:rPr>
        <w:fldChar w:fldCharType="end"/>
      </w:r>
      <w:r w:rsidRPr="00DA3C6E">
        <w:rPr>
          <w:rFonts w:eastAsia="Calibri"/>
          <w:lang w:eastAsia="en-US"/>
        </w:rPr>
        <w:t xml:space="preserve"> and </w:t>
      </w:r>
      <w:r w:rsidRPr="00DA3C6E">
        <w:rPr>
          <w:rFonts w:eastAsia="Calibri"/>
          <w:lang w:eastAsia="en-US"/>
        </w:rPr>
        <w:fldChar w:fldCharType="begin"/>
      </w:r>
      <w:r w:rsidRPr="00DA3C6E">
        <w:rPr>
          <w:rFonts w:eastAsia="Calibri"/>
          <w:lang w:eastAsia="en-US"/>
        </w:rPr>
        <w:instrText xml:space="preserve"> REF _Ref25846112 \h  \* MERGEFORMAT </w:instrText>
      </w:r>
      <w:r w:rsidRPr="00DA3C6E">
        <w:rPr>
          <w:rFonts w:eastAsia="Calibri"/>
          <w:lang w:eastAsia="en-US"/>
        </w:rPr>
      </w:r>
      <w:r w:rsidRPr="00DA3C6E">
        <w:rPr>
          <w:rFonts w:eastAsia="Calibri"/>
          <w:lang w:eastAsia="en-US"/>
        </w:rPr>
        <w:fldChar w:fldCharType="separate"/>
      </w:r>
      <w:r w:rsidR="00EA5DC1" w:rsidRPr="00DA3C6E">
        <w:t xml:space="preserve">Figure </w:t>
      </w:r>
      <w:r w:rsidR="00EA5DC1">
        <w:rPr>
          <w:noProof/>
        </w:rPr>
        <w:t>4</w:t>
      </w:r>
      <w:r w:rsidRPr="00DA3C6E">
        <w:rPr>
          <w:rFonts w:eastAsia="Calibri"/>
          <w:lang w:eastAsia="en-US"/>
        </w:rPr>
        <w:fldChar w:fldCharType="end"/>
      </w:r>
      <w:r w:rsidRPr="00DA3C6E">
        <w:rPr>
          <w:rFonts w:eastAsia="Calibri"/>
          <w:lang w:eastAsia="en-US"/>
        </w:rPr>
        <w:t xml:space="preserve"> </w:t>
      </w:r>
      <w:r w:rsidR="005C129C" w:rsidRPr="00DA3C6E">
        <w:rPr>
          <w:rFonts w:eastAsia="Calibri"/>
          <w:lang w:eastAsia="en-US"/>
        </w:rPr>
        <w:t>(proposed treatment algorithms).</w:t>
      </w:r>
    </w:p>
    <w:p w14:paraId="66A6251F" w14:textId="77777777" w:rsidR="00C44F6A" w:rsidRPr="00DA3C6E" w:rsidRDefault="00C44F6A" w:rsidP="005C129C">
      <w:pPr>
        <w:rPr>
          <w:rFonts w:ascii="Arial Narrow" w:hAnsi="Arial Narrow"/>
          <w:b/>
          <w:bCs/>
          <w:color w:val="C00000"/>
          <w:sz w:val="20"/>
        </w:rPr>
      </w:pPr>
      <w:r w:rsidRPr="00DA3C6E">
        <w:rPr>
          <w:rFonts w:ascii="Arial Narrow" w:hAnsi="Arial Narrow"/>
          <w:b/>
          <w:bCs/>
          <w:color w:val="C00000"/>
          <w:sz w:val="20"/>
        </w:rPr>
        <w:br w:type="page"/>
      </w:r>
    </w:p>
    <w:p w14:paraId="0EEB071B" w14:textId="5209399C" w:rsidR="00C44F6A" w:rsidRPr="00DA3C6E" w:rsidRDefault="00C44F6A" w:rsidP="00C836F2">
      <w:pPr>
        <w:pStyle w:val="Caption"/>
        <w:ind w:left="1134" w:hanging="1134"/>
      </w:pPr>
      <w:bookmarkStart w:id="90" w:name="_Ref29370256"/>
      <w:bookmarkStart w:id="91" w:name="_Toc30497507"/>
      <w:bookmarkStart w:id="92" w:name="_Toc37845861"/>
      <w:r w:rsidRPr="00DA3C6E">
        <w:lastRenderedPageBreak/>
        <w:t xml:space="preserve">Figure </w:t>
      </w:r>
      <w:r w:rsidR="00515153">
        <w:fldChar w:fldCharType="begin"/>
      </w:r>
      <w:r w:rsidR="00515153">
        <w:instrText xml:space="preserve"> SEQ Figure \* ARABIC </w:instrText>
      </w:r>
      <w:r w:rsidR="00515153">
        <w:fldChar w:fldCharType="separate"/>
      </w:r>
      <w:r w:rsidR="00EA5DC1">
        <w:rPr>
          <w:noProof/>
        </w:rPr>
        <w:t>1</w:t>
      </w:r>
      <w:r w:rsidR="00515153">
        <w:rPr>
          <w:noProof/>
        </w:rPr>
        <w:fldChar w:fldCharType="end"/>
      </w:r>
      <w:bookmarkEnd w:id="90"/>
      <w:r w:rsidRPr="00DA3C6E">
        <w:rPr>
          <w:noProof/>
        </w:rPr>
        <w:t>.</w:t>
      </w:r>
      <w:r w:rsidRPr="00DA3C6E">
        <w:t xml:space="preserve"> Current Clinical management algorithm </w:t>
      </w:r>
      <w:r w:rsidRPr="00DA3C6E">
        <w:rPr>
          <w:rFonts w:cstheme="minorHAnsi"/>
          <w:szCs w:val="20"/>
          <w:u w:val="dotted"/>
        </w:rPr>
        <w:t>initial access to Ig under NBA as per MMN Referra</w:t>
      </w:r>
      <w:r w:rsidRPr="00DA3C6E">
        <w:rPr>
          <w:rFonts w:cstheme="minorHAnsi"/>
          <w:b w:val="0"/>
          <w:szCs w:val="20"/>
          <w:u w:val="dotted"/>
        </w:rPr>
        <w:t>l</w:t>
      </w:r>
      <w:bookmarkEnd w:id="91"/>
      <w:bookmarkEnd w:id="92"/>
      <w:r w:rsidRPr="00DA3C6E" w:rsidDel="00D2465D">
        <w:t xml:space="preserve"> </w:t>
      </w:r>
    </w:p>
    <w:p w14:paraId="697C5F69" w14:textId="77777777" w:rsidR="00C44F6A" w:rsidRPr="00DA3C6E" w:rsidRDefault="00C44F6A" w:rsidP="003A3CAF">
      <w:r w:rsidRPr="00DA3C6E">
        <w:rPr>
          <w:noProof/>
        </w:rPr>
        <w:drawing>
          <wp:inline distT="0" distB="0" distL="0" distR="0" wp14:anchorId="2B2FFDBD" wp14:editId="7BAE1B0C">
            <wp:extent cx="5067300" cy="4665345"/>
            <wp:effectExtent l="0" t="0" r="0" b="1905"/>
            <wp:docPr id="3" name="Picture 3" title="Figure 1. Current Clinical management algorithm initial access to Ig under NBA as per MMN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3368" cy="4670932"/>
                    </a:xfrm>
                    <a:prstGeom prst="rect">
                      <a:avLst/>
                    </a:prstGeom>
                  </pic:spPr>
                </pic:pic>
              </a:graphicData>
            </a:graphic>
          </wp:inline>
        </w:drawing>
      </w:r>
    </w:p>
    <w:p w14:paraId="63653FB8" w14:textId="77777777" w:rsidR="00C44F6A" w:rsidRPr="00DA3C6E" w:rsidRDefault="00C44F6A" w:rsidP="006A5B8A">
      <w:pPr>
        <w:pStyle w:val="NoSpacing"/>
        <w:spacing w:after="0"/>
        <w:rPr>
          <w:rFonts w:ascii="Arial Narrow" w:hAnsi="Arial Narrow"/>
        </w:rPr>
      </w:pPr>
      <w:r w:rsidRPr="00DA3C6E">
        <w:rPr>
          <w:rFonts w:ascii="Arial Narrow" w:hAnsi="Arial Narrow"/>
        </w:rPr>
        <w:t>Abbreviations: Ig= immunoglobulins; MMN= multifocal motor neuropathy; NBA= National Blood Authority; ONLS= Overall Neuropathy Limitations Scale.</w:t>
      </w:r>
    </w:p>
    <w:p w14:paraId="3E4A6A5C" w14:textId="77777777" w:rsidR="00C44F6A" w:rsidRPr="00DA3C6E" w:rsidRDefault="00C44F6A" w:rsidP="006A5B8A">
      <w:pPr>
        <w:pStyle w:val="NoSpacing"/>
        <w:spacing w:after="0"/>
        <w:rPr>
          <w:rFonts w:ascii="Arial Narrow" w:hAnsi="Arial Narrow"/>
        </w:rPr>
      </w:pPr>
      <w:r w:rsidRPr="00DA3C6E">
        <w:rPr>
          <w:rFonts w:ascii="Arial Narrow" w:hAnsi="Arial Narrow"/>
        </w:rPr>
        <w:t>Note: 1Progressive weakness as demonstrated in the distribution of individual peripheral nerves; 2Overall Neuropathy Limitations Scale.</w:t>
      </w:r>
    </w:p>
    <w:p w14:paraId="47DF1035" w14:textId="77777777" w:rsidR="00C44F6A" w:rsidRPr="00DA3C6E" w:rsidRDefault="00C44F6A" w:rsidP="00E16E87">
      <w:pPr>
        <w:pStyle w:val="NoSpacing"/>
        <w:spacing w:after="240"/>
        <w:rPr>
          <w:rFonts w:ascii="Arial Narrow" w:hAnsi="Arial Narrow"/>
        </w:rPr>
      </w:pPr>
      <w:r w:rsidRPr="00DA3C6E">
        <w:rPr>
          <w:rFonts w:ascii="Arial Narrow" w:hAnsi="Arial Narrow"/>
        </w:rPr>
        <w:t>Source: Figure 2, p. 14 of the 1590 MMN draft Referral Form.</w:t>
      </w:r>
    </w:p>
    <w:p w14:paraId="537D915A" w14:textId="77777777" w:rsidR="00C44F6A" w:rsidRPr="00DA3C6E" w:rsidRDefault="00C44F6A">
      <w:pPr>
        <w:spacing w:after="0" w:line="240" w:lineRule="auto"/>
        <w:jc w:val="left"/>
        <w:rPr>
          <w:rFonts w:ascii="Arial Narrow" w:hAnsi="Arial Narrow"/>
          <w:bCs/>
          <w:sz w:val="20"/>
          <w:szCs w:val="20"/>
        </w:rPr>
      </w:pPr>
      <w:r w:rsidRPr="00DA3C6E">
        <w:rPr>
          <w:b/>
          <w:szCs w:val="20"/>
        </w:rPr>
        <w:br w:type="page"/>
      </w:r>
    </w:p>
    <w:p w14:paraId="3A8A787B" w14:textId="04748E09" w:rsidR="003A3CAF" w:rsidRDefault="00C44F6A" w:rsidP="003A3CAF">
      <w:pPr>
        <w:pStyle w:val="Caption"/>
        <w:rPr>
          <w:rFonts w:cstheme="minorHAnsi"/>
          <w:u w:val="dotted"/>
        </w:rPr>
      </w:pPr>
      <w:bookmarkStart w:id="93" w:name="_Ref29370266"/>
      <w:bookmarkStart w:id="94" w:name="_Toc30497508"/>
      <w:bookmarkStart w:id="95" w:name="_Toc37845862"/>
      <w:r w:rsidRPr="003A3CAF">
        <w:lastRenderedPageBreak/>
        <w:t xml:space="preserve">Figure </w:t>
      </w:r>
      <w:r w:rsidR="00515153">
        <w:fldChar w:fldCharType="begin"/>
      </w:r>
      <w:r w:rsidR="00515153">
        <w:instrText xml:space="preserve"> SEQ Figure \* ARABIC </w:instrText>
      </w:r>
      <w:r w:rsidR="00515153">
        <w:fldChar w:fldCharType="separate"/>
      </w:r>
      <w:r w:rsidR="00EA5DC1">
        <w:rPr>
          <w:noProof/>
        </w:rPr>
        <w:t>2</w:t>
      </w:r>
      <w:r w:rsidR="00515153">
        <w:rPr>
          <w:noProof/>
        </w:rPr>
        <w:fldChar w:fldCharType="end"/>
      </w:r>
      <w:bookmarkEnd w:id="93"/>
      <w:r w:rsidRPr="003A3CAF">
        <w:t xml:space="preserve">. Current Clinical management algorithm </w:t>
      </w:r>
      <w:r w:rsidRPr="003A3CAF">
        <w:rPr>
          <w:rFonts w:cstheme="minorHAnsi"/>
          <w:u w:val="dotted"/>
        </w:rPr>
        <w:t>continuing access to Ig under NBA as per MMN Referral</w:t>
      </w:r>
      <w:bookmarkEnd w:id="94"/>
      <w:bookmarkEnd w:id="95"/>
    </w:p>
    <w:p w14:paraId="4E1A44EE" w14:textId="16100D9D" w:rsidR="00C44F6A" w:rsidRPr="00DA3C6E" w:rsidRDefault="00C44F6A" w:rsidP="003A3CAF">
      <w:pPr>
        <w:rPr>
          <w:b/>
        </w:rPr>
      </w:pPr>
      <w:r w:rsidRPr="00DA3C6E">
        <w:rPr>
          <w:noProof/>
        </w:rPr>
        <w:drawing>
          <wp:inline distT="0" distB="0" distL="0" distR="0" wp14:anchorId="2E27EBC7" wp14:editId="2A9D7F43">
            <wp:extent cx="5684398" cy="4762500"/>
            <wp:effectExtent l="0" t="0" r="0" b="0"/>
            <wp:docPr id="15" name="Picture 15" title="Figure 2. Current Clinical management algorithm continuing access to Ig under NBA as per MMN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89"/>
                    <a:stretch/>
                  </pic:blipFill>
                  <pic:spPr bwMode="auto">
                    <a:xfrm>
                      <a:off x="0" y="0"/>
                      <a:ext cx="5710556" cy="4784416"/>
                    </a:xfrm>
                    <a:prstGeom prst="rect">
                      <a:avLst/>
                    </a:prstGeom>
                    <a:ln>
                      <a:noFill/>
                    </a:ln>
                    <a:extLst>
                      <a:ext uri="{53640926-AAD7-44D8-BBD7-CCE9431645EC}">
                        <a14:shadowObscured xmlns:a14="http://schemas.microsoft.com/office/drawing/2010/main"/>
                      </a:ext>
                    </a:extLst>
                  </pic:spPr>
                </pic:pic>
              </a:graphicData>
            </a:graphic>
          </wp:inline>
        </w:drawing>
      </w:r>
    </w:p>
    <w:p w14:paraId="60D348B5" w14:textId="77777777" w:rsidR="00C44F6A" w:rsidRPr="00DA3C6E" w:rsidRDefault="00C44F6A" w:rsidP="008D29F3">
      <w:pPr>
        <w:pStyle w:val="NoSpacing"/>
        <w:spacing w:after="240"/>
        <w:rPr>
          <w:rFonts w:ascii="Arial Narrow" w:hAnsi="Arial Narrow"/>
        </w:rPr>
      </w:pPr>
      <w:r w:rsidRPr="00DA3C6E">
        <w:rPr>
          <w:rFonts w:ascii="Arial Narrow" w:hAnsi="Arial Narrow"/>
        </w:rPr>
        <w:t>Abbreviations: Ig= immunoglobulins; MMN= multifocal motor neuropathy; NBA= National Blood Authority; ONLS= Overall Neuropathy Limitations Scale.</w:t>
      </w:r>
      <w:r w:rsidRPr="00DA3C6E">
        <w:rPr>
          <w:rFonts w:ascii="Arial Narrow" w:hAnsi="Arial Narrow"/>
        </w:rPr>
        <w:br/>
        <w:t>Sources: Figure 2, p. 19 of the 1590 MMN draft Referral Form.</w:t>
      </w:r>
    </w:p>
    <w:p w14:paraId="14091983" w14:textId="77777777" w:rsidR="00C44F6A" w:rsidRPr="00DA3C6E" w:rsidRDefault="00C44F6A">
      <w:pPr>
        <w:spacing w:after="0" w:line="240" w:lineRule="auto"/>
        <w:jc w:val="left"/>
        <w:rPr>
          <w:rFonts w:asciiTheme="minorHAnsi" w:eastAsia="Calibri" w:hAnsiTheme="minorHAnsi" w:cstheme="minorHAnsi"/>
          <w:b/>
          <w:bCs/>
          <w:sz w:val="20"/>
          <w:szCs w:val="20"/>
          <w:u w:val="dotted"/>
          <w:lang w:eastAsia="en-US"/>
        </w:rPr>
      </w:pPr>
      <w:r w:rsidRPr="00DA3C6E">
        <w:rPr>
          <w:rFonts w:asciiTheme="minorHAnsi" w:eastAsia="Calibri" w:hAnsiTheme="minorHAnsi" w:cstheme="minorHAnsi"/>
          <w:szCs w:val="20"/>
          <w:u w:val="dotted"/>
          <w:lang w:eastAsia="en-US"/>
        </w:rPr>
        <w:br w:type="page"/>
      </w:r>
    </w:p>
    <w:p w14:paraId="3C247E5F" w14:textId="43091313" w:rsidR="00C44F6A" w:rsidRPr="00DA3C6E" w:rsidRDefault="00C44F6A" w:rsidP="00C836F2">
      <w:pPr>
        <w:pStyle w:val="Caption"/>
        <w:rPr>
          <w:rFonts w:eastAsia="Calibri" w:cstheme="minorHAnsi"/>
          <w:szCs w:val="20"/>
          <w:u w:val="dotted"/>
          <w:lang w:eastAsia="en-US"/>
        </w:rPr>
      </w:pPr>
      <w:bookmarkStart w:id="96" w:name="_Ref25846098"/>
      <w:bookmarkStart w:id="97" w:name="_Toc30497509"/>
      <w:bookmarkStart w:id="98" w:name="_Toc37845863"/>
      <w:r w:rsidRPr="00DA3C6E">
        <w:rPr>
          <w:szCs w:val="20"/>
        </w:rPr>
        <w:lastRenderedPageBreak/>
        <w:t xml:space="preserve">Figure </w:t>
      </w:r>
      <w:r w:rsidR="00CD472E" w:rsidRPr="00DA3C6E">
        <w:rPr>
          <w:szCs w:val="20"/>
        </w:rPr>
        <w:fldChar w:fldCharType="begin"/>
      </w:r>
      <w:r w:rsidR="00CD472E" w:rsidRPr="00DA3C6E">
        <w:rPr>
          <w:szCs w:val="20"/>
        </w:rPr>
        <w:instrText xml:space="preserve"> SEQ Figure \* ARABIC </w:instrText>
      </w:r>
      <w:r w:rsidR="00CD472E" w:rsidRPr="00DA3C6E">
        <w:rPr>
          <w:szCs w:val="20"/>
        </w:rPr>
        <w:fldChar w:fldCharType="separate"/>
      </w:r>
      <w:r w:rsidR="00EA5DC1">
        <w:rPr>
          <w:noProof/>
          <w:szCs w:val="20"/>
        </w:rPr>
        <w:t>3</w:t>
      </w:r>
      <w:r w:rsidR="00CD472E" w:rsidRPr="00DA3C6E">
        <w:rPr>
          <w:noProof/>
          <w:szCs w:val="20"/>
        </w:rPr>
        <w:fldChar w:fldCharType="end"/>
      </w:r>
      <w:bookmarkEnd w:id="96"/>
      <w:r w:rsidRPr="00DA3C6E">
        <w:rPr>
          <w:rFonts w:eastAsia="Calibri" w:cstheme="minorHAnsi"/>
          <w:szCs w:val="20"/>
          <w:u w:val="dotted"/>
          <w:lang w:eastAsia="en-US"/>
        </w:rPr>
        <w:t xml:space="preserve">: </w:t>
      </w:r>
      <w:r w:rsidRPr="00DA3C6E">
        <w:rPr>
          <w:szCs w:val="20"/>
        </w:rPr>
        <w:t xml:space="preserve">Proposed clinical management algorithm: initial and maintenance treatment </w:t>
      </w:r>
      <w:r w:rsidR="005C129C" w:rsidRPr="00DA3C6E">
        <w:rPr>
          <w:szCs w:val="20"/>
        </w:rPr>
        <w:t>(continuing authorisation</w:t>
      </w:r>
      <w:r w:rsidRPr="00DA3C6E">
        <w:rPr>
          <w:szCs w:val="20"/>
        </w:rPr>
        <w:t>) to Ig under NBA for first indication</w:t>
      </w:r>
      <w:r w:rsidR="00BC082A" w:rsidRPr="00DA3C6E">
        <w:rPr>
          <w:szCs w:val="20"/>
        </w:rPr>
        <w:t>.</w:t>
      </w:r>
      <w:bookmarkEnd w:id="97"/>
      <w:bookmarkEnd w:id="98"/>
    </w:p>
    <w:p w14:paraId="5F10DCCC" w14:textId="77777777" w:rsidR="005D32B6" w:rsidRPr="00DA3C6E" w:rsidRDefault="00B952B0" w:rsidP="00B952B0">
      <w:pPr>
        <w:spacing w:after="0" w:line="240" w:lineRule="auto"/>
        <w:rPr>
          <w:rFonts w:ascii="Arial Narrow" w:eastAsia="Calibri" w:hAnsi="Arial Narrow" w:cs="Times New Roman"/>
          <w:sz w:val="18"/>
          <w:szCs w:val="18"/>
          <w:lang w:eastAsia="en-US"/>
        </w:rPr>
      </w:pPr>
      <w:r w:rsidRPr="00DA3C6E">
        <w:rPr>
          <w:rFonts w:eastAsia="Calibri"/>
          <w:noProof/>
        </w:rPr>
        <w:drawing>
          <wp:inline distT="0" distB="0" distL="0" distR="0" wp14:anchorId="58C5F679" wp14:editId="774CADF9">
            <wp:extent cx="4784918" cy="6239691"/>
            <wp:effectExtent l="0" t="0" r="0" b="8890"/>
            <wp:docPr id="5" name="Picture 5" title="Figure 3: Proposed clinical management algorithm: initial and maintenance treatment (continuing authorisation) to Ig under NBA for first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727" cy="6282475"/>
                    </a:xfrm>
                    <a:prstGeom prst="rect">
                      <a:avLst/>
                    </a:prstGeom>
                    <a:noFill/>
                  </pic:spPr>
                </pic:pic>
              </a:graphicData>
            </a:graphic>
          </wp:inline>
        </w:drawing>
      </w:r>
    </w:p>
    <w:p w14:paraId="24F37998" w14:textId="77777777" w:rsidR="00C44F6A" w:rsidRPr="00DA3C6E" w:rsidRDefault="00C44F6A" w:rsidP="00B952B0">
      <w:pPr>
        <w:spacing w:after="0" w:line="240" w:lineRule="auto"/>
        <w:rPr>
          <w:rFonts w:eastAsia="Calibri"/>
          <w:lang w:eastAsia="en-US"/>
        </w:rPr>
      </w:pPr>
      <w:r w:rsidRPr="00DA3C6E">
        <w:rPr>
          <w:rFonts w:ascii="Arial Narrow" w:eastAsia="Calibri" w:hAnsi="Arial Narrow" w:cs="Times New Roman"/>
          <w:sz w:val="18"/>
          <w:szCs w:val="18"/>
          <w:lang w:eastAsia="en-US"/>
        </w:rPr>
        <w:t xml:space="preserve">Abbreviations: Intravenous Ig= intravenous immunoglobulin; MMN= multifocal motor neuropathy; NBA= National Blood Authority; ONLS = Overall Neuropathy Limitations Scale. </w:t>
      </w:r>
    </w:p>
    <w:p w14:paraId="2B8C7CE2" w14:textId="77777777" w:rsidR="00C44F6A" w:rsidRPr="00DA3C6E" w:rsidRDefault="00C44F6A" w:rsidP="008B63B7">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 xml:space="preserve">Note: </w:t>
      </w:r>
      <w:r w:rsidRPr="00DA3C6E">
        <w:rPr>
          <w:rFonts w:ascii="Arial Narrow" w:eastAsia="Calibri" w:hAnsi="Arial Narrow" w:cs="Times New Roman"/>
          <w:sz w:val="18"/>
          <w:szCs w:val="18"/>
          <w:vertAlign w:val="superscript"/>
          <w:lang w:eastAsia="en-US"/>
        </w:rPr>
        <w:t>1</w:t>
      </w:r>
      <w:r w:rsidRPr="00DA3C6E">
        <w:rPr>
          <w:rFonts w:ascii="Arial Narrow" w:eastAsia="Calibri" w:hAnsi="Arial Narrow" w:cs="Times New Roman"/>
          <w:sz w:val="18"/>
          <w:szCs w:val="18"/>
          <w:lang w:eastAsia="en-US"/>
        </w:rPr>
        <w:t xml:space="preserve"> Clinical effectiveness (response) of Ig therapy can be assessed by:  Improvement in focal motor weakness in previously weak (but not end stage) muscles </w:t>
      </w:r>
      <w:r w:rsidRPr="00DA3C6E">
        <w:rPr>
          <w:rFonts w:ascii="Arial Narrow" w:eastAsia="Calibri" w:hAnsi="Arial Narrow" w:cs="Times New Roman"/>
          <w:b/>
          <w:sz w:val="18"/>
          <w:szCs w:val="18"/>
          <w:lang w:eastAsia="en-US"/>
        </w:rPr>
        <w:t>AND</w:t>
      </w:r>
      <w:r w:rsidRPr="00DA3C6E">
        <w:rPr>
          <w:rFonts w:ascii="Arial Narrow" w:eastAsia="Calibri" w:hAnsi="Arial Narrow" w:cs="Times New Roman"/>
          <w:sz w:val="18"/>
          <w:szCs w:val="18"/>
          <w:lang w:eastAsia="en-US"/>
        </w:rPr>
        <w:t xml:space="preserve"> Improvement in the level of disability as measured by the Adjusted ONLS of at least one point</w:t>
      </w:r>
      <w:r w:rsidR="005D32B6" w:rsidRPr="00DA3C6E">
        <w:rPr>
          <w:rFonts w:ascii="Arial Narrow" w:eastAsia="Calibri" w:hAnsi="Arial Narrow" w:cs="Times New Roman"/>
          <w:sz w:val="18"/>
          <w:szCs w:val="18"/>
          <w:lang w:eastAsia="en-US"/>
        </w:rPr>
        <w:t xml:space="preserve"> less than the qualifying score; </w:t>
      </w:r>
      <w:r w:rsidRPr="00DA3C6E">
        <w:rPr>
          <w:rFonts w:ascii="Arial Narrow" w:eastAsia="Calibri" w:hAnsi="Arial Narrow" w:cs="Times New Roman"/>
          <w:sz w:val="18"/>
          <w:szCs w:val="18"/>
          <w:vertAlign w:val="superscript"/>
          <w:lang w:eastAsia="en-US"/>
        </w:rPr>
        <w:t>2</w:t>
      </w:r>
      <w:r w:rsidRPr="00DA3C6E">
        <w:rPr>
          <w:rFonts w:ascii="Arial Narrow" w:eastAsia="Calibri" w:hAnsi="Arial Narrow" w:cs="Times New Roman"/>
          <w:sz w:val="18"/>
          <w:szCs w:val="18"/>
          <w:lang w:eastAsia="en-US"/>
        </w:rPr>
        <w:t xml:space="preserve">Refers to no changes in the patient’s disease status; blocks highlighted in green were added during the PICO Confirmation. </w:t>
      </w:r>
    </w:p>
    <w:p w14:paraId="479FBA93" w14:textId="77777777" w:rsidR="00C44F6A" w:rsidRPr="00DA3C6E" w:rsidRDefault="00C44F6A" w:rsidP="008B63B7">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vertAlign w:val="superscript"/>
          <w:lang w:eastAsia="en-US"/>
        </w:rPr>
        <w:t>3</w:t>
      </w:r>
      <w:r w:rsidRPr="00DA3C6E">
        <w:rPr>
          <w:rFonts w:ascii="Arial Narrow" w:eastAsia="Calibri" w:hAnsi="Arial Narrow" w:cs="Times New Roman"/>
          <w:sz w:val="18"/>
          <w:szCs w:val="18"/>
          <w:lang w:eastAsia="en-US"/>
        </w:rPr>
        <w:t xml:space="preserve"> Clinical effectiveness (response) of Ig therapy can be assessed by: Improvement in, or stabilisation of, weakness after previous evidence of deterioration in motor strength. It is acknowledged that very slow deterioration may occur over several years in stable patients </w:t>
      </w:r>
      <w:r w:rsidRPr="00DA3C6E">
        <w:rPr>
          <w:rFonts w:ascii="Arial Narrow" w:eastAsia="Calibri" w:hAnsi="Arial Narrow" w:cs="Times New Roman"/>
          <w:b/>
          <w:sz w:val="18"/>
          <w:szCs w:val="18"/>
          <w:lang w:eastAsia="en-US"/>
        </w:rPr>
        <w:t>AND</w:t>
      </w:r>
      <w:r w:rsidRPr="00DA3C6E">
        <w:rPr>
          <w:rFonts w:ascii="Arial Narrow" w:eastAsia="Calibri" w:hAnsi="Arial Narrow" w:cs="Times New Roman"/>
          <w:sz w:val="18"/>
          <w:szCs w:val="18"/>
          <w:lang w:eastAsia="en-US"/>
        </w:rPr>
        <w:t xml:space="preserve"> Improvement in or stabilisation of disability as measured by the Adjusted ONLS score compared to the previous review score. (Note: Gradual deterioration of one point over several years may occur) </w:t>
      </w:r>
      <w:r w:rsidRPr="00DA3C6E">
        <w:rPr>
          <w:rFonts w:ascii="Arial Narrow" w:eastAsia="Calibri" w:hAnsi="Arial Narrow" w:cs="Times New Roman"/>
          <w:b/>
          <w:sz w:val="18"/>
          <w:szCs w:val="18"/>
          <w:lang w:eastAsia="en-US"/>
        </w:rPr>
        <w:t>AND</w:t>
      </w:r>
      <w:r w:rsidRPr="00DA3C6E">
        <w:rPr>
          <w:rFonts w:ascii="Arial Narrow" w:eastAsia="Calibri" w:hAnsi="Arial Narrow" w:cs="Times New Roman"/>
          <w:sz w:val="18"/>
          <w:szCs w:val="18"/>
          <w:lang w:eastAsia="en-US"/>
        </w:rPr>
        <w:t xml:space="preserve"> A trial of Ig weaning/cessation of Ig therapy is planned for patients who are clinically stable to identify those in remission or a reason provided as to why a trial is not planned</w:t>
      </w:r>
    </w:p>
    <w:p w14:paraId="55C57663" w14:textId="77777777" w:rsidR="00C44F6A" w:rsidRPr="00DA3C6E" w:rsidRDefault="00C44F6A" w:rsidP="008B63B7">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Blocks coloured in green were added during the PICO confirmation</w:t>
      </w:r>
      <w:r w:rsidR="003D17A8" w:rsidRPr="00DA3C6E">
        <w:rPr>
          <w:rFonts w:ascii="Arial Narrow" w:eastAsia="Calibri" w:hAnsi="Arial Narrow" w:cs="Times New Roman"/>
          <w:sz w:val="18"/>
          <w:szCs w:val="18"/>
          <w:lang w:eastAsia="en-US"/>
        </w:rPr>
        <w:t>.</w:t>
      </w:r>
      <w:r w:rsidRPr="00DA3C6E">
        <w:rPr>
          <w:rFonts w:ascii="Arial Narrow" w:eastAsia="Calibri" w:hAnsi="Arial Narrow" w:cs="Times New Roman"/>
          <w:sz w:val="18"/>
          <w:szCs w:val="18"/>
          <w:lang w:eastAsia="en-US"/>
        </w:rPr>
        <w:t xml:space="preserve">  </w:t>
      </w:r>
    </w:p>
    <w:p w14:paraId="135B9DC4" w14:textId="77777777" w:rsidR="00C44F6A" w:rsidRPr="00DA3C6E" w:rsidRDefault="00C44F6A" w:rsidP="008D29F3">
      <w:pPr>
        <w:spacing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 xml:space="preserve">Sources: Prepared during PICO Confirmation based on Figure 1 and Figure 2 of the MMN Referral and the reviewed content.  </w:t>
      </w:r>
    </w:p>
    <w:p w14:paraId="3CC02DF6" w14:textId="77777777" w:rsidR="00C44F6A" w:rsidRPr="00DA3C6E" w:rsidRDefault="00C44F6A">
      <w:pPr>
        <w:spacing w:after="0" w:line="240" w:lineRule="auto"/>
        <w:jc w:val="left"/>
        <w:rPr>
          <w:rFonts w:asciiTheme="minorHAnsi" w:eastAsia="Calibri" w:hAnsiTheme="minorHAnsi" w:cstheme="minorHAnsi"/>
          <w:b/>
          <w:sz w:val="20"/>
          <w:szCs w:val="20"/>
          <w:u w:val="dotted"/>
          <w:lang w:eastAsia="en-US"/>
        </w:rPr>
      </w:pPr>
      <w:r w:rsidRPr="00DA3C6E">
        <w:rPr>
          <w:rFonts w:asciiTheme="minorHAnsi" w:eastAsia="Calibri" w:hAnsiTheme="minorHAnsi" w:cstheme="minorHAnsi"/>
          <w:b/>
          <w:sz w:val="20"/>
          <w:szCs w:val="20"/>
          <w:u w:val="dotted"/>
          <w:lang w:eastAsia="en-US"/>
        </w:rPr>
        <w:br w:type="page"/>
      </w:r>
    </w:p>
    <w:p w14:paraId="33B01454" w14:textId="7E475118" w:rsidR="00C44F6A" w:rsidRPr="00DA3C6E" w:rsidRDefault="00C44F6A" w:rsidP="00C836F2">
      <w:pPr>
        <w:pStyle w:val="Caption"/>
        <w:rPr>
          <w:rFonts w:eastAsia="Calibri" w:cstheme="minorHAnsi"/>
          <w:szCs w:val="20"/>
          <w:u w:val="dotted"/>
          <w:lang w:eastAsia="en-US"/>
        </w:rPr>
      </w:pPr>
      <w:bookmarkStart w:id="99" w:name="_Ref25846112"/>
      <w:bookmarkStart w:id="100" w:name="_Toc37845864"/>
      <w:bookmarkStart w:id="101" w:name="_Toc30497510"/>
      <w:r w:rsidRPr="00DA3C6E">
        <w:lastRenderedPageBreak/>
        <w:t xml:space="preserve">Figure </w:t>
      </w:r>
      <w:r w:rsidR="00515153">
        <w:fldChar w:fldCharType="begin"/>
      </w:r>
      <w:r w:rsidR="00515153">
        <w:instrText xml:space="preserve"> SEQ Figure \* ARABIC </w:instrText>
      </w:r>
      <w:r w:rsidR="00515153">
        <w:fldChar w:fldCharType="separate"/>
      </w:r>
      <w:r w:rsidR="00EA5DC1">
        <w:rPr>
          <w:noProof/>
        </w:rPr>
        <w:t>4</w:t>
      </w:r>
      <w:r w:rsidR="00515153">
        <w:rPr>
          <w:noProof/>
        </w:rPr>
        <w:fldChar w:fldCharType="end"/>
      </w:r>
      <w:bookmarkEnd w:id="99"/>
      <w:r w:rsidRPr="00DA3C6E">
        <w:rPr>
          <w:rFonts w:eastAsia="Calibri" w:cstheme="minorHAnsi"/>
          <w:szCs w:val="20"/>
          <w:u w:val="dotted"/>
          <w:lang w:eastAsia="en-US"/>
        </w:rPr>
        <w:t xml:space="preserve">: </w:t>
      </w:r>
      <w:r w:rsidRPr="00DA3C6E">
        <w:t xml:space="preserve">Proposed clinical management algorithm: initial and maintenance treatment (continuing authorisation) to </w:t>
      </w:r>
      <w:r w:rsidR="00DD7AD2" w:rsidRPr="00DA3C6E">
        <w:t>i</w:t>
      </w:r>
      <w:r w:rsidRPr="00DA3C6E">
        <w:t>ntravenous Ig</w:t>
      </w:r>
      <w:r w:rsidR="00DD7AD2" w:rsidRPr="00DA3C6E">
        <w:t xml:space="preserve"> </w:t>
      </w:r>
      <w:r w:rsidRPr="00DA3C6E">
        <w:t xml:space="preserve">under NBA for second indication (patients who relapse within six months of </w:t>
      </w:r>
      <w:r w:rsidR="005D32B6" w:rsidRPr="00DA3C6E">
        <w:t>weaning</w:t>
      </w:r>
      <w:r w:rsidR="00CF5B7E" w:rsidRPr="00DA3C6E">
        <w:t>.</w:t>
      </w:r>
      <w:bookmarkEnd w:id="100"/>
      <w:r w:rsidRPr="00DA3C6E">
        <w:t xml:space="preserve"> </w:t>
      </w:r>
      <w:bookmarkEnd w:id="101"/>
    </w:p>
    <w:p w14:paraId="0508ABD1" w14:textId="77777777" w:rsidR="005D32B6" w:rsidRPr="00DA3C6E" w:rsidRDefault="00B952B0" w:rsidP="005D32B6">
      <w:pPr>
        <w:spacing w:after="0"/>
        <w:rPr>
          <w:rFonts w:eastAsia="Calibri"/>
          <w:lang w:eastAsia="en-US"/>
        </w:rPr>
      </w:pPr>
      <w:r w:rsidRPr="00DA3C6E">
        <w:rPr>
          <w:rFonts w:eastAsia="Calibri"/>
          <w:noProof/>
        </w:rPr>
        <w:drawing>
          <wp:inline distT="0" distB="0" distL="0" distR="0" wp14:anchorId="73A66E2C" wp14:editId="38B02FA4">
            <wp:extent cx="4770699" cy="6474823"/>
            <wp:effectExtent l="0" t="0" r="0" b="2540"/>
            <wp:docPr id="2" name="Picture 2" title="Figure 4: Proposed clinical management algorithm: initial and maintenance treatment (continuing authorisation) to intravenous Ig under NBA for second indication (patients who relapse within six months of w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7620" cy="6511361"/>
                    </a:xfrm>
                    <a:prstGeom prst="rect">
                      <a:avLst/>
                    </a:prstGeom>
                    <a:noFill/>
                  </pic:spPr>
                </pic:pic>
              </a:graphicData>
            </a:graphic>
          </wp:inline>
        </w:drawing>
      </w:r>
    </w:p>
    <w:p w14:paraId="38B42779" w14:textId="77777777" w:rsidR="00C44F6A" w:rsidRPr="00DA3C6E" w:rsidRDefault="00C44F6A" w:rsidP="005D32B6">
      <w:pPr>
        <w:spacing w:after="0" w:line="240" w:lineRule="auto"/>
        <w:rPr>
          <w:rFonts w:eastAsia="Calibri"/>
          <w:lang w:eastAsia="en-US"/>
        </w:rPr>
      </w:pPr>
      <w:r w:rsidRPr="00DA3C6E">
        <w:rPr>
          <w:rFonts w:ascii="Arial Narrow" w:eastAsia="Calibri" w:hAnsi="Arial Narrow" w:cs="Times New Roman"/>
          <w:sz w:val="18"/>
          <w:lang w:eastAsia="en-US"/>
        </w:rPr>
        <w:t xml:space="preserve">Abbreviations: Ig= immunoglobulin; MMN= multifocal motor neuropathy; NBA= National Blood Authority; ONLS = Overall Neuropathy Limitations Scale. </w:t>
      </w:r>
    </w:p>
    <w:p w14:paraId="725B2FC9" w14:textId="77777777" w:rsidR="00C44F6A" w:rsidRPr="00DA3C6E" w:rsidRDefault="00C44F6A" w:rsidP="008B63B7">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Note: </w:t>
      </w:r>
      <w:r w:rsidRPr="00DA3C6E">
        <w:rPr>
          <w:rFonts w:ascii="Arial Narrow" w:eastAsia="Calibri" w:hAnsi="Arial Narrow" w:cs="Times New Roman"/>
          <w:sz w:val="18"/>
          <w:vertAlign w:val="superscript"/>
          <w:lang w:eastAsia="en-US"/>
        </w:rPr>
        <w:t>1</w:t>
      </w:r>
      <w:r w:rsidRPr="00DA3C6E">
        <w:rPr>
          <w:rFonts w:ascii="Arial Narrow" w:eastAsia="Calibri" w:hAnsi="Arial Narrow" w:cs="Times New Roman"/>
          <w:sz w:val="18"/>
          <w:lang w:eastAsia="en-US"/>
        </w:rPr>
        <w:t xml:space="preserve"> Clinical effectiveness (response) of Ig therapy can be assessed by:  Improvement in focal motor weakness in response to four months of Ig therapy compared to muscle strength at the qualifying assessment following relapse </w:t>
      </w:r>
      <w:r w:rsidRPr="00DA3C6E">
        <w:rPr>
          <w:rFonts w:ascii="Arial Narrow" w:eastAsia="Calibri" w:hAnsi="Arial Narrow" w:cs="Times New Roman"/>
          <w:b/>
          <w:sz w:val="18"/>
          <w:lang w:eastAsia="en-US"/>
        </w:rPr>
        <w:t xml:space="preserve">AND </w:t>
      </w:r>
      <w:r w:rsidRPr="00DA3C6E">
        <w:rPr>
          <w:rFonts w:ascii="Arial Narrow" w:eastAsia="Calibri" w:hAnsi="Arial Narrow" w:cs="Times New Roman"/>
          <w:sz w:val="18"/>
          <w:lang w:eastAsia="en-US"/>
        </w:rPr>
        <w:t>Improvement in disability as measured by the Adjusted ONLS compared to the q</w:t>
      </w:r>
      <w:r w:rsidR="005D32B6" w:rsidRPr="00DA3C6E">
        <w:rPr>
          <w:rFonts w:ascii="Arial Narrow" w:eastAsia="Calibri" w:hAnsi="Arial Narrow" w:cs="Times New Roman"/>
          <w:sz w:val="18"/>
          <w:lang w:eastAsia="en-US"/>
        </w:rPr>
        <w:t>ualifying assessment at relapse;</w:t>
      </w:r>
      <w:r w:rsidRPr="00DA3C6E">
        <w:rPr>
          <w:rFonts w:ascii="Arial Narrow" w:eastAsia="Calibri" w:hAnsi="Arial Narrow" w:cs="Times New Roman"/>
          <w:sz w:val="18"/>
          <w:vertAlign w:val="superscript"/>
          <w:lang w:eastAsia="en-US"/>
        </w:rPr>
        <w:t>2</w:t>
      </w:r>
      <w:r w:rsidRPr="00DA3C6E">
        <w:rPr>
          <w:rFonts w:ascii="Arial Narrow" w:eastAsia="Calibri" w:hAnsi="Arial Narrow" w:cs="Times New Roman"/>
          <w:sz w:val="18"/>
          <w:lang w:eastAsia="en-US"/>
        </w:rPr>
        <w:t xml:space="preserve"> Clinical effectiveness (response) of Ig therapy can be assessed by: Improvement in, or stabilisation of, focal motor weakness as compared to the focal muscle strength at the previous review assessment </w:t>
      </w:r>
      <w:r w:rsidRPr="00DA3C6E">
        <w:rPr>
          <w:rFonts w:ascii="Arial Narrow" w:eastAsia="Calibri" w:hAnsi="Arial Narrow" w:cs="Times New Roman"/>
          <w:b/>
          <w:sz w:val="18"/>
          <w:lang w:eastAsia="en-US"/>
        </w:rPr>
        <w:t>AND</w:t>
      </w:r>
      <w:r w:rsidRPr="00DA3C6E">
        <w:rPr>
          <w:rFonts w:ascii="Arial Narrow" w:eastAsia="Calibri" w:hAnsi="Arial Narrow" w:cs="Times New Roman"/>
          <w:sz w:val="18"/>
          <w:lang w:eastAsia="en-US"/>
        </w:rPr>
        <w:t xml:space="preserve"> Improvement in or stabilisation of disability as measured by the Adjusted ONLS compared to the previous review score (gradual deterioration of one point over several years is acceptable) </w:t>
      </w:r>
      <w:r w:rsidRPr="00DA3C6E">
        <w:rPr>
          <w:rFonts w:ascii="Arial Narrow" w:eastAsia="Calibri" w:hAnsi="Arial Narrow" w:cs="Times New Roman"/>
          <w:b/>
          <w:sz w:val="18"/>
          <w:lang w:eastAsia="en-US"/>
        </w:rPr>
        <w:t>AND</w:t>
      </w:r>
      <w:r w:rsidRPr="00DA3C6E">
        <w:rPr>
          <w:rFonts w:ascii="Arial Narrow" w:eastAsia="Calibri" w:hAnsi="Arial Narrow" w:cs="Times New Roman"/>
          <w:sz w:val="18"/>
          <w:lang w:eastAsia="en-US"/>
        </w:rPr>
        <w:t xml:space="preserve"> A trial of weaning/cessation of Ig therapy are considered annually for patients who are clinically stable to identify those in remission or a valid reason provided as to why a trial is not being planned or is contraindicated at this time.</w:t>
      </w:r>
    </w:p>
    <w:p w14:paraId="2F452243" w14:textId="77777777" w:rsidR="00C44F6A" w:rsidRPr="00DA3C6E" w:rsidRDefault="00C44F6A" w:rsidP="00D90A1E">
      <w:pPr>
        <w:spacing w:after="0" w:line="240" w:lineRule="auto"/>
        <w:rPr>
          <w:rFonts w:ascii="Arial Narrow" w:eastAsia="Calibri" w:hAnsi="Arial Narrow" w:cs="Times New Roman"/>
          <w:sz w:val="18"/>
          <w:szCs w:val="18"/>
          <w:lang w:eastAsia="en-US"/>
        </w:rPr>
      </w:pPr>
      <w:r w:rsidRPr="00DA3C6E">
        <w:rPr>
          <w:rFonts w:ascii="Arial Narrow" w:eastAsia="Calibri" w:hAnsi="Arial Narrow" w:cs="Times New Roman"/>
          <w:sz w:val="18"/>
          <w:szCs w:val="18"/>
          <w:lang w:eastAsia="en-US"/>
        </w:rPr>
        <w:t xml:space="preserve">Blocks coloured in green were added during the PICO confirmation  </w:t>
      </w:r>
    </w:p>
    <w:p w14:paraId="0A404214" w14:textId="77777777" w:rsidR="00C44F6A" w:rsidRPr="00DA3C6E" w:rsidRDefault="00C44F6A" w:rsidP="008D29F3">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Sources: Prepared during PICO Confirmation based on Figure 1 and Figure 2 of the MMN Referral and the reviewed content.  </w:t>
      </w:r>
    </w:p>
    <w:p w14:paraId="5E33B5A8" w14:textId="77777777" w:rsidR="00C44F6A" w:rsidRPr="00DA3C6E" w:rsidRDefault="00C44F6A" w:rsidP="00D778BE">
      <w:pPr>
        <w:pStyle w:val="Heading2"/>
        <w:numPr>
          <w:ilvl w:val="0"/>
          <w:numId w:val="8"/>
        </w:numPr>
      </w:pPr>
      <w:bookmarkStart w:id="102" w:name="_Toc37845725"/>
      <w:r w:rsidRPr="00DA3C6E">
        <w:lastRenderedPageBreak/>
        <w:t>Key Differences in the Delivery of the Proposed Medical Service and the Main Comparator</w:t>
      </w:r>
      <w:bookmarkEnd w:id="102"/>
      <w:r w:rsidRPr="00DA3C6E">
        <w:t xml:space="preserve"> </w:t>
      </w:r>
    </w:p>
    <w:p w14:paraId="00CCD74F" w14:textId="7E6F13DC" w:rsidR="00C44F6A" w:rsidRPr="00DA3C6E" w:rsidRDefault="00C44F6A" w:rsidP="008D29F3">
      <w:pPr>
        <w:rPr>
          <w:rFonts w:eastAsia="Calibri"/>
          <w:lang w:eastAsia="en-US"/>
        </w:rPr>
      </w:pPr>
      <w:r w:rsidRPr="00DA3C6E">
        <w:rPr>
          <w:rFonts w:eastAsia="Calibri"/>
          <w:lang w:eastAsia="en-US"/>
        </w:rPr>
        <w:t xml:space="preserve">The main comparator as defined in the PICO Confirmation was </w:t>
      </w:r>
      <w:r w:rsidR="004E38DF" w:rsidRPr="00DA3C6E">
        <w:rPr>
          <w:rFonts w:eastAsia="Calibri"/>
          <w:lang w:eastAsia="en-US"/>
        </w:rPr>
        <w:t>‘</w:t>
      </w:r>
      <w:r w:rsidRPr="00DA3C6E">
        <w:rPr>
          <w:rFonts w:eastAsia="Calibri"/>
          <w:lang w:eastAsia="en-US"/>
        </w:rPr>
        <w:t>No Ig</w:t>
      </w:r>
      <w:r w:rsidR="00DD7AD2" w:rsidRPr="00DA3C6E">
        <w:rPr>
          <w:rFonts w:eastAsia="Calibri"/>
          <w:lang w:eastAsia="en-US"/>
        </w:rPr>
        <w:t xml:space="preserve"> </w:t>
      </w:r>
      <w:r w:rsidRPr="00DA3C6E">
        <w:rPr>
          <w:rFonts w:eastAsia="Calibri"/>
          <w:lang w:eastAsia="en-US"/>
        </w:rPr>
        <w:t>with active disease surveillance</w:t>
      </w:r>
      <w:r w:rsidR="004E38DF" w:rsidRPr="00DA3C6E">
        <w:rPr>
          <w:rFonts w:eastAsia="Calibri"/>
          <w:lang w:eastAsia="en-US"/>
        </w:rPr>
        <w:t>’</w:t>
      </w:r>
      <w:r w:rsidRPr="00DA3C6E">
        <w:rPr>
          <w:rFonts w:eastAsia="Calibri"/>
          <w:lang w:eastAsia="en-US"/>
        </w:rPr>
        <w:t xml:space="preserve"> (hereafter referred to as </w:t>
      </w:r>
      <w:r w:rsidR="004E38DF" w:rsidRPr="00DA3C6E">
        <w:rPr>
          <w:rFonts w:eastAsia="Calibri"/>
          <w:lang w:eastAsia="en-US"/>
        </w:rPr>
        <w:t xml:space="preserve">best supportive care, or </w:t>
      </w:r>
      <w:r w:rsidRPr="00DA3C6E">
        <w:rPr>
          <w:rFonts w:eastAsia="Calibri"/>
          <w:lang w:eastAsia="en-US"/>
        </w:rPr>
        <w:t>BSC</w:t>
      </w:r>
      <w:r w:rsidR="004E38DF" w:rsidRPr="00DA3C6E">
        <w:rPr>
          <w:rFonts w:eastAsia="Calibri"/>
          <w:lang w:eastAsia="en-US"/>
        </w:rPr>
        <w:t>)</w:t>
      </w:r>
      <w:r w:rsidRPr="00DA3C6E">
        <w:rPr>
          <w:rFonts w:eastAsia="Calibri"/>
          <w:lang w:eastAsia="en-US"/>
        </w:rPr>
        <w:t xml:space="preserve">. Currently, patients not receiving </w:t>
      </w:r>
      <w:r w:rsidR="00DD7AD2" w:rsidRPr="00DA3C6E">
        <w:rPr>
          <w:rFonts w:eastAsia="Calibri"/>
          <w:lang w:eastAsia="en-US"/>
        </w:rPr>
        <w:t>i</w:t>
      </w:r>
      <w:r w:rsidRPr="00DA3C6E">
        <w:rPr>
          <w:rFonts w:eastAsia="Calibri"/>
          <w:lang w:eastAsia="en-US"/>
        </w:rPr>
        <w:t>ntravenous Ig</w:t>
      </w:r>
      <w:r w:rsidR="00DD7AD2" w:rsidRPr="00DA3C6E">
        <w:rPr>
          <w:rFonts w:eastAsia="Calibri"/>
          <w:lang w:eastAsia="en-US"/>
        </w:rPr>
        <w:t xml:space="preserve"> </w:t>
      </w:r>
      <w:r w:rsidRPr="00DA3C6E">
        <w:rPr>
          <w:rFonts w:eastAsia="Calibri"/>
          <w:lang w:eastAsia="en-US"/>
        </w:rPr>
        <w:t xml:space="preserve">treatment are those who are not eligible or no longer eligible </w:t>
      </w:r>
      <w:r w:rsidR="00DD7AD2" w:rsidRPr="00DA3C6E">
        <w:rPr>
          <w:rFonts w:eastAsia="Calibri"/>
          <w:lang w:eastAsia="en-US"/>
        </w:rPr>
        <w:t xml:space="preserve">to receive active treatment </w:t>
      </w:r>
      <w:r w:rsidRPr="00DA3C6E">
        <w:rPr>
          <w:rFonts w:eastAsia="Calibri"/>
          <w:lang w:eastAsia="en-US"/>
        </w:rPr>
        <w:t xml:space="preserve">under </w:t>
      </w:r>
      <w:r w:rsidR="00DD7AD2" w:rsidRPr="00DA3C6E">
        <w:rPr>
          <w:rFonts w:eastAsia="Calibri"/>
          <w:lang w:eastAsia="en-US"/>
        </w:rPr>
        <w:t xml:space="preserve">The </w:t>
      </w:r>
      <w:r w:rsidRPr="00DA3C6E">
        <w:rPr>
          <w:rFonts w:eastAsia="Calibri"/>
          <w:lang w:eastAsia="en-US"/>
        </w:rPr>
        <w:t xml:space="preserve">Criteria V3 or patients for whom </w:t>
      </w:r>
      <w:r w:rsidR="00DD7AD2" w:rsidRPr="00DA3C6E">
        <w:rPr>
          <w:rFonts w:eastAsia="Calibri"/>
          <w:lang w:eastAsia="en-US"/>
        </w:rPr>
        <w:t>i</w:t>
      </w:r>
      <w:r w:rsidRPr="00DA3C6E">
        <w:rPr>
          <w:rFonts w:eastAsia="Calibri"/>
          <w:lang w:eastAsia="en-US"/>
        </w:rPr>
        <w:t>ntravenous Ig</w:t>
      </w:r>
      <w:r w:rsidR="00DD7AD2" w:rsidRPr="00DA3C6E">
        <w:rPr>
          <w:rFonts w:eastAsia="Calibri"/>
          <w:lang w:eastAsia="en-US"/>
        </w:rPr>
        <w:t xml:space="preserve"> </w:t>
      </w:r>
      <w:r w:rsidRPr="00DA3C6E">
        <w:rPr>
          <w:rFonts w:eastAsia="Calibri"/>
          <w:lang w:eastAsia="en-US"/>
        </w:rPr>
        <w:t xml:space="preserve">is contraindicated. These patients are assumed to maintain </w:t>
      </w:r>
      <w:r w:rsidR="001B2D55" w:rsidRPr="00DA3C6E">
        <w:rPr>
          <w:rFonts w:eastAsia="Calibri"/>
          <w:lang w:eastAsia="en-US"/>
        </w:rPr>
        <w:t>BSC</w:t>
      </w:r>
      <w:r w:rsidRPr="00DA3C6E">
        <w:rPr>
          <w:rFonts w:eastAsia="Calibri"/>
          <w:lang w:eastAsia="en-US"/>
        </w:rPr>
        <w:t xml:space="preserve"> with a neurologist and other health </w:t>
      </w:r>
      <w:r w:rsidR="001B2D55" w:rsidRPr="00DA3C6E">
        <w:rPr>
          <w:rFonts w:eastAsia="Calibri"/>
          <w:lang w:eastAsia="en-US"/>
        </w:rPr>
        <w:t xml:space="preserve">care </w:t>
      </w:r>
      <w:r w:rsidRPr="00DA3C6E">
        <w:rPr>
          <w:rFonts w:eastAsia="Calibri"/>
          <w:lang w:eastAsia="en-US"/>
        </w:rPr>
        <w:t>professionals such as physiotherapist</w:t>
      </w:r>
      <w:r w:rsidR="001F4B3B" w:rsidRPr="00DA3C6E">
        <w:rPr>
          <w:rFonts w:eastAsia="Calibri"/>
          <w:lang w:eastAsia="en-US"/>
        </w:rPr>
        <w:t>s</w:t>
      </w:r>
      <w:r w:rsidRPr="00DA3C6E">
        <w:rPr>
          <w:rFonts w:eastAsia="Calibri"/>
          <w:lang w:eastAsia="en-US"/>
        </w:rPr>
        <w:t xml:space="preserve"> where applicable. </w:t>
      </w:r>
    </w:p>
    <w:p w14:paraId="4D6CAD0B" w14:textId="77777777" w:rsidR="00C44F6A" w:rsidRPr="00DA3C6E" w:rsidRDefault="00C44F6A" w:rsidP="008D29F3">
      <w:pPr>
        <w:rPr>
          <w:rFonts w:eastAsia="Calibri"/>
          <w:lang w:eastAsia="en-US"/>
        </w:rPr>
      </w:pPr>
      <w:r w:rsidRPr="00DA3C6E">
        <w:rPr>
          <w:rFonts w:eastAsia="Calibri"/>
          <w:lang w:eastAsia="en-US"/>
        </w:rPr>
        <w:t xml:space="preserve">The main difference in the delivery of the intervention is the actual administration of </w:t>
      </w:r>
      <w:r w:rsidR="00DD7AD2" w:rsidRPr="00DA3C6E">
        <w:rPr>
          <w:rFonts w:eastAsia="Calibri"/>
          <w:lang w:eastAsia="en-US"/>
        </w:rPr>
        <w:t>i</w:t>
      </w:r>
      <w:r w:rsidRPr="00DA3C6E">
        <w:rPr>
          <w:rFonts w:eastAsia="Calibri"/>
          <w:lang w:eastAsia="en-US"/>
        </w:rPr>
        <w:t>ntravenous Ig, which for MMN patients, is administered mainly in hospital</w:t>
      </w:r>
      <w:r w:rsidR="001B2D55" w:rsidRPr="00DA3C6E">
        <w:rPr>
          <w:rFonts w:eastAsia="Calibri"/>
          <w:lang w:eastAsia="en-US"/>
        </w:rPr>
        <w:t xml:space="preserve"> (outpatient setting)</w:t>
      </w:r>
      <w:r w:rsidRPr="00DA3C6E">
        <w:rPr>
          <w:rFonts w:eastAsia="Calibri"/>
          <w:lang w:eastAsia="en-US"/>
        </w:rPr>
        <w:t xml:space="preserve">. This requires specialised nurses and the use of hospital facilities and devices for a proper and safe delivery of the intervention. Some patients may require hospitalisation because they may require longer monitoring due to the presence of comorbidities, longer infusion times or the risk of adverse events. </w:t>
      </w:r>
    </w:p>
    <w:p w14:paraId="5D375371" w14:textId="77777777" w:rsidR="00C44F6A" w:rsidRPr="00DA3C6E" w:rsidRDefault="00C44F6A" w:rsidP="00D778BE">
      <w:pPr>
        <w:pStyle w:val="Heading2"/>
        <w:numPr>
          <w:ilvl w:val="0"/>
          <w:numId w:val="8"/>
        </w:numPr>
      </w:pPr>
      <w:bookmarkStart w:id="103" w:name="_Toc37845726"/>
      <w:r w:rsidRPr="00DA3C6E">
        <w:t>Clinical Claim</w:t>
      </w:r>
      <w:bookmarkEnd w:id="103"/>
    </w:p>
    <w:p w14:paraId="2E88F031" w14:textId="77777777" w:rsidR="00C44F6A" w:rsidRPr="00DA3C6E" w:rsidRDefault="00C44F6A" w:rsidP="008D29F3">
      <w:r w:rsidRPr="00DA3C6E">
        <w:t>The clinical claim in the PICO Confirmation was “</w:t>
      </w:r>
      <w:r w:rsidR="00B72D37" w:rsidRPr="00DA3C6E">
        <w:t>i</w:t>
      </w:r>
      <w:r w:rsidRPr="00DA3C6E">
        <w:t>ntravenous Ig</w:t>
      </w:r>
      <w:r w:rsidR="00DD7AD2" w:rsidRPr="00DA3C6E">
        <w:t xml:space="preserve"> </w:t>
      </w:r>
      <w:r w:rsidRPr="00DA3C6E">
        <w:t>is claimed to have superior effectiveness and inferior safety compared to ‘</w:t>
      </w:r>
      <w:r w:rsidR="000F6FAB" w:rsidRPr="00DA3C6E">
        <w:t>placebo</w:t>
      </w:r>
      <w:r w:rsidRPr="00DA3C6E">
        <w:t>’ in treatment of patients with MMN.”</w:t>
      </w:r>
    </w:p>
    <w:p w14:paraId="56734EFB" w14:textId="77777777" w:rsidR="00C44F6A" w:rsidRPr="00DA3C6E" w:rsidRDefault="00C44F6A" w:rsidP="00D778BE">
      <w:pPr>
        <w:pStyle w:val="Heading2"/>
        <w:numPr>
          <w:ilvl w:val="0"/>
          <w:numId w:val="8"/>
        </w:numPr>
      </w:pPr>
      <w:bookmarkStart w:id="104" w:name="_Toc37845727"/>
      <w:r w:rsidRPr="00DA3C6E">
        <w:t>Summary of the PICO</w:t>
      </w:r>
      <w:bookmarkEnd w:id="104"/>
    </w:p>
    <w:p w14:paraId="20A9E274" w14:textId="77777777" w:rsidR="00C44F6A" w:rsidRPr="00DA3C6E" w:rsidRDefault="00C44F6A" w:rsidP="008D29F3">
      <w:r w:rsidRPr="00DA3C6E">
        <w:t xml:space="preserve">The guiding framework of a PICO Confirmation is recommended by MSAC for each assessment. The PICO Confirmation describes current clinical practice and reflects the likely future practice with the proposed medical service. </w:t>
      </w:r>
    </w:p>
    <w:p w14:paraId="30614BDE" w14:textId="3580B96F" w:rsidR="00C44F6A" w:rsidRPr="00DA3C6E" w:rsidRDefault="00C44F6A" w:rsidP="008D29F3">
      <w:pPr>
        <w:rPr>
          <w:sz w:val="24"/>
        </w:rPr>
      </w:pPr>
      <w:r w:rsidRPr="00DA3C6E">
        <w:t xml:space="preserve">The summary PICO from the PICO Confirmation is presented in </w:t>
      </w:r>
      <w:r w:rsidRPr="00DA3C6E">
        <w:fldChar w:fldCharType="begin"/>
      </w:r>
      <w:r w:rsidRPr="00DA3C6E">
        <w:instrText xml:space="preserve"> REF _Ref25846554 \h  \* MERGEFORMAT </w:instrText>
      </w:r>
      <w:r w:rsidRPr="00DA3C6E">
        <w:fldChar w:fldCharType="separate"/>
      </w:r>
      <w:r w:rsidR="00EA5DC1" w:rsidRPr="00DA3C6E">
        <w:t xml:space="preserve">Table </w:t>
      </w:r>
      <w:r w:rsidR="00EA5DC1">
        <w:rPr>
          <w:noProof/>
        </w:rPr>
        <w:t>7</w:t>
      </w:r>
      <w:r w:rsidRPr="00DA3C6E">
        <w:fldChar w:fldCharType="end"/>
      </w:r>
      <w:r w:rsidRPr="00DA3C6E">
        <w:t xml:space="preserve">. </w:t>
      </w:r>
    </w:p>
    <w:p w14:paraId="1FA84151" w14:textId="7EC8F87D" w:rsidR="00C44F6A" w:rsidRPr="00DA3C6E" w:rsidRDefault="00C44F6A" w:rsidP="00135241">
      <w:pPr>
        <w:pStyle w:val="Caption"/>
        <w:keepNext/>
        <w:keepLines/>
      </w:pPr>
      <w:bookmarkStart w:id="105" w:name="_Ref25846554"/>
      <w:bookmarkStart w:id="106" w:name="_Toc30497456"/>
      <w:bookmarkStart w:id="107" w:name="_Toc37845810"/>
      <w:r w:rsidRPr="00DA3C6E">
        <w:t xml:space="preserve">Table </w:t>
      </w:r>
      <w:r w:rsidR="00515153">
        <w:fldChar w:fldCharType="begin"/>
      </w:r>
      <w:r w:rsidR="00515153">
        <w:instrText xml:space="preserve"> SEQ Table \* ARABIC </w:instrText>
      </w:r>
      <w:r w:rsidR="00515153">
        <w:fldChar w:fldCharType="separate"/>
      </w:r>
      <w:r w:rsidR="00EA5DC1">
        <w:rPr>
          <w:noProof/>
        </w:rPr>
        <w:t>7</w:t>
      </w:r>
      <w:r w:rsidR="00515153">
        <w:rPr>
          <w:noProof/>
        </w:rPr>
        <w:fldChar w:fldCharType="end"/>
      </w:r>
      <w:bookmarkEnd w:id="105"/>
      <w:r w:rsidRPr="00DA3C6E">
        <w:t>: Summary of PICO</w:t>
      </w:r>
      <w:bookmarkEnd w:id="106"/>
      <w:bookmarkEnd w:id="107"/>
      <w:r w:rsidRPr="00DA3C6E">
        <w:t xml:space="preserve">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E8759F" w:rsidRPr="00DA3C6E" w14:paraId="0F71EACE" w14:textId="77777777" w:rsidTr="0051307F">
        <w:trPr>
          <w:tblHeader/>
        </w:trPr>
        <w:tc>
          <w:tcPr>
            <w:tcW w:w="1005" w:type="pct"/>
            <w:tcBorders>
              <w:top w:val="single" w:sz="8" w:space="0" w:color="auto"/>
              <w:bottom w:val="single" w:sz="8" w:space="0" w:color="auto"/>
              <w:right w:val="single" w:sz="4" w:space="0" w:color="auto"/>
            </w:tcBorders>
            <w:shd w:val="clear" w:color="auto" w:fill="auto"/>
            <w:vAlign w:val="center"/>
          </w:tcPr>
          <w:p w14:paraId="14DE86B6" w14:textId="77777777" w:rsidR="00E8759F" w:rsidRPr="00DA3C6E" w:rsidRDefault="00E8759F" w:rsidP="0051307F">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37E2B621" w14:textId="77777777" w:rsidR="00E8759F" w:rsidRPr="00DA3C6E" w:rsidRDefault="00E8759F" w:rsidP="0051307F">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Description</w:t>
            </w:r>
          </w:p>
        </w:tc>
      </w:tr>
      <w:tr w:rsidR="00E8759F" w:rsidRPr="00DA3C6E" w14:paraId="76B07F60" w14:textId="77777777" w:rsidTr="0051307F">
        <w:tc>
          <w:tcPr>
            <w:tcW w:w="1005" w:type="pct"/>
            <w:tcBorders>
              <w:top w:val="single" w:sz="8" w:space="0" w:color="auto"/>
              <w:right w:val="single" w:sz="4" w:space="0" w:color="auto"/>
            </w:tcBorders>
            <w:shd w:val="clear" w:color="auto" w:fill="auto"/>
            <w:vAlign w:val="center"/>
          </w:tcPr>
          <w:p w14:paraId="20499A02" w14:textId="77777777" w:rsidR="00E8759F" w:rsidRPr="00DA3C6E" w:rsidRDefault="00E8759F" w:rsidP="0051307F">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Population</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42A608E8" w14:textId="77777777" w:rsidR="00E8759F" w:rsidRPr="00DA3C6E" w:rsidRDefault="00E8759F" w:rsidP="0051307F">
            <w:pPr>
              <w:spacing w:after="0" w:line="276" w:lineRule="auto"/>
              <w:rPr>
                <w:rFonts w:ascii="Arial Narrow" w:eastAsia="Calibri" w:hAnsi="Arial Narrow" w:cs="Times New Roman"/>
                <w:color w:val="FF0000"/>
                <w:sz w:val="20"/>
                <w:szCs w:val="20"/>
                <w:u w:val="dotted"/>
                <w:lang w:eastAsia="en-US"/>
              </w:rPr>
            </w:pPr>
            <w:r w:rsidRPr="00DA3C6E">
              <w:rPr>
                <w:rFonts w:ascii="Arial Narrow" w:eastAsia="Calibri" w:hAnsi="Arial Narrow" w:cs="Times New Roman"/>
                <w:sz w:val="20"/>
                <w:szCs w:val="20"/>
                <w:lang w:eastAsia="en-US"/>
              </w:rPr>
              <w:t>Patients diagnosed with MMN who are currently eligible for the use of intravenous Ig treatment in Australia according to ‘</w:t>
            </w:r>
            <w:r w:rsidRPr="00DA3C6E">
              <w:rPr>
                <w:rFonts w:ascii="Arial Narrow" w:eastAsia="Calibri" w:hAnsi="Arial Narrow" w:cs="Times New Roman"/>
                <w:i/>
                <w:sz w:val="20"/>
                <w:szCs w:val="20"/>
                <w:lang w:eastAsia="en-US"/>
              </w:rPr>
              <w:t>The Criteria V3 for the clinical use of immunoglobulin in Australia</w:t>
            </w:r>
            <w:r w:rsidRPr="00DA3C6E">
              <w:rPr>
                <w:rFonts w:ascii="Arial Narrow" w:eastAsia="Calibri" w:hAnsi="Arial Narrow" w:cs="Times New Roman"/>
                <w:sz w:val="20"/>
                <w:szCs w:val="20"/>
                <w:lang w:eastAsia="en-US"/>
              </w:rPr>
              <w:t>’.</w:t>
            </w:r>
          </w:p>
        </w:tc>
      </w:tr>
      <w:tr w:rsidR="00E8759F" w:rsidRPr="00DA3C6E" w14:paraId="6720E008" w14:textId="77777777" w:rsidTr="0051307F">
        <w:tc>
          <w:tcPr>
            <w:tcW w:w="1005" w:type="pct"/>
            <w:tcBorders>
              <w:right w:val="single" w:sz="4" w:space="0" w:color="auto"/>
            </w:tcBorders>
            <w:shd w:val="clear" w:color="auto" w:fill="auto"/>
            <w:vAlign w:val="center"/>
          </w:tcPr>
          <w:p w14:paraId="6C137092" w14:textId="77777777" w:rsidR="00E8759F" w:rsidRPr="00DA3C6E" w:rsidRDefault="00E8759F" w:rsidP="0051307F">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Intervention</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40D2840E" w14:textId="77777777" w:rsidR="00E8759F" w:rsidRPr="00DA3C6E" w:rsidRDefault="00E8759F" w:rsidP="0051307F">
            <w:pPr>
              <w:spacing w:after="0" w:line="276" w:lineRule="auto"/>
              <w:rPr>
                <w:rFonts w:ascii="Arial Narrow" w:eastAsiaTheme="minorHAnsi" w:hAnsi="Arial Narrow" w:cs="Times New Roman"/>
                <w:sz w:val="20"/>
                <w:szCs w:val="20"/>
                <w:lang w:eastAsia="en-US"/>
              </w:rPr>
            </w:pPr>
            <w:r w:rsidRPr="00DA3C6E">
              <w:rPr>
                <w:rFonts w:ascii="Arial Narrow" w:eastAsiaTheme="minorHAnsi" w:hAnsi="Arial Narrow" w:cs="Times New Roman"/>
                <w:sz w:val="20"/>
                <w:szCs w:val="20"/>
                <w:lang w:eastAsia="en-US"/>
              </w:rPr>
              <w:t>Intravenous Ig.</w:t>
            </w:r>
          </w:p>
        </w:tc>
      </w:tr>
      <w:tr w:rsidR="00E8759F" w:rsidRPr="00DA3C6E" w14:paraId="502513A6" w14:textId="77777777" w:rsidTr="0051307F">
        <w:tc>
          <w:tcPr>
            <w:tcW w:w="1005" w:type="pct"/>
            <w:tcBorders>
              <w:right w:val="single" w:sz="4" w:space="0" w:color="auto"/>
            </w:tcBorders>
            <w:shd w:val="clear" w:color="auto" w:fill="auto"/>
            <w:vAlign w:val="center"/>
          </w:tcPr>
          <w:p w14:paraId="733F6FAA" w14:textId="77777777" w:rsidR="00E8759F" w:rsidRPr="00DA3C6E" w:rsidRDefault="00E8759F" w:rsidP="0051307F">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Comparator</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63ABC803" w14:textId="77777777" w:rsidR="00E8759F" w:rsidRPr="00DA3C6E" w:rsidRDefault="00E8759F" w:rsidP="0051307F">
            <w:pPr>
              <w:spacing w:after="0" w:line="276" w:lineRule="auto"/>
              <w:rPr>
                <w:rFonts w:ascii="Arial Narrow" w:eastAsia="Calibri" w:hAnsi="Arial Narrow" w:cs="Times New Roman"/>
                <w:color w:val="FF0000"/>
                <w:sz w:val="20"/>
                <w:szCs w:val="20"/>
                <w:u w:val="dotted"/>
                <w:lang w:eastAsia="en-US"/>
              </w:rPr>
            </w:pPr>
            <w:r w:rsidRPr="00DA3C6E">
              <w:rPr>
                <w:rFonts w:ascii="Arial Narrow" w:eastAsiaTheme="minorHAnsi" w:hAnsi="Arial Narrow" w:cs="Times New Roman"/>
                <w:sz w:val="20"/>
                <w:szCs w:val="20"/>
                <w:lang w:eastAsia="en-US"/>
              </w:rPr>
              <w:t>The comparator is No Ig with BSC.</w:t>
            </w:r>
          </w:p>
        </w:tc>
      </w:tr>
      <w:tr w:rsidR="00E8759F" w:rsidRPr="00DA3C6E" w14:paraId="4EB36820" w14:textId="77777777" w:rsidTr="0051307F">
        <w:tc>
          <w:tcPr>
            <w:tcW w:w="1005" w:type="pct"/>
            <w:tcBorders>
              <w:right w:val="single" w:sz="4" w:space="0" w:color="auto"/>
            </w:tcBorders>
            <w:shd w:val="clear" w:color="auto" w:fill="auto"/>
            <w:vAlign w:val="center"/>
          </w:tcPr>
          <w:p w14:paraId="396FAB1C" w14:textId="77777777" w:rsidR="00E8759F" w:rsidRPr="00DA3C6E" w:rsidRDefault="00E8759F" w:rsidP="0051307F">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Outcomes</w:t>
            </w:r>
          </w:p>
        </w:tc>
        <w:tc>
          <w:tcPr>
            <w:tcW w:w="3995" w:type="pct"/>
            <w:tcBorders>
              <w:top w:val="single" w:sz="4" w:space="0" w:color="auto"/>
              <w:left w:val="single" w:sz="4" w:space="0" w:color="auto"/>
              <w:bottom w:val="single" w:sz="4" w:space="0" w:color="auto"/>
              <w:right w:val="single" w:sz="4" w:space="0" w:color="auto"/>
            </w:tcBorders>
            <w:shd w:val="clear" w:color="auto" w:fill="auto"/>
            <w:vAlign w:val="center"/>
          </w:tcPr>
          <w:p w14:paraId="0C0428EB" w14:textId="77777777" w:rsidR="00E8759F" w:rsidRPr="00DA3C6E" w:rsidRDefault="00E8759F" w:rsidP="0051307F">
            <w:pPr>
              <w:spacing w:after="0" w:line="276" w:lineRule="auto"/>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The outcomes listed below are those identified as relevant in the development of the PICO Confirmation. The outcomes identified are:</w:t>
            </w:r>
          </w:p>
          <w:p w14:paraId="16A26763" w14:textId="77777777" w:rsidR="00E8759F" w:rsidRPr="00DA3C6E" w:rsidRDefault="00E8759F" w:rsidP="0051307F">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 xml:space="preserve">Safety outcomes: </w:t>
            </w:r>
          </w:p>
          <w:p w14:paraId="6F64F44A"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AEs including hypersensitivity reactions, fall in blood pressure with anaphylactic reaction; thromboembolic reactions such as myocardial infarction, stroke, pulmonary embolism, deep vein thromboses; acute renal failure; anaphylaxis, veno-occlusive events.</w:t>
            </w:r>
          </w:p>
          <w:p w14:paraId="0EFCA4FC" w14:textId="77777777" w:rsidR="00E8759F" w:rsidRPr="00DA3C6E" w:rsidRDefault="00E8759F" w:rsidP="0051307F">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Clinical effectiveness outcomes:</w:t>
            </w:r>
          </w:p>
          <w:p w14:paraId="0D5212D2"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Disease remission; </w:t>
            </w:r>
          </w:p>
          <w:p w14:paraId="20A8A967"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 in motor muscle weakness;</w:t>
            </w:r>
          </w:p>
          <w:p w14:paraId="0177A738"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lastRenderedPageBreak/>
              <w:t>Change in disability</w:t>
            </w:r>
            <w:r w:rsidRPr="00DA3C6E">
              <w:rPr>
                <w:rFonts w:ascii="Arial Narrow" w:eastAsia="Calibri" w:hAnsi="Arial Narrow" w:cs="Times New Roman"/>
                <w:sz w:val="20"/>
                <w:szCs w:val="20"/>
                <w:vertAlign w:val="superscript"/>
                <w:lang w:eastAsia="en-US"/>
              </w:rPr>
              <w:t>a</w:t>
            </w:r>
            <w:r w:rsidRPr="00DA3C6E">
              <w:rPr>
                <w:rFonts w:ascii="Arial Narrow" w:eastAsia="Calibri" w:hAnsi="Arial Narrow" w:cs="Times New Roman"/>
                <w:sz w:val="20"/>
                <w:szCs w:val="20"/>
                <w:lang w:eastAsia="en-US"/>
              </w:rPr>
              <w:t>;</w:t>
            </w:r>
          </w:p>
          <w:p w14:paraId="6656B7CE"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 in quality of life (QoL);</w:t>
            </w:r>
          </w:p>
          <w:p w14:paraId="27D636FA" w14:textId="77777777" w:rsidR="00E8759F" w:rsidRPr="00DA3C6E" w:rsidRDefault="00E8759F" w:rsidP="00E8759F">
            <w:pPr>
              <w:numPr>
                <w:ilvl w:val="0"/>
                <w:numId w:val="28"/>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Quality adjusted life year.  </w:t>
            </w:r>
          </w:p>
          <w:p w14:paraId="6007CB4B" w14:textId="77777777" w:rsidR="00E8759F" w:rsidRPr="00DA3C6E" w:rsidRDefault="00E8759F" w:rsidP="0051307F">
            <w:pPr>
              <w:spacing w:after="0" w:line="276" w:lineRule="auto"/>
              <w:rPr>
                <w:rFonts w:ascii="Arial Narrow" w:eastAsia="Calibri" w:hAnsi="Arial Narrow" w:cs="Times New Roman"/>
                <w:b/>
                <w:sz w:val="20"/>
                <w:szCs w:val="20"/>
                <w:lang w:eastAsia="en-US"/>
              </w:rPr>
            </w:pPr>
            <w:r w:rsidRPr="00DA3C6E">
              <w:rPr>
                <w:rFonts w:ascii="Arial Narrow" w:eastAsia="Calibri" w:hAnsi="Arial Narrow" w:cs="Times New Roman"/>
                <w:b/>
                <w:sz w:val="20"/>
                <w:szCs w:val="20"/>
                <w:lang w:eastAsia="en-US"/>
              </w:rPr>
              <w:t>Healthcare system resources utilisation as identified in the Referral</w:t>
            </w:r>
          </w:p>
          <w:p w14:paraId="260ED81C" w14:textId="77777777" w:rsidR="00E8759F" w:rsidRPr="00DA3C6E" w:rsidRDefault="00E8759F" w:rsidP="00E8759F">
            <w:pPr>
              <w:numPr>
                <w:ilvl w:val="0"/>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Changes in health system resource utilisation associated with the intervention compared to the comparator for the following:</w:t>
            </w:r>
          </w:p>
          <w:p w14:paraId="2285782D"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Intravenous Ig products;</w:t>
            </w:r>
          </w:p>
          <w:p w14:paraId="75600D31"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Other therapies used in patients with progressive MMN;</w:t>
            </w:r>
          </w:p>
          <w:p w14:paraId="00E70F82"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Infusion equipment;</w:t>
            </w:r>
          </w:p>
          <w:p w14:paraId="3B4AA7B2"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Administrative and clinician time (e.g. resources associated with requesting, and authorising, access to Ig);</w:t>
            </w:r>
          </w:p>
          <w:p w14:paraId="3A103DB8"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Nursing time (for treatment initiation and monitoring of intravenous Ig);</w:t>
            </w:r>
          </w:p>
          <w:p w14:paraId="1C1C89EC"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Hospitalisation (including use of hospital resources);</w:t>
            </w:r>
          </w:p>
          <w:p w14:paraId="0DE3E08E"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Additional treatments used for the occurrence of adverse events (e.g. analgesia or antihistamines);</w:t>
            </w:r>
          </w:p>
          <w:p w14:paraId="7A2A5570"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Product dispensing and disposal of any unused product;</w:t>
            </w:r>
          </w:p>
          <w:p w14:paraId="451CB02F"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Follow-up and/or monitoring visits, including regular neurology visits;</w:t>
            </w:r>
          </w:p>
          <w:p w14:paraId="789FD6B5"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Disability support services;</w:t>
            </w:r>
          </w:p>
          <w:p w14:paraId="26FCE394" w14:textId="77777777" w:rsidR="00E8759F" w:rsidRPr="00DA3C6E" w:rsidRDefault="00E8759F" w:rsidP="00E8759F">
            <w:pPr>
              <w:numPr>
                <w:ilvl w:val="1"/>
                <w:numId w:val="29"/>
              </w:numPr>
              <w:spacing w:after="0" w:line="276" w:lineRule="auto"/>
              <w:contextualSpacing/>
              <w:rPr>
                <w:rFonts w:ascii="Arial Narrow" w:eastAsia="Calibri" w:hAnsi="Arial Narrow" w:cs="Times New Roman"/>
                <w:sz w:val="20"/>
                <w:szCs w:val="20"/>
                <w:lang w:eastAsia="en-US"/>
              </w:rPr>
            </w:pPr>
            <w:r w:rsidRPr="00DA3C6E">
              <w:rPr>
                <w:rFonts w:ascii="Arial Narrow" w:eastAsia="Calibri" w:hAnsi="Arial Narrow" w:cs="Times New Roman"/>
                <w:sz w:val="20"/>
                <w:szCs w:val="20"/>
                <w:lang w:eastAsia="en-US"/>
              </w:rPr>
              <w:t xml:space="preserve">Home nursing and support needs. </w:t>
            </w:r>
          </w:p>
        </w:tc>
      </w:tr>
    </w:tbl>
    <w:p w14:paraId="21A16166" w14:textId="77777777" w:rsidR="00C44F6A" w:rsidRPr="00DA3C6E" w:rsidRDefault="00C44F6A" w:rsidP="0016555D">
      <w:pPr>
        <w:spacing w:after="0" w:line="240" w:lineRule="auto"/>
        <w:rPr>
          <w:rFonts w:ascii="Arial Narrow" w:hAnsi="Arial Narrow"/>
          <w:sz w:val="18"/>
          <w:szCs w:val="18"/>
        </w:rPr>
      </w:pPr>
      <w:r w:rsidRPr="00DA3C6E">
        <w:rPr>
          <w:rFonts w:ascii="Arial Narrow" w:hAnsi="Arial Narrow"/>
          <w:sz w:val="18"/>
          <w:szCs w:val="18"/>
        </w:rPr>
        <w:lastRenderedPageBreak/>
        <w:t xml:space="preserve">Abbreviations: AE= adverse events; </w:t>
      </w:r>
      <w:r w:rsidR="00541828" w:rsidRPr="00DA3C6E">
        <w:rPr>
          <w:rFonts w:ascii="Arial Narrow" w:hAnsi="Arial Narrow"/>
          <w:sz w:val="18"/>
          <w:szCs w:val="18"/>
        </w:rPr>
        <w:t xml:space="preserve">BSC = best supportive care; </w:t>
      </w:r>
      <w:r w:rsidRPr="00DA3C6E">
        <w:rPr>
          <w:rFonts w:ascii="Arial Narrow" w:hAnsi="Arial Narrow"/>
          <w:sz w:val="18"/>
          <w:szCs w:val="18"/>
        </w:rPr>
        <w:t xml:space="preserve">Ig= immunoglobulin; </w:t>
      </w:r>
      <w:r w:rsidR="00541828" w:rsidRPr="00DA3C6E">
        <w:rPr>
          <w:rFonts w:ascii="Arial Narrow" w:hAnsi="Arial Narrow"/>
          <w:sz w:val="18"/>
          <w:szCs w:val="18"/>
        </w:rPr>
        <w:t xml:space="preserve">MMN = multifocal motor neuropathy; </w:t>
      </w:r>
      <w:r w:rsidRPr="00DA3C6E">
        <w:rPr>
          <w:rFonts w:ascii="Arial Narrow" w:hAnsi="Arial Narrow"/>
          <w:sz w:val="18"/>
          <w:szCs w:val="18"/>
        </w:rPr>
        <w:t xml:space="preserve">ONLS= Overall Neuropathy Limitations Scale. </w:t>
      </w:r>
    </w:p>
    <w:p w14:paraId="4722479E" w14:textId="0C9B0FD7" w:rsidR="00C44F6A" w:rsidRPr="00DA3C6E" w:rsidRDefault="00C44F6A" w:rsidP="008D29F3">
      <w:pPr>
        <w:spacing w:line="240" w:lineRule="auto"/>
        <w:rPr>
          <w:rFonts w:eastAsia="MS Gothic"/>
          <w:b/>
          <w:bCs/>
          <w:i/>
          <w:szCs w:val="26"/>
          <w:u w:val="single"/>
        </w:rPr>
      </w:pPr>
      <w:r w:rsidRPr="00DA3C6E">
        <w:rPr>
          <w:rFonts w:ascii="Arial Narrow" w:hAnsi="Arial Narrow"/>
          <w:sz w:val="18"/>
          <w:szCs w:val="18"/>
        </w:rPr>
        <w:t xml:space="preserve">Note: </w:t>
      </w:r>
      <w:r w:rsidRPr="00DA3C6E">
        <w:rPr>
          <w:rFonts w:ascii="Arial Narrow" w:hAnsi="Arial Narrow"/>
          <w:sz w:val="18"/>
          <w:szCs w:val="18"/>
          <w:vertAlign w:val="superscript"/>
        </w:rPr>
        <w:t>a</w:t>
      </w:r>
      <w:r w:rsidRPr="00DA3C6E">
        <w:rPr>
          <w:rFonts w:ascii="Arial Narrow" w:hAnsi="Arial Narrow"/>
          <w:sz w:val="18"/>
          <w:szCs w:val="18"/>
        </w:rPr>
        <w:t xml:space="preserve">Different disability tools were used in the randomised trials to assess the efficacy of </w:t>
      </w:r>
      <w:r w:rsidR="00135241" w:rsidRPr="00DA3C6E">
        <w:rPr>
          <w:rFonts w:ascii="Arial Narrow" w:hAnsi="Arial Narrow"/>
          <w:sz w:val="18"/>
          <w:szCs w:val="18"/>
        </w:rPr>
        <w:t>i</w:t>
      </w:r>
      <w:r w:rsidRPr="00DA3C6E">
        <w:rPr>
          <w:rFonts w:ascii="Arial Narrow" w:hAnsi="Arial Narrow"/>
          <w:sz w:val="18"/>
          <w:szCs w:val="18"/>
        </w:rPr>
        <w:t>ntravenous Ig</w:t>
      </w:r>
      <w:r w:rsidR="00135241" w:rsidRPr="00DA3C6E">
        <w:rPr>
          <w:rFonts w:ascii="Arial Narrow" w:hAnsi="Arial Narrow"/>
          <w:sz w:val="18"/>
          <w:szCs w:val="18"/>
        </w:rPr>
        <w:t xml:space="preserve"> </w:t>
      </w:r>
      <w:r w:rsidRPr="00DA3C6E">
        <w:rPr>
          <w:rFonts w:ascii="Arial Narrow" w:hAnsi="Arial Narrow"/>
          <w:sz w:val="18"/>
          <w:szCs w:val="18"/>
        </w:rPr>
        <w:t xml:space="preserve">in MMN: the Norris scale, modified Rankin scale, modified NDS, GNDS, ODSS, VAS and other self-evaluation scales. More recently the Rasch-built Overall Disability Scale has been developed specifically for MMN.  </w:t>
      </w:r>
    </w:p>
    <w:p w14:paraId="09224FC5" w14:textId="77777777" w:rsidR="00C44F6A" w:rsidRPr="00DA3C6E" w:rsidRDefault="00C44F6A" w:rsidP="00D778BE">
      <w:pPr>
        <w:pStyle w:val="Heading2"/>
        <w:numPr>
          <w:ilvl w:val="0"/>
          <w:numId w:val="8"/>
        </w:numPr>
      </w:pPr>
      <w:bookmarkStart w:id="108" w:name="_Toc37845728"/>
      <w:r w:rsidRPr="00DA3C6E">
        <w:t>Consumer impact statement</w:t>
      </w:r>
      <w:bookmarkEnd w:id="108"/>
    </w:p>
    <w:p w14:paraId="045AE41B" w14:textId="77777777" w:rsidR="00B72D37" w:rsidRPr="00D96AFB" w:rsidRDefault="00B72D37" w:rsidP="00D96AFB">
      <w:r w:rsidRPr="00D96AFB">
        <w:t xml:space="preserve">Targeted feedback was sought in August 2019 from stakeholders including consumer groups, clinicians and sponsor companies to assist in developing the PICO </w:t>
      </w:r>
      <w:r w:rsidR="00FC0FDA" w:rsidRPr="00D96AFB">
        <w:t>C</w:t>
      </w:r>
      <w:r w:rsidRPr="00D96AFB">
        <w:t xml:space="preserve">onfirmation. Responses were received from one clinician and two sponsor companies. Sponsor companies considered intravenous Ig to be a safe and effective treatment for patients with MMN, and therefore would not encourage further limitation to access of intravenous Ig based on the current level of evidence. Clinician feedback indicated that the treatment algorithm was reasonable for commencement, but that data on the rates of continuation would be valuable to the review considering that continuation rates as expected from RCTs seldom match actual rates of continuation. </w:t>
      </w:r>
    </w:p>
    <w:p w14:paraId="2DED8161" w14:textId="77777777" w:rsidR="00FC0FDA" w:rsidRPr="00D96AFB" w:rsidRDefault="00FA3486" w:rsidP="00D96AFB">
      <w:r w:rsidRPr="00D96AFB">
        <w:t>N</w:t>
      </w:r>
      <w:r w:rsidR="00FC0FDA" w:rsidRPr="00D96AFB">
        <w:t xml:space="preserve">o </w:t>
      </w:r>
      <w:r w:rsidRPr="00D96AFB">
        <w:t xml:space="preserve">feedback from </w:t>
      </w:r>
      <w:r w:rsidR="00FC0FDA" w:rsidRPr="00D96AFB">
        <w:t>consumer groups was available at the time of the elaboration of this second draft report.</w:t>
      </w:r>
    </w:p>
    <w:p w14:paraId="0B89281B" w14:textId="77777777" w:rsidR="00C44F6A" w:rsidRPr="00D96AFB" w:rsidRDefault="00C44F6A" w:rsidP="00D96AFB">
      <w:pPr>
        <w:rPr>
          <w:b/>
        </w:rPr>
      </w:pPr>
      <w:r w:rsidRPr="00D96AFB">
        <w:rPr>
          <w:b/>
        </w:rPr>
        <w:t>Sponsor Consultation</w:t>
      </w:r>
    </w:p>
    <w:p w14:paraId="27D43A53" w14:textId="5C5120EB" w:rsidR="00FC0FDA" w:rsidRPr="00D96AFB" w:rsidRDefault="00FC0FDA" w:rsidP="00D96AFB">
      <w:r w:rsidRPr="00D96AFB">
        <w:t>Sponsor</w:t>
      </w:r>
      <w:r w:rsidR="00024629" w:rsidRPr="00D96AFB">
        <w:t>s</w:t>
      </w:r>
      <w:r w:rsidRPr="00D96AFB">
        <w:t xml:space="preserve"> were asked to provide input to the Contracted Assessment in regard to evidence of safety efficacy and utilisation that may inform the health technology assessment (HTA). </w:t>
      </w:r>
    </w:p>
    <w:p w14:paraId="13CE4391" w14:textId="1F5BAD63" w:rsidR="00C44F6A" w:rsidRPr="00D96AFB" w:rsidRDefault="00C44F6A" w:rsidP="00D96AFB">
      <w:r w:rsidRPr="00D96AFB">
        <w:t xml:space="preserve">Sponsors of </w:t>
      </w:r>
      <w:r w:rsidR="00135241" w:rsidRPr="00D96AFB">
        <w:t>i</w:t>
      </w:r>
      <w:r w:rsidRPr="00D96AFB">
        <w:t>ntravenous Ig</w:t>
      </w:r>
      <w:r w:rsidR="00135241" w:rsidRPr="00D96AFB">
        <w:t xml:space="preserve"> </w:t>
      </w:r>
      <w:r w:rsidRPr="00D96AFB">
        <w:t>were contacted by the Department and given the opportunity to provide input. Intravenous Ig</w:t>
      </w:r>
      <w:r w:rsidR="00135241" w:rsidRPr="00D96AFB">
        <w:t xml:space="preserve"> f</w:t>
      </w:r>
      <w:r w:rsidRPr="00D96AFB">
        <w:t>eedback to</w:t>
      </w:r>
      <w:r w:rsidR="00186264" w:rsidRPr="00D96AFB">
        <w:t xml:space="preserve"> the</w:t>
      </w:r>
      <w:r w:rsidRPr="00D96AFB">
        <w:t xml:space="preserve"> PICO confirmation report was provided from two sponsors on </w:t>
      </w:r>
      <w:r w:rsidRPr="00D96AFB">
        <w:lastRenderedPageBreak/>
        <w:t xml:space="preserve">27 November 2019 for consideration in the development of this report. The summary of </w:t>
      </w:r>
      <w:r w:rsidR="00135241" w:rsidRPr="00D96AFB">
        <w:t xml:space="preserve">the </w:t>
      </w:r>
      <w:r w:rsidRPr="00D96AFB">
        <w:t>main</w:t>
      </w:r>
      <w:r w:rsidR="00135241" w:rsidRPr="00D96AFB">
        <w:t xml:space="preserve"> </w:t>
      </w:r>
      <w:r w:rsidRPr="00D96AFB">
        <w:t xml:space="preserve">issues is presented in </w:t>
      </w:r>
      <w:r w:rsidRPr="00D96AFB">
        <w:fldChar w:fldCharType="begin"/>
      </w:r>
      <w:r w:rsidRPr="00D96AFB">
        <w:instrText xml:space="preserve"> REF _Ref30588941 \h </w:instrText>
      </w:r>
      <w:r w:rsidR="00E8759F" w:rsidRPr="00D96AFB">
        <w:instrText xml:space="preserve"> \* MERGEFORMAT </w:instrText>
      </w:r>
      <w:r w:rsidRPr="00D96AFB">
        <w:fldChar w:fldCharType="separate"/>
      </w:r>
      <w:r w:rsidR="00EA5DC1" w:rsidRPr="00DA3C6E">
        <w:t xml:space="preserve">Table </w:t>
      </w:r>
      <w:r w:rsidR="00EA5DC1">
        <w:t>8</w:t>
      </w:r>
      <w:r w:rsidRPr="00D96AFB">
        <w:fldChar w:fldCharType="end"/>
      </w:r>
      <w:r w:rsidR="00135241" w:rsidRPr="00D96AFB">
        <w:t>.</w:t>
      </w:r>
      <w:r w:rsidR="00FC0FDA" w:rsidRPr="00D96AFB">
        <w:t xml:space="preserve"> </w:t>
      </w:r>
    </w:p>
    <w:p w14:paraId="6B02DB1A" w14:textId="336A4EA8" w:rsidR="00C44F6A" w:rsidRPr="00DA3C6E" w:rsidRDefault="00C44F6A" w:rsidP="00C44F6A">
      <w:pPr>
        <w:pStyle w:val="Caption"/>
        <w:keepNext/>
      </w:pPr>
      <w:bookmarkStart w:id="109" w:name="_Ref30588941"/>
      <w:bookmarkStart w:id="110" w:name="_Toc37845811"/>
      <w:r w:rsidRPr="00DA3C6E">
        <w:t xml:space="preserve">Table </w:t>
      </w:r>
      <w:r w:rsidR="00515153">
        <w:fldChar w:fldCharType="begin"/>
      </w:r>
      <w:r w:rsidR="00515153">
        <w:instrText xml:space="preserve"> SEQ Table \* ARABIC </w:instrText>
      </w:r>
      <w:r w:rsidR="00515153">
        <w:fldChar w:fldCharType="separate"/>
      </w:r>
      <w:r w:rsidR="00EA5DC1">
        <w:rPr>
          <w:noProof/>
        </w:rPr>
        <w:t>8</w:t>
      </w:r>
      <w:r w:rsidR="00515153">
        <w:rPr>
          <w:noProof/>
        </w:rPr>
        <w:fldChar w:fldCharType="end"/>
      </w:r>
      <w:bookmarkEnd w:id="109"/>
      <w:r w:rsidR="00135241" w:rsidRPr="00DA3C6E">
        <w:t>.</w:t>
      </w:r>
      <w:r w:rsidRPr="00DA3C6E">
        <w:t xml:space="preserve"> </w:t>
      </w:r>
      <w:r w:rsidR="00135241" w:rsidRPr="00DA3C6E">
        <w:t>Feedback provided by Sponsors on the PICO Confirmation</w:t>
      </w:r>
      <w:bookmarkEnd w:id="110"/>
      <w:r w:rsidR="00135241" w:rsidRPr="00DA3C6E">
        <w:t xml:space="preserve"> </w:t>
      </w:r>
    </w:p>
    <w:tbl>
      <w:tblPr>
        <w:tblStyle w:val="TableGrid"/>
        <w:tblW w:w="0" w:type="auto"/>
        <w:tblLook w:val="04A0" w:firstRow="1" w:lastRow="0" w:firstColumn="1" w:lastColumn="0" w:noHBand="0" w:noVBand="1"/>
        <w:tblCaption w:val="Table 8. Feedback provided by Sponsors on the PICO Confirmation "/>
      </w:tblPr>
      <w:tblGrid>
        <w:gridCol w:w="3594"/>
        <w:gridCol w:w="5388"/>
      </w:tblGrid>
      <w:tr w:rsidR="00DC77C2" w:rsidRPr="00DA3C6E" w14:paraId="30C138A5" w14:textId="77777777" w:rsidTr="00D56F4F">
        <w:trPr>
          <w:trHeight w:val="89"/>
          <w:tblHeader/>
        </w:trPr>
        <w:tc>
          <w:tcPr>
            <w:tcW w:w="3594" w:type="dxa"/>
            <w:vAlign w:val="center"/>
          </w:tcPr>
          <w:p w14:paraId="679C74F2" w14:textId="77777777" w:rsidR="00DC77C2" w:rsidRPr="00DA3C6E" w:rsidRDefault="00DC77C2" w:rsidP="000F6FAB">
            <w:pPr>
              <w:keepNext/>
              <w:spacing w:after="0" w:line="240" w:lineRule="auto"/>
              <w:ind w:left="0"/>
              <w:contextualSpacing/>
              <w:jc w:val="left"/>
              <w:rPr>
                <w:rFonts w:ascii="Arial Narrow" w:hAnsi="Arial Narrow"/>
                <w:b/>
                <w:sz w:val="20"/>
                <w:szCs w:val="20"/>
              </w:rPr>
            </w:pPr>
            <w:r w:rsidRPr="00DA3C6E">
              <w:rPr>
                <w:rFonts w:ascii="Arial Narrow" w:hAnsi="Arial Narrow"/>
                <w:b/>
                <w:sz w:val="20"/>
                <w:szCs w:val="20"/>
              </w:rPr>
              <w:t>Issue</w:t>
            </w:r>
          </w:p>
        </w:tc>
        <w:tc>
          <w:tcPr>
            <w:tcW w:w="5388" w:type="dxa"/>
            <w:vAlign w:val="center"/>
          </w:tcPr>
          <w:p w14:paraId="783F5588" w14:textId="77777777" w:rsidR="00DC77C2" w:rsidRPr="00DA3C6E" w:rsidRDefault="00DC77C2" w:rsidP="000F6FAB">
            <w:pPr>
              <w:keepNext/>
              <w:spacing w:after="0" w:line="240" w:lineRule="auto"/>
              <w:ind w:left="0"/>
              <w:contextualSpacing/>
              <w:jc w:val="left"/>
              <w:rPr>
                <w:rFonts w:ascii="Arial Narrow" w:hAnsi="Arial Narrow"/>
                <w:b/>
                <w:sz w:val="20"/>
                <w:szCs w:val="20"/>
              </w:rPr>
            </w:pPr>
            <w:r w:rsidRPr="00DA3C6E">
              <w:rPr>
                <w:rFonts w:ascii="Arial Narrow" w:hAnsi="Arial Narrow"/>
                <w:b/>
                <w:sz w:val="20"/>
                <w:szCs w:val="20"/>
              </w:rPr>
              <w:t>Sponsor’s feedback</w:t>
            </w:r>
          </w:p>
        </w:tc>
      </w:tr>
      <w:tr w:rsidR="00DC77C2" w:rsidRPr="00DA3C6E" w14:paraId="2278919D" w14:textId="77777777" w:rsidTr="000F6FAB">
        <w:trPr>
          <w:trHeight w:val="182"/>
        </w:trPr>
        <w:tc>
          <w:tcPr>
            <w:tcW w:w="3594" w:type="dxa"/>
            <w:vAlign w:val="center"/>
          </w:tcPr>
          <w:p w14:paraId="7FA6DDB1" w14:textId="1FE0CCBF" w:rsidR="00DC77C2" w:rsidRPr="00DA3C6E" w:rsidRDefault="00DC77C2" w:rsidP="00C04BCE">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Reliability of the prevalence source by Cats et al 2010</w:t>
            </w:r>
            <w:r w:rsidR="00DB568A" w:rsidRPr="00DA3C6E">
              <w:rPr>
                <w:rFonts w:ascii="Arial Narrow" w:hAnsi="Arial Narrow"/>
                <w:sz w:val="2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14" w:tooltip="Cats, 2010 #13" w:history="1">
              <w:r w:rsidR="00C04BCE" w:rsidRPr="00DA3C6E">
                <w:rPr>
                  <w:rFonts w:ascii="Arial Narrow" w:hAnsi="Arial Narrow"/>
                  <w:noProof/>
                  <w:sz w:val="20"/>
                  <w:szCs w:val="20"/>
                </w:rPr>
                <w:t>14</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r w:rsidRPr="00DA3C6E">
              <w:rPr>
                <w:rFonts w:ascii="Arial Narrow" w:hAnsi="Arial Narrow"/>
                <w:sz w:val="20"/>
                <w:szCs w:val="20"/>
              </w:rPr>
              <w:t>.</w:t>
            </w:r>
          </w:p>
        </w:tc>
        <w:tc>
          <w:tcPr>
            <w:tcW w:w="5388" w:type="dxa"/>
            <w:vAlign w:val="center"/>
          </w:tcPr>
          <w:p w14:paraId="3F93C1A4" w14:textId="77777777" w:rsidR="00DC77C2" w:rsidRPr="00DA3C6E" w:rsidRDefault="00DC77C2" w:rsidP="00F12317">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Reported estimate of 0.6 cases per 100,000 persons represents an underestimate</w:t>
            </w:r>
          </w:p>
        </w:tc>
      </w:tr>
      <w:tr w:rsidR="00DC77C2" w:rsidRPr="00DA3C6E" w14:paraId="057A9B29" w14:textId="77777777" w:rsidTr="000F6FAB">
        <w:trPr>
          <w:trHeight w:val="271"/>
        </w:trPr>
        <w:tc>
          <w:tcPr>
            <w:tcW w:w="3594" w:type="dxa"/>
            <w:vAlign w:val="center"/>
          </w:tcPr>
          <w:p w14:paraId="0676F022" w14:textId="77777777" w:rsidR="00DC77C2" w:rsidRPr="00DA3C6E" w:rsidRDefault="00DC77C2" w:rsidP="00DC77C2">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Funding of SCIg for the treatment of MMN</w:t>
            </w:r>
          </w:p>
        </w:tc>
        <w:tc>
          <w:tcPr>
            <w:tcW w:w="5388" w:type="dxa"/>
            <w:vAlign w:val="center"/>
          </w:tcPr>
          <w:p w14:paraId="1BE6EF64" w14:textId="77777777" w:rsidR="00DC77C2" w:rsidRPr="00DA3C6E" w:rsidRDefault="00DC77C2" w:rsidP="00F12317">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Noted there was available evidence from a randomised controlled trial that supports its use in MMN patient population. </w:t>
            </w:r>
          </w:p>
        </w:tc>
      </w:tr>
      <w:tr w:rsidR="00DC77C2" w:rsidRPr="00DA3C6E" w14:paraId="4F6E8B86" w14:textId="77777777" w:rsidTr="000F6FAB">
        <w:trPr>
          <w:trHeight w:val="360"/>
        </w:trPr>
        <w:tc>
          <w:tcPr>
            <w:tcW w:w="3594" w:type="dxa"/>
            <w:vAlign w:val="center"/>
          </w:tcPr>
          <w:p w14:paraId="4B9F207A" w14:textId="77777777" w:rsidR="00DC77C2" w:rsidRPr="00DA3C6E" w:rsidRDefault="00DC77C2" w:rsidP="00DC77C2">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The impact of implementation of The Criteria V3 on average duration of treatment</w:t>
            </w:r>
          </w:p>
        </w:tc>
        <w:tc>
          <w:tcPr>
            <w:tcW w:w="5388" w:type="dxa"/>
            <w:vAlign w:val="center"/>
          </w:tcPr>
          <w:p w14:paraId="32ADC515" w14:textId="04146386" w:rsidR="00DC77C2" w:rsidRPr="00DA3C6E" w:rsidRDefault="00DC77C2" w:rsidP="00186264">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Acknowledged the potential impact. Noted the potential impact has to be evaluated after a longer time </w:t>
            </w:r>
            <w:r w:rsidR="00186264" w:rsidRPr="00DA3C6E">
              <w:rPr>
                <w:rFonts w:ascii="Arial Narrow" w:hAnsi="Arial Narrow"/>
                <w:sz w:val="20"/>
                <w:szCs w:val="20"/>
              </w:rPr>
              <w:t xml:space="preserve">following </w:t>
            </w:r>
            <w:r w:rsidRPr="00DA3C6E">
              <w:rPr>
                <w:rFonts w:ascii="Arial Narrow" w:hAnsi="Arial Narrow"/>
                <w:sz w:val="20"/>
                <w:szCs w:val="20"/>
              </w:rPr>
              <w:t xml:space="preserve">the implementation than what was currently available (6 months). </w:t>
            </w:r>
          </w:p>
        </w:tc>
      </w:tr>
      <w:tr w:rsidR="00DC77C2" w:rsidRPr="00DA3C6E" w14:paraId="1D6F2090" w14:textId="77777777" w:rsidTr="000F6FAB">
        <w:trPr>
          <w:trHeight w:val="271"/>
        </w:trPr>
        <w:tc>
          <w:tcPr>
            <w:tcW w:w="3594" w:type="dxa"/>
            <w:vAlign w:val="center"/>
          </w:tcPr>
          <w:p w14:paraId="5EEB65CD" w14:textId="77777777" w:rsidR="00DC77C2" w:rsidRPr="00DA3C6E" w:rsidRDefault="00DC77C2" w:rsidP="00DC77C2">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Intravenous Ig dosing and potential for leakage </w:t>
            </w:r>
          </w:p>
        </w:tc>
        <w:tc>
          <w:tcPr>
            <w:tcW w:w="5388" w:type="dxa"/>
            <w:vAlign w:val="center"/>
          </w:tcPr>
          <w:p w14:paraId="07AD4650" w14:textId="77777777" w:rsidR="00DC77C2" w:rsidRPr="00DA3C6E" w:rsidRDefault="00DC77C2" w:rsidP="00F12317">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Disagreed, given the changes implemented to The Criteria V3 and the nationwide availability of BloodStar.</w:t>
            </w:r>
          </w:p>
        </w:tc>
      </w:tr>
      <w:tr w:rsidR="00DC77C2" w:rsidRPr="00DA3C6E" w14:paraId="35FF19C5" w14:textId="77777777" w:rsidTr="000F6FAB">
        <w:trPr>
          <w:trHeight w:val="364"/>
        </w:trPr>
        <w:tc>
          <w:tcPr>
            <w:tcW w:w="3594" w:type="dxa"/>
            <w:vAlign w:val="center"/>
          </w:tcPr>
          <w:p w14:paraId="4B410250" w14:textId="77777777" w:rsidR="00DC77C2" w:rsidRPr="00DA3C6E" w:rsidRDefault="00DC77C2" w:rsidP="00DC77C2">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Intravenous Ig pricing </w:t>
            </w:r>
          </w:p>
        </w:tc>
        <w:tc>
          <w:tcPr>
            <w:tcW w:w="5388" w:type="dxa"/>
            <w:vAlign w:val="center"/>
          </w:tcPr>
          <w:p w14:paraId="18029447" w14:textId="77777777" w:rsidR="00DC77C2" w:rsidRPr="00DA3C6E" w:rsidRDefault="00DC77C2" w:rsidP="00DC77C2">
            <w:pPr>
              <w:keepNext/>
              <w:spacing w:after="0" w:line="240" w:lineRule="auto"/>
              <w:ind w:left="0"/>
              <w:contextualSpacing/>
              <w:jc w:val="left"/>
              <w:rPr>
                <w:rFonts w:ascii="Arial Narrow" w:hAnsi="Arial Narrow"/>
                <w:sz w:val="20"/>
                <w:szCs w:val="20"/>
              </w:rPr>
            </w:pPr>
            <w:r w:rsidRPr="00DA3C6E">
              <w:rPr>
                <w:rFonts w:ascii="Arial Narrow" w:hAnsi="Arial Narrow"/>
                <w:sz w:val="20"/>
                <w:szCs w:val="20"/>
              </w:rPr>
              <w:t xml:space="preserve">Suggested using weighted average price for all available Intravenous Ig products in the economic evaluation and financial impact analyses. </w:t>
            </w:r>
          </w:p>
        </w:tc>
      </w:tr>
    </w:tbl>
    <w:p w14:paraId="168C7A54" w14:textId="77777777" w:rsidR="00C44F6A" w:rsidRPr="00DA3C6E" w:rsidRDefault="00DC77C2" w:rsidP="000F6FAB">
      <w:pPr>
        <w:spacing w:line="240" w:lineRule="auto"/>
        <w:rPr>
          <w:rFonts w:ascii="Arial Narrow" w:hAnsi="Arial Narrow"/>
          <w:sz w:val="18"/>
          <w:szCs w:val="18"/>
        </w:rPr>
      </w:pPr>
      <w:r w:rsidRPr="00DA3C6E">
        <w:rPr>
          <w:rFonts w:ascii="Arial Narrow" w:hAnsi="Arial Narrow"/>
          <w:sz w:val="18"/>
          <w:szCs w:val="18"/>
        </w:rPr>
        <w:t xml:space="preserve">Abbreviations: Ig = immunoglobulin; MMN = multifocal motor neuropathy; SCI = subcutaneous immunoglobulin; V3 = version 3. </w:t>
      </w:r>
    </w:p>
    <w:p w14:paraId="263DA13D" w14:textId="77777777" w:rsidR="00C44F6A" w:rsidRPr="00DA3C6E" w:rsidRDefault="00C44F6A" w:rsidP="00D42E38"/>
    <w:p w14:paraId="255F67E5" w14:textId="77777777" w:rsidR="002D6035" w:rsidRPr="00DA3C6E" w:rsidRDefault="002D6035">
      <w:pPr>
        <w:spacing w:after="0" w:line="240" w:lineRule="auto"/>
        <w:jc w:val="left"/>
      </w:pPr>
    </w:p>
    <w:p w14:paraId="582181A6" w14:textId="77777777" w:rsidR="002D6035" w:rsidRPr="00DA3C6E" w:rsidRDefault="002D6035" w:rsidP="00DF343F">
      <w:pPr>
        <w:pStyle w:val="Heading1"/>
      </w:pPr>
      <w:bookmarkStart w:id="111" w:name="_Toc25216040"/>
      <w:bookmarkStart w:id="112" w:name="_Toc37845729"/>
      <w:r w:rsidRPr="00DA3C6E">
        <w:lastRenderedPageBreak/>
        <w:t>Section B</w:t>
      </w:r>
      <w:r w:rsidRPr="00DA3C6E">
        <w:tab/>
        <w:t>Clinical Evaluation</w:t>
      </w:r>
      <w:bookmarkEnd w:id="111"/>
      <w:bookmarkEnd w:id="112"/>
      <w:r w:rsidRPr="00DA3C6E">
        <w:t xml:space="preserve"> </w:t>
      </w:r>
    </w:p>
    <w:p w14:paraId="1877A5C2" w14:textId="77777777" w:rsidR="002D6035" w:rsidRPr="00DA3C6E" w:rsidRDefault="002D6035" w:rsidP="00D778BE">
      <w:pPr>
        <w:pStyle w:val="Heading2"/>
        <w:numPr>
          <w:ilvl w:val="1"/>
          <w:numId w:val="9"/>
        </w:numPr>
      </w:pPr>
      <w:bookmarkStart w:id="113" w:name="_Toc381796460"/>
      <w:bookmarkStart w:id="114" w:name="_Toc25216041"/>
      <w:bookmarkStart w:id="115" w:name="_Toc37845730"/>
      <w:bookmarkStart w:id="116" w:name="_Toc381796462"/>
      <w:bookmarkStart w:id="117" w:name="_Toc381796467"/>
      <w:bookmarkStart w:id="118" w:name="_Toc379118083"/>
      <w:r w:rsidRPr="00DA3C6E">
        <w:t>Literature Sources and Search Strategies</w:t>
      </w:r>
      <w:bookmarkEnd w:id="113"/>
      <w:bookmarkEnd w:id="114"/>
      <w:bookmarkEnd w:id="115"/>
    </w:p>
    <w:p w14:paraId="411EBEE5" w14:textId="5DA23224" w:rsidR="002D6035" w:rsidRPr="00DA3C6E" w:rsidRDefault="002D6035" w:rsidP="00AA708D">
      <w:r w:rsidRPr="00DA3C6E">
        <w:t xml:space="preserve">The medical literature was searched </w:t>
      </w:r>
      <w:r w:rsidR="00186264" w:rsidRPr="00DA3C6E">
        <w:t xml:space="preserve">in </w:t>
      </w:r>
      <w:r w:rsidRPr="00DA3C6E">
        <w:t xml:space="preserve">October 2019 to identify relevant studies and systematic reviews published during the period 1946 (inception of databases) to 11 October 2019. The complete search strategy is presented in Appendix B while the summarised terms are presented in </w:t>
      </w:r>
      <w:r w:rsidRPr="00DA3C6E">
        <w:fldChar w:fldCharType="begin"/>
      </w:r>
      <w:r w:rsidRPr="00DA3C6E">
        <w:instrText xml:space="preserve"> REF _Ref29370627 \h </w:instrText>
      </w:r>
      <w:r w:rsidR="00E8759F" w:rsidRPr="00DA3C6E">
        <w:instrText xml:space="preserve"> \* MERGEFORMAT </w:instrText>
      </w:r>
      <w:r w:rsidRPr="00DA3C6E">
        <w:fldChar w:fldCharType="separate"/>
      </w:r>
      <w:r w:rsidR="00EA5DC1" w:rsidRPr="00DA3C6E">
        <w:t xml:space="preserve">Table </w:t>
      </w:r>
      <w:r w:rsidR="00EA5DC1">
        <w:rPr>
          <w:noProof/>
        </w:rPr>
        <w:t>9</w:t>
      </w:r>
      <w:r w:rsidRPr="00DA3C6E">
        <w:fldChar w:fldCharType="end"/>
      </w:r>
      <w:r w:rsidRPr="00DA3C6E">
        <w:t xml:space="preserve">. </w:t>
      </w:r>
    </w:p>
    <w:p w14:paraId="538E329A" w14:textId="390E6676" w:rsidR="002D6035" w:rsidRPr="00DA3C6E" w:rsidRDefault="002D6035" w:rsidP="00D778BE">
      <w:pPr>
        <w:pStyle w:val="Caption"/>
      </w:pPr>
      <w:bookmarkStart w:id="119" w:name="_Ref29370627"/>
      <w:bookmarkStart w:id="120" w:name="_Toc381969863"/>
      <w:bookmarkStart w:id="121" w:name="_Toc30497457"/>
      <w:bookmarkStart w:id="122" w:name="_Toc30687737"/>
      <w:bookmarkStart w:id="123" w:name="_Toc37845812"/>
      <w:r w:rsidRPr="00DA3C6E">
        <w:t xml:space="preserve">Table </w:t>
      </w:r>
      <w:r w:rsidR="00515153">
        <w:fldChar w:fldCharType="begin"/>
      </w:r>
      <w:r w:rsidR="00515153">
        <w:instrText xml:space="preserve"> SEQ Table \* ARABIC </w:instrText>
      </w:r>
      <w:r w:rsidR="00515153">
        <w:fldChar w:fldCharType="separate"/>
      </w:r>
      <w:r w:rsidR="00EA5DC1">
        <w:rPr>
          <w:noProof/>
        </w:rPr>
        <w:t>9</w:t>
      </w:r>
      <w:r w:rsidR="00515153">
        <w:rPr>
          <w:noProof/>
        </w:rPr>
        <w:fldChar w:fldCharType="end"/>
      </w:r>
      <w:bookmarkEnd w:id="119"/>
      <w:r w:rsidRPr="00DA3C6E">
        <w:t>. Search terms used</w:t>
      </w:r>
      <w:bookmarkEnd w:id="120"/>
      <w:r w:rsidRPr="00DA3C6E">
        <w:t xml:space="preserve"> (Embase, Ovid Medline, </w:t>
      </w:r>
      <w:r w:rsidR="00186264" w:rsidRPr="00DA3C6E">
        <w:t xml:space="preserve">Pubmed, the </w:t>
      </w:r>
      <w:r w:rsidRPr="00DA3C6E">
        <w:t>Cochrane library and clinical trials.com platform)</w:t>
      </w:r>
      <w:bookmarkEnd w:id="121"/>
      <w:bookmarkEnd w:id="122"/>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05"/>
        <w:gridCol w:w="6503"/>
      </w:tblGrid>
      <w:tr w:rsidR="002D6035" w:rsidRPr="00DA3C6E" w14:paraId="1D1D0504" w14:textId="77777777" w:rsidTr="00FC79BA">
        <w:trPr>
          <w:tblHeader/>
        </w:trPr>
        <w:tc>
          <w:tcPr>
            <w:tcW w:w="2410" w:type="dxa"/>
          </w:tcPr>
          <w:p w14:paraId="11382EDE" w14:textId="77777777" w:rsidR="002D6035" w:rsidRPr="00DA3C6E" w:rsidRDefault="002D6035" w:rsidP="00740643">
            <w:pPr>
              <w:pStyle w:val="TableHeading"/>
              <w:spacing w:after="0"/>
            </w:pPr>
            <w:r w:rsidRPr="00DA3C6E">
              <w:t>Element of clinical question</w:t>
            </w:r>
          </w:p>
        </w:tc>
        <w:tc>
          <w:tcPr>
            <w:tcW w:w="6521" w:type="dxa"/>
          </w:tcPr>
          <w:p w14:paraId="336AA3DC" w14:textId="77777777" w:rsidR="002D6035" w:rsidRPr="00DA3C6E" w:rsidRDefault="002D6035" w:rsidP="00740643">
            <w:pPr>
              <w:pStyle w:val="TableHeading"/>
              <w:spacing w:after="0"/>
            </w:pPr>
            <w:r w:rsidRPr="00DA3C6E">
              <w:t>Search terms</w:t>
            </w:r>
          </w:p>
        </w:tc>
      </w:tr>
      <w:tr w:rsidR="002D6035" w:rsidRPr="00DA3C6E" w14:paraId="4E681558" w14:textId="77777777" w:rsidTr="00FC79BA">
        <w:tc>
          <w:tcPr>
            <w:tcW w:w="2410" w:type="dxa"/>
          </w:tcPr>
          <w:p w14:paraId="7D5638F9"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Population</w:t>
            </w:r>
          </w:p>
        </w:tc>
        <w:tc>
          <w:tcPr>
            <w:tcW w:w="6521" w:type="dxa"/>
          </w:tcPr>
          <w:p w14:paraId="6FD4B672"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Patients diagnosed with multifocal motor neuropathy</w:t>
            </w:r>
          </w:p>
        </w:tc>
      </w:tr>
      <w:tr w:rsidR="002D6035" w:rsidRPr="00DA3C6E" w14:paraId="739B85A8" w14:textId="77777777" w:rsidTr="00FC79BA">
        <w:tc>
          <w:tcPr>
            <w:tcW w:w="2410" w:type="dxa"/>
          </w:tcPr>
          <w:p w14:paraId="0A07BA65"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Intervention</w:t>
            </w:r>
          </w:p>
        </w:tc>
        <w:tc>
          <w:tcPr>
            <w:tcW w:w="6521" w:type="dxa"/>
          </w:tcPr>
          <w:p w14:paraId="65867DF8"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Immunoglobulin/Intravenous immunoglobulin</w:t>
            </w:r>
          </w:p>
        </w:tc>
      </w:tr>
      <w:tr w:rsidR="002D6035" w:rsidRPr="00DA3C6E" w14:paraId="42AD772E" w14:textId="77777777" w:rsidTr="00FC79BA">
        <w:tc>
          <w:tcPr>
            <w:tcW w:w="2410" w:type="dxa"/>
          </w:tcPr>
          <w:p w14:paraId="306373D2" w14:textId="77777777" w:rsidR="002D6035" w:rsidRPr="00DA3C6E" w:rsidRDefault="002D6035" w:rsidP="00207F1E">
            <w:pPr>
              <w:spacing w:after="0" w:line="240" w:lineRule="auto"/>
              <w:rPr>
                <w:rFonts w:ascii="Arial Narrow" w:hAnsi="Arial Narrow"/>
                <w:sz w:val="20"/>
                <w:szCs w:val="20"/>
              </w:rPr>
            </w:pPr>
            <w:r w:rsidRPr="00DA3C6E">
              <w:rPr>
                <w:rFonts w:ascii="Arial Narrow" w:hAnsi="Arial Narrow"/>
                <w:sz w:val="20"/>
                <w:szCs w:val="20"/>
              </w:rPr>
              <w:t>Comparator</w:t>
            </w:r>
          </w:p>
        </w:tc>
        <w:tc>
          <w:tcPr>
            <w:tcW w:w="6521" w:type="dxa"/>
          </w:tcPr>
          <w:p w14:paraId="725F0771"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No immunoglobulin/ placebo</w:t>
            </w:r>
          </w:p>
        </w:tc>
      </w:tr>
      <w:tr w:rsidR="002D6035" w:rsidRPr="00DA3C6E" w14:paraId="4FFA6256" w14:textId="77777777" w:rsidTr="00FC79BA">
        <w:tc>
          <w:tcPr>
            <w:tcW w:w="2410" w:type="dxa"/>
          </w:tcPr>
          <w:p w14:paraId="13C206BE" w14:textId="77777777" w:rsidR="002D6035" w:rsidRPr="00DA3C6E" w:rsidRDefault="002D6035" w:rsidP="00207F1E">
            <w:pPr>
              <w:spacing w:after="0" w:line="240" w:lineRule="auto"/>
              <w:rPr>
                <w:rFonts w:ascii="Arial Narrow" w:hAnsi="Arial Narrow"/>
                <w:sz w:val="20"/>
                <w:szCs w:val="20"/>
              </w:rPr>
            </w:pPr>
            <w:r w:rsidRPr="00DA3C6E">
              <w:rPr>
                <w:rFonts w:ascii="Arial Narrow" w:hAnsi="Arial Narrow"/>
                <w:sz w:val="20"/>
                <w:szCs w:val="20"/>
              </w:rPr>
              <w:t>Outcomes</w:t>
            </w:r>
          </w:p>
        </w:tc>
        <w:tc>
          <w:tcPr>
            <w:tcW w:w="6521" w:type="dxa"/>
          </w:tcPr>
          <w:p w14:paraId="15895123" w14:textId="77777777" w:rsidR="002D6035" w:rsidRPr="00DA3C6E" w:rsidRDefault="002D6035" w:rsidP="00880E62">
            <w:pPr>
              <w:spacing w:after="0" w:line="240" w:lineRule="auto"/>
              <w:rPr>
                <w:rFonts w:ascii="Arial Narrow" w:hAnsi="Arial Narrow"/>
                <w:sz w:val="20"/>
                <w:szCs w:val="20"/>
              </w:rPr>
            </w:pPr>
            <w:r w:rsidRPr="00DA3C6E">
              <w:rPr>
                <w:rFonts w:ascii="Arial Narrow" w:hAnsi="Arial Narrow"/>
                <w:sz w:val="20"/>
                <w:szCs w:val="20"/>
              </w:rPr>
              <w:t xml:space="preserve">Clinical effectiveness, safety and quality of life. </w:t>
            </w:r>
          </w:p>
        </w:tc>
      </w:tr>
      <w:tr w:rsidR="002D6035" w:rsidRPr="00DA3C6E" w14:paraId="4B230B70" w14:textId="77777777" w:rsidTr="00FC79BA">
        <w:tc>
          <w:tcPr>
            <w:tcW w:w="2410" w:type="dxa"/>
          </w:tcPr>
          <w:p w14:paraId="539B670A"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Limits</w:t>
            </w:r>
          </w:p>
        </w:tc>
        <w:tc>
          <w:tcPr>
            <w:tcW w:w="6521" w:type="dxa"/>
          </w:tcPr>
          <w:p w14:paraId="0BCCD6C2"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Human beings</w:t>
            </w:r>
          </w:p>
          <w:p w14:paraId="4C578813"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Studies published in English</w:t>
            </w:r>
          </w:p>
          <w:p w14:paraId="550C1233" w14:textId="77777777" w:rsidR="002D6035" w:rsidRPr="00DA3C6E" w:rsidRDefault="002D6035" w:rsidP="00740643">
            <w:pPr>
              <w:spacing w:after="0" w:line="240" w:lineRule="auto"/>
              <w:rPr>
                <w:rFonts w:ascii="Arial Narrow" w:hAnsi="Arial Narrow"/>
                <w:sz w:val="20"/>
                <w:szCs w:val="20"/>
              </w:rPr>
            </w:pPr>
            <w:r w:rsidRPr="00DA3C6E">
              <w:rPr>
                <w:rFonts w:ascii="Arial Narrow" w:hAnsi="Arial Narrow"/>
                <w:sz w:val="20"/>
                <w:szCs w:val="20"/>
              </w:rPr>
              <w:t>1946 to 11 October 2019; 1974 to 11 October 2019</w:t>
            </w:r>
          </w:p>
        </w:tc>
      </w:tr>
    </w:tbl>
    <w:p w14:paraId="1A7AAA85" w14:textId="77777777" w:rsidR="002D6035" w:rsidRPr="00DA3C6E" w:rsidRDefault="002D6035" w:rsidP="00D5489B">
      <w:pPr>
        <w:pStyle w:val="Tablenotes0"/>
      </w:pPr>
    </w:p>
    <w:p w14:paraId="6EEC7A31" w14:textId="77777777" w:rsidR="002D6035" w:rsidRPr="00DA3C6E" w:rsidRDefault="002D6035" w:rsidP="00D778BE">
      <w:pPr>
        <w:pStyle w:val="Heading2"/>
        <w:numPr>
          <w:ilvl w:val="1"/>
          <w:numId w:val="9"/>
        </w:numPr>
      </w:pPr>
      <w:bookmarkStart w:id="124" w:name="_Toc25216042"/>
      <w:bookmarkStart w:id="125" w:name="_Toc37845731"/>
      <w:r w:rsidRPr="00DA3C6E">
        <w:t>Results of Literature Search</w:t>
      </w:r>
      <w:bookmarkEnd w:id="124"/>
      <w:bookmarkEnd w:id="125"/>
    </w:p>
    <w:p w14:paraId="0118ADC1" w14:textId="666D523D" w:rsidR="002D6035" w:rsidRPr="00DA3C6E" w:rsidRDefault="002D6035" w:rsidP="00AA708D">
      <w:r w:rsidRPr="00DA3C6E">
        <w:t xml:space="preserve">A PRISMA flowchart is provided in </w:t>
      </w:r>
      <w:r w:rsidRPr="00DA3C6E">
        <w:fldChar w:fldCharType="begin"/>
      </w:r>
      <w:r w:rsidRPr="00DA3C6E">
        <w:instrText xml:space="preserve"> REF _Ref29370672 \h </w:instrText>
      </w:r>
      <w:r w:rsidR="00E8759F" w:rsidRPr="00DA3C6E">
        <w:instrText xml:space="preserve"> \* MERGEFORMAT </w:instrText>
      </w:r>
      <w:r w:rsidRPr="00DA3C6E">
        <w:fldChar w:fldCharType="separate"/>
      </w:r>
      <w:r w:rsidR="00EA5DC1" w:rsidRPr="00DA3C6E">
        <w:t xml:space="preserve">Figure </w:t>
      </w:r>
      <w:r w:rsidR="00EA5DC1">
        <w:rPr>
          <w:noProof/>
        </w:rPr>
        <w:t>5</w:t>
      </w:r>
      <w:r w:rsidRPr="00DA3C6E">
        <w:fldChar w:fldCharType="end"/>
      </w:r>
      <w:r w:rsidRPr="00DA3C6E">
        <w:t xml:space="preserve"> and shows the process used in identifying results of the literature search. Studies were selected independently by two reviewers. Disagreements regarding study selection were resolved by discussion between the two reviewers on the merits for including/excluding studies in the final review. </w:t>
      </w:r>
    </w:p>
    <w:p w14:paraId="2ACE73A5" w14:textId="77777777" w:rsidR="002D6035" w:rsidRPr="00DA3C6E" w:rsidRDefault="002D6035" w:rsidP="00AA708D">
      <w:r w:rsidRPr="00DA3C6E">
        <w:t xml:space="preserve">Studies assessed for eligibility were mainly excluded if: </w:t>
      </w:r>
    </w:p>
    <w:p w14:paraId="4D375310" w14:textId="77777777" w:rsidR="002D6035" w:rsidRPr="00DA3C6E" w:rsidRDefault="002D6035" w:rsidP="002D6035">
      <w:pPr>
        <w:pStyle w:val="ListParagraph"/>
        <w:numPr>
          <w:ilvl w:val="0"/>
          <w:numId w:val="73"/>
        </w:numPr>
      </w:pPr>
      <w:r w:rsidRPr="00DA3C6E">
        <w:t xml:space="preserve">Duplicate publications of the same trial; </w:t>
      </w:r>
    </w:p>
    <w:p w14:paraId="5E7A7526" w14:textId="77777777" w:rsidR="002D6035" w:rsidRPr="00DA3C6E" w:rsidRDefault="002D6035" w:rsidP="002D6035">
      <w:pPr>
        <w:pStyle w:val="ListParagraph"/>
        <w:numPr>
          <w:ilvl w:val="0"/>
          <w:numId w:val="73"/>
        </w:numPr>
      </w:pPr>
      <w:r w:rsidRPr="00DA3C6E">
        <w:t>Full text was not available;</w:t>
      </w:r>
    </w:p>
    <w:p w14:paraId="1AED1D5B" w14:textId="77777777" w:rsidR="002D6035" w:rsidRPr="00DA3C6E" w:rsidRDefault="002D6035" w:rsidP="002D6035">
      <w:pPr>
        <w:pStyle w:val="ListParagraph"/>
        <w:numPr>
          <w:ilvl w:val="0"/>
          <w:numId w:val="73"/>
        </w:numPr>
      </w:pPr>
      <w:r w:rsidRPr="00DA3C6E">
        <w:t>Irrelevant outcomes were reported (mainly identified in single arm studies that aimed to assess diagnostic features of MMN, focus</w:t>
      </w:r>
      <w:r w:rsidR="0002559E" w:rsidRPr="00DA3C6E">
        <w:t>ed</w:t>
      </w:r>
      <w:r w:rsidRPr="00DA3C6E">
        <w:t xml:space="preserve"> on molecular parameters </w:t>
      </w:r>
      <w:r w:rsidR="0002559E" w:rsidRPr="00DA3C6E">
        <w:t>of</w:t>
      </w:r>
      <w:r w:rsidRPr="00DA3C6E">
        <w:t xml:space="preserve"> MMN, economic evaluations not relevant to MMN, cost studies and disability tool validation studies</w:t>
      </w:r>
      <w:r w:rsidR="0002559E" w:rsidRPr="00DA3C6E">
        <w:t>)</w:t>
      </w:r>
      <w:r w:rsidRPr="00DA3C6E">
        <w:t>;</w:t>
      </w:r>
    </w:p>
    <w:p w14:paraId="158BEAC7" w14:textId="77777777" w:rsidR="002D6035" w:rsidRPr="00DA3C6E" w:rsidRDefault="002D6035" w:rsidP="002D6035">
      <w:pPr>
        <w:pStyle w:val="ListParagraph"/>
        <w:numPr>
          <w:ilvl w:val="0"/>
          <w:numId w:val="73"/>
        </w:numPr>
      </w:pPr>
      <w:r w:rsidRPr="00DA3C6E">
        <w:t>Incorrect intervention and/or comparator;</w:t>
      </w:r>
    </w:p>
    <w:p w14:paraId="33BA890B" w14:textId="77777777" w:rsidR="002D6035" w:rsidRPr="00DA3C6E" w:rsidRDefault="002D6035" w:rsidP="002D6035">
      <w:pPr>
        <w:pStyle w:val="ListParagraph"/>
        <w:numPr>
          <w:ilvl w:val="0"/>
          <w:numId w:val="73"/>
        </w:numPr>
      </w:pPr>
      <w:r w:rsidRPr="00DA3C6E">
        <w:t>Case studies targeting a non-typical presentation of MMN</w:t>
      </w:r>
      <w:r w:rsidR="0002559E" w:rsidRPr="00DA3C6E">
        <w:t xml:space="preserve"> (</w:t>
      </w:r>
      <w:r w:rsidR="003A2062" w:rsidRPr="00DA3C6E">
        <w:t>e.g</w:t>
      </w:r>
      <w:r w:rsidR="0002559E" w:rsidRPr="00DA3C6E">
        <w:t>. pregnant women with MMN, case</w:t>
      </w:r>
      <w:r w:rsidR="004E3FF9" w:rsidRPr="00DA3C6E">
        <w:t>s</w:t>
      </w:r>
      <w:r w:rsidR="0002559E" w:rsidRPr="00DA3C6E">
        <w:t xml:space="preserve"> with rapid onset of the disease)</w:t>
      </w:r>
      <w:r w:rsidRPr="00DA3C6E">
        <w:t>.</w:t>
      </w:r>
    </w:p>
    <w:p w14:paraId="1628400B" w14:textId="054158DE" w:rsidR="002D6035" w:rsidRPr="00DA3C6E" w:rsidRDefault="0002559E" w:rsidP="001207B3">
      <w:pPr>
        <w:pStyle w:val="ListParagraph"/>
        <w:numPr>
          <w:ilvl w:val="0"/>
          <w:numId w:val="73"/>
        </w:numPr>
        <w:rPr>
          <w:rFonts w:ascii="Arial Narrow" w:hAnsi="Arial Narrow"/>
          <w:b/>
          <w:bCs/>
          <w:sz w:val="20"/>
        </w:rPr>
      </w:pPr>
      <w:r w:rsidRPr="00DA3C6E">
        <w:t>Single arm studies that reported outcome</w:t>
      </w:r>
      <w:r w:rsidR="00186264" w:rsidRPr="00DA3C6E">
        <w:t>s</w:t>
      </w:r>
      <w:r w:rsidRPr="00DA3C6E">
        <w:t xml:space="preserve"> in a general way only (e.</w:t>
      </w:r>
      <w:r w:rsidR="003A2062" w:rsidRPr="00DA3C6E">
        <w:t>g.</w:t>
      </w:r>
      <w:r w:rsidRPr="00DA3C6E">
        <w:t xml:space="preserve"> if it did not provide a definition of the outcome). </w:t>
      </w:r>
      <w:bookmarkStart w:id="126" w:name="_Ref25753473"/>
    </w:p>
    <w:p w14:paraId="212D9FB1" w14:textId="34F55B66" w:rsidR="002D6035" w:rsidRPr="00DA3C6E" w:rsidRDefault="002D6035" w:rsidP="0002559E">
      <w:pPr>
        <w:pStyle w:val="Caption"/>
        <w:keepNext/>
        <w:keepLines/>
      </w:pPr>
      <w:bookmarkStart w:id="127" w:name="_Ref29370672"/>
      <w:bookmarkStart w:id="128" w:name="_Toc30497511"/>
      <w:bookmarkStart w:id="129" w:name="_Toc30687792"/>
      <w:bookmarkStart w:id="130" w:name="_Toc37845865"/>
      <w:r w:rsidRPr="00DA3C6E">
        <w:lastRenderedPageBreak/>
        <w:t xml:space="preserve">Figure </w:t>
      </w:r>
      <w:r w:rsidR="00515153">
        <w:fldChar w:fldCharType="begin"/>
      </w:r>
      <w:r w:rsidR="00515153">
        <w:instrText xml:space="preserve"> SEQ Figure \* ARABIC </w:instrText>
      </w:r>
      <w:r w:rsidR="00515153">
        <w:fldChar w:fldCharType="separate"/>
      </w:r>
      <w:r w:rsidR="00EA5DC1">
        <w:rPr>
          <w:noProof/>
        </w:rPr>
        <w:t>5</w:t>
      </w:r>
      <w:r w:rsidR="00515153">
        <w:rPr>
          <w:noProof/>
        </w:rPr>
        <w:fldChar w:fldCharType="end"/>
      </w:r>
      <w:bookmarkEnd w:id="126"/>
      <w:bookmarkEnd w:id="127"/>
      <w:r w:rsidRPr="00DA3C6E">
        <w:rPr>
          <w:noProof/>
        </w:rPr>
        <w:t xml:space="preserve">. </w:t>
      </w:r>
      <w:r w:rsidRPr="00DA3C6E">
        <w:t xml:space="preserve"> </w:t>
      </w:r>
      <w:r w:rsidRPr="00DA3C6E">
        <w:tab/>
        <w:t>Summary of the process used to identify and select studies for the assessment</w:t>
      </w:r>
      <w:bookmarkEnd w:id="128"/>
      <w:bookmarkEnd w:id="129"/>
      <w:bookmarkEnd w:id="130"/>
      <w:r w:rsidRPr="00DA3C6E">
        <w:t xml:space="preserve"> </w:t>
      </w:r>
    </w:p>
    <w:p w14:paraId="6E541DE4" w14:textId="77777777" w:rsidR="002D6035" w:rsidRPr="00DA3C6E" w:rsidRDefault="002D6035" w:rsidP="00B952B0">
      <w:pPr>
        <w:keepNext/>
        <w:keepLines/>
        <w:spacing w:line="240" w:lineRule="auto"/>
      </w:pPr>
      <w:r w:rsidRPr="00DA3C6E">
        <w:rPr>
          <w:noProof/>
        </w:rPr>
        <w:drawing>
          <wp:inline distT="0" distB="0" distL="0" distR="0" wp14:anchorId="19AD0D4A" wp14:editId="03D743CA">
            <wp:extent cx="6058535" cy="7278370"/>
            <wp:effectExtent l="0" t="0" r="0" b="0"/>
            <wp:docPr id="8" name="Picture 8" title="Figure 5.   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8535" cy="7278370"/>
                    </a:xfrm>
                    <a:prstGeom prst="rect">
                      <a:avLst/>
                    </a:prstGeom>
                    <a:noFill/>
                  </pic:spPr>
                </pic:pic>
              </a:graphicData>
            </a:graphic>
          </wp:inline>
        </w:drawing>
      </w:r>
      <w:r w:rsidRPr="00DA3C6E">
        <w:rPr>
          <w:rFonts w:ascii="Arial Narrow" w:hAnsi="Arial Narrow"/>
          <w:sz w:val="18"/>
        </w:rPr>
        <w:t xml:space="preserve">Note: </w:t>
      </w:r>
      <w:r w:rsidRPr="00DA3C6E">
        <w:rPr>
          <w:rFonts w:ascii="Arial Narrow" w:hAnsi="Arial Narrow"/>
          <w:sz w:val="18"/>
          <w:vertAlign w:val="superscript"/>
        </w:rPr>
        <w:t>a</w:t>
      </w:r>
      <w:r w:rsidRPr="00DA3C6E">
        <w:rPr>
          <w:rFonts w:ascii="Arial Narrow" w:hAnsi="Arial Narrow"/>
          <w:sz w:val="18"/>
        </w:rPr>
        <w:t>Letters to the editor, comments, survey;</w:t>
      </w:r>
      <w:r w:rsidRPr="00DA3C6E">
        <w:rPr>
          <w:rFonts w:ascii="Arial Narrow" w:hAnsi="Arial Narrow"/>
          <w:sz w:val="18"/>
          <w:vertAlign w:val="superscript"/>
        </w:rPr>
        <w:t xml:space="preserve"> b</w:t>
      </w:r>
      <w:r w:rsidRPr="00DA3C6E">
        <w:rPr>
          <w:rFonts w:ascii="Arial Narrow" w:hAnsi="Arial Narrow"/>
          <w:sz w:val="18"/>
        </w:rPr>
        <w:t>one study was not the most updated version and one assessed the wrong intervention (dexamethasone)</w:t>
      </w:r>
    </w:p>
    <w:p w14:paraId="2C0BB6CE" w14:textId="77777777" w:rsidR="002D6035" w:rsidRPr="00DA3C6E" w:rsidRDefault="002D6035" w:rsidP="00D42E38"/>
    <w:p w14:paraId="5870C3CB" w14:textId="77777777" w:rsidR="002D6035" w:rsidRPr="00DA3C6E" w:rsidRDefault="002D6035" w:rsidP="00D42E38"/>
    <w:p w14:paraId="79141D1B" w14:textId="77777777" w:rsidR="002D6035" w:rsidRPr="00DA3C6E" w:rsidRDefault="002D6035" w:rsidP="00D42E38">
      <w:r w:rsidRPr="00DA3C6E">
        <w:lastRenderedPageBreak/>
        <w:t xml:space="preserve">A total of 29 studies were included in the final review, 5 randomised </w:t>
      </w:r>
      <w:r w:rsidR="0002559E" w:rsidRPr="00DA3C6E">
        <w:t xml:space="preserve">controlled </w:t>
      </w:r>
      <w:r w:rsidRPr="00DA3C6E">
        <w:t>studies</w:t>
      </w:r>
      <w:r w:rsidR="0002559E" w:rsidRPr="00DA3C6E">
        <w:t xml:space="preserve"> (RCTs)</w:t>
      </w:r>
      <w:r w:rsidRPr="00DA3C6E">
        <w:t xml:space="preserve"> and 24 </w:t>
      </w:r>
      <w:r w:rsidR="0002559E" w:rsidRPr="00DA3C6E">
        <w:t xml:space="preserve">single arm </w:t>
      </w:r>
      <w:r w:rsidRPr="00DA3C6E">
        <w:t xml:space="preserve">studies. </w:t>
      </w:r>
    </w:p>
    <w:p w14:paraId="13AD9743" w14:textId="19D08851" w:rsidR="00856B1D" w:rsidRPr="00DA3C6E" w:rsidRDefault="00856B1D" w:rsidP="00856B1D">
      <w:r w:rsidRPr="00DA3C6E">
        <w:t>The overview of relevant RCTs identified in the literature review included in the assessment is presented i</w:t>
      </w:r>
      <w:r w:rsidR="00B952B0" w:rsidRPr="00DA3C6E">
        <w:t xml:space="preserve">n </w:t>
      </w:r>
      <w:r w:rsidR="00B952B0" w:rsidRPr="00DA3C6E">
        <w:fldChar w:fldCharType="begin"/>
      </w:r>
      <w:r w:rsidR="00B952B0" w:rsidRPr="00DA3C6E">
        <w:instrText xml:space="preserve"> REF _Ref31097498 \h </w:instrText>
      </w:r>
      <w:r w:rsidR="00E8759F" w:rsidRPr="00DA3C6E">
        <w:instrText xml:space="preserve"> \* MERGEFORMAT </w:instrText>
      </w:r>
      <w:r w:rsidR="00B952B0" w:rsidRPr="00DA3C6E">
        <w:fldChar w:fldCharType="separate"/>
      </w:r>
      <w:r w:rsidR="00165027" w:rsidRPr="00DA3C6E">
        <w:t xml:space="preserve">Table </w:t>
      </w:r>
      <w:r w:rsidR="00165027">
        <w:rPr>
          <w:noProof/>
        </w:rPr>
        <w:t>10</w:t>
      </w:r>
      <w:r w:rsidR="00B952B0" w:rsidRPr="00DA3C6E">
        <w:fldChar w:fldCharType="end"/>
      </w:r>
      <w:r w:rsidR="00165027">
        <w:t xml:space="preserve">. </w:t>
      </w:r>
    </w:p>
    <w:p w14:paraId="0590A1F6" w14:textId="77777777" w:rsidR="00856B1D" w:rsidRPr="00DA3C6E" w:rsidRDefault="00856B1D" w:rsidP="00856B1D">
      <w:pPr>
        <w:pStyle w:val="Caption"/>
        <w:keepNext/>
        <w:sectPr w:rsidR="00856B1D" w:rsidRPr="00DA3C6E" w:rsidSect="00643DA0">
          <w:headerReference w:type="even" r:id="rId25"/>
          <w:headerReference w:type="default" r:id="rId26"/>
          <w:headerReference w:type="first" r:id="rId27"/>
          <w:pgSz w:w="11906" w:h="16838"/>
          <w:pgMar w:top="1440" w:right="1440" w:bottom="1440" w:left="1440" w:header="720" w:footer="720" w:gutter="0"/>
          <w:paperSrc w:first="7" w:other="7"/>
          <w:pgNumType w:start="1"/>
          <w:cols w:space="720"/>
          <w:docGrid w:linePitch="299"/>
        </w:sectPr>
      </w:pPr>
    </w:p>
    <w:p w14:paraId="18A20BD3" w14:textId="1A9F5FA9" w:rsidR="00856B1D" w:rsidRPr="00DA3C6E" w:rsidRDefault="00856B1D" w:rsidP="00856B1D">
      <w:pPr>
        <w:pStyle w:val="Caption"/>
        <w:keepNext/>
      </w:pPr>
      <w:bookmarkStart w:id="131" w:name="_Ref31097498"/>
      <w:bookmarkStart w:id="132" w:name="_Toc37845813"/>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10</w:t>
      </w:r>
      <w:r w:rsidR="00515153">
        <w:rPr>
          <w:noProof/>
        </w:rPr>
        <w:fldChar w:fldCharType="end"/>
      </w:r>
      <w:bookmarkEnd w:id="131"/>
      <w:r w:rsidRPr="00DA3C6E">
        <w:rPr>
          <w:noProof/>
        </w:rPr>
        <w:t>.</w:t>
      </w:r>
      <w:r w:rsidRPr="00DA3C6E">
        <w:rPr>
          <w:rFonts w:cs="Arial"/>
          <w:szCs w:val="20"/>
        </w:rPr>
        <w:t xml:space="preserve"> </w:t>
      </w:r>
      <w:r w:rsidRPr="00DA3C6E">
        <w:rPr>
          <w:szCs w:val="20"/>
        </w:rPr>
        <w:t>General characteristics of studies</w:t>
      </w:r>
      <w:bookmarkEnd w:id="132"/>
    </w:p>
    <w:tbl>
      <w:tblPr>
        <w:tblStyle w:val="TableGrid11"/>
        <w:tblW w:w="0" w:type="auto"/>
        <w:tblInd w:w="0" w:type="dxa"/>
        <w:tblLook w:val="04A0" w:firstRow="1" w:lastRow="0" w:firstColumn="1" w:lastColumn="0" w:noHBand="0" w:noVBand="1"/>
        <w:tblCaption w:val="Table 10. General characteristics of studies"/>
      </w:tblPr>
      <w:tblGrid>
        <w:gridCol w:w="1053"/>
        <w:gridCol w:w="1661"/>
        <w:gridCol w:w="1173"/>
        <w:gridCol w:w="1143"/>
        <w:gridCol w:w="850"/>
        <w:gridCol w:w="1146"/>
        <w:gridCol w:w="1146"/>
        <w:gridCol w:w="974"/>
        <w:gridCol w:w="1680"/>
        <w:gridCol w:w="1930"/>
        <w:gridCol w:w="1192"/>
      </w:tblGrid>
      <w:tr w:rsidR="00C67FE5" w:rsidRPr="00DA3C6E" w14:paraId="4F59E115" w14:textId="77777777" w:rsidTr="00C45858">
        <w:trPr>
          <w:tblHeader/>
        </w:trPr>
        <w:tc>
          <w:tcPr>
            <w:tcW w:w="1067" w:type="dxa"/>
            <w:tcBorders>
              <w:top w:val="single" w:sz="4" w:space="0" w:color="auto"/>
              <w:left w:val="single" w:sz="4" w:space="0" w:color="auto"/>
              <w:bottom w:val="single" w:sz="4" w:space="0" w:color="auto"/>
              <w:right w:val="single" w:sz="4" w:space="0" w:color="auto"/>
            </w:tcBorders>
            <w:hideMark/>
          </w:tcPr>
          <w:p w14:paraId="1BAC4CA3"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 xml:space="preserve">Study </w:t>
            </w:r>
          </w:p>
        </w:tc>
        <w:tc>
          <w:tcPr>
            <w:tcW w:w="1696" w:type="dxa"/>
            <w:tcBorders>
              <w:top w:val="single" w:sz="4" w:space="0" w:color="auto"/>
              <w:left w:val="single" w:sz="4" w:space="0" w:color="auto"/>
              <w:bottom w:val="single" w:sz="4" w:space="0" w:color="auto"/>
              <w:right w:val="single" w:sz="4" w:space="0" w:color="auto"/>
            </w:tcBorders>
            <w:hideMark/>
          </w:tcPr>
          <w:p w14:paraId="3C04B86C"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Study title</w:t>
            </w:r>
          </w:p>
        </w:tc>
        <w:tc>
          <w:tcPr>
            <w:tcW w:w="1180" w:type="dxa"/>
            <w:tcBorders>
              <w:top w:val="single" w:sz="4" w:space="0" w:color="auto"/>
              <w:left w:val="single" w:sz="4" w:space="0" w:color="auto"/>
              <w:bottom w:val="single" w:sz="4" w:space="0" w:color="auto"/>
              <w:right w:val="single" w:sz="4" w:space="0" w:color="auto"/>
            </w:tcBorders>
            <w:hideMark/>
          </w:tcPr>
          <w:p w14:paraId="1C23CB59"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Study design</w:t>
            </w:r>
          </w:p>
        </w:tc>
        <w:tc>
          <w:tcPr>
            <w:tcW w:w="1150" w:type="dxa"/>
            <w:tcBorders>
              <w:top w:val="single" w:sz="4" w:space="0" w:color="auto"/>
              <w:left w:val="single" w:sz="4" w:space="0" w:color="auto"/>
              <w:bottom w:val="single" w:sz="4" w:space="0" w:color="auto"/>
              <w:right w:val="single" w:sz="4" w:space="0" w:color="auto"/>
            </w:tcBorders>
            <w:hideMark/>
          </w:tcPr>
          <w:p w14:paraId="243CCD15"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Patient population</w:t>
            </w:r>
          </w:p>
        </w:tc>
        <w:tc>
          <w:tcPr>
            <w:tcW w:w="851" w:type="dxa"/>
            <w:tcBorders>
              <w:top w:val="single" w:sz="4" w:space="0" w:color="auto"/>
              <w:left w:val="single" w:sz="4" w:space="0" w:color="auto"/>
              <w:bottom w:val="single" w:sz="4" w:space="0" w:color="auto"/>
              <w:right w:val="single" w:sz="4" w:space="0" w:color="auto"/>
            </w:tcBorders>
            <w:hideMark/>
          </w:tcPr>
          <w:p w14:paraId="4B945780"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 xml:space="preserve">Number </w:t>
            </w:r>
          </w:p>
        </w:tc>
        <w:tc>
          <w:tcPr>
            <w:tcW w:w="991" w:type="dxa"/>
            <w:tcBorders>
              <w:top w:val="single" w:sz="4" w:space="0" w:color="auto"/>
              <w:left w:val="single" w:sz="4" w:space="0" w:color="auto"/>
              <w:bottom w:val="single" w:sz="4" w:space="0" w:color="auto"/>
              <w:right w:val="single" w:sz="4" w:space="0" w:color="auto"/>
            </w:tcBorders>
            <w:hideMark/>
          </w:tcPr>
          <w:p w14:paraId="14ED9E2C"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Intravenous Ig dose</w:t>
            </w:r>
          </w:p>
        </w:tc>
        <w:tc>
          <w:tcPr>
            <w:tcW w:w="1146" w:type="dxa"/>
            <w:tcBorders>
              <w:top w:val="single" w:sz="4" w:space="0" w:color="auto"/>
              <w:left w:val="single" w:sz="4" w:space="0" w:color="auto"/>
              <w:bottom w:val="single" w:sz="4" w:space="0" w:color="auto"/>
              <w:right w:val="single" w:sz="4" w:space="0" w:color="auto"/>
            </w:tcBorders>
            <w:hideMark/>
          </w:tcPr>
          <w:p w14:paraId="7AD9BB33"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Comparator</w:t>
            </w:r>
          </w:p>
        </w:tc>
        <w:tc>
          <w:tcPr>
            <w:tcW w:w="986" w:type="dxa"/>
            <w:tcBorders>
              <w:top w:val="single" w:sz="4" w:space="0" w:color="auto"/>
              <w:left w:val="single" w:sz="4" w:space="0" w:color="auto"/>
              <w:bottom w:val="single" w:sz="4" w:space="0" w:color="auto"/>
              <w:right w:val="single" w:sz="4" w:space="0" w:color="auto"/>
            </w:tcBorders>
            <w:hideMark/>
          </w:tcPr>
          <w:p w14:paraId="0DEF7CBB"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Follow-up</w:t>
            </w:r>
          </w:p>
        </w:tc>
        <w:tc>
          <w:tcPr>
            <w:tcW w:w="1701" w:type="dxa"/>
            <w:tcBorders>
              <w:top w:val="single" w:sz="4" w:space="0" w:color="auto"/>
              <w:left w:val="single" w:sz="4" w:space="0" w:color="auto"/>
              <w:bottom w:val="single" w:sz="4" w:space="0" w:color="auto"/>
              <w:right w:val="single" w:sz="4" w:space="0" w:color="auto"/>
            </w:tcBorders>
            <w:hideMark/>
          </w:tcPr>
          <w:p w14:paraId="3790C64F"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Primary outcome</w:t>
            </w:r>
          </w:p>
        </w:tc>
        <w:tc>
          <w:tcPr>
            <w:tcW w:w="1985" w:type="dxa"/>
            <w:tcBorders>
              <w:top w:val="single" w:sz="4" w:space="0" w:color="auto"/>
              <w:left w:val="single" w:sz="4" w:space="0" w:color="auto"/>
              <w:bottom w:val="single" w:sz="4" w:space="0" w:color="auto"/>
              <w:right w:val="single" w:sz="4" w:space="0" w:color="auto"/>
            </w:tcBorders>
            <w:hideMark/>
          </w:tcPr>
          <w:p w14:paraId="48149D44"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Secondary outcomes</w:t>
            </w:r>
          </w:p>
        </w:tc>
        <w:tc>
          <w:tcPr>
            <w:tcW w:w="1195" w:type="dxa"/>
            <w:tcBorders>
              <w:top w:val="single" w:sz="4" w:space="0" w:color="auto"/>
              <w:left w:val="single" w:sz="4" w:space="0" w:color="auto"/>
              <w:bottom w:val="single" w:sz="4" w:space="0" w:color="auto"/>
              <w:right w:val="single" w:sz="4" w:space="0" w:color="auto"/>
            </w:tcBorders>
            <w:hideMark/>
          </w:tcPr>
          <w:p w14:paraId="59E20800" w14:textId="77777777" w:rsidR="00856B1D" w:rsidRPr="00DA3C6E" w:rsidRDefault="00856B1D" w:rsidP="00C45858">
            <w:pPr>
              <w:tabs>
                <w:tab w:val="left" w:pos="2229"/>
              </w:tabs>
              <w:spacing w:after="0" w:line="240" w:lineRule="auto"/>
              <w:jc w:val="left"/>
              <w:rPr>
                <w:rFonts w:ascii="Arial Narrow" w:hAnsi="Arial Narrow" w:cs="Times New Roman"/>
                <w:b/>
                <w:sz w:val="20"/>
                <w:szCs w:val="20"/>
              </w:rPr>
            </w:pPr>
            <w:r w:rsidRPr="00DA3C6E">
              <w:rPr>
                <w:rFonts w:ascii="Arial Narrow" w:hAnsi="Arial Narrow" w:cs="Times New Roman"/>
                <w:b/>
                <w:sz w:val="20"/>
                <w:szCs w:val="20"/>
              </w:rPr>
              <w:t>Time point of outcome assessment</w:t>
            </w:r>
          </w:p>
        </w:tc>
      </w:tr>
      <w:tr w:rsidR="00C67FE5" w:rsidRPr="00DA3C6E" w14:paraId="76BA0736" w14:textId="77777777" w:rsidTr="00C45858">
        <w:tc>
          <w:tcPr>
            <w:tcW w:w="1067" w:type="dxa"/>
            <w:tcBorders>
              <w:top w:val="single" w:sz="4" w:space="0" w:color="auto"/>
              <w:left w:val="single" w:sz="4" w:space="0" w:color="auto"/>
              <w:bottom w:val="single" w:sz="4" w:space="0" w:color="auto"/>
              <w:right w:val="single" w:sz="4" w:space="0" w:color="auto"/>
            </w:tcBorders>
            <w:hideMark/>
          </w:tcPr>
          <w:p w14:paraId="461CD0D9" w14:textId="21469EF8" w:rsidR="00856B1D" w:rsidRPr="00DA3C6E" w:rsidRDefault="00856B1D" w:rsidP="00C04BCE">
            <w:pPr>
              <w:spacing w:after="0" w:line="240" w:lineRule="auto"/>
              <w:jc w:val="left"/>
              <w:rPr>
                <w:rFonts w:ascii="Arial Narrow" w:hAnsi="Arial Narrow" w:cs="Times New Roman"/>
                <w:sz w:val="20"/>
              </w:rPr>
            </w:pPr>
            <w:r w:rsidRPr="00DA3C6E">
              <w:rPr>
                <w:rFonts w:ascii="Arial Narrow" w:hAnsi="Arial Narrow" w:cs="Times New Roman"/>
                <w:sz w:val="20"/>
              </w:rPr>
              <w:t>Azulay et al. 1994</w:t>
            </w:r>
            <w:r w:rsidR="00BE7F1B">
              <w:rPr>
                <w:rFonts w:ascii="Arial Narrow" w:hAnsi="Arial Narrow" w:cs="Times New Roman"/>
                <w:sz w:val="20"/>
              </w:rPr>
              <w:t xml:space="preserve"> </w:t>
            </w:r>
            <w:r w:rsidR="00DB568A" w:rsidRPr="00DA3C6E">
              <w:rPr>
                <w:rFonts w:ascii="Arial Narrow" w:hAnsi="Arial Narrow" w:cs="Times New Roman"/>
                <w:sz w:val="20"/>
              </w:rPr>
              <w:fldChar w:fldCharType="begin"/>
            </w:r>
            <w:r w:rsidR="00DB568A" w:rsidRPr="00DA3C6E">
              <w:rPr>
                <w:rFonts w:ascii="Arial Narrow" w:hAnsi="Arial Narrow" w:cs="Times New Roman"/>
                <w:sz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Fonts w:ascii="Arial Narrow" w:hAnsi="Arial Narrow" w:cs="Times New Roman"/>
                <w:sz w:val="20"/>
              </w:rPr>
              <w:fldChar w:fldCharType="separate"/>
            </w:r>
            <w:r w:rsidR="00DB568A" w:rsidRPr="00DA3C6E">
              <w:rPr>
                <w:rFonts w:ascii="Arial Narrow" w:hAnsi="Arial Narrow" w:cs="Times New Roman"/>
                <w:noProof/>
                <w:sz w:val="20"/>
              </w:rPr>
              <w:t>(</w:t>
            </w:r>
            <w:hyperlink w:anchor="_ENREF_24" w:tooltip="Azulay, 1994 #4" w:history="1">
              <w:r w:rsidR="00C04BCE" w:rsidRPr="00DA3C6E">
                <w:rPr>
                  <w:rFonts w:ascii="Arial Narrow" w:hAnsi="Arial Narrow" w:cs="Times New Roman"/>
                  <w:noProof/>
                  <w:sz w:val="20"/>
                </w:rPr>
                <w:t>24</w:t>
              </w:r>
            </w:hyperlink>
            <w:r w:rsidR="00DB568A" w:rsidRPr="00DA3C6E">
              <w:rPr>
                <w:rFonts w:ascii="Arial Narrow" w:hAnsi="Arial Narrow" w:cs="Times New Roman"/>
                <w:noProof/>
                <w:sz w:val="20"/>
              </w:rPr>
              <w:t>)</w:t>
            </w:r>
            <w:r w:rsidR="00DB568A" w:rsidRPr="00DA3C6E">
              <w:rPr>
                <w:rFonts w:ascii="Arial Narrow" w:hAnsi="Arial Narrow" w:cs="Times New Roman"/>
                <w:sz w:val="20"/>
              </w:rPr>
              <w:fldChar w:fldCharType="end"/>
            </w:r>
          </w:p>
        </w:tc>
        <w:tc>
          <w:tcPr>
            <w:tcW w:w="1696" w:type="dxa"/>
            <w:tcBorders>
              <w:top w:val="single" w:sz="4" w:space="0" w:color="auto"/>
              <w:left w:val="single" w:sz="4" w:space="0" w:color="auto"/>
              <w:bottom w:val="single" w:sz="4" w:space="0" w:color="auto"/>
              <w:right w:val="single" w:sz="4" w:space="0" w:color="auto"/>
            </w:tcBorders>
            <w:hideMark/>
          </w:tcPr>
          <w:p w14:paraId="5A84F616"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Intravenous Ig treatment in patients with motor neuron syndromes associated with anti-GM1 antibodies: A double-blind, placebo-controlled study</w:t>
            </w:r>
          </w:p>
        </w:tc>
        <w:tc>
          <w:tcPr>
            <w:tcW w:w="1180" w:type="dxa"/>
            <w:tcBorders>
              <w:top w:val="single" w:sz="4" w:space="0" w:color="auto"/>
              <w:left w:val="single" w:sz="4" w:space="0" w:color="auto"/>
              <w:bottom w:val="single" w:sz="4" w:space="0" w:color="auto"/>
              <w:right w:val="single" w:sz="4" w:space="0" w:color="auto"/>
            </w:tcBorders>
            <w:hideMark/>
          </w:tcPr>
          <w:p w14:paraId="39E1A15B"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Double-blind, placebo-controlled, cross-over trial</w:t>
            </w:r>
          </w:p>
        </w:tc>
        <w:tc>
          <w:tcPr>
            <w:tcW w:w="1150" w:type="dxa"/>
            <w:tcBorders>
              <w:top w:val="single" w:sz="4" w:space="0" w:color="auto"/>
              <w:left w:val="single" w:sz="4" w:space="0" w:color="auto"/>
              <w:bottom w:val="single" w:sz="4" w:space="0" w:color="auto"/>
              <w:right w:val="single" w:sz="4" w:space="0" w:color="auto"/>
            </w:tcBorders>
            <w:hideMark/>
          </w:tcPr>
          <w:p w14:paraId="1FF7E119"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MMN with CB and LMNS patients associated with high titre of anti-GM1 antibodies.</w:t>
            </w:r>
          </w:p>
        </w:tc>
        <w:tc>
          <w:tcPr>
            <w:tcW w:w="851" w:type="dxa"/>
            <w:tcBorders>
              <w:top w:val="single" w:sz="4" w:space="0" w:color="auto"/>
              <w:left w:val="single" w:sz="4" w:space="0" w:color="auto"/>
              <w:bottom w:val="single" w:sz="4" w:space="0" w:color="auto"/>
              <w:right w:val="single" w:sz="4" w:space="0" w:color="auto"/>
            </w:tcBorders>
            <w:hideMark/>
          </w:tcPr>
          <w:p w14:paraId="0383490A"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5 MMN;</w:t>
            </w:r>
          </w:p>
          <w:p w14:paraId="5E95A6A6"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7 LMNS</w:t>
            </w:r>
          </w:p>
        </w:tc>
        <w:tc>
          <w:tcPr>
            <w:tcW w:w="991" w:type="dxa"/>
            <w:tcBorders>
              <w:top w:val="single" w:sz="4" w:space="0" w:color="auto"/>
              <w:left w:val="single" w:sz="4" w:space="0" w:color="auto"/>
              <w:bottom w:val="single" w:sz="4" w:space="0" w:color="auto"/>
              <w:right w:val="single" w:sz="4" w:space="0" w:color="auto"/>
            </w:tcBorders>
            <w:hideMark/>
          </w:tcPr>
          <w:p w14:paraId="2E2719FA"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0.4 g/kg/d</w:t>
            </w:r>
          </w:p>
        </w:tc>
        <w:tc>
          <w:tcPr>
            <w:tcW w:w="1146" w:type="dxa"/>
            <w:tcBorders>
              <w:top w:val="single" w:sz="4" w:space="0" w:color="auto"/>
              <w:left w:val="single" w:sz="4" w:space="0" w:color="auto"/>
              <w:bottom w:val="single" w:sz="4" w:space="0" w:color="auto"/>
              <w:right w:val="single" w:sz="4" w:space="0" w:color="auto"/>
            </w:tcBorders>
            <w:hideMark/>
          </w:tcPr>
          <w:p w14:paraId="2D1C6656"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Saline solution. Patients were cross over after 8 weeks</w:t>
            </w:r>
          </w:p>
        </w:tc>
        <w:tc>
          <w:tcPr>
            <w:tcW w:w="986" w:type="dxa"/>
            <w:tcBorders>
              <w:top w:val="single" w:sz="4" w:space="0" w:color="auto"/>
              <w:left w:val="single" w:sz="4" w:space="0" w:color="auto"/>
              <w:bottom w:val="single" w:sz="4" w:space="0" w:color="auto"/>
              <w:right w:val="single" w:sz="4" w:space="0" w:color="auto"/>
            </w:tcBorders>
          </w:tcPr>
          <w:p w14:paraId="358EB4E7" w14:textId="77777777" w:rsidR="00856B1D" w:rsidRPr="00DA3C6E" w:rsidRDefault="003D226A"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 xml:space="preserve">NR </w:t>
            </w:r>
          </w:p>
        </w:tc>
        <w:tc>
          <w:tcPr>
            <w:tcW w:w="1701" w:type="dxa"/>
            <w:tcBorders>
              <w:top w:val="single" w:sz="4" w:space="0" w:color="auto"/>
              <w:left w:val="single" w:sz="4" w:space="0" w:color="auto"/>
              <w:bottom w:val="single" w:sz="4" w:space="0" w:color="auto"/>
              <w:right w:val="single" w:sz="4" w:space="0" w:color="auto"/>
            </w:tcBorders>
            <w:hideMark/>
          </w:tcPr>
          <w:p w14:paraId="3EBEDC95"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Disability (change in disability)</w:t>
            </w:r>
          </w:p>
          <w:p w14:paraId="3B2111BA"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Muscle strength  (improvement in muscle strength)</w:t>
            </w:r>
          </w:p>
        </w:tc>
        <w:tc>
          <w:tcPr>
            <w:tcW w:w="1985" w:type="dxa"/>
            <w:tcBorders>
              <w:top w:val="single" w:sz="4" w:space="0" w:color="auto"/>
              <w:left w:val="single" w:sz="4" w:space="0" w:color="auto"/>
              <w:bottom w:val="single" w:sz="4" w:space="0" w:color="auto"/>
              <w:right w:val="single" w:sz="4" w:space="0" w:color="auto"/>
            </w:tcBorders>
            <w:hideMark/>
          </w:tcPr>
          <w:p w14:paraId="7EB1DEFD"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Motor nerve conduction velocity</w:t>
            </w:r>
          </w:p>
        </w:tc>
        <w:tc>
          <w:tcPr>
            <w:tcW w:w="1195" w:type="dxa"/>
            <w:tcBorders>
              <w:top w:val="single" w:sz="4" w:space="0" w:color="auto"/>
              <w:left w:val="single" w:sz="4" w:space="0" w:color="auto"/>
              <w:bottom w:val="single" w:sz="4" w:space="0" w:color="auto"/>
              <w:right w:val="single" w:sz="4" w:space="0" w:color="auto"/>
            </w:tcBorders>
            <w:hideMark/>
          </w:tcPr>
          <w:p w14:paraId="08C488A0"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28 days (1 month) after  the last treatment</w:t>
            </w:r>
          </w:p>
        </w:tc>
      </w:tr>
      <w:tr w:rsidR="00C67FE5" w:rsidRPr="00DA3C6E" w14:paraId="0695CA5D" w14:textId="77777777" w:rsidTr="00C45858">
        <w:tc>
          <w:tcPr>
            <w:tcW w:w="1067" w:type="dxa"/>
            <w:tcBorders>
              <w:top w:val="single" w:sz="4" w:space="0" w:color="auto"/>
              <w:left w:val="single" w:sz="4" w:space="0" w:color="auto"/>
              <w:bottom w:val="single" w:sz="4" w:space="0" w:color="auto"/>
              <w:right w:val="single" w:sz="4" w:space="0" w:color="auto"/>
            </w:tcBorders>
            <w:hideMark/>
          </w:tcPr>
          <w:p w14:paraId="59B39F72" w14:textId="4C77627D" w:rsidR="00856B1D" w:rsidRPr="00DA3C6E" w:rsidRDefault="00856B1D" w:rsidP="00C04BCE">
            <w:pPr>
              <w:spacing w:after="0" w:line="240" w:lineRule="auto"/>
              <w:jc w:val="left"/>
              <w:rPr>
                <w:rFonts w:ascii="Arial Narrow" w:hAnsi="Arial Narrow" w:cs="Times New Roman"/>
                <w:sz w:val="20"/>
              </w:rPr>
            </w:pPr>
            <w:r w:rsidRPr="00DA3C6E">
              <w:rPr>
                <w:rFonts w:ascii="Arial Narrow" w:hAnsi="Arial Narrow" w:cs="Times New Roman"/>
                <w:sz w:val="20"/>
                <w:lang w:val="es-CL"/>
              </w:rPr>
              <w:t xml:space="preserve">Van den Berg et al.  </w:t>
            </w:r>
            <w:r w:rsidRPr="00DA3C6E">
              <w:rPr>
                <w:rFonts w:ascii="Arial Narrow" w:hAnsi="Arial Narrow" w:cs="Times New Roman"/>
                <w:sz w:val="20"/>
              </w:rPr>
              <w:t>1995</w:t>
            </w:r>
            <w:r w:rsidR="00BE7F1B">
              <w:rPr>
                <w:rFonts w:ascii="Arial Narrow" w:hAnsi="Arial Narrow" w:cs="Times New Roman"/>
                <w:sz w:val="20"/>
              </w:rPr>
              <w:t xml:space="preserve"> </w:t>
            </w:r>
            <w:r w:rsidR="00DB568A" w:rsidRPr="00DA3C6E">
              <w:rPr>
                <w:rFonts w:ascii="Arial Narrow" w:hAnsi="Arial Narrow" w:cs="Times New Roman"/>
                <w:sz w:val="20"/>
              </w:rPr>
              <w:fldChar w:fldCharType="begin"/>
            </w:r>
            <w:r w:rsidR="00DB568A" w:rsidRPr="00DA3C6E">
              <w:rPr>
                <w:rFonts w:ascii="Arial Narrow" w:hAnsi="Arial Narrow" w:cs="Times New Roman"/>
                <w:sz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Fonts w:ascii="Arial Narrow" w:hAnsi="Arial Narrow" w:cs="Times New Roman"/>
                <w:sz w:val="20"/>
              </w:rPr>
              <w:fldChar w:fldCharType="separate"/>
            </w:r>
            <w:r w:rsidR="00DB568A" w:rsidRPr="00DA3C6E">
              <w:rPr>
                <w:rFonts w:ascii="Arial Narrow" w:hAnsi="Arial Narrow" w:cs="Times New Roman"/>
                <w:noProof/>
                <w:sz w:val="20"/>
              </w:rPr>
              <w:t>(</w:t>
            </w:r>
            <w:hyperlink w:anchor="_ENREF_25" w:tooltip="Van den Berg, 1995 #77" w:history="1">
              <w:r w:rsidR="00C04BCE" w:rsidRPr="00DA3C6E">
                <w:rPr>
                  <w:rFonts w:ascii="Arial Narrow" w:hAnsi="Arial Narrow" w:cs="Times New Roman"/>
                  <w:noProof/>
                  <w:sz w:val="20"/>
                </w:rPr>
                <w:t>25</w:t>
              </w:r>
            </w:hyperlink>
            <w:r w:rsidR="00DB568A" w:rsidRPr="00DA3C6E">
              <w:rPr>
                <w:rFonts w:ascii="Arial Narrow" w:hAnsi="Arial Narrow" w:cs="Times New Roman"/>
                <w:noProof/>
                <w:sz w:val="20"/>
              </w:rPr>
              <w:t>)</w:t>
            </w:r>
            <w:r w:rsidR="00DB568A" w:rsidRPr="00DA3C6E">
              <w:rPr>
                <w:rFonts w:ascii="Arial Narrow" w:hAnsi="Arial Narrow" w:cs="Times New Roman"/>
                <w:sz w:val="20"/>
              </w:rPr>
              <w:fldChar w:fldCharType="end"/>
            </w:r>
          </w:p>
        </w:tc>
        <w:tc>
          <w:tcPr>
            <w:tcW w:w="1696" w:type="dxa"/>
            <w:tcBorders>
              <w:top w:val="single" w:sz="4" w:space="0" w:color="auto"/>
              <w:left w:val="single" w:sz="4" w:space="0" w:color="auto"/>
              <w:bottom w:val="single" w:sz="4" w:space="0" w:color="auto"/>
              <w:right w:val="single" w:sz="4" w:space="0" w:color="auto"/>
            </w:tcBorders>
            <w:hideMark/>
          </w:tcPr>
          <w:p w14:paraId="5AF8C9EE"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Treatment of MMN with high dose intravenous Ig: a double blind, placebo controlled study</w:t>
            </w:r>
          </w:p>
        </w:tc>
        <w:tc>
          <w:tcPr>
            <w:tcW w:w="1180" w:type="dxa"/>
            <w:tcBorders>
              <w:top w:val="single" w:sz="4" w:space="0" w:color="auto"/>
              <w:left w:val="single" w:sz="4" w:space="0" w:color="auto"/>
              <w:bottom w:val="single" w:sz="4" w:space="0" w:color="auto"/>
              <w:right w:val="single" w:sz="4" w:space="0" w:color="auto"/>
            </w:tcBorders>
            <w:hideMark/>
          </w:tcPr>
          <w:p w14:paraId="1567906C"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Open trial followed by a single patient double blind placebo RCT</w:t>
            </w:r>
          </w:p>
        </w:tc>
        <w:tc>
          <w:tcPr>
            <w:tcW w:w="1150" w:type="dxa"/>
            <w:tcBorders>
              <w:top w:val="single" w:sz="4" w:space="0" w:color="auto"/>
              <w:left w:val="single" w:sz="4" w:space="0" w:color="auto"/>
              <w:bottom w:val="single" w:sz="4" w:space="0" w:color="auto"/>
              <w:right w:val="single" w:sz="4" w:space="0" w:color="auto"/>
            </w:tcBorders>
            <w:hideMark/>
          </w:tcPr>
          <w:p w14:paraId="411C345C"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Patients with MMN with CB</w:t>
            </w:r>
          </w:p>
        </w:tc>
        <w:tc>
          <w:tcPr>
            <w:tcW w:w="851" w:type="dxa"/>
            <w:tcBorders>
              <w:top w:val="single" w:sz="4" w:space="0" w:color="auto"/>
              <w:left w:val="single" w:sz="4" w:space="0" w:color="auto"/>
              <w:bottom w:val="single" w:sz="4" w:space="0" w:color="auto"/>
              <w:right w:val="single" w:sz="4" w:space="0" w:color="auto"/>
            </w:tcBorders>
            <w:hideMark/>
          </w:tcPr>
          <w:p w14:paraId="72117EF1"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6</w:t>
            </w:r>
          </w:p>
        </w:tc>
        <w:tc>
          <w:tcPr>
            <w:tcW w:w="991" w:type="dxa"/>
            <w:tcBorders>
              <w:top w:val="single" w:sz="4" w:space="0" w:color="auto"/>
              <w:left w:val="single" w:sz="4" w:space="0" w:color="auto"/>
              <w:bottom w:val="single" w:sz="4" w:space="0" w:color="auto"/>
              <w:right w:val="single" w:sz="4" w:space="0" w:color="auto"/>
            </w:tcBorders>
            <w:hideMark/>
          </w:tcPr>
          <w:p w14:paraId="243FD55E"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0.4 g/kg/d</w:t>
            </w:r>
          </w:p>
        </w:tc>
        <w:tc>
          <w:tcPr>
            <w:tcW w:w="1146" w:type="dxa"/>
            <w:tcBorders>
              <w:top w:val="single" w:sz="4" w:space="0" w:color="auto"/>
              <w:left w:val="single" w:sz="4" w:space="0" w:color="auto"/>
              <w:bottom w:val="single" w:sz="4" w:space="0" w:color="auto"/>
              <w:right w:val="single" w:sz="4" w:space="0" w:color="auto"/>
            </w:tcBorders>
            <w:hideMark/>
          </w:tcPr>
          <w:p w14:paraId="3FE94DB1"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Pasteurised plasma solution</w:t>
            </w:r>
          </w:p>
        </w:tc>
        <w:tc>
          <w:tcPr>
            <w:tcW w:w="986" w:type="dxa"/>
            <w:tcBorders>
              <w:top w:val="single" w:sz="4" w:space="0" w:color="auto"/>
              <w:left w:val="single" w:sz="4" w:space="0" w:color="auto"/>
              <w:bottom w:val="single" w:sz="4" w:space="0" w:color="auto"/>
              <w:right w:val="single" w:sz="4" w:space="0" w:color="auto"/>
            </w:tcBorders>
          </w:tcPr>
          <w:p w14:paraId="74565145" w14:textId="77777777" w:rsidR="00856B1D" w:rsidRPr="00DA3C6E" w:rsidRDefault="003D226A"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 xml:space="preserve">NR </w:t>
            </w:r>
          </w:p>
        </w:tc>
        <w:tc>
          <w:tcPr>
            <w:tcW w:w="1701" w:type="dxa"/>
            <w:tcBorders>
              <w:top w:val="single" w:sz="4" w:space="0" w:color="auto"/>
              <w:left w:val="single" w:sz="4" w:space="0" w:color="auto"/>
              <w:bottom w:val="single" w:sz="4" w:space="0" w:color="auto"/>
              <w:right w:val="single" w:sz="4" w:space="0" w:color="auto"/>
            </w:tcBorders>
            <w:hideMark/>
          </w:tcPr>
          <w:p w14:paraId="2E78B955"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Disability (improvement in disability scale)</w:t>
            </w:r>
          </w:p>
          <w:p w14:paraId="686AAFB1"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Muscle strength  (improvement in muscle strength)</w:t>
            </w:r>
          </w:p>
        </w:tc>
        <w:tc>
          <w:tcPr>
            <w:tcW w:w="1985" w:type="dxa"/>
            <w:tcBorders>
              <w:top w:val="single" w:sz="4" w:space="0" w:color="auto"/>
              <w:left w:val="single" w:sz="4" w:space="0" w:color="auto"/>
              <w:bottom w:val="single" w:sz="4" w:space="0" w:color="auto"/>
              <w:right w:val="single" w:sz="4" w:space="0" w:color="auto"/>
            </w:tcBorders>
            <w:hideMark/>
          </w:tcPr>
          <w:p w14:paraId="5FE313E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Motor nerve conduction block</w:t>
            </w:r>
          </w:p>
        </w:tc>
        <w:tc>
          <w:tcPr>
            <w:tcW w:w="1195" w:type="dxa"/>
            <w:tcBorders>
              <w:top w:val="single" w:sz="4" w:space="0" w:color="auto"/>
              <w:left w:val="single" w:sz="4" w:space="0" w:color="auto"/>
              <w:bottom w:val="single" w:sz="4" w:space="0" w:color="auto"/>
              <w:right w:val="single" w:sz="4" w:space="0" w:color="auto"/>
            </w:tcBorders>
            <w:hideMark/>
          </w:tcPr>
          <w:p w14:paraId="257EA53D"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Different time points; between 2-6 weeks</w:t>
            </w:r>
          </w:p>
        </w:tc>
      </w:tr>
      <w:tr w:rsidR="00C67FE5" w:rsidRPr="00DA3C6E" w14:paraId="721B6D7F" w14:textId="77777777" w:rsidTr="00C45858">
        <w:tc>
          <w:tcPr>
            <w:tcW w:w="1067" w:type="dxa"/>
            <w:tcBorders>
              <w:top w:val="single" w:sz="4" w:space="0" w:color="auto"/>
              <w:left w:val="single" w:sz="4" w:space="0" w:color="auto"/>
              <w:bottom w:val="single" w:sz="4" w:space="0" w:color="auto"/>
              <w:right w:val="single" w:sz="4" w:space="0" w:color="auto"/>
            </w:tcBorders>
            <w:hideMark/>
          </w:tcPr>
          <w:p w14:paraId="3B8103EA" w14:textId="5DCEB6A6" w:rsidR="00856B1D" w:rsidRPr="00DA3C6E" w:rsidRDefault="00856B1D" w:rsidP="00C04BCE">
            <w:pPr>
              <w:spacing w:after="0" w:line="240" w:lineRule="auto"/>
              <w:jc w:val="left"/>
              <w:rPr>
                <w:rFonts w:ascii="Arial Narrow" w:hAnsi="Arial Narrow" w:cs="Times New Roman"/>
                <w:sz w:val="20"/>
              </w:rPr>
            </w:pPr>
            <w:r w:rsidRPr="00DA3C6E">
              <w:rPr>
                <w:rFonts w:ascii="Arial Narrow" w:hAnsi="Arial Narrow" w:cs="Times New Roman"/>
                <w:sz w:val="20"/>
              </w:rPr>
              <w:t>Federico et al. 2000</w:t>
            </w:r>
            <w:r w:rsidR="00BE7F1B">
              <w:rPr>
                <w:rFonts w:ascii="Arial Narrow" w:hAnsi="Arial Narrow" w:cs="Times New Roman"/>
                <w:sz w:val="20"/>
              </w:rPr>
              <w:t xml:space="preserve"> </w:t>
            </w:r>
            <w:r w:rsidR="00DB568A" w:rsidRPr="00DA3C6E">
              <w:rPr>
                <w:rFonts w:ascii="Arial Narrow" w:hAnsi="Arial Narrow" w:cs="Times New Roman"/>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cs="Times New Roman"/>
                <w:sz w:val="20"/>
              </w:rPr>
              <w:instrText xml:space="preserve"> ADDIN EN.CITE </w:instrText>
            </w:r>
            <w:r w:rsidR="00DB568A" w:rsidRPr="00DA3C6E">
              <w:rPr>
                <w:rFonts w:ascii="Arial Narrow" w:hAnsi="Arial Narrow" w:cs="Times New Roman"/>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cs="Times New Roman"/>
                <w:sz w:val="20"/>
              </w:rPr>
              <w:instrText xml:space="preserve"> ADDIN EN.CITE.DATA </w:instrText>
            </w:r>
            <w:r w:rsidR="00DB568A" w:rsidRPr="00DA3C6E">
              <w:rPr>
                <w:rFonts w:ascii="Arial Narrow" w:hAnsi="Arial Narrow" w:cs="Times New Roman"/>
                <w:sz w:val="20"/>
              </w:rPr>
            </w:r>
            <w:r w:rsidR="00DB568A" w:rsidRPr="00DA3C6E">
              <w:rPr>
                <w:rFonts w:ascii="Arial Narrow" w:hAnsi="Arial Narrow" w:cs="Times New Roman"/>
                <w:sz w:val="20"/>
              </w:rPr>
              <w:fldChar w:fldCharType="end"/>
            </w:r>
            <w:r w:rsidR="00DB568A" w:rsidRPr="00DA3C6E">
              <w:rPr>
                <w:rFonts w:ascii="Arial Narrow" w:hAnsi="Arial Narrow" w:cs="Times New Roman"/>
                <w:sz w:val="20"/>
              </w:rPr>
            </w:r>
            <w:r w:rsidR="00DB568A" w:rsidRPr="00DA3C6E">
              <w:rPr>
                <w:rFonts w:ascii="Arial Narrow" w:hAnsi="Arial Narrow" w:cs="Times New Roman"/>
                <w:sz w:val="20"/>
              </w:rPr>
              <w:fldChar w:fldCharType="separate"/>
            </w:r>
            <w:r w:rsidR="00DB568A" w:rsidRPr="00DA3C6E">
              <w:rPr>
                <w:rFonts w:ascii="Arial Narrow" w:hAnsi="Arial Narrow" w:cs="Times New Roman"/>
                <w:noProof/>
                <w:sz w:val="20"/>
              </w:rPr>
              <w:t>(</w:t>
            </w:r>
            <w:hyperlink w:anchor="_ENREF_26" w:tooltip="Federico, 2000 #20" w:history="1">
              <w:r w:rsidR="00C04BCE" w:rsidRPr="00DA3C6E">
                <w:rPr>
                  <w:rFonts w:ascii="Arial Narrow" w:hAnsi="Arial Narrow" w:cs="Times New Roman"/>
                  <w:noProof/>
                  <w:sz w:val="20"/>
                </w:rPr>
                <w:t>26</w:t>
              </w:r>
            </w:hyperlink>
            <w:r w:rsidR="00DB568A" w:rsidRPr="00DA3C6E">
              <w:rPr>
                <w:rFonts w:ascii="Arial Narrow" w:hAnsi="Arial Narrow" w:cs="Times New Roman"/>
                <w:noProof/>
                <w:sz w:val="20"/>
              </w:rPr>
              <w:t>)</w:t>
            </w:r>
            <w:r w:rsidR="00DB568A" w:rsidRPr="00DA3C6E">
              <w:rPr>
                <w:rFonts w:ascii="Arial Narrow" w:hAnsi="Arial Narrow" w:cs="Times New Roman"/>
                <w:sz w:val="20"/>
              </w:rPr>
              <w:fldChar w:fldCharType="end"/>
            </w:r>
          </w:p>
        </w:tc>
        <w:tc>
          <w:tcPr>
            <w:tcW w:w="1696" w:type="dxa"/>
            <w:tcBorders>
              <w:top w:val="single" w:sz="4" w:space="0" w:color="auto"/>
              <w:left w:val="single" w:sz="4" w:space="0" w:color="auto"/>
              <w:bottom w:val="single" w:sz="4" w:space="0" w:color="auto"/>
              <w:right w:val="single" w:sz="4" w:space="0" w:color="auto"/>
            </w:tcBorders>
            <w:hideMark/>
          </w:tcPr>
          <w:p w14:paraId="5F7FEF57"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MMN improved by intravenous Ig: Randomised, double-blind, placebo controlled study</w:t>
            </w:r>
          </w:p>
        </w:tc>
        <w:tc>
          <w:tcPr>
            <w:tcW w:w="1180" w:type="dxa"/>
            <w:tcBorders>
              <w:top w:val="single" w:sz="4" w:space="0" w:color="auto"/>
              <w:left w:val="single" w:sz="4" w:space="0" w:color="auto"/>
              <w:bottom w:val="single" w:sz="4" w:space="0" w:color="auto"/>
              <w:right w:val="single" w:sz="4" w:space="0" w:color="auto"/>
            </w:tcBorders>
            <w:hideMark/>
          </w:tcPr>
          <w:p w14:paraId="4A0DB37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Double-blind, placebo controlled, cross-over trial</w:t>
            </w:r>
          </w:p>
        </w:tc>
        <w:tc>
          <w:tcPr>
            <w:tcW w:w="1150" w:type="dxa"/>
            <w:tcBorders>
              <w:top w:val="single" w:sz="4" w:space="0" w:color="auto"/>
              <w:left w:val="single" w:sz="4" w:space="0" w:color="auto"/>
              <w:bottom w:val="single" w:sz="4" w:space="0" w:color="auto"/>
              <w:right w:val="single" w:sz="4" w:space="0" w:color="auto"/>
            </w:tcBorders>
            <w:hideMark/>
          </w:tcPr>
          <w:p w14:paraId="0AAA0A43"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Naïve patients with asymmetric lower motor neuron syndrome with no sensory or bulbar signs and partial CB (&gt;30%)</w:t>
            </w:r>
          </w:p>
        </w:tc>
        <w:tc>
          <w:tcPr>
            <w:tcW w:w="851" w:type="dxa"/>
            <w:tcBorders>
              <w:top w:val="single" w:sz="4" w:space="0" w:color="auto"/>
              <w:left w:val="single" w:sz="4" w:space="0" w:color="auto"/>
              <w:bottom w:val="single" w:sz="4" w:space="0" w:color="auto"/>
              <w:right w:val="single" w:sz="4" w:space="0" w:color="auto"/>
            </w:tcBorders>
            <w:hideMark/>
          </w:tcPr>
          <w:p w14:paraId="38586AC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16</w:t>
            </w:r>
          </w:p>
        </w:tc>
        <w:tc>
          <w:tcPr>
            <w:tcW w:w="991" w:type="dxa"/>
            <w:tcBorders>
              <w:top w:val="single" w:sz="4" w:space="0" w:color="auto"/>
              <w:left w:val="single" w:sz="4" w:space="0" w:color="auto"/>
              <w:bottom w:val="single" w:sz="4" w:space="0" w:color="auto"/>
              <w:right w:val="single" w:sz="4" w:space="0" w:color="auto"/>
            </w:tcBorders>
            <w:hideMark/>
          </w:tcPr>
          <w:p w14:paraId="330453B8"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0.4 g/kg/d</w:t>
            </w:r>
          </w:p>
        </w:tc>
        <w:tc>
          <w:tcPr>
            <w:tcW w:w="1146" w:type="dxa"/>
            <w:tcBorders>
              <w:top w:val="single" w:sz="4" w:space="0" w:color="auto"/>
              <w:left w:val="single" w:sz="4" w:space="0" w:color="auto"/>
              <w:bottom w:val="single" w:sz="4" w:space="0" w:color="auto"/>
              <w:right w:val="single" w:sz="4" w:space="0" w:color="auto"/>
            </w:tcBorders>
            <w:hideMark/>
          </w:tcPr>
          <w:p w14:paraId="480C790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5% dextrose or 0.9% saline</w:t>
            </w:r>
          </w:p>
        </w:tc>
        <w:tc>
          <w:tcPr>
            <w:tcW w:w="986" w:type="dxa"/>
            <w:tcBorders>
              <w:top w:val="single" w:sz="4" w:space="0" w:color="auto"/>
              <w:left w:val="single" w:sz="4" w:space="0" w:color="auto"/>
              <w:bottom w:val="single" w:sz="4" w:space="0" w:color="auto"/>
              <w:right w:val="single" w:sz="4" w:space="0" w:color="auto"/>
            </w:tcBorders>
          </w:tcPr>
          <w:p w14:paraId="218B204A" w14:textId="77777777" w:rsidR="00856B1D" w:rsidRPr="00DA3C6E" w:rsidRDefault="003D226A"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 xml:space="preserve">NR </w:t>
            </w:r>
          </w:p>
        </w:tc>
        <w:tc>
          <w:tcPr>
            <w:tcW w:w="1701" w:type="dxa"/>
            <w:tcBorders>
              <w:top w:val="single" w:sz="4" w:space="0" w:color="auto"/>
              <w:left w:val="single" w:sz="4" w:space="0" w:color="auto"/>
              <w:bottom w:val="single" w:sz="4" w:space="0" w:color="auto"/>
              <w:right w:val="single" w:sz="4" w:space="0" w:color="auto"/>
            </w:tcBorders>
            <w:hideMark/>
          </w:tcPr>
          <w:p w14:paraId="71627333"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Disability (change in NDS in response to Intravenous Ig treatment)</w:t>
            </w:r>
          </w:p>
          <w:p w14:paraId="68EA4DD5"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Maximal grip strength (improvement in strength)</w:t>
            </w:r>
          </w:p>
        </w:tc>
        <w:tc>
          <w:tcPr>
            <w:tcW w:w="1985" w:type="dxa"/>
            <w:tcBorders>
              <w:top w:val="single" w:sz="4" w:space="0" w:color="auto"/>
              <w:left w:val="single" w:sz="4" w:space="0" w:color="auto"/>
              <w:bottom w:val="single" w:sz="4" w:space="0" w:color="auto"/>
              <w:right w:val="single" w:sz="4" w:space="0" w:color="auto"/>
            </w:tcBorders>
            <w:hideMark/>
          </w:tcPr>
          <w:p w14:paraId="7FB8CA34"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Motor nerve conduction block (change in conduction block)</w:t>
            </w:r>
          </w:p>
        </w:tc>
        <w:tc>
          <w:tcPr>
            <w:tcW w:w="1195" w:type="dxa"/>
            <w:tcBorders>
              <w:top w:val="single" w:sz="4" w:space="0" w:color="auto"/>
              <w:left w:val="single" w:sz="4" w:space="0" w:color="auto"/>
              <w:bottom w:val="single" w:sz="4" w:space="0" w:color="auto"/>
              <w:right w:val="single" w:sz="4" w:space="0" w:color="auto"/>
            </w:tcBorders>
            <w:hideMark/>
          </w:tcPr>
          <w:p w14:paraId="6F32275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28 days (1 month) after  the last treatment</w:t>
            </w:r>
          </w:p>
        </w:tc>
      </w:tr>
      <w:tr w:rsidR="00C67FE5" w:rsidRPr="00DA3C6E" w14:paraId="72192439" w14:textId="77777777" w:rsidTr="00C45858">
        <w:tc>
          <w:tcPr>
            <w:tcW w:w="1067" w:type="dxa"/>
            <w:tcBorders>
              <w:top w:val="single" w:sz="4" w:space="0" w:color="auto"/>
              <w:left w:val="single" w:sz="4" w:space="0" w:color="auto"/>
              <w:bottom w:val="single" w:sz="4" w:space="0" w:color="auto"/>
              <w:right w:val="single" w:sz="4" w:space="0" w:color="auto"/>
            </w:tcBorders>
            <w:hideMark/>
          </w:tcPr>
          <w:p w14:paraId="214492F4" w14:textId="7AA4FC79" w:rsidR="00856B1D" w:rsidRPr="00DA3C6E" w:rsidRDefault="00856B1D" w:rsidP="00C04BCE">
            <w:pPr>
              <w:spacing w:after="0" w:line="240" w:lineRule="auto"/>
              <w:jc w:val="left"/>
              <w:rPr>
                <w:rFonts w:ascii="Arial Narrow" w:hAnsi="Arial Narrow" w:cs="Times New Roman"/>
                <w:sz w:val="20"/>
              </w:rPr>
            </w:pPr>
            <w:r w:rsidRPr="00DA3C6E">
              <w:rPr>
                <w:rFonts w:ascii="Arial Narrow" w:hAnsi="Arial Narrow" w:cs="Times New Roman"/>
                <w:sz w:val="20"/>
              </w:rPr>
              <w:t>Leger et al. 2001</w:t>
            </w:r>
            <w:r w:rsidR="00BE7F1B">
              <w:rPr>
                <w:rFonts w:ascii="Arial Narrow" w:hAnsi="Arial Narrow" w:cs="Times New Roman"/>
                <w:sz w:val="20"/>
              </w:rPr>
              <w:t xml:space="preserve"> </w:t>
            </w:r>
            <w:r w:rsidR="00DB568A" w:rsidRPr="00DA3C6E">
              <w:rPr>
                <w:rFonts w:ascii="Arial Narrow" w:hAnsi="Arial Narrow" w:cs="Times New Roman"/>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cs="Times New Roman"/>
                <w:sz w:val="20"/>
              </w:rPr>
              <w:instrText xml:space="preserve"> ADDIN EN.CITE </w:instrText>
            </w:r>
            <w:r w:rsidR="00DB568A" w:rsidRPr="00DA3C6E">
              <w:rPr>
                <w:rFonts w:ascii="Arial Narrow" w:hAnsi="Arial Narrow" w:cs="Times New Roman"/>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cs="Times New Roman"/>
                <w:sz w:val="20"/>
              </w:rPr>
              <w:instrText xml:space="preserve"> ADDIN EN.CITE.DATA </w:instrText>
            </w:r>
            <w:r w:rsidR="00DB568A" w:rsidRPr="00DA3C6E">
              <w:rPr>
                <w:rFonts w:ascii="Arial Narrow" w:hAnsi="Arial Narrow" w:cs="Times New Roman"/>
                <w:sz w:val="20"/>
              </w:rPr>
            </w:r>
            <w:r w:rsidR="00DB568A" w:rsidRPr="00DA3C6E">
              <w:rPr>
                <w:rFonts w:ascii="Arial Narrow" w:hAnsi="Arial Narrow" w:cs="Times New Roman"/>
                <w:sz w:val="20"/>
              </w:rPr>
              <w:fldChar w:fldCharType="end"/>
            </w:r>
            <w:r w:rsidR="00DB568A" w:rsidRPr="00DA3C6E">
              <w:rPr>
                <w:rFonts w:ascii="Arial Narrow" w:hAnsi="Arial Narrow" w:cs="Times New Roman"/>
                <w:sz w:val="20"/>
              </w:rPr>
            </w:r>
            <w:r w:rsidR="00DB568A" w:rsidRPr="00DA3C6E">
              <w:rPr>
                <w:rFonts w:ascii="Arial Narrow" w:hAnsi="Arial Narrow" w:cs="Times New Roman"/>
                <w:sz w:val="20"/>
              </w:rPr>
              <w:fldChar w:fldCharType="separate"/>
            </w:r>
            <w:r w:rsidR="00DB568A" w:rsidRPr="00DA3C6E">
              <w:rPr>
                <w:rFonts w:ascii="Arial Narrow" w:hAnsi="Arial Narrow" w:cs="Times New Roman"/>
                <w:noProof/>
                <w:sz w:val="20"/>
              </w:rPr>
              <w:t>(</w:t>
            </w:r>
            <w:hyperlink w:anchor="_ENREF_27" w:tooltip="Leger, 2001 #39" w:history="1">
              <w:r w:rsidR="00C04BCE" w:rsidRPr="00DA3C6E">
                <w:rPr>
                  <w:rFonts w:ascii="Arial Narrow" w:hAnsi="Arial Narrow" w:cs="Times New Roman"/>
                  <w:noProof/>
                  <w:sz w:val="20"/>
                </w:rPr>
                <w:t>27</w:t>
              </w:r>
            </w:hyperlink>
            <w:r w:rsidR="00DB568A" w:rsidRPr="00DA3C6E">
              <w:rPr>
                <w:rFonts w:ascii="Arial Narrow" w:hAnsi="Arial Narrow" w:cs="Times New Roman"/>
                <w:noProof/>
                <w:sz w:val="20"/>
              </w:rPr>
              <w:t>)</w:t>
            </w:r>
            <w:r w:rsidR="00DB568A" w:rsidRPr="00DA3C6E">
              <w:rPr>
                <w:rFonts w:ascii="Arial Narrow" w:hAnsi="Arial Narrow" w:cs="Times New Roman"/>
                <w:sz w:val="20"/>
              </w:rPr>
              <w:fldChar w:fldCharType="end"/>
            </w:r>
          </w:p>
        </w:tc>
        <w:tc>
          <w:tcPr>
            <w:tcW w:w="1696" w:type="dxa"/>
            <w:tcBorders>
              <w:top w:val="single" w:sz="4" w:space="0" w:color="auto"/>
              <w:left w:val="single" w:sz="4" w:space="0" w:color="auto"/>
              <w:bottom w:val="single" w:sz="4" w:space="0" w:color="auto"/>
              <w:right w:val="single" w:sz="4" w:space="0" w:color="auto"/>
            </w:tcBorders>
            <w:hideMark/>
          </w:tcPr>
          <w:p w14:paraId="5EC6712E"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Intravenous Ig therapy in MMN. A double blind, placebo-controlled study</w:t>
            </w:r>
          </w:p>
        </w:tc>
        <w:tc>
          <w:tcPr>
            <w:tcW w:w="1180" w:type="dxa"/>
            <w:tcBorders>
              <w:top w:val="single" w:sz="4" w:space="0" w:color="auto"/>
              <w:left w:val="single" w:sz="4" w:space="0" w:color="auto"/>
              <w:bottom w:val="single" w:sz="4" w:space="0" w:color="auto"/>
              <w:right w:val="single" w:sz="4" w:space="0" w:color="auto"/>
            </w:tcBorders>
            <w:hideMark/>
          </w:tcPr>
          <w:p w14:paraId="7DF0EA0B"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Double-blind, placebo controlled cross over trial</w:t>
            </w:r>
          </w:p>
        </w:tc>
        <w:tc>
          <w:tcPr>
            <w:tcW w:w="1150" w:type="dxa"/>
            <w:tcBorders>
              <w:top w:val="single" w:sz="4" w:space="0" w:color="auto"/>
              <w:left w:val="single" w:sz="4" w:space="0" w:color="auto"/>
              <w:bottom w:val="single" w:sz="4" w:space="0" w:color="auto"/>
              <w:right w:val="single" w:sz="4" w:space="0" w:color="auto"/>
            </w:tcBorders>
            <w:hideMark/>
          </w:tcPr>
          <w:p w14:paraId="1E4F9D43"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Naïve and previously treated patients.</w:t>
            </w:r>
          </w:p>
        </w:tc>
        <w:tc>
          <w:tcPr>
            <w:tcW w:w="851" w:type="dxa"/>
            <w:tcBorders>
              <w:top w:val="single" w:sz="4" w:space="0" w:color="auto"/>
              <w:left w:val="single" w:sz="4" w:space="0" w:color="auto"/>
              <w:bottom w:val="single" w:sz="4" w:space="0" w:color="auto"/>
              <w:right w:val="single" w:sz="4" w:space="0" w:color="auto"/>
            </w:tcBorders>
            <w:hideMark/>
          </w:tcPr>
          <w:p w14:paraId="6F50D127"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19</w:t>
            </w:r>
          </w:p>
        </w:tc>
        <w:tc>
          <w:tcPr>
            <w:tcW w:w="991" w:type="dxa"/>
            <w:tcBorders>
              <w:top w:val="single" w:sz="4" w:space="0" w:color="auto"/>
              <w:left w:val="single" w:sz="4" w:space="0" w:color="auto"/>
              <w:bottom w:val="single" w:sz="4" w:space="0" w:color="auto"/>
              <w:right w:val="single" w:sz="4" w:space="0" w:color="auto"/>
            </w:tcBorders>
            <w:hideMark/>
          </w:tcPr>
          <w:p w14:paraId="0A74BFC1"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0.5 g/kg/d</w:t>
            </w:r>
          </w:p>
        </w:tc>
        <w:tc>
          <w:tcPr>
            <w:tcW w:w="1146" w:type="dxa"/>
            <w:tcBorders>
              <w:top w:val="single" w:sz="4" w:space="0" w:color="auto"/>
              <w:left w:val="single" w:sz="4" w:space="0" w:color="auto"/>
              <w:bottom w:val="single" w:sz="4" w:space="0" w:color="auto"/>
              <w:right w:val="single" w:sz="4" w:space="0" w:color="auto"/>
            </w:tcBorders>
            <w:hideMark/>
          </w:tcPr>
          <w:p w14:paraId="3BED08E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1% human albumin, lyophilized once a month for 3 months</w:t>
            </w:r>
          </w:p>
        </w:tc>
        <w:tc>
          <w:tcPr>
            <w:tcW w:w="986" w:type="dxa"/>
            <w:tcBorders>
              <w:top w:val="single" w:sz="4" w:space="0" w:color="auto"/>
              <w:left w:val="single" w:sz="4" w:space="0" w:color="auto"/>
              <w:bottom w:val="single" w:sz="4" w:space="0" w:color="auto"/>
              <w:right w:val="single" w:sz="4" w:space="0" w:color="auto"/>
            </w:tcBorders>
            <w:hideMark/>
          </w:tcPr>
          <w:p w14:paraId="0F7AA1AB"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7 months</w:t>
            </w:r>
          </w:p>
        </w:tc>
        <w:tc>
          <w:tcPr>
            <w:tcW w:w="1701" w:type="dxa"/>
            <w:tcBorders>
              <w:top w:val="single" w:sz="4" w:space="0" w:color="auto"/>
              <w:left w:val="single" w:sz="4" w:space="0" w:color="auto"/>
              <w:bottom w:val="single" w:sz="4" w:space="0" w:color="auto"/>
              <w:right w:val="single" w:sz="4" w:space="0" w:color="auto"/>
            </w:tcBorders>
            <w:hideMark/>
          </w:tcPr>
          <w:p w14:paraId="6E98CF3F"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Muscle strength (responder or non-responder to Intravenous Ig treatment)</w:t>
            </w:r>
          </w:p>
        </w:tc>
        <w:tc>
          <w:tcPr>
            <w:tcW w:w="1985" w:type="dxa"/>
            <w:tcBorders>
              <w:top w:val="single" w:sz="4" w:space="0" w:color="auto"/>
              <w:left w:val="single" w:sz="4" w:space="0" w:color="auto"/>
              <w:bottom w:val="single" w:sz="4" w:space="0" w:color="auto"/>
              <w:right w:val="single" w:sz="4" w:space="0" w:color="auto"/>
            </w:tcBorders>
            <w:hideMark/>
          </w:tcPr>
          <w:p w14:paraId="77539194"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Self-evaluation scale to assess five motor activities of daily living</w:t>
            </w:r>
          </w:p>
          <w:p w14:paraId="5C04D7F8"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Change in conduction block</w:t>
            </w:r>
          </w:p>
          <w:p w14:paraId="40DE3304"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lastRenderedPageBreak/>
              <w:t>Anti-GM1 titres</w:t>
            </w:r>
          </w:p>
        </w:tc>
        <w:tc>
          <w:tcPr>
            <w:tcW w:w="1195" w:type="dxa"/>
            <w:tcBorders>
              <w:top w:val="single" w:sz="4" w:space="0" w:color="auto"/>
              <w:left w:val="single" w:sz="4" w:space="0" w:color="auto"/>
              <w:bottom w:val="single" w:sz="4" w:space="0" w:color="auto"/>
              <w:right w:val="single" w:sz="4" w:space="0" w:color="auto"/>
            </w:tcBorders>
            <w:hideMark/>
          </w:tcPr>
          <w:p w14:paraId="2757E5D7"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lastRenderedPageBreak/>
              <w:t>28 days (1 month) after  the last treatment</w:t>
            </w:r>
          </w:p>
        </w:tc>
      </w:tr>
      <w:tr w:rsidR="00C67FE5" w:rsidRPr="00DA3C6E" w14:paraId="10A5133D" w14:textId="77777777" w:rsidTr="00C45858">
        <w:tc>
          <w:tcPr>
            <w:tcW w:w="1067" w:type="dxa"/>
            <w:tcBorders>
              <w:top w:val="single" w:sz="4" w:space="0" w:color="auto"/>
              <w:left w:val="single" w:sz="4" w:space="0" w:color="auto"/>
              <w:bottom w:val="single" w:sz="4" w:space="0" w:color="auto"/>
              <w:right w:val="single" w:sz="4" w:space="0" w:color="auto"/>
            </w:tcBorders>
            <w:hideMark/>
          </w:tcPr>
          <w:p w14:paraId="498F849C" w14:textId="6E034DDA" w:rsidR="00856B1D" w:rsidRPr="00DA3C6E" w:rsidRDefault="00856B1D" w:rsidP="00C04BCE">
            <w:pPr>
              <w:spacing w:after="0" w:line="240" w:lineRule="auto"/>
              <w:jc w:val="left"/>
              <w:rPr>
                <w:rFonts w:ascii="Arial Narrow" w:hAnsi="Arial Narrow" w:cs="Times New Roman"/>
                <w:sz w:val="20"/>
              </w:rPr>
            </w:pPr>
            <w:r w:rsidRPr="00DA3C6E">
              <w:rPr>
                <w:rFonts w:ascii="Arial Narrow" w:hAnsi="Arial Narrow" w:cs="Times New Roman"/>
                <w:sz w:val="20"/>
              </w:rPr>
              <w:t>Hahn et al. 2013</w:t>
            </w:r>
            <w:r w:rsidR="00BE7F1B">
              <w:rPr>
                <w:rFonts w:ascii="Arial Narrow" w:hAnsi="Arial Narrow" w:cs="Times New Roman"/>
                <w:sz w:val="20"/>
              </w:rPr>
              <w:t xml:space="preserve"> </w:t>
            </w:r>
            <w:r w:rsidR="00DB568A" w:rsidRPr="00DA3C6E">
              <w:rPr>
                <w:rFonts w:ascii="Arial Narrow" w:hAnsi="Arial Narrow" w:cs="Times New Roman"/>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cs="Times New Roman"/>
                <w:sz w:val="20"/>
              </w:rPr>
              <w:instrText xml:space="preserve"> ADDIN EN.CITE </w:instrText>
            </w:r>
            <w:r w:rsidR="00DB568A" w:rsidRPr="00DA3C6E">
              <w:rPr>
                <w:rFonts w:ascii="Arial Narrow" w:hAnsi="Arial Narrow" w:cs="Times New Roman"/>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cs="Times New Roman"/>
                <w:sz w:val="20"/>
              </w:rPr>
              <w:instrText xml:space="preserve"> ADDIN EN.CITE.DATA </w:instrText>
            </w:r>
            <w:r w:rsidR="00DB568A" w:rsidRPr="00DA3C6E">
              <w:rPr>
                <w:rFonts w:ascii="Arial Narrow" w:hAnsi="Arial Narrow" w:cs="Times New Roman"/>
                <w:sz w:val="20"/>
              </w:rPr>
            </w:r>
            <w:r w:rsidR="00DB568A" w:rsidRPr="00DA3C6E">
              <w:rPr>
                <w:rFonts w:ascii="Arial Narrow" w:hAnsi="Arial Narrow" w:cs="Times New Roman"/>
                <w:sz w:val="20"/>
              </w:rPr>
              <w:fldChar w:fldCharType="end"/>
            </w:r>
            <w:r w:rsidR="00DB568A" w:rsidRPr="00DA3C6E">
              <w:rPr>
                <w:rFonts w:ascii="Arial Narrow" w:hAnsi="Arial Narrow" w:cs="Times New Roman"/>
                <w:sz w:val="20"/>
              </w:rPr>
            </w:r>
            <w:r w:rsidR="00DB568A" w:rsidRPr="00DA3C6E">
              <w:rPr>
                <w:rFonts w:ascii="Arial Narrow" w:hAnsi="Arial Narrow" w:cs="Times New Roman"/>
                <w:sz w:val="20"/>
              </w:rPr>
              <w:fldChar w:fldCharType="separate"/>
            </w:r>
            <w:r w:rsidR="00DB568A" w:rsidRPr="00DA3C6E">
              <w:rPr>
                <w:rFonts w:ascii="Arial Narrow" w:hAnsi="Arial Narrow" w:cs="Times New Roman"/>
                <w:noProof/>
                <w:sz w:val="20"/>
              </w:rPr>
              <w:t>(</w:t>
            </w:r>
            <w:hyperlink w:anchor="_ENREF_28" w:tooltip="Hahn, 2013 #26" w:history="1">
              <w:r w:rsidR="00C04BCE" w:rsidRPr="00DA3C6E">
                <w:rPr>
                  <w:rFonts w:ascii="Arial Narrow" w:hAnsi="Arial Narrow" w:cs="Times New Roman"/>
                  <w:noProof/>
                  <w:sz w:val="20"/>
                </w:rPr>
                <w:t>28</w:t>
              </w:r>
            </w:hyperlink>
            <w:r w:rsidR="00DB568A" w:rsidRPr="00DA3C6E">
              <w:rPr>
                <w:rFonts w:ascii="Arial Narrow" w:hAnsi="Arial Narrow" w:cs="Times New Roman"/>
                <w:noProof/>
                <w:sz w:val="20"/>
              </w:rPr>
              <w:t>)</w:t>
            </w:r>
            <w:r w:rsidR="00DB568A" w:rsidRPr="00DA3C6E">
              <w:rPr>
                <w:rFonts w:ascii="Arial Narrow" w:hAnsi="Arial Narrow" w:cs="Times New Roman"/>
                <w:sz w:val="20"/>
              </w:rPr>
              <w:fldChar w:fldCharType="end"/>
            </w:r>
          </w:p>
        </w:tc>
        <w:tc>
          <w:tcPr>
            <w:tcW w:w="1696" w:type="dxa"/>
            <w:tcBorders>
              <w:top w:val="single" w:sz="4" w:space="0" w:color="auto"/>
              <w:left w:val="single" w:sz="4" w:space="0" w:color="auto"/>
              <w:bottom w:val="single" w:sz="4" w:space="0" w:color="auto"/>
              <w:right w:val="single" w:sz="4" w:space="0" w:color="auto"/>
            </w:tcBorders>
            <w:hideMark/>
          </w:tcPr>
          <w:p w14:paraId="21DF2FB6"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A controlled trial of Intravenous Ig n MMN</w:t>
            </w:r>
          </w:p>
        </w:tc>
        <w:tc>
          <w:tcPr>
            <w:tcW w:w="1180" w:type="dxa"/>
            <w:tcBorders>
              <w:top w:val="single" w:sz="4" w:space="0" w:color="auto"/>
              <w:left w:val="single" w:sz="4" w:space="0" w:color="auto"/>
              <w:bottom w:val="single" w:sz="4" w:space="0" w:color="auto"/>
              <w:right w:val="single" w:sz="4" w:space="0" w:color="auto"/>
            </w:tcBorders>
            <w:hideMark/>
          </w:tcPr>
          <w:p w14:paraId="0A36273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Phase III randomised withdrawal, double-blind, placebo-controlled, cross-over study.</w:t>
            </w:r>
          </w:p>
        </w:tc>
        <w:tc>
          <w:tcPr>
            <w:tcW w:w="1150" w:type="dxa"/>
            <w:tcBorders>
              <w:top w:val="single" w:sz="4" w:space="0" w:color="auto"/>
              <w:left w:val="single" w:sz="4" w:space="0" w:color="auto"/>
              <w:bottom w:val="single" w:sz="4" w:space="0" w:color="auto"/>
              <w:right w:val="single" w:sz="4" w:space="0" w:color="auto"/>
            </w:tcBorders>
            <w:hideMark/>
          </w:tcPr>
          <w:p w14:paraId="5A8A66FB"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Probable or definite MMN, all previously treated.</w:t>
            </w:r>
          </w:p>
        </w:tc>
        <w:tc>
          <w:tcPr>
            <w:tcW w:w="851" w:type="dxa"/>
            <w:tcBorders>
              <w:top w:val="single" w:sz="4" w:space="0" w:color="auto"/>
              <w:left w:val="single" w:sz="4" w:space="0" w:color="auto"/>
              <w:bottom w:val="single" w:sz="4" w:space="0" w:color="auto"/>
              <w:right w:val="single" w:sz="4" w:space="0" w:color="auto"/>
            </w:tcBorders>
            <w:hideMark/>
          </w:tcPr>
          <w:p w14:paraId="0A9D7F68"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44</w:t>
            </w:r>
          </w:p>
        </w:tc>
        <w:tc>
          <w:tcPr>
            <w:tcW w:w="991" w:type="dxa"/>
            <w:tcBorders>
              <w:top w:val="single" w:sz="4" w:space="0" w:color="auto"/>
              <w:left w:val="single" w:sz="4" w:space="0" w:color="auto"/>
              <w:bottom w:val="single" w:sz="4" w:space="0" w:color="auto"/>
              <w:right w:val="single" w:sz="4" w:space="0" w:color="auto"/>
            </w:tcBorders>
            <w:hideMark/>
          </w:tcPr>
          <w:p w14:paraId="572D728D"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0.4 – 2g/kg body weight every 2-4 weeks</w:t>
            </w:r>
          </w:p>
        </w:tc>
        <w:tc>
          <w:tcPr>
            <w:tcW w:w="1146" w:type="dxa"/>
            <w:tcBorders>
              <w:top w:val="single" w:sz="4" w:space="0" w:color="auto"/>
              <w:left w:val="single" w:sz="4" w:space="0" w:color="auto"/>
              <w:bottom w:val="single" w:sz="4" w:space="0" w:color="auto"/>
              <w:right w:val="single" w:sz="4" w:space="0" w:color="auto"/>
            </w:tcBorders>
            <w:hideMark/>
          </w:tcPr>
          <w:p w14:paraId="059066CA"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0.25% human albumin with normal saline</w:t>
            </w:r>
            <w:r w:rsidRPr="00DA3C6E">
              <w:t xml:space="preserve"> </w:t>
            </w:r>
            <w:r w:rsidRPr="00DA3C6E">
              <w:rPr>
                <w:rFonts w:ascii="Arial Narrow" w:hAnsi="Arial Narrow" w:cs="Times New Roman"/>
                <w:sz w:val="20"/>
                <w:szCs w:val="20"/>
              </w:rPr>
              <w:t>from BUMINATE 25%, or human albumin 200g/l Baxter solution for infusion. .</w:t>
            </w:r>
          </w:p>
        </w:tc>
        <w:tc>
          <w:tcPr>
            <w:tcW w:w="986" w:type="dxa"/>
            <w:tcBorders>
              <w:top w:val="single" w:sz="4" w:space="0" w:color="auto"/>
              <w:left w:val="single" w:sz="4" w:space="0" w:color="auto"/>
              <w:bottom w:val="single" w:sz="4" w:space="0" w:color="auto"/>
              <w:right w:val="single" w:sz="4" w:space="0" w:color="auto"/>
            </w:tcBorders>
            <w:hideMark/>
          </w:tcPr>
          <w:p w14:paraId="0FC40583"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335 days (11 months)</w:t>
            </w:r>
          </w:p>
        </w:tc>
        <w:tc>
          <w:tcPr>
            <w:tcW w:w="1701" w:type="dxa"/>
            <w:tcBorders>
              <w:top w:val="single" w:sz="4" w:space="0" w:color="auto"/>
              <w:left w:val="single" w:sz="4" w:space="0" w:color="auto"/>
              <w:bottom w:val="single" w:sz="4" w:space="0" w:color="auto"/>
              <w:right w:val="single" w:sz="4" w:space="0" w:color="auto"/>
            </w:tcBorders>
            <w:hideMark/>
          </w:tcPr>
          <w:p w14:paraId="6E1439EB"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Disability in the upper limb portion (deterioration according to the upper limbs section of GNDS)</w:t>
            </w:r>
          </w:p>
          <w:p w14:paraId="18FEE994"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Maximal grip strength in the more affected hand (increased maximal grip strength)</w:t>
            </w:r>
          </w:p>
        </w:tc>
        <w:tc>
          <w:tcPr>
            <w:tcW w:w="1985" w:type="dxa"/>
            <w:tcBorders>
              <w:top w:val="single" w:sz="4" w:space="0" w:color="auto"/>
              <w:left w:val="single" w:sz="4" w:space="0" w:color="auto"/>
              <w:bottom w:val="single" w:sz="4" w:space="0" w:color="auto"/>
              <w:right w:val="single" w:sz="4" w:space="0" w:color="auto"/>
            </w:tcBorders>
            <w:hideMark/>
          </w:tcPr>
          <w:p w14:paraId="06539A53"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Decline of ≥30% in grip strength in the more and less affected arm</w:t>
            </w:r>
          </w:p>
          <w:p w14:paraId="50542789"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Maximal grip strength in the less affected arm</w:t>
            </w:r>
          </w:p>
          <w:p w14:paraId="477D9440"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Overall disability sum score (increased ODSS of at least one grade represent  a clinically relevant worsening of disability)</w:t>
            </w:r>
          </w:p>
          <w:p w14:paraId="37AD4127"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Time required for 9-hole board test with the dominant and non-dominant hand</w:t>
            </w:r>
          </w:p>
          <w:p w14:paraId="0CA95036" w14:textId="77777777" w:rsidR="00856B1D" w:rsidRPr="00DA3C6E" w:rsidRDefault="00856B1D" w:rsidP="00C45858">
            <w:pPr>
              <w:tabs>
                <w:tab w:val="left" w:pos="2229"/>
              </w:tabs>
              <w:spacing w:after="0" w:line="240" w:lineRule="auto"/>
              <w:ind w:left="120"/>
              <w:contextualSpacing/>
              <w:jc w:val="left"/>
              <w:rPr>
                <w:rFonts w:ascii="Arial Narrow" w:hAnsi="Arial Narrow" w:cs="Times New Roman"/>
                <w:sz w:val="20"/>
                <w:szCs w:val="20"/>
              </w:rPr>
            </w:pPr>
            <w:r w:rsidRPr="00DA3C6E">
              <w:rPr>
                <w:rFonts w:ascii="Arial Narrow" w:hAnsi="Arial Narrow" w:cs="Times New Roman"/>
                <w:sz w:val="20"/>
                <w:szCs w:val="20"/>
              </w:rPr>
              <w:t>Patient global impression of change score</w:t>
            </w:r>
          </w:p>
          <w:p w14:paraId="5676CF54"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Visual analogue scale of disability</w:t>
            </w:r>
          </w:p>
          <w:p w14:paraId="26FCADB2" w14:textId="77777777" w:rsidR="00856B1D" w:rsidRPr="00DA3C6E" w:rsidRDefault="00856B1D" w:rsidP="00C45858">
            <w:pPr>
              <w:tabs>
                <w:tab w:val="left" w:pos="2229"/>
              </w:tabs>
              <w:spacing w:after="0" w:line="240" w:lineRule="auto"/>
              <w:ind w:left="177" w:hanging="142"/>
              <w:contextualSpacing/>
              <w:jc w:val="left"/>
              <w:rPr>
                <w:rFonts w:ascii="Arial Narrow" w:hAnsi="Arial Narrow" w:cs="Times New Roman"/>
                <w:sz w:val="20"/>
                <w:szCs w:val="20"/>
              </w:rPr>
            </w:pPr>
            <w:r w:rsidRPr="00DA3C6E">
              <w:rPr>
                <w:rFonts w:ascii="Arial Narrow" w:hAnsi="Arial Narrow" w:cs="Times New Roman"/>
                <w:sz w:val="20"/>
                <w:szCs w:val="20"/>
              </w:rPr>
              <w:t>Safety and tolerability</w:t>
            </w:r>
          </w:p>
        </w:tc>
        <w:tc>
          <w:tcPr>
            <w:tcW w:w="1195" w:type="dxa"/>
            <w:tcBorders>
              <w:top w:val="single" w:sz="4" w:space="0" w:color="auto"/>
              <w:left w:val="single" w:sz="4" w:space="0" w:color="auto"/>
              <w:bottom w:val="single" w:sz="4" w:space="0" w:color="auto"/>
              <w:right w:val="single" w:sz="4" w:space="0" w:color="auto"/>
            </w:tcBorders>
            <w:hideMark/>
          </w:tcPr>
          <w:p w14:paraId="46A059E2" w14:textId="77777777" w:rsidR="00856B1D" w:rsidRPr="00DA3C6E" w:rsidRDefault="00856B1D" w:rsidP="00C45858">
            <w:pPr>
              <w:tabs>
                <w:tab w:val="left" w:pos="2229"/>
              </w:tabs>
              <w:spacing w:after="0" w:line="240" w:lineRule="auto"/>
              <w:jc w:val="left"/>
              <w:rPr>
                <w:rFonts w:ascii="Arial Narrow" w:hAnsi="Arial Narrow" w:cs="Times New Roman"/>
                <w:sz w:val="20"/>
                <w:szCs w:val="20"/>
              </w:rPr>
            </w:pPr>
            <w:r w:rsidRPr="00DA3C6E">
              <w:rPr>
                <w:rFonts w:ascii="Arial Narrow" w:hAnsi="Arial Narrow" w:cs="Times New Roman"/>
                <w:sz w:val="20"/>
                <w:szCs w:val="20"/>
              </w:rPr>
              <w:t xml:space="preserve">Day 8 (±1 day) for a 2-week treatment interval and day 15 (±2 days) for a 3 or 4-week treatment interval </w:t>
            </w:r>
          </w:p>
        </w:tc>
      </w:tr>
    </w:tbl>
    <w:p w14:paraId="27DFC05C" w14:textId="77777777" w:rsidR="00856B1D" w:rsidRPr="00DA3C6E" w:rsidRDefault="00856B1D" w:rsidP="00856B1D">
      <w:pPr>
        <w:spacing w:line="240" w:lineRule="auto"/>
        <w:rPr>
          <w:rFonts w:ascii="Arial Narrow" w:hAnsi="Arial Narrow"/>
          <w:sz w:val="18"/>
          <w:szCs w:val="18"/>
        </w:rPr>
        <w:sectPr w:rsidR="00856B1D" w:rsidRPr="00DA3C6E" w:rsidSect="00856B1D">
          <w:pgSz w:w="16838" w:h="11906" w:orient="landscape"/>
          <w:pgMar w:top="1440" w:right="1440" w:bottom="1440" w:left="1440" w:header="720" w:footer="720" w:gutter="0"/>
          <w:paperSrc w:first="7" w:other="7"/>
          <w:cols w:space="720"/>
          <w:docGrid w:linePitch="299"/>
        </w:sectPr>
      </w:pPr>
      <w:r w:rsidRPr="00DA3C6E">
        <w:rPr>
          <w:rFonts w:ascii="Arial Narrow" w:hAnsi="Arial Narrow"/>
          <w:sz w:val="18"/>
          <w:szCs w:val="18"/>
        </w:rPr>
        <w:t>Abbreviations: CB = conduction block; d = day; g = gram; GNDS = Guy's Neurological Disability Score; Ig = immunoglobulin; Kg = kilogram; LMN</w:t>
      </w:r>
      <w:r w:rsidR="003A2062" w:rsidRPr="00DA3C6E">
        <w:rPr>
          <w:rFonts w:ascii="Arial Narrow" w:hAnsi="Arial Narrow"/>
          <w:sz w:val="18"/>
          <w:szCs w:val="18"/>
        </w:rPr>
        <w:t>S</w:t>
      </w:r>
      <w:r w:rsidRPr="00DA3C6E">
        <w:rPr>
          <w:rFonts w:ascii="Arial Narrow" w:hAnsi="Arial Narrow"/>
          <w:sz w:val="18"/>
          <w:szCs w:val="18"/>
        </w:rPr>
        <w:t xml:space="preserve"> = lower motor neuron syndrome; MMN = multifocal motor neuropathy; MRC = medical research council; NDS = neurologic disability scale; RCT = randomised controlled trial. </w:t>
      </w:r>
    </w:p>
    <w:p w14:paraId="4DE361E9" w14:textId="7448C321" w:rsidR="002D6035" w:rsidRPr="00DA3C6E" w:rsidRDefault="002D6035" w:rsidP="00D42E38">
      <w:r w:rsidRPr="00DA3C6E">
        <w:lastRenderedPageBreak/>
        <w:t xml:space="preserve">MMN is a rare disease and consequently the </w:t>
      </w:r>
      <w:r w:rsidR="0002559E" w:rsidRPr="00DA3C6E">
        <w:t>RCTs</w:t>
      </w:r>
      <w:r w:rsidRPr="00DA3C6E">
        <w:t xml:space="preserve"> included in the final review </w:t>
      </w:r>
      <w:r w:rsidR="00DB568A" w:rsidRPr="00DA3C6E">
        <w:fldChar w:fldCharType="begin">
          <w:fldData xml:space="preserve">PEVuZE5vdGU+PENpdGU+PEF1dGhvcj5BenVsYXk8L0F1dGhvcj48WWVhcj4xOTk0PC9ZZWFyPjxS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ZWNOdW0+NDwvUmVjTnVtPjxEaXNwbGF5VGV4dD4oMjQtMjgpPC9EaXNwbGF5VGV4dD48cmVjb3Jk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24-28</w:t>
        </w:r>
      </w:hyperlink>
      <w:r w:rsidR="00DB568A" w:rsidRPr="00DA3C6E">
        <w:rPr>
          <w:noProof/>
        </w:rPr>
        <w:t>)</w:t>
      </w:r>
      <w:r w:rsidR="00DB568A" w:rsidRPr="00DA3C6E">
        <w:fldChar w:fldCharType="end"/>
      </w:r>
      <w:r w:rsidRPr="00DA3C6E">
        <w:t xml:space="preserve"> tend to recruit small number</w:t>
      </w:r>
      <w:r w:rsidR="00186264" w:rsidRPr="00DA3C6E">
        <w:t>s</w:t>
      </w:r>
      <w:r w:rsidRPr="00DA3C6E">
        <w:t xml:space="preserve"> of patients which may lead to potential uncertainties when estimating the treatment effect. In addition, the study follow-up periods are limited which may not reflect the long-term outcomes. The literature search showed that there are a number of single arm studies, some retrospective and some prospective, some of which provide evidence on the treatment effect in both induction and maintenance phase</w:t>
      </w:r>
      <w:r w:rsidR="00186264" w:rsidRPr="00DA3C6E">
        <w:t>s</w:t>
      </w:r>
      <w:r w:rsidRPr="00DA3C6E">
        <w:t xml:space="preserve"> of </w:t>
      </w:r>
      <w:r w:rsidR="00923FF4" w:rsidRPr="00DA3C6E">
        <w:t>treatment</w:t>
      </w:r>
      <w:r w:rsidRPr="00DA3C6E">
        <w:t xml:space="preserve">. Although prone to bias, these single arm studies are an important form of research evidence that may be used to obtain potentially relevant data in the context of </w:t>
      </w:r>
      <w:r w:rsidR="00CD7B84" w:rsidRPr="00DA3C6E">
        <w:t>HTA</w:t>
      </w:r>
      <w:r w:rsidRPr="00DA3C6E">
        <w:t xml:space="preserve">, in particular in a disease like MMN. For this reason, this section presents separately both </w:t>
      </w:r>
      <w:r w:rsidR="00CD7B84" w:rsidRPr="00DA3C6E">
        <w:t xml:space="preserve">RCTs </w:t>
      </w:r>
      <w:r w:rsidRPr="00DA3C6E">
        <w:t xml:space="preserve">and single arm open label studies.    </w:t>
      </w:r>
    </w:p>
    <w:p w14:paraId="27301557" w14:textId="1C6736DC" w:rsidR="002D6035" w:rsidRPr="00DA3C6E" w:rsidRDefault="002D6035" w:rsidP="00D42E38">
      <w:pPr>
        <w:rPr>
          <w:color w:val="000000"/>
        </w:rPr>
      </w:pPr>
      <w:r w:rsidRPr="00DA3C6E">
        <w:t xml:space="preserve">A profile of each included study is </w:t>
      </w:r>
      <w:r w:rsidR="00186264" w:rsidRPr="00DA3C6E">
        <w:t xml:space="preserve">provided </w:t>
      </w:r>
      <w:r w:rsidRPr="00DA3C6E">
        <w:t xml:space="preserve">in </w:t>
      </w:r>
      <w:r w:rsidR="00A710CA" w:rsidRPr="00DA3C6E">
        <w:fldChar w:fldCharType="begin"/>
      </w:r>
      <w:r w:rsidR="00A710CA" w:rsidRPr="00DA3C6E">
        <w:instrText xml:space="preserve"> REF _Ref31197165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50</w:t>
      </w:r>
      <w:r w:rsidR="00A710CA" w:rsidRPr="00DA3C6E">
        <w:fldChar w:fldCharType="end"/>
      </w:r>
      <w:r w:rsidRPr="00DA3C6E">
        <w:t xml:space="preserve"> and </w:t>
      </w:r>
      <w:r w:rsidR="00A710CA" w:rsidRPr="00DA3C6E">
        <w:fldChar w:fldCharType="begin"/>
      </w:r>
      <w:r w:rsidR="00A710CA" w:rsidRPr="00DA3C6E">
        <w:instrText xml:space="preserve"> REF _Ref31197188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51</w:t>
      </w:r>
      <w:r w:rsidR="00A710CA" w:rsidRPr="00DA3C6E">
        <w:fldChar w:fldCharType="end"/>
      </w:r>
      <w:r w:rsidRPr="00DA3C6E">
        <w:t xml:space="preserve">, with </w:t>
      </w:r>
      <w:r w:rsidRPr="00DA3C6E">
        <w:rPr>
          <w:color w:val="000000"/>
        </w:rPr>
        <w:t xml:space="preserve">study characteristics summarised in a shorter format in Section B.4. </w:t>
      </w:r>
    </w:p>
    <w:p w14:paraId="7AAF8172" w14:textId="77777777" w:rsidR="002D6035" w:rsidRPr="00DA3C6E" w:rsidRDefault="002D6035" w:rsidP="000D328F">
      <w:pPr>
        <w:pStyle w:val="Heading3"/>
      </w:pPr>
      <w:bookmarkStart w:id="133" w:name="_Toc395200773"/>
      <w:bookmarkStart w:id="134" w:name="_Toc25216043"/>
      <w:bookmarkStart w:id="135" w:name="_Toc37845732"/>
      <w:r w:rsidRPr="00DA3C6E">
        <w:t>Appraisal of the evidence</w:t>
      </w:r>
      <w:bookmarkEnd w:id="133"/>
      <w:bookmarkEnd w:id="134"/>
      <w:bookmarkEnd w:id="135"/>
    </w:p>
    <w:p w14:paraId="3A05E042" w14:textId="77777777" w:rsidR="002D6035" w:rsidRPr="00DA3C6E" w:rsidRDefault="002D6035" w:rsidP="000D328F">
      <w:r w:rsidRPr="00DA3C6E">
        <w:t>Appraisal of the evidence was conducted in 4 stages:</w:t>
      </w:r>
    </w:p>
    <w:p w14:paraId="0E7928E9" w14:textId="77777777" w:rsidR="002D6035" w:rsidRPr="00DA3C6E" w:rsidRDefault="002D6035" w:rsidP="000D328F">
      <w:r w:rsidRPr="00DA3C6E">
        <w:t>Stage 1: Appraisal of the risk of bias within individual studies included in the review.</w:t>
      </w:r>
    </w:p>
    <w:p w14:paraId="59231975" w14:textId="1EA31A35" w:rsidR="002D6035" w:rsidRPr="00DA3C6E" w:rsidRDefault="002D6035" w:rsidP="00D90A1E">
      <w:r w:rsidRPr="00DA3C6E">
        <w:t>Stage 2: Rating the overall quality of the evidence per outcome, across studies, based on the study limitations (risk of bias), imprecision, inconsistency of results, indirectness of evidence, and the likelihood of publication bias. This was done to provide an indication of the confidence in the estimate of effect in the context of Australian clinical practice (</w:t>
      </w:r>
      <w:r w:rsidR="00A710CA" w:rsidRPr="00DA3C6E">
        <w:fldChar w:fldCharType="begin"/>
      </w:r>
      <w:r w:rsidR="00A710CA" w:rsidRPr="00DA3C6E">
        <w:instrText xml:space="preserve"> REF _Ref31197214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53</w:t>
      </w:r>
      <w:r w:rsidR="00A710CA" w:rsidRPr="00DA3C6E">
        <w:fldChar w:fldCharType="end"/>
      </w:r>
      <w:r w:rsidRPr="00DA3C6E">
        <w:t>).</w:t>
      </w:r>
    </w:p>
    <w:p w14:paraId="32947ACA" w14:textId="77777777" w:rsidR="002D6035" w:rsidRPr="00DA3C6E" w:rsidRDefault="002D6035" w:rsidP="0073359F">
      <w:pPr>
        <w:pStyle w:val="ListParagraph"/>
        <w:numPr>
          <w:ilvl w:val="0"/>
          <w:numId w:val="32"/>
        </w:numPr>
      </w:pPr>
      <w:r w:rsidRPr="00DA3C6E">
        <w:t xml:space="preserve">For RCTs, the Risk of Bias 2 (RoB 2) Cochrane tool was used to assess the quality and reliability of the evidence. </w:t>
      </w:r>
    </w:p>
    <w:p w14:paraId="053776B2" w14:textId="77777777" w:rsidR="002D6035" w:rsidRPr="00DA3C6E" w:rsidRDefault="002D6035" w:rsidP="0073359F">
      <w:pPr>
        <w:pStyle w:val="ListParagraph"/>
        <w:numPr>
          <w:ilvl w:val="0"/>
          <w:numId w:val="32"/>
        </w:numPr>
      </w:pPr>
      <w:r w:rsidRPr="00DA3C6E">
        <w:t xml:space="preserve">For single arm studies, some of which were case </w:t>
      </w:r>
      <w:r w:rsidR="00923FF4" w:rsidRPr="00DA3C6E">
        <w:t>reports</w:t>
      </w:r>
      <w:r w:rsidRPr="00DA3C6E">
        <w:t xml:space="preserve">, the Institute of Health Economics (IHE) check list was implemented.  This checklist was </w:t>
      </w:r>
      <w:r w:rsidR="00923FF4" w:rsidRPr="00DA3C6E">
        <w:t xml:space="preserve">considered adequate as it evaluates </w:t>
      </w:r>
      <w:r w:rsidRPr="00DA3C6E">
        <w:t xml:space="preserve">the quality of both </w:t>
      </w:r>
      <w:r w:rsidR="00923FF4" w:rsidRPr="00DA3C6E">
        <w:t xml:space="preserve">non randomised </w:t>
      </w:r>
      <w:r w:rsidRPr="00DA3C6E">
        <w:t xml:space="preserve">single arm studies </w:t>
      </w:r>
      <w:r w:rsidR="00923FF4" w:rsidRPr="00DA3C6E">
        <w:t>as well as case reports</w:t>
      </w:r>
      <w:r w:rsidRPr="00DA3C6E">
        <w:t>.</w:t>
      </w:r>
    </w:p>
    <w:p w14:paraId="3BD13FF0" w14:textId="77777777" w:rsidR="002D6035" w:rsidRPr="00DA3C6E" w:rsidRDefault="002D6035" w:rsidP="000D328F">
      <w:r w:rsidRPr="00DA3C6E">
        <w:t xml:space="preserve">Stage 3: Extraction of the pre-specified outcomes for this assessment, synthesising (meta-analysing or a narrative synthesis) to determine an estimate of effect per outcome. A meta-analysis was conducted to estimate the pooled effect for the outcomes of disability </w:t>
      </w:r>
      <w:r w:rsidR="00021DCF" w:rsidRPr="00DA3C6E">
        <w:t xml:space="preserve">(improvement and mean change) </w:t>
      </w:r>
      <w:r w:rsidRPr="00DA3C6E">
        <w:t xml:space="preserve">and </w:t>
      </w:r>
      <w:r w:rsidR="00021DCF" w:rsidRPr="00DA3C6E">
        <w:t xml:space="preserve">improvement in </w:t>
      </w:r>
      <w:r w:rsidRPr="00DA3C6E">
        <w:t xml:space="preserve">muscle strength. </w:t>
      </w:r>
    </w:p>
    <w:p w14:paraId="658EB9A5" w14:textId="77777777" w:rsidR="002D6035" w:rsidRPr="00DA3C6E" w:rsidRDefault="002D6035" w:rsidP="000D328F">
      <w:pPr>
        <w:sectPr w:rsidR="002D6035" w:rsidRPr="00DA3C6E" w:rsidSect="00856B1D">
          <w:pgSz w:w="11906" w:h="16838"/>
          <w:pgMar w:top="1440" w:right="1440" w:bottom="1440" w:left="1440" w:header="720" w:footer="720" w:gutter="0"/>
          <w:paperSrc w:first="7" w:other="7"/>
          <w:cols w:space="720"/>
          <w:docGrid w:linePitch="299"/>
        </w:sectPr>
      </w:pPr>
      <w:r w:rsidRPr="00DA3C6E">
        <w:t>Stage 4: Integration of this evidence for conclusions about the net clinical benefit of the intervention in the context of Australian clinical practice (Sections B.6).</w:t>
      </w:r>
    </w:p>
    <w:p w14:paraId="2F74D884" w14:textId="77777777" w:rsidR="002D6035" w:rsidRPr="00DA3C6E" w:rsidRDefault="002D6035" w:rsidP="00D778BE">
      <w:pPr>
        <w:pStyle w:val="Heading2"/>
        <w:numPr>
          <w:ilvl w:val="1"/>
          <w:numId w:val="9"/>
        </w:numPr>
      </w:pPr>
      <w:bookmarkStart w:id="136" w:name="_Toc25216044"/>
      <w:bookmarkStart w:id="137" w:name="_Toc37845733"/>
      <w:bookmarkStart w:id="138" w:name="_Toc381796464"/>
      <w:r w:rsidRPr="00DA3C6E">
        <w:lastRenderedPageBreak/>
        <w:t>Risk of Bias Assessment</w:t>
      </w:r>
      <w:bookmarkEnd w:id="136"/>
      <w:bookmarkEnd w:id="137"/>
    </w:p>
    <w:p w14:paraId="30A3172C" w14:textId="77777777" w:rsidR="002D6035" w:rsidRPr="00DA3C6E" w:rsidRDefault="002D6035" w:rsidP="00923FF4">
      <w:pPr>
        <w:pStyle w:val="Heading3"/>
      </w:pPr>
      <w:bookmarkStart w:id="139" w:name="_Toc37845734"/>
      <w:bookmarkEnd w:id="138"/>
      <w:r w:rsidRPr="00DA3C6E">
        <w:t>Randomised studies</w:t>
      </w:r>
      <w:bookmarkEnd w:id="139"/>
    </w:p>
    <w:p w14:paraId="7BBCB6F1" w14:textId="720B7CFA" w:rsidR="002D6035" w:rsidRPr="00DA3C6E" w:rsidRDefault="002D6035" w:rsidP="00740643">
      <w:r w:rsidRPr="00DA3C6E">
        <w:t xml:space="preserve">All five RCTs reported some benefit associated with </w:t>
      </w:r>
      <w:r w:rsidR="00923FF4" w:rsidRPr="00DA3C6E">
        <w:t>the use of i</w:t>
      </w:r>
      <w:r w:rsidRPr="00DA3C6E">
        <w:t xml:space="preserve">ntravenous Ig, however </w:t>
      </w:r>
      <w:r w:rsidR="00186264" w:rsidRPr="00DA3C6E">
        <w:t xml:space="preserve">these results </w:t>
      </w:r>
      <w:r w:rsidRPr="00DA3C6E">
        <w:t xml:space="preserve"> should be </w:t>
      </w:r>
      <w:r w:rsidR="00186264" w:rsidRPr="00DA3C6E">
        <w:t xml:space="preserve">interpreted </w:t>
      </w:r>
      <w:r w:rsidRPr="00DA3C6E">
        <w:t xml:space="preserve">with caution because of the limited number of patients in each study, the limited follow-up and the cross-over study design. The latter means that patients randomised to receive the intervention or placebo were later crossed-over to the respective comparator arm at some point in the study. The reported treatment effect could then be affected by the fact that the placebo arm still received the intervention at some point during the study. Detailed risk of bias assessment of these studies is presented in </w:t>
      </w:r>
      <w:r w:rsidR="00A710CA" w:rsidRPr="00DA3C6E">
        <w:fldChar w:fldCharType="begin"/>
      </w:r>
      <w:r w:rsidR="00A710CA" w:rsidRPr="00DA3C6E">
        <w:instrText xml:space="preserve"> REF _Ref31197214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53</w:t>
      </w:r>
      <w:r w:rsidR="00A710CA" w:rsidRPr="00DA3C6E">
        <w:fldChar w:fldCharType="end"/>
      </w:r>
      <w:r w:rsidR="00A710CA" w:rsidRPr="00DA3C6E">
        <w:t xml:space="preserve"> </w:t>
      </w:r>
      <w:r w:rsidRPr="00DA3C6E">
        <w:t>of Appendix D. Overall, the studies included in the review had a low risk of bias (</w:t>
      </w:r>
      <w:r w:rsidRPr="00DA3C6E">
        <w:fldChar w:fldCharType="begin"/>
      </w:r>
      <w:r w:rsidRPr="00DA3C6E">
        <w:instrText xml:space="preserve"> REF _Ref25753860 \h </w:instrText>
      </w:r>
      <w:r w:rsidR="00E8759F" w:rsidRPr="00DA3C6E">
        <w:instrText xml:space="preserve"> \* MERGEFORMAT </w:instrText>
      </w:r>
      <w:r w:rsidRPr="00DA3C6E">
        <w:fldChar w:fldCharType="separate"/>
      </w:r>
      <w:r w:rsidR="00EA5DC1" w:rsidRPr="00DA3C6E">
        <w:t xml:space="preserve">Figure </w:t>
      </w:r>
      <w:r w:rsidR="00EA5DC1">
        <w:rPr>
          <w:noProof/>
        </w:rPr>
        <w:t>6</w:t>
      </w:r>
      <w:r w:rsidRPr="00DA3C6E">
        <w:fldChar w:fldCharType="end"/>
      </w:r>
      <w:r w:rsidRPr="00DA3C6E">
        <w:t>).</w:t>
      </w:r>
    </w:p>
    <w:p w14:paraId="11C33217" w14:textId="33D069BF" w:rsidR="002D6035" w:rsidRPr="00DA3C6E" w:rsidRDefault="002D6035" w:rsidP="00740643">
      <w:r w:rsidRPr="00DA3C6E">
        <w:t>Only Federico et al</w:t>
      </w:r>
      <w:r w:rsidR="00CD7B84" w:rsidRPr="00DA3C6E">
        <w:t>.</w:t>
      </w:r>
      <w:r w:rsidRPr="00DA3C6E">
        <w:t xml:space="preserve"> 2000 and Hahn et al</w:t>
      </w:r>
      <w:r w:rsidR="00CD7B84" w:rsidRPr="00DA3C6E">
        <w:t>.</w:t>
      </w:r>
      <w:r w:rsidRPr="00DA3C6E">
        <w:t xml:space="preserve"> 2013 provided an explicit statement on how randomisation of patients was conducted</w:t>
      </w:r>
      <w:r w:rsidR="00CA48B5" w:rsidRPr="00DA3C6E">
        <w:t xml:space="preserve"> </w:t>
      </w:r>
      <w:r w:rsidR="00DB568A" w:rsidRPr="00DA3C6E">
        <w:fldChar w:fldCharType="begin">
          <w:fldData xml:space="preserve">PEVuZE5vdGU+PENpdGU+PEF1dGhvcj5GZWRlcmljbzwvQXV0aG9yPjxZZWFyPjIwMDA8L1llYXI+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==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PFJlY051bT4yMDwvUmVjTnVtPjxEaXNwbGF5VGV4dD4oMjYsIDI4KTwvRGlzcGxheVRleHQ+PHJl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==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 xml:space="preserve">, </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Two other studies </w:t>
      </w:r>
      <w:r w:rsidR="00DB568A" w:rsidRPr="00DA3C6E">
        <w:fldChar w:fldCharType="begin">
          <w:fldData xml:space="preserve">PEVuZE5vdGU+PENpdGU+PEF1dGhvcj5WYW4gZGVuIEJlcmc8L0F1dGhvcj48WWVhcj4xOTk1PC9Z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</w:fldData>
        </w:fldChar>
      </w:r>
      <w:r w:rsidR="00DB568A" w:rsidRPr="00DA3C6E">
        <w:instrText xml:space="preserve"> ADDIN EN.CITE </w:instrText>
      </w:r>
      <w:r w:rsidR="00DB568A" w:rsidRPr="00DA3C6E">
        <w:fldChar w:fldCharType="begin">
          <w:fldData xml:space="preserve">PEVuZE5vdGU+PENpdGU+PEF1dGhvcj5WYW4gZGVuIEJlcmc8L0F1dGhvcj48WWVhcj4xOTk1PC9Z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 xml:space="preserve">, </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stated that randomisation occurred but did not provide any details on the randomisation method. </w:t>
      </w:r>
      <w:r w:rsidR="00CD7B84" w:rsidRPr="00DA3C6E">
        <w:t xml:space="preserve">On the other hand, </w:t>
      </w:r>
      <w:r w:rsidRPr="00DA3C6E">
        <w:t>Azulay et al</w:t>
      </w:r>
      <w:r w:rsidR="00CD7B84" w:rsidRPr="00DA3C6E">
        <w:t>.</w:t>
      </w:r>
      <w:r w:rsidRPr="00DA3C6E">
        <w:t xml:space="preserve"> 1994 did not mention any form of randomisation</w:t>
      </w:r>
      <w:r w:rsidR="00186264" w:rsidRPr="00DA3C6E">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Pr="00DA3C6E">
        <w:t xml:space="preserve">. </w:t>
      </w:r>
      <w:r w:rsidR="006457DD" w:rsidRPr="00DA3C6E">
        <w:t xml:space="preserve">None of the RCTs </w:t>
      </w:r>
      <w:r w:rsidRPr="00DA3C6E">
        <w:t xml:space="preserve">provided an adequate description of </w:t>
      </w:r>
      <w:r w:rsidR="006457DD" w:rsidRPr="00DA3C6E">
        <w:t xml:space="preserve">how </w:t>
      </w:r>
      <w:r w:rsidRPr="00DA3C6E">
        <w:t>allocation concealment prior to assignment</w:t>
      </w:r>
      <w:r w:rsidR="006457DD" w:rsidRPr="00DA3C6E">
        <w:t xml:space="preserve"> was ensured</w:t>
      </w:r>
      <w:r w:rsidRPr="00DA3C6E">
        <w:t xml:space="preserve">. </w:t>
      </w:r>
    </w:p>
    <w:p w14:paraId="08655D9F" w14:textId="4B191362" w:rsidR="002D6035" w:rsidRPr="00DA3C6E" w:rsidRDefault="002D6035" w:rsidP="00740643">
      <w:r w:rsidRPr="00DA3C6E">
        <w:t>With the exception of Azulay et al</w:t>
      </w:r>
      <w:r w:rsidR="00CD7B84" w:rsidRPr="00DA3C6E">
        <w:t>.</w:t>
      </w:r>
      <w:r w:rsidRPr="00DA3C6E">
        <w:t xml:space="preserve"> 1994 and Leger et al</w:t>
      </w:r>
      <w:r w:rsidR="00CD7B84" w:rsidRPr="00DA3C6E">
        <w:t>.</w:t>
      </w:r>
      <w:r w:rsidRPr="00DA3C6E">
        <w:t xml:space="preserve"> 2001</w:t>
      </w:r>
      <w:r w:rsidR="00B952B0" w:rsidRPr="00DA3C6E">
        <w:t xml:space="preserve"> (</w:t>
      </w:r>
      <w:r w:rsidR="00B952B0" w:rsidRPr="00DA3C6E">
        <w:fldChar w:fldCharType="begin"/>
      </w:r>
      <w:r w:rsidR="00B952B0" w:rsidRPr="00DA3C6E">
        <w:instrText xml:space="preserve"> REF _Ref31097498 \h </w:instrText>
      </w:r>
      <w:r w:rsidR="00E8759F" w:rsidRPr="00DA3C6E">
        <w:instrText xml:space="preserve"> \* MERGEFORMAT </w:instrText>
      </w:r>
      <w:r w:rsidR="00B952B0" w:rsidRPr="00DA3C6E">
        <w:fldChar w:fldCharType="separate"/>
      </w:r>
      <w:r w:rsidR="00EA5DC1" w:rsidRPr="00DA3C6E">
        <w:t xml:space="preserve">Table </w:t>
      </w:r>
      <w:r w:rsidR="00EA5DC1">
        <w:rPr>
          <w:noProof/>
        </w:rPr>
        <w:t>10</w:t>
      </w:r>
      <w:r w:rsidR="00B952B0" w:rsidRPr="00DA3C6E">
        <w:fldChar w:fldCharType="end"/>
      </w:r>
      <w:r w:rsidR="00B952B0" w:rsidRPr="00DA3C6E">
        <w:t>)</w:t>
      </w:r>
      <w:r w:rsidRPr="00DA3C6E">
        <w:t>, studies provided sufficient details to assess the blinding of participants and personnel involved in the study</w:t>
      </w:r>
      <w:r w:rsidR="00186264" w:rsidRPr="00DA3C6E">
        <w:t xml:space="preserve"> </w:t>
      </w:r>
      <w:r w:rsidR="00DB568A" w:rsidRPr="00DA3C6E">
        <w:fldChar w:fldCharType="begin">
          <w:fldData xml:space="preserve">PEVuZE5vdGU+PENpdGU+PEF1dGhvcj5BenVsYXk8L0F1dGhvcj48WWVhcj4xOTk0PC9ZZWFyPjxS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ZWNOdW0+NDwvUmVjTnVtPjxEaXNwbGF5VGV4dD4oMjQsIDI3KTwvRGlzcGxheVRleHQ+PHJlY29y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 xml:space="preserve">, </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All studies had a low risk of attrition and reporting bias mainly due to the low number of patients lost to follow-up and completeness of data and the way outcomes were reported respectively.  </w:t>
      </w:r>
    </w:p>
    <w:p w14:paraId="33C55841" w14:textId="11842628" w:rsidR="002D6035" w:rsidRPr="00DA3C6E" w:rsidRDefault="002D6035" w:rsidP="00D778BE">
      <w:pPr>
        <w:pStyle w:val="Caption"/>
      </w:pPr>
      <w:bookmarkStart w:id="140" w:name="_Ref25753860"/>
      <w:bookmarkStart w:id="141" w:name="_Toc30497512"/>
      <w:bookmarkStart w:id="142" w:name="_Toc30687793"/>
      <w:bookmarkStart w:id="143" w:name="_Toc37845866"/>
      <w:r w:rsidRPr="00DA3C6E">
        <w:t xml:space="preserve">Figure </w:t>
      </w:r>
      <w:r w:rsidR="00515153">
        <w:fldChar w:fldCharType="begin"/>
      </w:r>
      <w:r w:rsidR="00515153">
        <w:instrText xml:space="preserve"> SEQ Figure \* ARABIC </w:instrText>
      </w:r>
      <w:r w:rsidR="00515153">
        <w:fldChar w:fldCharType="separate"/>
      </w:r>
      <w:r w:rsidR="00EA5DC1">
        <w:rPr>
          <w:noProof/>
        </w:rPr>
        <w:t>6</w:t>
      </w:r>
      <w:r w:rsidR="00515153">
        <w:rPr>
          <w:noProof/>
        </w:rPr>
        <w:fldChar w:fldCharType="end"/>
      </w:r>
      <w:bookmarkEnd w:id="140"/>
      <w:r w:rsidRPr="00DA3C6E">
        <w:t xml:space="preserve">: Diagrammatic presentation of risk of bias assessment of the five randomised </w:t>
      </w:r>
      <w:r w:rsidR="00CD7B84" w:rsidRPr="00DA3C6E">
        <w:t xml:space="preserve">controlled </w:t>
      </w:r>
      <w:r w:rsidRPr="00DA3C6E">
        <w:t>studies</w:t>
      </w:r>
      <w:bookmarkEnd w:id="141"/>
      <w:bookmarkEnd w:id="142"/>
      <w:bookmarkEnd w:id="143"/>
    </w:p>
    <w:p w14:paraId="34D797FF" w14:textId="77777777" w:rsidR="002D6035" w:rsidRPr="00DA3C6E" w:rsidRDefault="002D6035" w:rsidP="00D778BE">
      <w:pPr>
        <w:spacing w:after="0"/>
        <w:rPr>
          <w:vanish/>
          <w:color w:val="C00000"/>
        </w:rPr>
      </w:pPr>
      <w:r w:rsidRPr="00DA3C6E">
        <w:rPr>
          <w:noProof/>
        </w:rPr>
        <w:drawing>
          <wp:inline distT="0" distB="0" distL="0" distR="0" wp14:anchorId="1AD9BF16" wp14:editId="79D6F260">
            <wp:extent cx="5414176" cy="2873375"/>
            <wp:effectExtent l="0" t="0" r="0" b="3175"/>
            <wp:docPr id="1" name="Picture 1" title="Figure 6: Diagrammatic presentation of risk of bias assessment of the five randomised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76" r="3344" b="3809"/>
                    <a:stretch/>
                  </pic:blipFill>
                  <pic:spPr bwMode="auto">
                    <a:xfrm>
                      <a:off x="0" y="0"/>
                      <a:ext cx="5415126" cy="2873879"/>
                    </a:xfrm>
                    <a:prstGeom prst="rect">
                      <a:avLst/>
                    </a:prstGeom>
                    <a:ln>
                      <a:noFill/>
                    </a:ln>
                    <a:extLst>
                      <a:ext uri="{53640926-AAD7-44D8-BBD7-CCE9431645EC}">
                        <a14:shadowObscured xmlns:a14="http://schemas.microsoft.com/office/drawing/2010/main"/>
                      </a:ext>
                    </a:extLst>
                  </pic:spPr>
                </pic:pic>
              </a:graphicData>
            </a:graphic>
          </wp:inline>
        </w:drawing>
      </w:r>
    </w:p>
    <w:p w14:paraId="4DEED812" w14:textId="21CA49B0" w:rsidR="002D6035" w:rsidRPr="00DA3C6E" w:rsidRDefault="002D6035" w:rsidP="00D778BE">
      <w:pPr>
        <w:spacing w:after="0"/>
        <w:rPr>
          <w:rFonts w:ascii="Arial Narrow" w:hAnsi="Arial Narrow"/>
          <w:sz w:val="18"/>
          <w:szCs w:val="18"/>
        </w:rPr>
      </w:pPr>
      <w:r w:rsidRPr="00DA3C6E">
        <w:rPr>
          <w:rFonts w:ascii="Arial Narrow" w:hAnsi="Arial Narrow"/>
          <w:sz w:val="18"/>
          <w:szCs w:val="18"/>
        </w:rPr>
        <w:t xml:space="preserve">Abbreviations: </w:t>
      </w:r>
      <w:r w:rsidR="00BE7F1B">
        <w:rPr>
          <w:rFonts w:ascii="Arial Narrow" w:hAnsi="Arial Narrow"/>
          <w:sz w:val="18"/>
          <w:szCs w:val="18"/>
        </w:rPr>
        <w:t>IV</w:t>
      </w:r>
      <w:r w:rsidRPr="00DA3C6E">
        <w:rPr>
          <w:rFonts w:ascii="Arial Narrow" w:hAnsi="Arial Narrow"/>
          <w:sz w:val="18"/>
          <w:szCs w:val="18"/>
        </w:rPr>
        <w:t xml:space="preserve">Ig= </w:t>
      </w:r>
      <w:r w:rsidR="00BE7F1B">
        <w:rPr>
          <w:rFonts w:ascii="Arial Narrow" w:hAnsi="Arial Narrow"/>
          <w:sz w:val="18"/>
          <w:szCs w:val="18"/>
        </w:rPr>
        <w:t xml:space="preserve">intravenous </w:t>
      </w:r>
      <w:r w:rsidRPr="00DA3C6E">
        <w:rPr>
          <w:rFonts w:ascii="Arial Narrow" w:hAnsi="Arial Narrow"/>
          <w:sz w:val="18"/>
          <w:szCs w:val="18"/>
        </w:rPr>
        <w:t xml:space="preserve">immunoglobulin </w:t>
      </w:r>
    </w:p>
    <w:p w14:paraId="5EE3FA7C" w14:textId="77777777" w:rsidR="002D6035" w:rsidRPr="00DA3C6E" w:rsidRDefault="00490DF0" w:rsidP="00C44F6A">
      <w:pPr>
        <w:keepNext/>
        <w:spacing w:before="240" w:after="120"/>
        <w:outlineLvl w:val="2"/>
        <w:rPr>
          <w:b/>
        </w:rPr>
      </w:pPr>
      <w:bookmarkStart w:id="144" w:name="_Toc37845735"/>
      <w:r w:rsidRPr="00DA3C6E">
        <w:rPr>
          <w:b/>
          <w:smallCaps/>
          <w:sz w:val="24"/>
          <w:szCs w:val="24"/>
        </w:rPr>
        <w:lastRenderedPageBreak/>
        <w:t>Single arm studies</w:t>
      </w:r>
      <w:bookmarkEnd w:id="144"/>
    </w:p>
    <w:p w14:paraId="6B0D5FFB" w14:textId="77777777" w:rsidR="002D6035" w:rsidRPr="00DA3C6E" w:rsidRDefault="002D6035" w:rsidP="00183BE9">
      <w:r w:rsidRPr="00DA3C6E">
        <w:t>For the implementation of the IHE tool, the following assumptions were taken into consideration:</w:t>
      </w:r>
    </w:p>
    <w:p w14:paraId="7B280077" w14:textId="77777777" w:rsidR="002D6035" w:rsidRPr="00DA3C6E" w:rsidRDefault="002D6035" w:rsidP="00183BE9">
      <w:pPr>
        <w:pStyle w:val="ListParagraph"/>
        <w:numPr>
          <w:ilvl w:val="0"/>
          <w:numId w:val="32"/>
        </w:numPr>
      </w:pPr>
      <w:r w:rsidRPr="00DA3C6E">
        <w:t xml:space="preserve">Competing interests and sources of support criteria were not considered for consistency with the RoB 2 Cochrane tool. </w:t>
      </w:r>
    </w:p>
    <w:p w14:paraId="48A6BECE" w14:textId="77777777" w:rsidR="002D6035" w:rsidRPr="00DA3C6E" w:rsidRDefault="002D6035" w:rsidP="00183BE9">
      <w:pPr>
        <w:pStyle w:val="ListParagraph"/>
        <w:numPr>
          <w:ilvl w:val="0"/>
          <w:numId w:val="32"/>
        </w:numPr>
      </w:pPr>
      <w:r w:rsidRPr="00DA3C6E">
        <w:t xml:space="preserve">Equal weight was assigned for all assessed criteria. </w:t>
      </w:r>
    </w:p>
    <w:p w14:paraId="3FF2BC21" w14:textId="77777777" w:rsidR="002D6035" w:rsidRPr="00DA3C6E" w:rsidRDefault="002D6035" w:rsidP="00183BE9">
      <w:pPr>
        <w:pStyle w:val="ListParagraph"/>
        <w:numPr>
          <w:ilvl w:val="0"/>
          <w:numId w:val="32"/>
        </w:numPr>
      </w:pPr>
      <w:r w:rsidRPr="00DA3C6E">
        <w:t xml:space="preserve">From a total of 36 points, each study was considered at low risk of bias if the total score was &gt;25, moderate risk of bias if </w:t>
      </w:r>
      <w:r w:rsidRPr="00DA3C6E">
        <w:rPr>
          <w:rFonts w:cs="Calibri"/>
        </w:rPr>
        <w:t>≥</w:t>
      </w:r>
      <w:r w:rsidRPr="00DA3C6E">
        <w:t xml:space="preserve"> 13 and &lt; 25 and high risk of bias if </w:t>
      </w:r>
      <w:r w:rsidRPr="00DA3C6E">
        <w:rPr>
          <w:rFonts w:cs="Calibri"/>
        </w:rPr>
        <w:t>≤</w:t>
      </w:r>
      <w:r w:rsidRPr="00DA3C6E">
        <w:t xml:space="preserve"> 12 points. A similar scoring system was used to establish the levels of risk for each section of the studies assessed for bias.</w:t>
      </w:r>
    </w:p>
    <w:p w14:paraId="5E2808EA" w14:textId="2046313E" w:rsidR="002D6035" w:rsidRPr="00DA3C6E" w:rsidRDefault="002D6035" w:rsidP="00740643">
      <w:r w:rsidRPr="00DA3C6E">
        <w:t xml:space="preserve">The IHE checklist evaluates the quality of studies under seven categories, each with sub questions: study objectives, study design, study population, intervention and co-intervention, outcome measure, statistical analysis and results and conclusions. </w:t>
      </w:r>
      <w:r w:rsidR="00186264" w:rsidRPr="00DA3C6E">
        <w:t>O</w:t>
      </w:r>
      <w:r w:rsidRPr="00DA3C6E">
        <w:t xml:space="preserve">f the 24 studies assessed, 20 were found to be at moderate risk of bias and 4 were found to be at a low risk of bias </w:t>
      </w:r>
      <w:r w:rsidR="00DB568A" w:rsidRPr="00DA3C6E">
        <w:fldChar w:fldCharType="begin">
          <w:fldData xml:space="preserve">PEVuZE5vdGU+PENpdGU+PEF1dGhvcj5WYW4gRGVuIEJlcmc8L0F1dGhvcj48WWVhcj4xOTk4PC9Z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</w:fldData>
        </w:fldChar>
      </w:r>
      <w:r w:rsidR="00DB568A" w:rsidRPr="00DA3C6E">
        <w:instrText xml:space="preserve"> ADDIN EN.CITE </w:instrText>
      </w:r>
      <w:r w:rsidR="00DB568A" w:rsidRPr="00DA3C6E">
        <w:fldChar w:fldCharType="begin">
          <w:fldData xml:space="preserve">PEVuZE5vdGU+PENpdGU+PEF1dGhvcj5WYW4gRGVuIEJlcmc8L0F1dGhvcj48WWVhcj4xOTk4PC9Z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9" w:tooltip="Van Den Berg, 1998 #66" w:history="1">
        <w:r w:rsidR="00C04BCE" w:rsidRPr="00DA3C6E">
          <w:rPr>
            <w:noProof/>
          </w:rPr>
          <w:t>29-32</w:t>
        </w:r>
      </w:hyperlink>
      <w:r w:rsidR="00DB568A" w:rsidRPr="00DA3C6E">
        <w:rPr>
          <w:noProof/>
        </w:rPr>
        <w:t>)</w:t>
      </w:r>
      <w:r w:rsidR="00DB568A" w:rsidRPr="00DA3C6E">
        <w:fldChar w:fldCharType="end"/>
      </w:r>
      <w:r w:rsidRPr="00DA3C6E">
        <w:t xml:space="preserve"> (</w:t>
      </w:r>
      <w:r w:rsidRPr="00DA3C6E">
        <w:fldChar w:fldCharType="begin"/>
      </w:r>
      <w:r w:rsidRPr="00DA3C6E">
        <w:instrText xml:space="preserve"> REF _Ref29370803 \h </w:instrText>
      </w:r>
      <w:r w:rsidR="00E8759F" w:rsidRPr="00DA3C6E">
        <w:instrText xml:space="preserve"> \* MERGEFORMAT </w:instrText>
      </w:r>
      <w:r w:rsidRPr="00DA3C6E">
        <w:fldChar w:fldCharType="separate"/>
      </w:r>
      <w:r w:rsidR="00EA5DC1" w:rsidRPr="00DA3C6E">
        <w:t xml:space="preserve">Figure </w:t>
      </w:r>
      <w:r w:rsidR="00EA5DC1">
        <w:rPr>
          <w:noProof/>
        </w:rPr>
        <w:t>7</w:t>
      </w:r>
      <w:r w:rsidRPr="00DA3C6E">
        <w:fldChar w:fldCharType="end"/>
      </w:r>
      <w:r w:rsidRPr="00DA3C6E">
        <w:t>). In general, the biggest source of bias was related to study design and study population. The outcome measures were generally established a</w:t>
      </w:r>
      <w:r w:rsidR="00C30CEE" w:rsidRPr="00DA3C6E">
        <w:t xml:space="preserve"> </w:t>
      </w:r>
      <w:r w:rsidRPr="00DA3C6E">
        <w:t>priori, estimated using appropriate measures and clearly reported before and after the intervention was implemented.</w:t>
      </w:r>
    </w:p>
    <w:p w14:paraId="40EAEB6C" w14:textId="77777777" w:rsidR="002D6035" w:rsidRPr="00DA3C6E" w:rsidRDefault="002D6035" w:rsidP="0016555D">
      <w:r w:rsidRPr="00DA3C6E">
        <w:t xml:space="preserve">It is acknowledged that the trial design </w:t>
      </w:r>
      <w:r w:rsidRPr="00DA3C6E">
        <w:rPr>
          <w:color w:val="000000"/>
          <w:shd w:val="clear" w:color="auto" w:fill="FFFFFF"/>
        </w:rPr>
        <w:t xml:space="preserve">has several limitations that may limit the interpretation of the results, mainly because not having a comparator arm does not distinguish between the treatment effects, a placebo effect or what could be explained by the natural history of the disease. However, this study design is a good alternative when the pool of patients is low, like in MMN, and thus randomisation poses additional challenges. </w:t>
      </w:r>
    </w:p>
    <w:p w14:paraId="0F567617" w14:textId="7C0D8A0B" w:rsidR="002D6035" w:rsidRPr="00DA3C6E" w:rsidRDefault="002D6035" w:rsidP="00006FE7">
      <w:pPr>
        <w:pStyle w:val="Caption"/>
        <w:keepNext/>
      </w:pPr>
      <w:bookmarkStart w:id="145" w:name="_Ref29370803"/>
      <w:bookmarkStart w:id="146" w:name="_Toc30497513"/>
      <w:bookmarkStart w:id="147" w:name="_Toc30687794"/>
      <w:bookmarkStart w:id="148" w:name="_Toc37845867"/>
      <w:r w:rsidRPr="00DA3C6E">
        <w:lastRenderedPageBreak/>
        <w:t xml:space="preserve">Figure </w:t>
      </w:r>
      <w:r w:rsidR="00515153">
        <w:fldChar w:fldCharType="begin"/>
      </w:r>
      <w:r w:rsidR="00515153">
        <w:instrText xml:space="preserve"> SEQ Figure \* ARABIC </w:instrText>
      </w:r>
      <w:r w:rsidR="00515153">
        <w:fldChar w:fldCharType="separate"/>
      </w:r>
      <w:r w:rsidR="00EA5DC1">
        <w:rPr>
          <w:noProof/>
        </w:rPr>
        <w:t>7</w:t>
      </w:r>
      <w:r w:rsidR="00515153">
        <w:rPr>
          <w:noProof/>
        </w:rPr>
        <w:fldChar w:fldCharType="end"/>
      </w:r>
      <w:bookmarkEnd w:id="145"/>
      <w:r w:rsidRPr="00DA3C6E">
        <w:t>. Diagrammatic presentation of risk of bias assessment of the 24 single arm studies</w:t>
      </w:r>
      <w:bookmarkEnd w:id="146"/>
      <w:bookmarkEnd w:id="147"/>
      <w:bookmarkEnd w:id="148"/>
    </w:p>
    <w:p w14:paraId="02FCFA65" w14:textId="77777777" w:rsidR="002D6035" w:rsidRPr="00DA3C6E" w:rsidRDefault="002D6035" w:rsidP="006B30C9">
      <w:pPr>
        <w:keepNext/>
        <w:rPr>
          <w:b/>
        </w:rPr>
      </w:pPr>
      <w:r w:rsidRPr="00DA3C6E">
        <w:rPr>
          <w:noProof/>
        </w:rPr>
        <w:drawing>
          <wp:inline distT="0" distB="0" distL="0" distR="0" wp14:anchorId="28E4BA35" wp14:editId="34EB2F9F">
            <wp:extent cx="5057775" cy="6448425"/>
            <wp:effectExtent l="0" t="0" r="9525" b="9525"/>
            <wp:docPr id="4" name="Picture 4" title="Figure 7. Diagrammatic presentation of risk of bias assessment of the 24 single a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775" cy="6448425"/>
                    </a:xfrm>
                    <a:prstGeom prst="rect">
                      <a:avLst/>
                    </a:prstGeom>
                  </pic:spPr>
                </pic:pic>
              </a:graphicData>
            </a:graphic>
          </wp:inline>
        </w:drawing>
      </w:r>
    </w:p>
    <w:p w14:paraId="3E1EA459" w14:textId="77777777" w:rsidR="002D6035" w:rsidRPr="00DA3C6E" w:rsidRDefault="002D6035" w:rsidP="00D778BE">
      <w:pPr>
        <w:pStyle w:val="Heading2"/>
        <w:numPr>
          <w:ilvl w:val="1"/>
          <w:numId w:val="9"/>
        </w:numPr>
      </w:pPr>
      <w:bookmarkStart w:id="149" w:name="_Toc25216045"/>
      <w:bookmarkStart w:id="150" w:name="_Toc37845736"/>
      <w:r w:rsidRPr="00DA3C6E">
        <w:t>Characteristics of the Evidence Base</w:t>
      </w:r>
      <w:bookmarkEnd w:id="149"/>
      <w:bookmarkEnd w:id="150"/>
    </w:p>
    <w:p w14:paraId="3893B1E4" w14:textId="77777777" w:rsidR="006457DD" w:rsidRPr="00DA3C6E" w:rsidRDefault="006457DD" w:rsidP="006457DD">
      <w:pPr>
        <w:pStyle w:val="Heading3"/>
      </w:pPr>
      <w:bookmarkStart w:id="151" w:name="_Toc37845737"/>
      <w:r w:rsidRPr="00DA3C6E">
        <w:t>Randomised studies</w:t>
      </w:r>
      <w:bookmarkEnd w:id="151"/>
    </w:p>
    <w:p w14:paraId="151C5438" w14:textId="6E2D0450" w:rsidR="002D6035" w:rsidRPr="00DA3C6E" w:rsidRDefault="002D6035" w:rsidP="00740643">
      <w:r w:rsidRPr="00DA3C6E">
        <w:t>A summary of the features of the included RCTs is presented in</w:t>
      </w:r>
      <w:r w:rsidR="001A5C62" w:rsidRPr="00DA3C6E">
        <w:t xml:space="preserve"> </w:t>
      </w:r>
      <w:r w:rsidR="001A5C62" w:rsidRPr="00DA3C6E">
        <w:fldChar w:fldCharType="begin"/>
      </w:r>
      <w:r w:rsidR="001A5C62" w:rsidRPr="00DA3C6E">
        <w:instrText xml:space="preserve"> REF _Ref31116258 \h </w:instrText>
      </w:r>
      <w:r w:rsidR="00E8759F" w:rsidRPr="00DA3C6E">
        <w:instrText xml:space="preserve"> \* MERGEFORMAT </w:instrText>
      </w:r>
      <w:r w:rsidR="001A5C62" w:rsidRPr="00DA3C6E">
        <w:fldChar w:fldCharType="separate"/>
      </w:r>
      <w:r w:rsidR="00EA5DC1" w:rsidRPr="00DA3C6E">
        <w:t xml:space="preserve">Table </w:t>
      </w:r>
      <w:r w:rsidR="00EA5DC1">
        <w:rPr>
          <w:noProof/>
        </w:rPr>
        <w:t>11</w:t>
      </w:r>
      <w:r w:rsidR="001A5C62" w:rsidRPr="00DA3C6E">
        <w:fldChar w:fldCharType="end"/>
      </w:r>
      <w:r w:rsidRPr="00DA3C6E">
        <w:t xml:space="preserve"> (see </w:t>
      </w:r>
      <w:r w:rsidR="00A710CA" w:rsidRPr="00DA3C6E">
        <w:fldChar w:fldCharType="begin"/>
      </w:r>
      <w:r w:rsidR="00A710CA" w:rsidRPr="00DA3C6E">
        <w:instrText xml:space="preserve"> REF _Ref31197188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51</w:t>
      </w:r>
      <w:r w:rsidR="00A710CA" w:rsidRPr="00DA3C6E">
        <w:fldChar w:fldCharType="end"/>
      </w:r>
      <w:r w:rsidR="00A710CA" w:rsidRPr="00DA3C6E">
        <w:t xml:space="preserve"> </w:t>
      </w:r>
      <w:r w:rsidRPr="00DA3C6E">
        <w:t xml:space="preserve">Appendix C for details on the individual studies). Four of the five studies were published in the period between the mid-90s and early 2000s and all measured improvement in muscle strength and improvement in disability. All the five studies had placebo as their comparator, however, </w:t>
      </w:r>
      <w:r w:rsidR="006457DD" w:rsidRPr="00DA3C6E">
        <w:t xml:space="preserve">some </w:t>
      </w:r>
      <w:r w:rsidRPr="00DA3C6E">
        <w:t>differences</w:t>
      </w:r>
      <w:r w:rsidR="006457DD" w:rsidRPr="00DA3C6E">
        <w:t xml:space="preserve"> were identified</w:t>
      </w:r>
      <w:r w:rsidRPr="00DA3C6E">
        <w:t xml:space="preserve"> in the type of formulations </w:t>
      </w:r>
      <w:r w:rsidR="006457DD" w:rsidRPr="00DA3C6E">
        <w:t>used</w:t>
      </w:r>
      <w:r w:rsidR="00856B1D" w:rsidRPr="00DA3C6E">
        <w:t xml:space="preserve"> (</w:t>
      </w:r>
      <w:r w:rsidR="00856B1D" w:rsidRPr="00DA3C6E">
        <w:fldChar w:fldCharType="begin"/>
      </w:r>
      <w:r w:rsidR="00856B1D" w:rsidRPr="00DA3C6E">
        <w:instrText xml:space="preserve"> REF _Ref31097498 \h </w:instrText>
      </w:r>
      <w:r w:rsidR="00E8759F" w:rsidRPr="00DA3C6E">
        <w:instrText xml:space="preserve"> \* MERGEFORMAT </w:instrText>
      </w:r>
      <w:r w:rsidR="00856B1D" w:rsidRPr="00DA3C6E">
        <w:fldChar w:fldCharType="separate"/>
      </w:r>
      <w:r w:rsidR="00EA5DC1" w:rsidRPr="00DA3C6E">
        <w:t xml:space="preserve">Table </w:t>
      </w:r>
      <w:r w:rsidR="00EA5DC1">
        <w:rPr>
          <w:noProof/>
        </w:rPr>
        <w:t>10</w:t>
      </w:r>
      <w:r w:rsidR="00856B1D" w:rsidRPr="00DA3C6E">
        <w:fldChar w:fldCharType="end"/>
      </w:r>
      <w:r w:rsidR="00856B1D" w:rsidRPr="00DA3C6E">
        <w:t>)</w:t>
      </w:r>
      <w:r w:rsidRPr="00DA3C6E">
        <w:t xml:space="preserve">. </w:t>
      </w:r>
      <w:r w:rsidR="006457DD" w:rsidRPr="00DA3C6E">
        <w:t xml:space="preserve">The RCTs did not provide any description of </w:t>
      </w:r>
      <w:r w:rsidR="006457DD" w:rsidRPr="00DA3C6E">
        <w:lastRenderedPageBreak/>
        <w:t xml:space="preserve">additional services that could be considered for the management of the disease (BSC) other than active treatment with intravenous Ig. </w:t>
      </w:r>
      <w:r w:rsidR="00DD6115" w:rsidRPr="00DA3C6E">
        <w:t xml:space="preserve">It is uncertain whether the placebo group from the RCTs would be reflective of BSC as available in Australia and accounted for in the economic model in Section D. </w:t>
      </w:r>
    </w:p>
    <w:p w14:paraId="7AD79A65" w14:textId="21917067" w:rsidR="002D6035" w:rsidRPr="00DA3C6E" w:rsidRDefault="002D6035" w:rsidP="00740643">
      <w:r w:rsidRPr="00DA3C6E">
        <w:t>The main differences within the studies were the tools used to measure the</w:t>
      </w:r>
      <w:r w:rsidR="006457DD" w:rsidRPr="00DA3C6E">
        <w:t xml:space="preserve"> clinical </w:t>
      </w:r>
      <w:r w:rsidRPr="00DA3C6E">
        <w:t>outcomes which may lead to difficulties in the interpretation of overall results. All studies had a cross-over design, where patients treated with the intervention were then switched to the placebo and vice-versa. In addition, all studies enrolled patients who had at least some evidence of existing CB. It should also be noted that two out of five patie</w:t>
      </w:r>
      <w:r w:rsidR="00B952B0" w:rsidRPr="00DA3C6E">
        <w:t>nts in Azulay et al</w:t>
      </w:r>
      <w:r w:rsidR="00CD7B84" w:rsidRPr="00DA3C6E">
        <w:t>.</w:t>
      </w:r>
      <w:r w:rsidRPr="00DA3C6E">
        <w:t xml:space="preserve"> 1994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00186264" w:rsidRPr="00DA3C6E">
        <w:t xml:space="preserve"> </w:t>
      </w:r>
      <w:r w:rsidRPr="00DA3C6E">
        <w:t>had sensory impairment which could currently correspond to a differential characteristic with the diagnosis of MND and hence not fulfil the current diagnostic criteria for MMN</w:t>
      </w:r>
      <w:r w:rsidR="00B952B0" w:rsidRPr="00DA3C6E">
        <w:t xml:space="preserve"> (</w:t>
      </w:r>
      <w:r w:rsidR="00B952B0" w:rsidRPr="00DA3C6E">
        <w:fldChar w:fldCharType="begin"/>
      </w:r>
      <w:r w:rsidR="00B952B0" w:rsidRPr="00DA3C6E">
        <w:instrText xml:space="preserve"> REF _Ref31116258 \h </w:instrText>
      </w:r>
      <w:r w:rsidR="00E8759F" w:rsidRPr="00DA3C6E">
        <w:instrText xml:space="preserve"> \* MERGEFORMAT </w:instrText>
      </w:r>
      <w:r w:rsidR="00B952B0" w:rsidRPr="00DA3C6E">
        <w:fldChar w:fldCharType="separate"/>
      </w:r>
      <w:r w:rsidR="00EA5DC1" w:rsidRPr="00DA3C6E">
        <w:t xml:space="preserve">Table </w:t>
      </w:r>
      <w:r w:rsidR="00EA5DC1">
        <w:rPr>
          <w:noProof/>
        </w:rPr>
        <w:t>11</w:t>
      </w:r>
      <w:r w:rsidR="00B952B0" w:rsidRPr="00DA3C6E">
        <w:fldChar w:fldCharType="end"/>
      </w:r>
      <w:r w:rsidR="00B952B0" w:rsidRPr="00DA3C6E">
        <w:t>)</w:t>
      </w:r>
      <w:r w:rsidR="00490DF0" w:rsidRPr="00DA3C6E">
        <w:t xml:space="preserve">. </w:t>
      </w:r>
    </w:p>
    <w:p w14:paraId="3C4AFB6B" w14:textId="294ACA54" w:rsidR="002D6035" w:rsidRPr="00DA3C6E" w:rsidRDefault="00B952B0" w:rsidP="00B952B0">
      <w:pPr>
        <w:pStyle w:val="Caption"/>
        <w:keepNext/>
        <w:keepLines/>
        <w:rPr>
          <w:snapToGrid w:val="0"/>
          <w:lang w:eastAsia="en-US"/>
        </w:rPr>
      </w:pPr>
      <w:bookmarkStart w:id="152" w:name="_Ref31116258"/>
      <w:bookmarkStart w:id="153" w:name="_Toc30497458"/>
      <w:bookmarkStart w:id="154" w:name="_Toc30687739"/>
      <w:bookmarkStart w:id="155" w:name="_Toc37845814"/>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11</w:t>
      </w:r>
      <w:r w:rsidR="00515153">
        <w:rPr>
          <w:noProof/>
        </w:rPr>
        <w:fldChar w:fldCharType="end"/>
      </w:r>
      <w:bookmarkEnd w:id="152"/>
      <w:r w:rsidRPr="00DA3C6E">
        <w:t xml:space="preserve">. </w:t>
      </w:r>
      <w:r w:rsidR="002D6035" w:rsidRPr="00DA3C6E">
        <w:rPr>
          <w:snapToGrid w:val="0"/>
          <w:lang w:eastAsia="en-US"/>
        </w:rPr>
        <w:t xml:space="preserve">Key features of the included evidence from RCTs comparing </w:t>
      </w:r>
      <w:r w:rsidR="00490DF0" w:rsidRPr="00DA3C6E">
        <w:rPr>
          <w:snapToGrid w:val="0"/>
          <w:lang w:eastAsia="en-US"/>
        </w:rPr>
        <w:t>i</w:t>
      </w:r>
      <w:r w:rsidR="002D6035" w:rsidRPr="00DA3C6E">
        <w:rPr>
          <w:snapToGrid w:val="0"/>
          <w:lang w:eastAsia="en-US"/>
        </w:rPr>
        <w:t>ntravenous Ig with placebo</w:t>
      </w:r>
      <w:bookmarkEnd w:id="153"/>
      <w:bookmarkEnd w:id="154"/>
      <w:bookmarkEnd w:id="155"/>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501"/>
        <w:gridCol w:w="668"/>
        <w:gridCol w:w="1674"/>
        <w:gridCol w:w="1169"/>
        <w:gridCol w:w="1839"/>
        <w:gridCol w:w="351"/>
        <w:gridCol w:w="351"/>
        <w:gridCol w:w="351"/>
        <w:gridCol w:w="351"/>
        <w:gridCol w:w="351"/>
        <w:gridCol w:w="355"/>
      </w:tblGrid>
      <w:tr w:rsidR="002D6035" w:rsidRPr="00DA3C6E" w14:paraId="614EA57D" w14:textId="77777777" w:rsidTr="00D778BE">
        <w:trPr>
          <w:trHeight w:val="308"/>
        </w:trPr>
        <w:tc>
          <w:tcPr>
            <w:tcW w:w="837" w:type="pct"/>
            <w:shd w:val="clear" w:color="auto" w:fill="auto"/>
            <w:vAlign w:val="center"/>
          </w:tcPr>
          <w:p w14:paraId="239C12E9" w14:textId="77777777" w:rsidR="002D6035" w:rsidRPr="00DA3C6E" w:rsidRDefault="002D6035" w:rsidP="00490DF0">
            <w:pPr>
              <w:pStyle w:val="TableHeading"/>
              <w:keepLines/>
              <w:rPr>
                <w:snapToGrid w:val="0"/>
                <w:lang w:eastAsia="en-US"/>
              </w:rPr>
            </w:pPr>
            <w:r w:rsidRPr="00DA3C6E">
              <w:rPr>
                <w:snapToGrid w:val="0"/>
                <w:lang w:eastAsia="en-US"/>
              </w:rPr>
              <w:t>Trial/Study</w:t>
            </w:r>
          </w:p>
        </w:tc>
        <w:tc>
          <w:tcPr>
            <w:tcW w:w="373" w:type="pct"/>
            <w:shd w:val="clear" w:color="auto" w:fill="auto"/>
            <w:vAlign w:val="center"/>
          </w:tcPr>
          <w:p w14:paraId="358E42B9" w14:textId="77777777" w:rsidR="002D6035" w:rsidRPr="00DA3C6E" w:rsidRDefault="002D6035" w:rsidP="00490DF0">
            <w:pPr>
              <w:pStyle w:val="TableHeading"/>
              <w:keepLines/>
              <w:jc w:val="center"/>
              <w:rPr>
                <w:snapToGrid w:val="0"/>
                <w:lang w:eastAsia="en-US"/>
              </w:rPr>
            </w:pPr>
            <w:r w:rsidRPr="00DA3C6E">
              <w:rPr>
                <w:snapToGrid w:val="0"/>
                <w:lang w:eastAsia="en-US"/>
              </w:rPr>
              <w:t>N</w:t>
            </w:r>
          </w:p>
        </w:tc>
        <w:tc>
          <w:tcPr>
            <w:tcW w:w="934" w:type="pct"/>
            <w:shd w:val="clear" w:color="auto" w:fill="auto"/>
            <w:vAlign w:val="center"/>
          </w:tcPr>
          <w:p w14:paraId="2DA27106" w14:textId="77777777" w:rsidR="002D6035" w:rsidRPr="00DA3C6E" w:rsidRDefault="002D6035" w:rsidP="00490DF0">
            <w:pPr>
              <w:pStyle w:val="TableHeading"/>
              <w:keepLines/>
              <w:jc w:val="center"/>
              <w:rPr>
                <w:snapToGrid w:val="0"/>
                <w:lang w:eastAsia="en-US"/>
              </w:rPr>
            </w:pPr>
            <w:r w:rsidRPr="00DA3C6E">
              <w:rPr>
                <w:snapToGrid w:val="0"/>
                <w:lang w:eastAsia="en-US"/>
              </w:rPr>
              <w:t>Design/ duration</w:t>
            </w:r>
          </w:p>
        </w:tc>
        <w:tc>
          <w:tcPr>
            <w:tcW w:w="652" w:type="pct"/>
            <w:shd w:val="clear" w:color="auto" w:fill="auto"/>
            <w:vAlign w:val="center"/>
          </w:tcPr>
          <w:p w14:paraId="4BD6C766" w14:textId="77777777" w:rsidR="002D6035" w:rsidRPr="00DA3C6E" w:rsidRDefault="002D6035" w:rsidP="00490DF0">
            <w:pPr>
              <w:pStyle w:val="TableHeading"/>
              <w:keepLines/>
              <w:jc w:val="center"/>
              <w:rPr>
                <w:snapToGrid w:val="0"/>
                <w:lang w:eastAsia="en-US"/>
              </w:rPr>
            </w:pPr>
            <w:r w:rsidRPr="00DA3C6E">
              <w:rPr>
                <w:snapToGrid w:val="0"/>
                <w:lang w:eastAsia="en-US"/>
              </w:rPr>
              <w:t>Risk of bias</w:t>
            </w:r>
          </w:p>
        </w:tc>
        <w:tc>
          <w:tcPr>
            <w:tcW w:w="1026" w:type="pct"/>
            <w:shd w:val="clear" w:color="auto" w:fill="auto"/>
            <w:vAlign w:val="center"/>
          </w:tcPr>
          <w:p w14:paraId="09AC7431" w14:textId="77777777" w:rsidR="002D6035" w:rsidRPr="00DA3C6E" w:rsidRDefault="002D6035" w:rsidP="00490DF0">
            <w:pPr>
              <w:pStyle w:val="TableHeading"/>
              <w:keepLines/>
              <w:rPr>
                <w:snapToGrid w:val="0"/>
                <w:lang w:eastAsia="en-US"/>
              </w:rPr>
            </w:pPr>
            <w:r w:rsidRPr="00DA3C6E">
              <w:rPr>
                <w:snapToGrid w:val="0"/>
                <w:lang w:eastAsia="en-US"/>
              </w:rPr>
              <w:t>Patient population</w:t>
            </w:r>
          </w:p>
        </w:tc>
        <w:tc>
          <w:tcPr>
            <w:tcW w:w="1177" w:type="pct"/>
            <w:gridSpan w:val="6"/>
            <w:shd w:val="clear" w:color="auto" w:fill="auto"/>
            <w:vAlign w:val="center"/>
          </w:tcPr>
          <w:p w14:paraId="37F23100" w14:textId="77777777" w:rsidR="002D6035" w:rsidRPr="00DA3C6E" w:rsidRDefault="002D6035" w:rsidP="00490DF0">
            <w:pPr>
              <w:pStyle w:val="TableHeading"/>
              <w:keepLines/>
              <w:jc w:val="center"/>
              <w:rPr>
                <w:snapToGrid w:val="0"/>
                <w:lang w:eastAsia="en-US"/>
              </w:rPr>
            </w:pPr>
            <w:r w:rsidRPr="00DA3C6E">
              <w:rPr>
                <w:snapToGrid w:val="0"/>
                <w:lang w:eastAsia="en-US"/>
              </w:rPr>
              <w:t>Key outcome(s)</w:t>
            </w:r>
          </w:p>
        </w:tc>
      </w:tr>
      <w:tr w:rsidR="002D6035" w:rsidRPr="00DA3C6E" w14:paraId="49DC5FB1" w14:textId="77777777" w:rsidTr="00D778BE">
        <w:trPr>
          <w:trHeight w:val="988"/>
        </w:trPr>
        <w:tc>
          <w:tcPr>
            <w:tcW w:w="837" w:type="pct"/>
            <w:shd w:val="clear" w:color="auto" w:fill="auto"/>
            <w:vAlign w:val="center"/>
          </w:tcPr>
          <w:p w14:paraId="212F9A1B" w14:textId="6BB29672" w:rsidR="002D6035" w:rsidRPr="00DA3C6E" w:rsidRDefault="002D6035" w:rsidP="00C04BCE">
            <w:pPr>
              <w:pStyle w:val="TableText0"/>
              <w:jc w:val="left"/>
              <w:rPr>
                <w:snapToGrid w:val="0"/>
              </w:rPr>
            </w:pPr>
            <w:r w:rsidRPr="00DA3C6E">
              <w:t>Azulay et al. 1994</w:t>
            </w:r>
            <w:r w:rsidR="00BE7F1B">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p>
        </w:tc>
        <w:tc>
          <w:tcPr>
            <w:tcW w:w="373" w:type="pct"/>
            <w:shd w:val="clear" w:color="auto" w:fill="auto"/>
            <w:vAlign w:val="center"/>
          </w:tcPr>
          <w:p w14:paraId="3A37D4A7" w14:textId="77777777" w:rsidR="002D6035" w:rsidRPr="00DA3C6E" w:rsidRDefault="002D6035" w:rsidP="00490DF0">
            <w:pPr>
              <w:keepNext/>
              <w:keepLines/>
              <w:tabs>
                <w:tab w:val="left" w:pos="2229"/>
              </w:tabs>
              <w:spacing w:after="0" w:line="240" w:lineRule="auto"/>
              <w:jc w:val="center"/>
              <w:rPr>
                <w:snapToGrid w:val="0"/>
              </w:rPr>
            </w:pPr>
            <w:r w:rsidRPr="00DA3C6E">
              <w:rPr>
                <w:rFonts w:ascii="Arial Narrow" w:hAnsi="Arial Narrow"/>
                <w:sz w:val="20"/>
                <w:szCs w:val="20"/>
              </w:rPr>
              <w:t>5</w:t>
            </w:r>
          </w:p>
          <w:p w14:paraId="0AE5D227" w14:textId="77777777" w:rsidR="002D6035" w:rsidRPr="00DA3C6E" w:rsidRDefault="002D6035" w:rsidP="00490DF0">
            <w:pPr>
              <w:pStyle w:val="TableText0"/>
              <w:jc w:val="center"/>
              <w:rPr>
                <w:snapToGrid w:val="0"/>
              </w:rPr>
            </w:pPr>
          </w:p>
        </w:tc>
        <w:tc>
          <w:tcPr>
            <w:tcW w:w="934" w:type="pct"/>
            <w:shd w:val="clear" w:color="auto" w:fill="auto"/>
            <w:vAlign w:val="center"/>
          </w:tcPr>
          <w:p w14:paraId="2DBBE096" w14:textId="77777777" w:rsidR="002D6035" w:rsidRPr="00DA3C6E" w:rsidRDefault="002D6035" w:rsidP="00490DF0">
            <w:pPr>
              <w:pStyle w:val="TableText0"/>
              <w:jc w:val="left"/>
              <w:rPr>
                <w:snapToGrid w:val="0"/>
              </w:rPr>
            </w:pPr>
            <w:r w:rsidRPr="00DA3C6E">
              <w:rPr>
                <w:snapToGrid w:val="0"/>
              </w:rPr>
              <w:t>R, DB</w:t>
            </w:r>
            <w:r w:rsidR="00D80F79" w:rsidRPr="00DA3C6E">
              <w:rPr>
                <w:snapToGrid w:val="0"/>
              </w:rPr>
              <w:t>/</w:t>
            </w:r>
          </w:p>
          <w:p w14:paraId="1BA399BC" w14:textId="77777777" w:rsidR="002D6035" w:rsidRPr="00DA3C6E" w:rsidRDefault="002D6035" w:rsidP="00490DF0">
            <w:pPr>
              <w:pStyle w:val="TableText0"/>
              <w:jc w:val="left"/>
              <w:rPr>
                <w:snapToGrid w:val="0"/>
              </w:rPr>
            </w:pPr>
            <w:r w:rsidRPr="00DA3C6E">
              <w:rPr>
                <w:snapToGrid w:val="0"/>
              </w:rPr>
              <w:t>56 days (1.84 months)</w:t>
            </w:r>
          </w:p>
        </w:tc>
        <w:tc>
          <w:tcPr>
            <w:tcW w:w="652" w:type="pct"/>
            <w:shd w:val="clear" w:color="auto" w:fill="auto"/>
            <w:vAlign w:val="center"/>
          </w:tcPr>
          <w:p w14:paraId="6E4D8075" w14:textId="77777777" w:rsidR="002D6035" w:rsidRPr="00DA3C6E" w:rsidRDefault="002D6035" w:rsidP="00490DF0">
            <w:pPr>
              <w:pStyle w:val="TableText0"/>
              <w:jc w:val="left"/>
              <w:rPr>
                <w:snapToGrid w:val="0"/>
              </w:rPr>
            </w:pPr>
            <w:r w:rsidRPr="00DA3C6E">
              <w:rPr>
                <w:snapToGrid w:val="0"/>
              </w:rPr>
              <w:t>Some concern</w:t>
            </w:r>
          </w:p>
        </w:tc>
        <w:tc>
          <w:tcPr>
            <w:tcW w:w="1026" w:type="pct"/>
            <w:shd w:val="clear" w:color="auto" w:fill="auto"/>
            <w:vAlign w:val="center"/>
          </w:tcPr>
          <w:p w14:paraId="2E460D6E" w14:textId="77777777" w:rsidR="002D6035" w:rsidRPr="00DA3C6E" w:rsidRDefault="002D6035" w:rsidP="00490DF0">
            <w:pPr>
              <w:pStyle w:val="TableText0"/>
              <w:jc w:val="left"/>
              <w:rPr>
                <w:snapToGrid w:val="0"/>
              </w:rPr>
            </w:pPr>
            <w:r w:rsidRPr="00DA3C6E">
              <w:rPr>
                <w:szCs w:val="20"/>
              </w:rPr>
              <w:t>MMN with CB associated with high titre of anti-GM1 antibodies.</w:t>
            </w:r>
          </w:p>
        </w:tc>
        <w:tc>
          <w:tcPr>
            <w:tcW w:w="1177" w:type="pct"/>
            <w:gridSpan w:val="6"/>
            <w:shd w:val="clear" w:color="auto" w:fill="auto"/>
            <w:vAlign w:val="center"/>
          </w:tcPr>
          <w:p w14:paraId="507DF16D" w14:textId="77777777" w:rsidR="002D6035" w:rsidRPr="00DA3C6E" w:rsidRDefault="002D6035" w:rsidP="00490DF0">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Change in disability</w:t>
            </w:r>
            <w:r w:rsidR="00D80F79" w:rsidRPr="00DA3C6E">
              <w:rPr>
                <w:rFonts w:ascii="Arial Narrow" w:hAnsi="Arial Narrow"/>
                <w:sz w:val="20"/>
                <w:szCs w:val="20"/>
              </w:rPr>
              <w:t>;</w:t>
            </w:r>
          </w:p>
          <w:p w14:paraId="0AA3D2D8" w14:textId="77777777" w:rsidR="002D6035" w:rsidRPr="00DA3C6E" w:rsidRDefault="002D6035" w:rsidP="00490DF0">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muscle strength</w:t>
            </w:r>
            <w:r w:rsidR="00D80F79" w:rsidRPr="00DA3C6E">
              <w:rPr>
                <w:rFonts w:ascii="Arial Narrow" w:hAnsi="Arial Narrow"/>
                <w:sz w:val="20"/>
                <w:szCs w:val="20"/>
              </w:rPr>
              <w:t>.</w:t>
            </w:r>
          </w:p>
        </w:tc>
      </w:tr>
      <w:tr w:rsidR="002D6035" w:rsidRPr="00DA3C6E" w14:paraId="6122D99C" w14:textId="77777777" w:rsidTr="00D778BE">
        <w:trPr>
          <w:trHeight w:val="925"/>
        </w:trPr>
        <w:tc>
          <w:tcPr>
            <w:tcW w:w="837" w:type="pct"/>
            <w:shd w:val="clear" w:color="auto" w:fill="auto"/>
            <w:vAlign w:val="center"/>
          </w:tcPr>
          <w:p w14:paraId="264FDE1F" w14:textId="1D00BB4D" w:rsidR="002D6035" w:rsidRPr="00DA3C6E" w:rsidRDefault="002D6035" w:rsidP="00C04BCE">
            <w:pPr>
              <w:pStyle w:val="TableText0"/>
              <w:keepLines/>
              <w:jc w:val="left"/>
              <w:rPr>
                <w:snapToGrid w:val="0"/>
              </w:rPr>
            </w:pPr>
            <w:r w:rsidRPr="00DA3C6E">
              <w:rPr>
                <w:lang w:val="es-CL"/>
              </w:rPr>
              <w:t xml:space="preserve">Van den Berg et al.  </w:t>
            </w:r>
            <w:r w:rsidRPr="00DA3C6E">
              <w:t>1995</w:t>
            </w:r>
            <w:r w:rsidR="00BE7F1B">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p>
        </w:tc>
        <w:tc>
          <w:tcPr>
            <w:tcW w:w="373" w:type="pct"/>
            <w:shd w:val="clear" w:color="auto" w:fill="auto"/>
            <w:vAlign w:val="center"/>
          </w:tcPr>
          <w:p w14:paraId="6109166A" w14:textId="77777777" w:rsidR="002D6035" w:rsidRPr="00DA3C6E" w:rsidRDefault="002D6035" w:rsidP="00490DF0">
            <w:pPr>
              <w:pStyle w:val="TableText0"/>
              <w:keepLines/>
              <w:jc w:val="center"/>
              <w:rPr>
                <w:snapToGrid w:val="0"/>
              </w:rPr>
            </w:pPr>
            <w:r w:rsidRPr="00DA3C6E">
              <w:rPr>
                <w:szCs w:val="20"/>
              </w:rPr>
              <w:t>6</w:t>
            </w:r>
          </w:p>
        </w:tc>
        <w:tc>
          <w:tcPr>
            <w:tcW w:w="934" w:type="pct"/>
            <w:shd w:val="clear" w:color="auto" w:fill="auto"/>
            <w:vAlign w:val="center"/>
          </w:tcPr>
          <w:p w14:paraId="34ADC177" w14:textId="77777777" w:rsidR="002D6035" w:rsidRPr="00DA3C6E" w:rsidRDefault="002D6035" w:rsidP="00490DF0">
            <w:pPr>
              <w:pStyle w:val="TableText0"/>
              <w:keepLines/>
              <w:jc w:val="left"/>
              <w:rPr>
                <w:snapToGrid w:val="0"/>
              </w:rPr>
            </w:pPr>
            <w:r w:rsidRPr="00DA3C6E">
              <w:rPr>
                <w:snapToGrid w:val="0"/>
              </w:rPr>
              <w:t>OL, followed by R, DB</w:t>
            </w:r>
            <w:r w:rsidR="00D80F79" w:rsidRPr="00DA3C6E">
              <w:rPr>
                <w:snapToGrid w:val="0"/>
              </w:rPr>
              <w:t>/</w:t>
            </w:r>
          </w:p>
          <w:p w14:paraId="08E3CDB9" w14:textId="77777777" w:rsidR="002D6035" w:rsidRPr="00DA3C6E" w:rsidRDefault="002D6035" w:rsidP="00490DF0">
            <w:pPr>
              <w:pStyle w:val="TableText0"/>
              <w:keepLines/>
              <w:jc w:val="left"/>
              <w:rPr>
                <w:snapToGrid w:val="0"/>
              </w:rPr>
            </w:pPr>
            <w:r w:rsidRPr="00DA3C6E">
              <w:rPr>
                <w:snapToGrid w:val="0"/>
              </w:rPr>
              <w:t>26 months</w:t>
            </w:r>
          </w:p>
        </w:tc>
        <w:tc>
          <w:tcPr>
            <w:tcW w:w="652" w:type="pct"/>
            <w:shd w:val="clear" w:color="auto" w:fill="auto"/>
            <w:vAlign w:val="center"/>
          </w:tcPr>
          <w:p w14:paraId="2657DD5E" w14:textId="77777777" w:rsidR="002D6035" w:rsidRPr="00DA3C6E" w:rsidRDefault="002D6035" w:rsidP="00490DF0">
            <w:pPr>
              <w:pStyle w:val="TableText0"/>
              <w:keepLines/>
              <w:jc w:val="left"/>
              <w:rPr>
                <w:snapToGrid w:val="0"/>
              </w:rPr>
            </w:pPr>
            <w:r w:rsidRPr="00DA3C6E">
              <w:rPr>
                <w:snapToGrid w:val="0"/>
              </w:rPr>
              <w:t xml:space="preserve">Low </w:t>
            </w:r>
          </w:p>
        </w:tc>
        <w:tc>
          <w:tcPr>
            <w:tcW w:w="1026" w:type="pct"/>
            <w:shd w:val="clear" w:color="auto" w:fill="auto"/>
            <w:vAlign w:val="center"/>
          </w:tcPr>
          <w:p w14:paraId="13D42A9B" w14:textId="77777777" w:rsidR="002D6035" w:rsidRPr="00DA3C6E" w:rsidRDefault="002D6035" w:rsidP="00490DF0">
            <w:pPr>
              <w:pStyle w:val="TableText0"/>
              <w:keepLines/>
              <w:jc w:val="left"/>
              <w:rPr>
                <w:snapToGrid w:val="0"/>
              </w:rPr>
            </w:pPr>
            <w:r w:rsidRPr="00DA3C6E">
              <w:rPr>
                <w:szCs w:val="20"/>
              </w:rPr>
              <w:t>Patients with MMN with CB.</w:t>
            </w:r>
          </w:p>
        </w:tc>
        <w:tc>
          <w:tcPr>
            <w:tcW w:w="1177" w:type="pct"/>
            <w:gridSpan w:val="6"/>
            <w:shd w:val="clear" w:color="auto" w:fill="auto"/>
            <w:vAlign w:val="center"/>
          </w:tcPr>
          <w:p w14:paraId="4D732C69"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disability scale</w:t>
            </w:r>
            <w:r w:rsidR="00D80F79" w:rsidRPr="00DA3C6E">
              <w:rPr>
                <w:rFonts w:ascii="Arial Narrow" w:hAnsi="Arial Narrow"/>
                <w:sz w:val="20"/>
                <w:szCs w:val="20"/>
              </w:rPr>
              <w:t>;</w:t>
            </w:r>
          </w:p>
          <w:p w14:paraId="567BA983"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muscle strength</w:t>
            </w:r>
            <w:r w:rsidR="00D80F79" w:rsidRPr="00DA3C6E">
              <w:rPr>
                <w:rFonts w:ascii="Arial Narrow" w:hAnsi="Arial Narrow"/>
                <w:sz w:val="20"/>
                <w:szCs w:val="20"/>
              </w:rPr>
              <w:t>.</w:t>
            </w:r>
          </w:p>
        </w:tc>
      </w:tr>
      <w:tr w:rsidR="002D6035" w:rsidRPr="00DA3C6E" w14:paraId="07826B00" w14:textId="77777777" w:rsidTr="00D778BE">
        <w:trPr>
          <w:trHeight w:val="1670"/>
        </w:trPr>
        <w:tc>
          <w:tcPr>
            <w:tcW w:w="837" w:type="pct"/>
            <w:shd w:val="clear" w:color="auto" w:fill="auto"/>
            <w:vAlign w:val="center"/>
          </w:tcPr>
          <w:p w14:paraId="11031968" w14:textId="69742AB8" w:rsidR="002D6035" w:rsidRPr="00DA3C6E" w:rsidRDefault="002D6035" w:rsidP="00C04BCE">
            <w:pPr>
              <w:pStyle w:val="TableText0"/>
              <w:keepLines/>
              <w:jc w:val="left"/>
              <w:rPr>
                <w:snapToGrid w:val="0"/>
              </w:rPr>
            </w:pPr>
            <w:r w:rsidRPr="00DA3C6E">
              <w:t>Federico et al. 2000</w:t>
            </w:r>
            <w:r w:rsidR="00BE7F1B">
              <w:t xml:space="preserve"> </w: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w:t>
            </w:r>
            <w:r w:rsidR="00DB568A" w:rsidRPr="00DA3C6E">
              <w:fldChar w:fldCharType="end"/>
            </w:r>
          </w:p>
        </w:tc>
        <w:tc>
          <w:tcPr>
            <w:tcW w:w="373" w:type="pct"/>
            <w:shd w:val="clear" w:color="auto" w:fill="auto"/>
            <w:vAlign w:val="center"/>
          </w:tcPr>
          <w:p w14:paraId="3EF25531" w14:textId="77777777" w:rsidR="002D6035" w:rsidRPr="00DA3C6E" w:rsidRDefault="002D6035" w:rsidP="00490DF0">
            <w:pPr>
              <w:pStyle w:val="TableText0"/>
              <w:keepLines/>
              <w:jc w:val="center"/>
              <w:rPr>
                <w:snapToGrid w:val="0"/>
              </w:rPr>
            </w:pPr>
            <w:r w:rsidRPr="00DA3C6E">
              <w:rPr>
                <w:szCs w:val="20"/>
              </w:rPr>
              <w:t>16</w:t>
            </w:r>
          </w:p>
        </w:tc>
        <w:tc>
          <w:tcPr>
            <w:tcW w:w="934" w:type="pct"/>
            <w:shd w:val="clear" w:color="auto" w:fill="auto"/>
            <w:vAlign w:val="center"/>
          </w:tcPr>
          <w:p w14:paraId="71BB0B4B" w14:textId="77777777" w:rsidR="002D6035" w:rsidRPr="00DA3C6E" w:rsidRDefault="002D6035" w:rsidP="00490DF0">
            <w:pPr>
              <w:pStyle w:val="TableText0"/>
              <w:keepLines/>
              <w:jc w:val="left"/>
              <w:rPr>
                <w:snapToGrid w:val="0"/>
              </w:rPr>
            </w:pPr>
            <w:r w:rsidRPr="00DA3C6E">
              <w:rPr>
                <w:snapToGrid w:val="0"/>
              </w:rPr>
              <w:t>R, DB, MC</w:t>
            </w:r>
            <w:r w:rsidR="00D80F79" w:rsidRPr="00DA3C6E">
              <w:rPr>
                <w:snapToGrid w:val="0"/>
              </w:rPr>
              <w:t>/</w:t>
            </w:r>
          </w:p>
          <w:p w14:paraId="2FAD3BED" w14:textId="77777777" w:rsidR="002D6035" w:rsidRPr="00DA3C6E" w:rsidRDefault="002D6035" w:rsidP="00490DF0">
            <w:pPr>
              <w:pStyle w:val="TableText0"/>
              <w:keepLines/>
              <w:jc w:val="left"/>
              <w:rPr>
                <w:snapToGrid w:val="0"/>
              </w:rPr>
            </w:pPr>
            <w:r w:rsidRPr="00DA3C6E">
              <w:rPr>
                <w:snapToGrid w:val="0"/>
              </w:rPr>
              <w:t>Not reported</w:t>
            </w:r>
          </w:p>
        </w:tc>
        <w:tc>
          <w:tcPr>
            <w:tcW w:w="652" w:type="pct"/>
            <w:shd w:val="clear" w:color="auto" w:fill="auto"/>
            <w:vAlign w:val="center"/>
          </w:tcPr>
          <w:p w14:paraId="23E0BA5B" w14:textId="77777777" w:rsidR="002D6035" w:rsidRPr="00DA3C6E" w:rsidRDefault="002D6035" w:rsidP="00490DF0">
            <w:pPr>
              <w:pStyle w:val="TableText0"/>
              <w:keepLines/>
              <w:jc w:val="left"/>
              <w:rPr>
                <w:snapToGrid w:val="0"/>
              </w:rPr>
            </w:pPr>
            <w:r w:rsidRPr="00DA3C6E">
              <w:rPr>
                <w:snapToGrid w:val="0"/>
              </w:rPr>
              <w:t>Low</w:t>
            </w:r>
          </w:p>
        </w:tc>
        <w:tc>
          <w:tcPr>
            <w:tcW w:w="1026" w:type="pct"/>
            <w:shd w:val="clear" w:color="auto" w:fill="auto"/>
            <w:vAlign w:val="center"/>
          </w:tcPr>
          <w:p w14:paraId="7F5A04EE" w14:textId="77777777" w:rsidR="002D6035" w:rsidRPr="00DA3C6E" w:rsidRDefault="002D6035" w:rsidP="00490DF0">
            <w:pPr>
              <w:pStyle w:val="TableText0"/>
              <w:keepLines/>
              <w:jc w:val="left"/>
              <w:rPr>
                <w:snapToGrid w:val="0"/>
              </w:rPr>
            </w:pPr>
            <w:r w:rsidRPr="00DA3C6E">
              <w:rPr>
                <w:szCs w:val="20"/>
              </w:rPr>
              <w:t>Naïve patients with asymmetric lower motor neuron syndrome with no sensory or bulbar signs and partial CB (&gt;30%).</w:t>
            </w:r>
          </w:p>
        </w:tc>
        <w:tc>
          <w:tcPr>
            <w:tcW w:w="1177" w:type="pct"/>
            <w:gridSpan w:val="6"/>
            <w:shd w:val="clear" w:color="auto" w:fill="auto"/>
            <w:vAlign w:val="center"/>
          </w:tcPr>
          <w:p w14:paraId="3B7C106D" w14:textId="6637C771"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 xml:space="preserve">Change in </w:t>
            </w:r>
            <w:r w:rsidR="00D80F79" w:rsidRPr="00DA3C6E">
              <w:rPr>
                <w:rFonts w:ascii="Arial Narrow" w:hAnsi="Arial Narrow"/>
                <w:sz w:val="20"/>
                <w:szCs w:val="20"/>
              </w:rPr>
              <w:t xml:space="preserve">disability using the </w:t>
            </w:r>
            <w:r w:rsidRPr="00DA3C6E">
              <w:rPr>
                <w:rFonts w:ascii="Arial Narrow" w:hAnsi="Arial Narrow"/>
                <w:sz w:val="20"/>
                <w:szCs w:val="20"/>
              </w:rPr>
              <w:t>NDS</w:t>
            </w:r>
            <w:r w:rsidR="00D80F79" w:rsidRPr="00DA3C6E">
              <w:rPr>
                <w:rFonts w:ascii="Arial Narrow" w:hAnsi="Arial Narrow"/>
                <w:sz w:val="20"/>
                <w:szCs w:val="20"/>
              </w:rPr>
              <w:t>;</w:t>
            </w:r>
          </w:p>
          <w:p w14:paraId="218F0A14"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maximal grip strength</w:t>
            </w:r>
            <w:r w:rsidR="00D80F79" w:rsidRPr="00DA3C6E">
              <w:rPr>
                <w:rFonts w:ascii="Arial Narrow" w:hAnsi="Arial Narrow"/>
                <w:sz w:val="20"/>
                <w:szCs w:val="20"/>
              </w:rPr>
              <w:t>.</w:t>
            </w:r>
          </w:p>
        </w:tc>
      </w:tr>
      <w:tr w:rsidR="002D6035" w:rsidRPr="00DA3C6E" w14:paraId="44EAA997" w14:textId="77777777" w:rsidTr="00D778BE">
        <w:trPr>
          <w:trHeight w:val="988"/>
        </w:trPr>
        <w:tc>
          <w:tcPr>
            <w:tcW w:w="837" w:type="pct"/>
            <w:shd w:val="clear" w:color="auto" w:fill="auto"/>
            <w:vAlign w:val="center"/>
          </w:tcPr>
          <w:p w14:paraId="314F8849" w14:textId="0A40F957" w:rsidR="002D6035" w:rsidRPr="00DA3C6E" w:rsidRDefault="002D6035" w:rsidP="00C04BCE">
            <w:pPr>
              <w:pStyle w:val="TableText0"/>
              <w:keepLines/>
              <w:jc w:val="left"/>
              <w:rPr>
                <w:snapToGrid w:val="0"/>
              </w:rPr>
            </w:pPr>
            <w:r w:rsidRPr="00DA3C6E">
              <w:t>Leger et al. 2001</w:t>
            </w:r>
            <w:r w:rsidR="00BE7F1B">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p>
        </w:tc>
        <w:tc>
          <w:tcPr>
            <w:tcW w:w="373" w:type="pct"/>
            <w:shd w:val="clear" w:color="auto" w:fill="auto"/>
            <w:vAlign w:val="center"/>
          </w:tcPr>
          <w:p w14:paraId="532C3594" w14:textId="77777777" w:rsidR="002D6035" w:rsidRPr="00DA3C6E" w:rsidRDefault="002D6035" w:rsidP="00490DF0">
            <w:pPr>
              <w:pStyle w:val="TableText0"/>
              <w:keepLines/>
              <w:jc w:val="center"/>
              <w:rPr>
                <w:snapToGrid w:val="0"/>
              </w:rPr>
            </w:pPr>
            <w:r w:rsidRPr="00DA3C6E">
              <w:rPr>
                <w:szCs w:val="20"/>
              </w:rPr>
              <w:t>19</w:t>
            </w:r>
          </w:p>
        </w:tc>
        <w:tc>
          <w:tcPr>
            <w:tcW w:w="934" w:type="pct"/>
            <w:shd w:val="clear" w:color="auto" w:fill="auto"/>
            <w:vAlign w:val="center"/>
          </w:tcPr>
          <w:p w14:paraId="62105F88" w14:textId="77777777" w:rsidR="002D6035" w:rsidRPr="00DA3C6E" w:rsidRDefault="002D6035" w:rsidP="00490DF0">
            <w:pPr>
              <w:pStyle w:val="TableText0"/>
              <w:keepLines/>
              <w:jc w:val="left"/>
              <w:rPr>
                <w:snapToGrid w:val="0"/>
              </w:rPr>
            </w:pPr>
            <w:r w:rsidRPr="00DA3C6E">
              <w:rPr>
                <w:snapToGrid w:val="0"/>
              </w:rPr>
              <w:t>R, DB</w:t>
            </w:r>
            <w:r w:rsidR="00D80F79" w:rsidRPr="00DA3C6E">
              <w:rPr>
                <w:snapToGrid w:val="0"/>
              </w:rPr>
              <w:t>/</w:t>
            </w:r>
          </w:p>
          <w:p w14:paraId="292DCC69" w14:textId="77777777" w:rsidR="002D6035" w:rsidRPr="00DA3C6E" w:rsidRDefault="002D6035" w:rsidP="00490DF0">
            <w:pPr>
              <w:pStyle w:val="TableText0"/>
              <w:keepLines/>
              <w:jc w:val="left"/>
              <w:rPr>
                <w:snapToGrid w:val="0"/>
              </w:rPr>
            </w:pPr>
            <w:r w:rsidRPr="00DA3C6E">
              <w:rPr>
                <w:snapToGrid w:val="0"/>
              </w:rPr>
              <w:t>7 months</w:t>
            </w:r>
          </w:p>
        </w:tc>
        <w:tc>
          <w:tcPr>
            <w:tcW w:w="652" w:type="pct"/>
            <w:shd w:val="clear" w:color="auto" w:fill="auto"/>
            <w:vAlign w:val="center"/>
          </w:tcPr>
          <w:p w14:paraId="5D07901D" w14:textId="77777777" w:rsidR="002D6035" w:rsidRPr="00DA3C6E" w:rsidRDefault="002D6035" w:rsidP="00490DF0">
            <w:pPr>
              <w:pStyle w:val="TableText0"/>
              <w:keepLines/>
              <w:jc w:val="left"/>
              <w:rPr>
                <w:snapToGrid w:val="0"/>
              </w:rPr>
            </w:pPr>
            <w:r w:rsidRPr="00DA3C6E">
              <w:rPr>
                <w:snapToGrid w:val="0"/>
              </w:rPr>
              <w:t>Low</w:t>
            </w:r>
          </w:p>
        </w:tc>
        <w:tc>
          <w:tcPr>
            <w:tcW w:w="1026" w:type="pct"/>
            <w:shd w:val="clear" w:color="auto" w:fill="auto"/>
            <w:vAlign w:val="center"/>
          </w:tcPr>
          <w:p w14:paraId="06309CAE" w14:textId="77777777" w:rsidR="002D6035" w:rsidRPr="00DA3C6E" w:rsidRDefault="002D6035" w:rsidP="00490DF0">
            <w:pPr>
              <w:pStyle w:val="TableText0"/>
              <w:keepLines/>
              <w:jc w:val="left"/>
              <w:rPr>
                <w:snapToGrid w:val="0"/>
              </w:rPr>
            </w:pPr>
            <w:r w:rsidRPr="00DA3C6E">
              <w:rPr>
                <w:szCs w:val="20"/>
              </w:rPr>
              <w:t xml:space="preserve">Naïve and previously treated patients with persistent CB. </w:t>
            </w:r>
          </w:p>
        </w:tc>
        <w:tc>
          <w:tcPr>
            <w:tcW w:w="1177" w:type="pct"/>
            <w:gridSpan w:val="6"/>
            <w:shd w:val="clear" w:color="auto" w:fill="auto"/>
            <w:vAlign w:val="center"/>
          </w:tcPr>
          <w:p w14:paraId="11F76128"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muscle strength</w:t>
            </w:r>
            <w:r w:rsidR="00D80F79" w:rsidRPr="00DA3C6E">
              <w:rPr>
                <w:rFonts w:ascii="Arial Narrow" w:hAnsi="Arial Narrow"/>
                <w:sz w:val="20"/>
                <w:szCs w:val="20"/>
              </w:rPr>
              <w:t>;</w:t>
            </w:r>
          </w:p>
          <w:p w14:paraId="5A56F9DF"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Overall response</w:t>
            </w:r>
            <w:r w:rsidR="00D80F79" w:rsidRPr="00DA3C6E">
              <w:rPr>
                <w:rFonts w:ascii="Arial Narrow" w:hAnsi="Arial Narrow"/>
                <w:sz w:val="20"/>
                <w:szCs w:val="20"/>
              </w:rPr>
              <w:t>;</w:t>
            </w:r>
          </w:p>
          <w:p w14:paraId="55BCBEA5"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Self-evaluation score</w:t>
            </w:r>
            <w:r w:rsidR="00D80F79" w:rsidRPr="00DA3C6E">
              <w:rPr>
                <w:rFonts w:ascii="Arial Narrow" w:hAnsi="Arial Narrow"/>
                <w:sz w:val="20"/>
                <w:szCs w:val="20"/>
              </w:rPr>
              <w:t>.</w:t>
            </w:r>
          </w:p>
        </w:tc>
      </w:tr>
      <w:tr w:rsidR="002D6035" w:rsidRPr="00DA3C6E" w14:paraId="27BBB3A5" w14:textId="77777777" w:rsidTr="00D778BE">
        <w:trPr>
          <w:trHeight w:val="1616"/>
        </w:trPr>
        <w:tc>
          <w:tcPr>
            <w:tcW w:w="837" w:type="pct"/>
            <w:tcBorders>
              <w:bottom w:val="single" w:sz="4" w:space="0" w:color="auto"/>
            </w:tcBorders>
            <w:shd w:val="clear" w:color="auto" w:fill="auto"/>
            <w:vAlign w:val="center"/>
          </w:tcPr>
          <w:p w14:paraId="7978E40A" w14:textId="77308711" w:rsidR="002D6035" w:rsidRPr="00DA3C6E" w:rsidRDefault="002D6035" w:rsidP="00C04BCE">
            <w:pPr>
              <w:pStyle w:val="TableText0"/>
              <w:keepLines/>
              <w:jc w:val="left"/>
              <w:rPr>
                <w:snapToGrid w:val="0"/>
              </w:rPr>
            </w:pPr>
            <w:r w:rsidRPr="00DA3C6E">
              <w:t>Hahn et al. 2013</w:t>
            </w:r>
            <w:r w:rsidR="00BE7F1B">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p>
        </w:tc>
        <w:tc>
          <w:tcPr>
            <w:tcW w:w="373" w:type="pct"/>
            <w:tcBorders>
              <w:bottom w:val="single" w:sz="4" w:space="0" w:color="auto"/>
            </w:tcBorders>
            <w:shd w:val="clear" w:color="auto" w:fill="auto"/>
            <w:vAlign w:val="center"/>
          </w:tcPr>
          <w:p w14:paraId="2DD139D6" w14:textId="77777777" w:rsidR="002D6035" w:rsidRPr="00DA3C6E" w:rsidRDefault="002D6035" w:rsidP="00490DF0">
            <w:pPr>
              <w:pStyle w:val="TableText0"/>
              <w:keepLines/>
              <w:jc w:val="center"/>
              <w:rPr>
                <w:snapToGrid w:val="0"/>
              </w:rPr>
            </w:pPr>
            <w:r w:rsidRPr="00DA3C6E">
              <w:rPr>
                <w:szCs w:val="20"/>
              </w:rPr>
              <w:t>44</w:t>
            </w:r>
          </w:p>
        </w:tc>
        <w:tc>
          <w:tcPr>
            <w:tcW w:w="934" w:type="pct"/>
            <w:tcBorders>
              <w:bottom w:val="single" w:sz="4" w:space="0" w:color="auto"/>
            </w:tcBorders>
            <w:shd w:val="clear" w:color="auto" w:fill="auto"/>
            <w:vAlign w:val="center"/>
          </w:tcPr>
          <w:p w14:paraId="4EA4974A" w14:textId="77777777" w:rsidR="002D6035" w:rsidRPr="00DA3C6E" w:rsidRDefault="002D6035" w:rsidP="00490DF0">
            <w:pPr>
              <w:pStyle w:val="TableText0"/>
              <w:keepLines/>
              <w:jc w:val="left"/>
              <w:rPr>
                <w:snapToGrid w:val="0"/>
              </w:rPr>
            </w:pPr>
            <w:r w:rsidRPr="00DA3C6E">
              <w:rPr>
                <w:snapToGrid w:val="0"/>
              </w:rPr>
              <w:t>R, OL followed by DB, MC</w:t>
            </w:r>
            <w:r w:rsidR="00D80F79" w:rsidRPr="00DA3C6E">
              <w:rPr>
                <w:snapToGrid w:val="0"/>
              </w:rPr>
              <w:t>/</w:t>
            </w:r>
          </w:p>
          <w:p w14:paraId="1B4CD5D7" w14:textId="77777777" w:rsidR="002D6035" w:rsidRPr="00DA3C6E" w:rsidRDefault="002D6035" w:rsidP="00490DF0">
            <w:pPr>
              <w:pStyle w:val="TableText0"/>
              <w:keepLines/>
              <w:jc w:val="left"/>
              <w:rPr>
                <w:snapToGrid w:val="0"/>
              </w:rPr>
            </w:pPr>
            <w:r w:rsidRPr="00DA3C6E">
              <w:rPr>
                <w:snapToGrid w:val="0"/>
              </w:rPr>
              <w:t>335 days (11.01 months)</w:t>
            </w:r>
          </w:p>
        </w:tc>
        <w:tc>
          <w:tcPr>
            <w:tcW w:w="652" w:type="pct"/>
            <w:tcBorders>
              <w:bottom w:val="single" w:sz="4" w:space="0" w:color="auto"/>
            </w:tcBorders>
            <w:shd w:val="clear" w:color="auto" w:fill="auto"/>
            <w:vAlign w:val="center"/>
          </w:tcPr>
          <w:p w14:paraId="6DB4586B" w14:textId="77777777" w:rsidR="002D6035" w:rsidRPr="00DA3C6E" w:rsidRDefault="002D6035" w:rsidP="00490DF0">
            <w:pPr>
              <w:pStyle w:val="TableText0"/>
              <w:keepLines/>
              <w:jc w:val="left"/>
              <w:rPr>
                <w:snapToGrid w:val="0"/>
              </w:rPr>
            </w:pPr>
            <w:r w:rsidRPr="00DA3C6E">
              <w:rPr>
                <w:snapToGrid w:val="0"/>
              </w:rPr>
              <w:t>Low</w:t>
            </w:r>
          </w:p>
        </w:tc>
        <w:tc>
          <w:tcPr>
            <w:tcW w:w="1026" w:type="pct"/>
            <w:tcBorders>
              <w:bottom w:val="single" w:sz="4" w:space="0" w:color="auto"/>
            </w:tcBorders>
            <w:shd w:val="clear" w:color="auto" w:fill="auto"/>
            <w:vAlign w:val="center"/>
          </w:tcPr>
          <w:p w14:paraId="3AB0ED5E" w14:textId="77777777" w:rsidR="002D6035" w:rsidRPr="00DA3C6E" w:rsidRDefault="002D6035" w:rsidP="00490DF0">
            <w:pPr>
              <w:pStyle w:val="TableText0"/>
              <w:keepLines/>
              <w:jc w:val="left"/>
              <w:rPr>
                <w:snapToGrid w:val="0"/>
              </w:rPr>
            </w:pPr>
            <w:r w:rsidRPr="00DA3C6E">
              <w:rPr>
                <w:szCs w:val="20"/>
              </w:rPr>
              <w:t>Probable or definite MMN, all previously treated and with definite CB.</w:t>
            </w:r>
          </w:p>
        </w:tc>
        <w:tc>
          <w:tcPr>
            <w:tcW w:w="1177" w:type="pct"/>
            <w:gridSpan w:val="6"/>
            <w:tcBorders>
              <w:bottom w:val="single" w:sz="4" w:space="0" w:color="auto"/>
            </w:tcBorders>
            <w:shd w:val="clear" w:color="auto" w:fill="auto"/>
            <w:vAlign w:val="center"/>
          </w:tcPr>
          <w:p w14:paraId="308F0997"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Change (deterioration) in disability in the upper limb portion</w:t>
            </w:r>
            <w:r w:rsidR="00D80F79" w:rsidRPr="00DA3C6E">
              <w:rPr>
                <w:rFonts w:ascii="Arial Narrow" w:hAnsi="Arial Narrow"/>
                <w:sz w:val="20"/>
                <w:szCs w:val="20"/>
              </w:rPr>
              <w:t>;</w:t>
            </w:r>
          </w:p>
          <w:p w14:paraId="7A6FA28B" w14:textId="77777777" w:rsidR="002D6035" w:rsidRPr="00DA3C6E" w:rsidRDefault="002D6035" w:rsidP="00490DF0">
            <w:pPr>
              <w:pStyle w:val="ListParagraph"/>
              <w:keepNext/>
              <w:keepLines/>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Increased maximal grip strength in the more affected arm</w:t>
            </w:r>
            <w:r w:rsidR="00D80F79" w:rsidRPr="00DA3C6E">
              <w:rPr>
                <w:rFonts w:ascii="Arial Narrow" w:hAnsi="Arial Narrow"/>
                <w:sz w:val="20"/>
                <w:szCs w:val="20"/>
              </w:rPr>
              <w:t>.</w:t>
            </w:r>
          </w:p>
        </w:tc>
      </w:tr>
      <w:tr w:rsidR="002D6035" w:rsidRPr="00DA3C6E" w14:paraId="10CAAB76" w14:textId="77777777" w:rsidTr="00D778BE">
        <w:trPr>
          <w:trHeight w:val="308"/>
        </w:trPr>
        <w:tc>
          <w:tcPr>
            <w:tcW w:w="837" w:type="pct"/>
            <w:tcBorders>
              <w:right w:val="nil"/>
            </w:tcBorders>
            <w:shd w:val="clear" w:color="auto" w:fill="auto"/>
            <w:vAlign w:val="center"/>
          </w:tcPr>
          <w:p w14:paraId="66E7923D" w14:textId="77777777" w:rsidR="002D6035" w:rsidRPr="00DA3C6E" w:rsidRDefault="002D6035" w:rsidP="00490DF0">
            <w:pPr>
              <w:pStyle w:val="TableText0"/>
              <w:keepLines/>
              <w:rPr>
                <w:b/>
                <w:snapToGrid w:val="0"/>
              </w:rPr>
            </w:pPr>
            <w:r w:rsidRPr="00DA3C6E">
              <w:rPr>
                <w:b/>
                <w:snapToGrid w:val="0"/>
              </w:rPr>
              <w:t>Meta-analysis</w:t>
            </w:r>
          </w:p>
        </w:tc>
        <w:tc>
          <w:tcPr>
            <w:tcW w:w="373" w:type="pct"/>
            <w:tcBorders>
              <w:left w:val="nil"/>
              <w:right w:val="nil"/>
            </w:tcBorders>
            <w:shd w:val="clear" w:color="auto" w:fill="auto"/>
            <w:vAlign w:val="center"/>
          </w:tcPr>
          <w:p w14:paraId="5CE20B12" w14:textId="77777777" w:rsidR="002D6035" w:rsidRPr="00DA3C6E" w:rsidRDefault="002D6035" w:rsidP="00490DF0">
            <w:pPr>
              <w:pStyle w:val="TableText0"/>
              <w:keepLines/>
              <w:jc w:val="center"/>
              <w:rPr>
                <w:snapToGrid w:val="0"/>
              </w:rPr>
            </w:pPr>
          </w:p>
        </w:tc>
        <w:tc>
          <w:tcPr>
            <w:tcW w:w="934" w:type="pct"/>
            <w:tcBorders>
              <w:left w:val="nil"/>
              <w:right w:val="nil"/>
            </w:tcBorders>
            <w:shd w:val="clear" w:color="auto" w:fill="auto"/>
            <w:vAlign w:val="center"/>
          </w:tcPr>
          <w:p w14:paraId="66CF945E" w14:textId="77777777" w:rsidR="002D6035" w:rsidRPr="00DA3C6E" w:rsidRDefault="002D6035" w:rsidP="00490DF0">
            <w:pPr>
              <w:pStyle w:val="TableText0"/>
              <w:keepLines/>
              <w:jc w:val="center"/>
              <w:rPr>
                <w:snapToGrid w:val="0"/>
                <w:color w:val="FFFFFF" w:themeColor="background1"/>
              </w:rPr>
            </w:pPr>
            <w:r w:rsidRPr="00DA3C6E">
              <w:rPr>
                <w:snapToGrid w:val="0"/>
                <w:color w:val="FFFFFF" w:themeColor="background1"/>
              </w:rPr>
              <w:t>-</w:t>
            </w:r>
          </w:p>
        </w:tc>
        <w:tc>
          <w:tcPr>
            <w:tcW w:w="652" w:type="pct"/>
            <w:tcBorders>
              <w:left w:val="nil"/>
              <w:right w:val="nil"/>
            </w:tcBorders>
            <w:shd w:val="clear" w:color="auto" w:fill="auto"/>
            <w:vAlign w:val="center"/>
          </w:tcPr>
          <w:p w14:paraId="447BCA64" w14:textId="77777777" w:rsidR="002D6035" w:rsidRPr="00DA3C6E" w:rsidRDefault="002D6035" w:rsidP="00490DF0">
            <w:pPr>
              <w:pStyle w:val="TableText0"/>
              <w:keepLines/>
              <w:jc w:val="center"/>
              <w:rPr>
                <w:snapToGrid w:val="0"/>
                <w:color w:val="FFFFFF" w:themeColor="background1"/>
              </w:rPr>
            </w:pPr>
            <w:r w:rsidRPr="00DA3C6E">
              <w:rPr>
                <w:snapToGrid w:val="0"/>
                <w:color w:val="FFFFFF" w:themeColor="background1"/>
              </w:rPr>
              <w:t>-</w:t>
            </w:r>
          </w:p>
        </w:tc>
        <w:tc>
          <w:tcPr>
            <w:tcW w:w="1026" w:type="pct"/>
            <w:tcBorders>
              <w:left w:val="nil"/>
              <w:right w:val="nil"/>
            </w:tcBorders>
            <w:shd w:val="clear" w:color="auto" w:fill="auto"/>
            <w:vAlign w:val="center"/>
          </w:tcPr>
          <w:p w14:paraId="5C103BEA" w14:textId="77777777" w:rsidR="002D6035" w:rsidRPr="00DA3C6E" w:rsidRDefault="002D6035" w:rsidP="00490DF0">
            <w:pPr>
              <w:pStyle w:val="TableText0"/>
              <w:keepLines/>
              <w:jc w:val="center"/>
              <w:rPr>
                <w:snapToGrid w:val="0"/>
              </w:rPr>
            </w:pPr>
          </w:p>
        </w:tc>
        <w:tc>
          <w:tcPr>
            <w:tcW w:w="196" w:type="pct"/>
            <w:tcBorders>
              <w:left w:val="nil"/>
              <w:right w:val="nil"/>
            </w:tcBorders>
            <w:shd w:val="clear" w:color="auto" w:fill="auto"/>
            <w:vAlign w:val="center"/>
          </w:tcPr>
          <w:p w14:paraId="75D754D3" w14:textId="77777777" w:rsidR="002D6035" w:rsidRPr="00DA3C6E" w:rsidRDefault="002D6035" w:rsidP="00490DF0">
            <w:pPr>
              <w:pStyle w:val="TableText0"/>
              <w:keepLines/>
              <w:jc w:val="center"/>
              <w:rPr>
                <w:snapToGrid w:val="0"/>
              </w:rPr>
            </w:pPr>
            <w:r w:rsidRPr="00DA3C6E">
              <w:rPr>
                <w:snapToGrid w:val="0"/>
                <w:color w:val="FFFFFF" w:themeColor="background1"/>
              </w:rPr>
              <w:t>-</w:t>
            </w:r>
          </w:p>
        </w:tc>
        <w:tc>
          <w:tcPr>
            <w:tcW w:w="196" w:type="pct"/>
            <w:tcBorders>
              <w:left w:val="nil"/>
              <w:right w:val="nil"/>
            </w:tcBorders>
            <w:shd w:val="clear" w:color="auto" w:fill="auto"/>
            <w:vAlign w:val="center"/>
          </w:tcPr>
          <w:p w14:paraId="60DE142B" w14:textId="77777777" w:rsidR="002D6035" w:rsidRPr="00DA3C6E" w:rsidRDefault="002D6035" w:rsidP="00490DF0">
            <w:pPr>
              <w:pStyle w:val="TableText0"/>
              <w:keepLines/>
              <w:jc w:val="center"/>
              <w:rPr>
                <w:snapToGrid w:val="0"/>
              </w:rPr>
            </w:pPr>
          </w:p>
        </w:tc>
        <w:tc>
          <w:tcPr>
            <w:tcW w:w="196" w:type="pct"/>
            <w:tcBorders>
              <w:left w:val="nil"/>
              <w:right w:val="nil"/>
            </w:tcBorders>
            <w:shd w:val="clear" w:color="auto" w:fill="auto"/>
            <w:vAlign w:val="center"/>
          </w:tcPr>
          <w:p w14:paraId="42B896A7" w14:textId="77777777" w:rsidR="002D6035" w:rsidRPr="00DA3C6E" w:rsidRDefault="002D6035" w:rsidP="00490DF0">
            <w:pPr>
              <w:pStyle w:val="TableText0"/>
              <w:keepLines/>
              <w:jc w:val="center"/>
              <w:rPr>
                <w:snapToGrid w:val="0"/>
              </w:rPr>
            </w:pPr>
          </w:p>
        </w:tc>
        <w:tc>
          <w:tcPr>
            <w:tcW w:w="196" w:type="pct"/>
            <w:tcBorders>
              <w:left w:val="nil"/>
              <w:right w:val="nil"/>
            </w:tcBorders>
            <w:shd w:val="clear" w:color="auto" w:fill="auto"/>
            <w:vAlign w:val="center"/>
          </w:tcPr>
          <w:p w14:paraId="3E786720" w14:textId="77777777" w:rsidR="002D6035" w:rsidRPr="00DA3C6E" w:rsidRDefault="002D6035" w:rsidP="00490DF0">
            <w:pPr>
              <w:pStyle w:val="TableText0"/>
              <w:keepLines/>
              <w:jc w:val="center"/>
              <w:rPr>
                <w:snapToGrid w:val="0"/>
              </w:rPr>
            </w:pPr>
          </w:p>
        </w:tc>
        <w:tc>
          <w:tcPr>
            <w:tcW w:w="196" w:type="pct"/>
            <w:tcBorders>
              <w:left w:val="nil"/>
              <w:right w:val="nil"/>
            </w:tcBorders>
            <w:shd w:val="clear" w:color="auto" w:fill="auto"/>
            <w:vAlign w:val="center"/>
          </w:tcPr>
          <w:p w14:paraId="2C190407" w14:textId="77777777" w:rsidR="002D6035" w:rsidRPr="00DA3C6E" w:rsidRDefault="002D6035" w:rsidP="00490DF0">
            <w:pPr>
              <w:pStyle w:val="TableText0"/>
              <w:keepLines/>
              <w:jc w:val="center"/>
              <w:rPr>
                <w:snapToGrid w:val="0"/>
              </w:rPr>
            </w:pPr>
          </w:p>
        </w:tc>
        <w:tc>
          <w:tcPr>
            <w:tcW w:w="196" w:type="pct"/>
            <w:tcBorders>
              <w:left w:val="nil"/>
              <w:right w:val="single" w:sz="4" w:space="0" w:color="auto"/>
            </w:tcBorders>
            <w:shd w:val="clear" w:color="auto" w:fill="auto"/>
            <w:vAlign w:val="center"/>
          </w:tcPr>
          <w:p w14:paraId="56BC4C5F" w14:textId="77777777" w:rsidR="002D6035" w:rsidRPr="00DA3C6E" w:rsidRDefault="002D6035" w:rsidP="00490DF0">
            <w:pPr>
              <w:pStyle w:val="TableText0"/>
              <w:keepLines/>
              <w:jc w:val="center"/>
              <w:rPr>
                <w:snapToGrid w:val="0"/>
              </w:rPr>
            </w:pPr>
          </w:p>
        </w:tc>
      </w:tr>
      <w:tr w:rsidR="002D6035" w:rsidRPr="00DA3C6E" w14:paraId="52691EEE" w14:textId="77777777" w:rsidTr="00D778BE">
        <w:trPr>
          <w:trHeight w:val="574"/>
        </w:trPr>
        <w:tc>
          <w:tcPr>
            <w:tcW w:w="837" w:type="pct"/>
            <w:shd w:val="clear" w:color="auto" w:fill="auto"/>
            <w:vAlign w:val="center"/>
          </w:tcPr>
          <w:p w14:paraId="4A208444" w14:textId="77777777" w:rsidR="002D6035" w:rsidRPr="00DA3C6E" w:rsidRDefault="002D6035" w:rsidP="00490DF0">
            <w:pPr>
              <w:pStyle w:val="TableText0"/>
              <w:keepLines/>
              <w:jc w:val="left"/>
              <w:rPr>
                <w:snapToGrid w:val="0"/>
              </w:rPr>
            </w:pPr>
            <w:r w:rsidRPr="00DA3C6E">
              <w:rPr>
                <w:snapToGrid w:val="0"/>
              </w:rPr>
              <w:t>Improvement in disability</w:t>
            </w:r>
          </w:p>
        </w:tc>
        <w:tc>
          <w:tcPr>
            <w:tcW w:w="373" w:type="pct"/>
            <w:shd w:val="clear" w:color="auto" w:fill="auto"/>
            <w:vAlign w:val="center"/>
          </w:tcPr>
          <w:p w14:paraId="5C7EF998" w14:textId="77777777" w:rsidR="002C0DCC" w:rsidRPr="00DA3C6E" w:rsidRDefault="00A710CA" w:rsidP="002C0DCC">
            <w:pPr>
              <w:pStyle w:val="TableText0"/>
              <w:keepLines/>
              <w:jc w:val="center"/>
              <w:rPr>
                <w:snapToGrid w:val="0"/>
              </w:rPr>
            </w:pPr>
            <w:r w:rsidRPr="00DA3C6E">
              <w:rPr>
                <w:snapToGrid w:val="0"/>
              </w:rPr>
              <w:t>N=</w:t>
            </w:r>
            <w:r w:rsidR="002C0DCC" w:rsidRPr="00DA3C6E">
              <w:rPr>
                <w:snapToGrid w:val="0"/>
              </w:rPr>
              <w:t>60</w:t>
            </w:r>
          </w:p>
          <w:p w14:paraId="0E3A34B5" w14:textId="77777777" w:rsidR="002D6035" w:rsidRPr="00DA3C6E" w:rsidRDefault="002D6035" w:rsidP="002C0DCC">
            <w:pPr>
              <w:pStyle w:val="TableText0"/>
              <w:keepLines/>
              <w:jc w:val="center"/>
              <w:rPr>
                <w:snapToGrid w:val="0"/>
              </w:rPr>
            </w:pPr>
            <w:r w:rsidRPr="00DA3C6E">
              <w:rPr>
                <w:snapToGrid w:val="0"/>
              </w:rPr>
              <w:t xml:space="preserve">k = </w:t>
            </w:r>
            <w:r w:rsidR="002C0DCC" w:rsidRPr="00DA3C6E">
              <w:rPr>
                <w:snapToGrid w:val="0"/>
              </w:rPr>
              <w:t>2</w:t>
            </w:r>
          </w:p>
        </w:tc>
        <w:tc>
          <w:tcPr>
            <w:tcW w:w="3790" w:type="pct"/>
            <w:gridSpan w:val="9"/>
            <w:shd w:val="clear" w:color="auto" w:fill="auto"/>
            <w:vAlign w:val="center"/>
          </w:tcPr>
          <w:p w14:paraId="6A04BA39" w14:textId="77777777" w:rsidR="002D6035" w:rsidRPr="00DA3C6E" w:rsidRDefault="00A710CA" w:rsidP="00490DF0">
            <w:pPr>
              <w:pStyle w:val="TableText0"/>
              <w:keepLines/>
              <w:jc w:val="left"/>
              <w:rPr>
                <w:snapToGrid w:val="0"/>
                <w:color w:val="FFFFFF" w:themeColor="background1"/>
              </w:rPr>
            </w:pPr>
            <w:r w:rsidRPr="00DA3C6E">
              <w:rPr>
                <w:snapToGrid w:val="0"/>
              </w:rPr>
              <w:t xml:space="preserve">Random </w:t>
            </w:r>
            <w:r w:rsidR="002D6035" w:rsidRPr="00DA3C6E">
              <w:rPr>
                <w:snapToGrid w:val="0"/>
              </w:rPr>
              <w:t>effect model; overall pooled analysis and heterogeneity analysis presented</w:t>
            </w:r>
            <w:r w:rsidR="00D80F79" w:rsidRPr="00DA3C6E">
              <w:rPr>
                <w:snapToGrid w:val="0"/>
              </w:rPr>
              <w:t>.</w:t>
            </w:r>
          </w:p>
        </w:tc>
      </w:tr>
      <w:tr w:rsidR="002D6035" w:rsidRPr="00DA3C6E" w14:paraId="4C0DE32F" w14:textId="77777777" w:rsidTr="00D778BE">
        <w:trPr>
          <w:trHeight w:val="564"/>
        </w:trPr>
        <w:tc>
          <w:tcPr>
            <w:tcW w:w="837" w:type="pct"/>
            <w:shd w:val="clear" w:color="auto" w:fill="auto"/>
            <w:vAlign w:val="center"/>
          </w:tcPr>
          <w:p w14:paraId="25D484D4" w14:textId="77777777" w:rsidR="002D6035" w:rsidRPr="00DA3C6E" w:rsidRDefault="002D6035" w:rsidP="00490DF0">
            <w:pPr>
              <w:pStyle w:val="TableText0"/>
              <w:keepLines/>
              <w:jc w:val="left"/>
              <w:rPr>
                <w:snapToGrid w:val="0"/>
              </w:rPr>
            </w:pPr>
            <w:r w:rsidRPr="00DA3C6E">
              <w:rPr>
                <w:snapToGrid w:val="0"/>
              </w:rPr>
              <w:t xml:space="preserve">Mean change in disability </w:t>
            </w:r>
          </w:p>
        </w:tc>
        <w:tc>
          <w:tcPr>
            <w:tcW w:w="373" w:type="pct"/>
            <w:shd w:val="clear" w:color="auto" w:fill="auto"/>
            <w:vAlign w:val="center"/>
          </w:tcPr>
          <w:p w14:paraId="64F86FDC" w14:textId="77777777" w:rsidR="002D6035" w:rsidRPr="00DA3C6E" w:rsidRDefault="00A710CA" w:rsidP="00490DF0">
            <w:pPr>
              <w:pStyle w:val="TableText0"/>
              <w:keepLines/>
              <w:jc w:val="center"/>
              <w:rPr>
                <w:snapToGrid w:val="0"/>
              </w:rPr>
            </w:pPr>
            <w:r w:rsidRPr="00DA3C6E">
              <w:rPr>
                <w:snapToGrid w:val="0"/>
              </w:rPr>
              <w:t>N=</w:t>
            </w:r>
            <w:r w:rsidR="00D15C04" w:rsidRPr="00DA3C6E">
              <w:rPr>
                <w:snapToGrid w:val="0"/>
              </w:rPr>
              <w:t>58</w:t>
            </w:r>
          </w:p>
          <w:p w14:paraId="29E849A1" w14:textId="77777777" w:rsidR="002D6035" w:rsidRPr="00DA3C6E" w:rsidRDefault="00D15C04" w:rsidP="00490DF0">
            <w:pPr>
              <w:pStyle w:val="TableText0"/>
              <w:keepLines/>
              <w:jc w:val="center"/>
              <w:rPr>
                <w:snapToGrid w:val="0"/>
              </w:rPr>
            </w:pPr>
            <w:r w:rsidRPr="00DA3C6E">
              <w:rPr>
                <w:snapToGrid w:val="0"/>
              </w:rPr>
              <w:t>k = 2</w:t>
            </w:r>
          </w:p>
        </w:tc>
        <w:tc>
          <w:tcPr>
            <w:tcW w:w="3790" w:type="pct"/>
            <w:gridSpan w:val="9"/>
            <w:shd w:val="clear" w:color="auto" w:fill="auto"/>
            <w:vAlign w:val="center"/>
          </w:tcPr>
          <w:p w14:paraId="4F5D5EE2" w14:textId="77777777" w:rsidR="002D6035" w:rsidRPr="00DA3C6E" w:rsidRDefault="00A710CA" w:rsidP="00490DF0">
            <w:pPr>
              <w:pStyle w:val="TableText0"/>
              <w:keepLines/>
              <w:jc w:val="left"/>
              <w:rPr>
                <w:snapToGrid w:val="0"/>
                <w:color w:val="FFFFFF" w:themeColor="background1"/>
              </w:rPr>
            </w:pPr>
            <w:r w:rsidRPr="00DA3C6E">
              <w:rPr>
                <w:snapToGrid w:val="0"/>
              </w:rPr>
              <w:t xml:space="preserve">Random </w:t>
            </w:r>
            <w:r w:rsidR="002D6035" w:rsidRPr="00DA3C6E">
              <w:rPr>
                <w:snapToGrid w:val="0"/>
              </w:rPr>
              <w:t>effect model; overall pooled analysis, subgroup analysis and heterogeneity analysis presented</w:t>
            </w:r>
            <w:r w:rsidR="00D80F79" w:rsidRPr="00DA3C6E">
              <w:rPr>
                <w:snapToGrid w:val="0"/>
              </w:rPr>
              <w:t>.</w:t>
            </w:r>
          </w:p>
        </w:tc>
      </w:tr>
      <w:tr w:rsidR="002D6035" w:rsidRPr="00DA3C6E" w14:paraId="4BF3B492" w14:textId="77777777" w:rsidTr="00D778BE">
        <w:trPr>
          <w:trHeight w:val="766"/>
        </w:trPr>
        <w:tc>
          <w:tcPr>
            <w:tcW w:w="837" w:type="pct"/>
            <w:shd w:val="clear" w:color="auto" w:fill="auto"/>
            <w:vAlign w:val="center"/>
          </w:tcPr>
          <w:p w14:paraId="4BD16F2B" w14:textId="77777777" w:rsidR="002D6035" w:rsidRPr="00DA3C6E" w:rsidRDefault="002D6035" w:rsidP="00490DF0">
            <w:pPr>
              <w:pStyle w:val="TableText0"/>
              <w:keepLines/>
              <w:jc w:val="left"/>
              <w:rPr>
                <w:snapToGrid w:val="0"/>
              </w:rPr>
            </w:pPr>
            <w:r w:rsidRPr="00DA3C6E">
              <w:rPr>
                <w:snapToGrid w:val="0"/>
              </w:rPr>
              <w:t>Improvement in muscle strength/grip</w:t>
            </w:r>
          </w:p>
        </w:tc>
        <w:tc>
          <w:tcPr>
            <w:tcW w:w="373" w:type="pct"/>
            <w:shd w:val="clear" w:color="auto" w:fill="auto"/>
            <w:vAlign w:val="center"/>
          </w:tcPr>
          <w:p w14:paraId="3CA2B072" w14:textId="77777777" w:rsidR="002D6035" w:rsidRPr="00DA3C6E" w:rsidRDefault="00A710CA" w:rsidP="00490DF0">
            <w:pPr>
              <w:pStyle w:val="TableText0"/>
              <w:keepLines/>
              <w:jc w:val="center"/>
              <w:rPr>
                <w:snapToGrid w:val="0"/>
              </w:rPr>
            </w:pPr>
            <w:r w:rsidRPr="00DA3C6E">
              <w:rPr>
                <w:snapToGrid w:val="0"/>
              </w:rPr>
              <w:t>N=</w:t>
            </w:r>
            <w:r w:rsidR="00D15C04" w:rsidRPr="00DA3C6E">
              <w:rPr>
                <w:snapToGrid w:val="0"/>
              </w:rPr>
              <w:t>82</w:t>
            </w:r>
          </w:p>
          <w:p w14:paraId="4857C780" w14:textId="77777777" w:rsidR="002D6035" w:rsidRPr="00DA3C6E" w:rsidRDefault="002D6035" w:rsidP="00D15C04">
            <w:pPr>
              <w:pStyle w:val="TableText0"/>
              <w:keepLines/>
              <w:jc w:val="center"/>
              <w:rPr>
                <w:snapToGrid w:val="0"/>
              </w:rPr>
            </w:pPr>
            <w:r w:rsidRPr="00DA3C6E">
              <w:rPr>
                <w:snapToGrid w:val="0"/>
              </w:rPr>
              <w:t xml:space="preserve">k = </w:t>
            </w:r>
            <w:r w:rsidR="00D15C04" w:rsidRPr="00DA3C6E">
              <w:rPr>
                <w:snapToGrid w:val="0"/>
              </w:rPr>
              <w:t>4</w:t>
            </w:r>
          </w:p>
        </w:tc>
        <w:tc>
          <w:tcPr>
            <w:tcW w:w="3790" w:type="pct"/>
            <w:gridSpan w:val="9"/>
            <w:shd w:val="clear" w:color="auto" w:fill="auto"/>
            <w:vAlign w:val="center"/>
          </w:tcPr>
          <w:p w14:paraId="6A8D5B47" w14:textId="77777777" w:rsidR="002D6035" w:rsidRPr="00DA3C6E" w:rsidRDefault="00A710CA" w:rsidP="00490DF0">
            <w:pPr>
              <w:pStyle w:val="TableText0"/>
              <w:keepLines/>
              <w:jc w:val="left"/>
              <w:rPr>
                <w:snapToGrid w:val="0"/>
                <w:color w:val="FFFFFF" w:themeColor="background1"/>
              </w:rPr>
            </w:pPr>
            <w:r w:rsidRPr="00DA3C6E">
              <w:rPr>
                <w:snapToGrid w:val="0"/>
              </w:rPr>
              <w:t xml:space="preserve">Random </w:t>
            </w:r>
            <w:r w:rsidR="002D6035" w:rsidRPr="00DA3C6E">
              <w:rPr>
                <w:snapToGrid w:val="0"/>
              </w:rPr>
              <w:t>effect model; overall pooled analysis, subgroup analysis and heterogeneity analysis presented</w:t>
            </w:r>
            <w:r w:rsidR="00D80F79" w:rsidRPr="00DA3C6E">
              <w:rPr>
                <w:snapToGrid w:val="0"/>
              </w:rPr>
              <w:t>.</w:t>
            </w:r>
          </w:p>
        </w:tc>
      </w:tr>
      <w:tr w:rsidR="002D6035" w:rsidRPr="00DA3C6E" w14:paraId="7E244C0E" w14:textId="77777777" w:rsidTr="00D778BE">
        <w:trPr>
          <w:trHeight w:val="755"/>
        </w:trPr>
        <w:tc>
          <w:tcPr>
            <w:tcW w:w="837" w:type="pct"/>
            <w:shd w:val="clear" w:color="auto" w:fill="auto"/>
            <w:vAlign w:val="center"/>
          </w:tcPr>
          <w:p w14:paraId="5F630F97" w14:textId="77777777" w:rsidR="002D6035" w:rsidRPr="00DA3C6E" w:rsidRDefault="002D6035" w:rsidP="00490DF0">
            <w:pPr>
              <w:pStyle w:val="TableText0"/>
              <w:keepLines/>
              <w:jc w:val="left"/>
              <w:rPr>
                <w:snapToGrid w:val="0"/>
              </w:rPr>
            </w:pPr>
            <w:r w:rsidRPr="00DA3C6E">
              <w:rPr>
                <w:snapToGrid w:val="0"/>
              </w:rPr>
              <w:t>Mean change in muscle strength/grip</w:t>
            </w:r>
          </w:p>
        </w:tc>
        <w:tc>
          <w:tcPr>
            <w:tcW w:w="373" w:type="pct"/>
            <w:shd w:val="clear" w:color="auto" w:fill="auto"/>
            <w:vAlign w:val="center"/>
          </w:tcPr>
          <w:p w14:paraId="765A09CA" w14:textId="77777777" w:rsidR="002D6035" w:rsidRPr="00DA3C6E" w:rsidRDefault="00A710CA" w:rsidP="00490DF0">
            <w:pPr>
              <w:pStyle w:val="TableText0"/>
              <w:keepLines/>
              <w:jc w:val="center"/>
              <w:rPr>
                <w:snapToGrid w:val="0"/>
              </w:rPr>
            </w:pPr>
            <w:r w:rsidRPr="00DA3C6E">
              <w:rPr>
                <w:snapToGrid w:val="0"/>
              </w:rPr>
              <w:t>N=</w:t>
            </w:r>
            <w:r w:rsidR="00D15C04" w:rsidRPr="00DA3C6E">
              <w:rPr>
                <w:snapToGrid w:val="0"/>
              </w:rPr>
              <w:t>58</w:t>
            </w:r>
          </w:p>
          <w:p w14:paraId="773686D6" w14:textId="77777777" w:rsidR="002D6035" w:rsidRPr="00DA3C6E" w:rsidRDefault="002D6035" w:rsidP="00490DF0">
            <w:pPr>
              <w:pStyle w:val="TableText0"/>
              <w:keepLines/>
              <w:jc w:val="center"/>
              <w:rPr>
                <w:snapToGrid w:val="0"/>
              </w:rPr>
            </w:pPr>
            <w:r w:rsidRPr="00DA3C6E">
              <w:rPr>
                <w:snapToGrid w:val="0"/>
              </w:rPr>
              <w:t>k = 2</w:t>
            </w:r>
          </w:p>
        </w:tc>
        <w:tc>
          <w:tcPr>
            <w:tcW w:w="3790" w:type="pct"/>
            <w:gridSpan w:val="9"/>
            <w:shd w:val="clear" w:color="auto" w:fill="auto"/>
            <w:vAlign w:val="center"/>
          </w:tcPr>
          <w:p w14:paraId="01DFB4B6" w14:textId="77777777" w:rsidR="002D6035" w:rsidRPr="00DA3C6E" w:rsidRDefault="00A710CA" w:rsidP="00490DF0">
            <w:pPr>
              <w:pStyle w:val="TableText0"/>
              <w:keepLines/>
              <w:jc w:val="left"/>
              <w:rPr>
                <w:snapToGrid w:val="0"/>
                <w:color w:val="FFFFFF" w:themeColor="background1"/>
              </w:rPr>
            </w:pPr>
            <w:r w:rsidRPr="00DA3C6E">
              <w:rPr>
                <w:snapToGrid w:val="0"/>
              </w:rPr>
              <w:t xml:space="preserve">Random </w:t>
            </w:r>
            <w:r w:rsidR="002D6035" w:rsidRPr="00DA3C6E">
              <w:rPr>
                <w:snapToGrid w:val="0"/>
              </w:rPr>
              <w:t>effect model; overall pooled analysis and heterogeneity analysis presented</w:t>
            </w:r>
            <w:r w:rsidR="00D80F79" w:rsidRPr="00DA3C6E">
              <w:rPr>
                <w:snapToGrid w:val="0"/>
              </w:rPr>
              <w:t>.</w:t>
            </w:r>
          </w:p>
        </w:tc>
      </w:tr>
    </w:tbl>
    <w:p w14:paraId="5186C028" w14:textId="77777777" w:rsidR="002D6035" w:rsidRPr="00DA3C6E" w:rsidRDefault="002D6035" w:rsidP="0016555D">
      <w:pPr>
        <w:widowControl w:val="0"/>
        <w:spacing w:line="240" w:lineRule="auto"/>
        <w:rPr>
          <w:rStyle w:val="TablenotesChar0"/>
        </w:rPr>
      </w:pPr>
      <w:r w:rsidRPr="00DA3C6E">
        <w:rPr>
          <w:rStyle w:val="TablenotesChar0"/>
        </w:rPr>
        <w:t xml:space="preserve">Abbreviations: CB = conduction block; DB=double blind; Ig=immunoglobulin; k = number of studies included in the meta-analysis; N = number of patients included in the study or meta-analysis; MC=multi-centre; MMN = multifocal motor neuropathy; OL=open label (unblinded); R=randomised. </w:t>
      </w:r>
    </w:p>
    <w:p w14:paraId="39868DE2" w14:textId="77476602" w:rsidR="002D6035" w:rsidRPr="00DA3C6E" w:rsidRDefault="002D6035" w:rsidP="00E71542">
      <w:r w:rsidRPr="00DA3C6E">
        <w:t xml:space="preserve">All five RCTs had similar baseline patient characteristics: adults, mainly males and with a wide range of duration of symptoms </w:t>
      </w:r>
      <w:r w:rsidR="00B952B0" w:rsidRPr="00DA3C6E">
        <w:fldChar w:fldCharType="begin"/>
      </w:r>
      <w:r w:rsidR="00B952B0" w:rsidRPr="00DA3C6E">
        <w:instrText xml:space="preserve"> REF _Ref31116311 \h </w:instrText>
      </w:r>
      <w:r w:rsidR="00E8759F" w:rsidRPr="00DA3C6E">
        <w:instrText xml:space="preserve"> \* MERGEFORMAT </w:instrText>
      </w:r>
      <w:r w:rsidR="00B952B0" w:rsidRPr="00DA3C6E">
        <w:fldChar w:fldCharType="separate"/>
      </w:r>
      <w:r w:rsidR="00EA5DC1" w:rsidRPr="00DA3C6E">
        <w:t xml:space="preserve">Table </w:t>
      </w:r>
      <w:r w:rsidR="00EA5DC1">
        <w:rPr>
          <w:noProof/>
        </w:rPr>
        <w:t>12</w:t>
      </w:r>
      <w:r w:rsidR="00B952B0" w:rsidRPr="00DA3C6E">
        <w:fldChar w:fldCharType="end"/>
      </w:r>
      <w:r w:rsidR="00B952B0" w:rsidRPr="00DA3C6E">
        <w:t>.</w:t>
      </w:r>
      <w:r w:rsidRPr="00DA3C6E">
        <w:t xml:space="preserve"> All studies had a mix of patients who had been previously treated and </w:t>
      </w:r>
      <w:r w:rsidR="00186264" w:rsidRPr="00DA3C6E">
        <w:t>naïve</w:t>
      </w:r>
      <w:r w:rsidR="00CA48B5" w:rsidRPr="00DA3C6E">
        <w:t xml:space="preserve"> </w:t>
      </w:r>
      <w:r w:rsidRPr="00DA3C6E">
        <w:t>patients which may also complicate the interpretation of results. Only Leger et al</w:t>
      </w:r>
      <w:r w:rsidR="00D80F79" w:rsidRPr="00DA3C6E">
        <w:t>.</w:t>
      </w:r>
      <w:r w:rsidRPr="00DA3C6E">
        <w:t xml:space="preserve"> 2001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186264" w:rsidRPr="00DA3C6E">
        <w:t xml:space="preserve"> </w:t>
      </w:r>
      <w:r w:rsidRPr="00DA3C6E">
        <w:t>divided the patients in groups, those who had never been treated with intravenous Ig and those who had presented with recurrent symptoms after successful treatment with intravenous Ig. However, that latter analysis was not presented within the main trial results for the outcomes ‘improvement in muscle strength</w:t>
      </w:r>
      <w:r w:rsidR="00D96AFB">
        <w:t xml:space="preserve">’ and ‘self-evaluation score’. </w:t>
      </w:r>
    </w:p>
    <w:p w14:paraId="79FDD849" w14:textId="4D6D32AE" w:rsidR="002D6035" w:rsidRPr="00DA3C6E" w:rsidRDefault="00B952B0" w:rsidP="00BE7F1B">
      <w:pPr>
        <w:pStyle w:val="Caption"/>
        <w:keepNext/>
        <w:keepLines/>
        <w:rPr>
          <w:rStyle w:val="TablenotesChar0"/>
        </w:rPr>
      </w:pPr>
      <w:bookmarkStart w:id="156" w:name="_Ref31116311"/>
      <w:bookmarkStart w:id="157" w:name="_Toc30497459"/>
      <w:bookmarkStart w:id="158" w:name="_Toc30687740"/>
      <w:bookmarkStart w:id="159" w:name="_Toc37845815"/>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12</w:t>
      </w:r>
      <w:r w:rsidR="00515153">
        <w:rPr>
          <w:noProof/>
        </w:rPr>
        <w:fldChar w:fldCharType="end"/>
      </w:r>
      <w:bookmarkEnd w:id="156"/>
      <w:r w:rsidRPr="00DA3C6E">
        <w:t xml:space="preserve">. </w:t>
      </w:r>
      <w:r w:rsidR="002D6035" w:rsidRPr="00DA3C6E">
        <w:t>Baseline demographic characteristics of RCTs</w:t>
      </w:r>
      <w:bookmarkEnd w:id="157"/>
      <w:bookmarkEnd w:id="158"/>
      <w:bookmarkEnd w:id="159"/>
    </w:p>
    <w:tbl>
      <w:tblPr>
        <w:tblStyle w:val="TableGrid"/>
        <w:tblW w:w="0" w:type="auto"/>
        <w:tblLook w:val="04A0" w:firstRow="1" w:lastRow="0" w:firstColumn="1" w:lastColumn="0" w:noHBand="0" w:noVBand="1"/>
        <w:tblCaption w:val="Table 12. Baseline demographic characteristics of RCTs"/>
      </w:tblPr>
      <w:tblGrid>
        <w:gridCol w:w="4957"/>
        <w:gridCol w:w="2126"/>
        <w:gridCol w:w="1933"/>
      </w:tblGrid>
      <w:tr w:rsidR="002D6035" w:rsidRPr="00DA3C6E" w14:paraId="7CC89BF0" w14:textId="77777777" w:rsidTr="00041518">
        <w:trPr>
          <w:tblHeader/>
        </w:trPr>
        <w:tc>
          <w:tcPr>
            <w:tcW w:w="4957" w:type="dxa"/>
            <w:tcBorders>
              <w:bottom w:val="single" w:sz="4" w:space="0" w:color="auto"/>
            </w:tcBorders>
            <w:vAlign w:val="center"/>
          </w:tcPr>
          <w:p w14:paraId="1A5F69C6" w14:textId="77777777" w:rsidR="002D6035" w:rsidRPr="00DA3C6E" w:rsidRDefault="002D6035" w:rsidP="002D6035">
            <w:pPr>
              <w:keepNext/>
              <w:keepLines/>
              <w:spacing w:after="0" w:line="240" w:lineRule="auto"/>
              <w:ind w:left="0"/>
              <w:jc w:val="left"/>
              <w:rPr>
                <w:rFonts w:ascii="Arial Narrow" w:hAnsi="Arial Narrow"/>
                <w:b/>
                <w:sz w:val="20"/>
                <w:szCs w:val="20"/>
              </w:rPr>
            </w:pPr>
            <w:r w:rsidRPr="00DA3C6E">
              <w:rPr>
                <w:rFonts w:ascii="Arial Narrow" w:hAnsi="Arial Narrow"/>
                <w:b/>
                <w:sz w:val="20"/>
                <w:szCs w:val="20"/>
              </w:rPr>
              <w:t>Characteristics of patients</w:t>
            </w:r>
          </w:p>
        </w:tc>
        <w:tc>
          <w:tcPr>
            <w:tcW w:w="2126" w:type="dxa"/>
            <w:tcBorders>
              <w:bottom w:val="single" w:sz="4" w:space="0" w:color="auto"/>
            </w:tcBorders>
            <w:vAlign w:val="center"/>
          </w:tcPr>
          <w:p w14:paraId="59699124" w14:textId="77777777" w:rsidR="002D6035" w:rsidRPr="00DA3C6E" w:rsidRDefault="002D6035" w:rsidP="002D6035">
            <w:pPr>
              <w:keepNext/>
              <w:keepLines/>
              <w:spacing w:after="0" w:line="240" w:lineRule="auto"/>
              <w:ind w:left="0"/>
              <w:jc w:val="center"/>
              <w:rPr>
                <w:rFonts w:ascii="Arial Narrow" w:hAnsi="Arial Narrow"/>
                <w:b/>
                <w:sz w:val="20"/>
                <w:szCs w:val="20"/>
              </w:rPr>
            </w:pPr>
            <w:r w:rsidRPr="00DA3C6E">
              <w:rPr>
                <w:rFonts w:ascii="Arial Narrow" w:hAnsi="Arial Narrow"/>
                <w:b/>
                <w:sz w:val="20"/>
                <w:szCs w:val="20"/>
              </w:rPr>
              <w:t>Intravenous Ig arm</w:t>
            </w:r>
          </w:p>
        </w:tc>
        <w:tc>
          <w:tcPr>
            <w:tcW w:w="1933" w:type="dxa"/>
            <w:tcBorders>
              <w:bottom w:val="single" w:sz="4" w:space="0" w:color="auto"/>
            </w:tcBorders>
            <w:vAlign w:val="center"/>
          </w:tcPr>
          <w:p w14:paraId="41F20578" w14:textId="77777777" w:rsidR="002D6035" w:rsidRPr="00DA3C6E" w:rsidRDefault="002D6035" w:rsidP="002D6035">
            <w:pPr>
              <w:keepNext/>
              <w:keepLines/>
              <w:spacing w:after="0" w:line="240" w:lineRule="auto"/>
              <w:ind w:left="0"/>
              <w:jc w:val="center"/>
              <w:rPr>
                <w:rFonts w:ascii="Arial Narrow" w:hAnsi="Arial Narrow"/>
                <w:b/>
                <w:sz w:val="20"/>
                <w:szCs w:val="20"/>
              </w:rPr>
            </w:pPr>
            <w:r w:rsidRPr="00DA3C6E">
              <w:rPr>
                <w:rFonts w:ascii="Arial Narrow" w:hAnsi="Arial Narrow"/>
                <w:b/>
                <w:sz w:val="20"/>
                <w:szCs w:val="20"/>
              </w:rPr>
              <w:t>Placebo arm</w:t>
            </w:r>
          </w:p>
        </w:tc>
      </w:tr>
      <w:tr w:rsidR="002D6035" w:rsidRPr="00DA3C6E" w14:paraId="6511E497" w14:textId="77777777" w:rsidTr="00041518">
        <w:tc>
          <w:tcPr>
            <w:tcW w:w="4957" w:type="dxa"/>
            <w:tcBorders>
              <w:right w:val="nil"/>
            </w:tcBorders>
            <w:vAlign w:val="center"/>
          </w:tcPr>
          <w:p w14:paraId="3713541A" w14:textId="7D7D7AC7" w:rsidR="002D6035" w:rsidRPr="00DA3C6E" w:rsidRDefault="002D6035" w:rsidP="00C04BCE">
            <w:pPr>
              <w:keepNext/>
              <w:keepLines/>
              <w:spacing w:after="0" w:line="240" w:lineRule="auto"/>
              <w:ind w:left="0"/>
              <w:jc w:val="left"/>
              <w:rPr>
                <w:rFonts w:ascii="Arial Narrow" w:hAnsi="Arial Narrow"/>
                <w:b/>
                <w:sz w:val="20"/>
                <w:szCs w:val="20"/>
              </w:rPr>
            </w:pPr>
            <w:r w:rsidRPr="00DA3C6E">
              <w:rPr>
                <w:rFonts w:ascii="Arial Narrow" w:hAnsi="Arial Narrow"/>
                <w:b/>
                <w:sz w:val="20"/>
                <w:vertAlign w:val="superscript"/>
              </w:rPr>
              <w:t>a</w:t>
            </w:r>
            <w:r w:rsidRPr="00DA3C6E">
              <w:rPr>
                <w:rFonts w:ascii="Arial Narrow" w:hAnsi="Arial Narrow"/>
                <w:b/>
                <w:sz w:val="20"/>
              </w:rPr>
              <w:t>Azulay et al. 1994</w:t>
            </w:r>
            <w:r w:rsidR="00DB568A" w:rsidRPr="00DA3C6E">
              <w:rPr>
                <w:rFonts w:ascii="Arial Narrow" w:hAnsi="Arial Narrow"/>
                <w:b/>
                <w:sz w:val="20"/>
              </w:rPr>
              <w:fldChar w:fldCharType="begin"/>
            </w:r>
            <w:r w:rsidR="00DB568A" w:rsidRPr="00DA3C6E">
              <w:rPr>
                <w:rFonts w:ascii="Arial Narrow" w:hAnsi="Arial Narrow"/>
                <w:b/>
                <w:sz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Fonts w:ascii="Arial Narrow" w:hAnsi="Arial Narrow"/>
                <w:b/>
                <w:sz w:val="20"/>
              </w:rPr>
              <w:fldChar w:fldCharType="separate"/>
            </w:r>
            <w:r w:rsidR="00DB568A" w:rsidRPr="00DA3C6E">
              <w:rPr>
                <w:rFonts w:ascii="Arial Narrow" w:hAnsi="Arial Narrow"/>
                <w:b/>
                <w:noProof/>
                <w:sz w:val="20"/>
              </w:rPr>
              <w:t>(</w:t>
            </w:r>
            <w:hyperlink w:anchor="_ENREF_24" w:tooltip="Azulay, 1994 #4" w:history="1">
              <w:r w:rsidR="00C04BCE" w:rsidRPr="00DA3C6E">
                <w:rPr>
                  <w:rFonts w:ascii="Arial Narrow" w:hAnsi="Arial Narrow"/>
                  <w:b/>
                  <w:noProof/>
                  <w:sz w:val="20"/>
                </w:rPr>
                <w:t>24</w:t>
              </w:r>
            </w:hyperlink>
            <w:r w:rsidR="00DB568A" w:rsidRPr="00DA3C6E">
              <w:rPr>
                <w:rFonts w:ascii="Arial Narrow" w:hAnsi="Arial Narrow"/>
                <w:b/>
                <w:noProof/>
                <w:sz w:val="20"/>
              </w:rPr>
              <w:t>)</w:t>
            </w:r>
            <w:r w:rsidR="00DB568A" w:rsidRPr="00DA3C6E">
              <w:rPr>
                <w:rFonts w:ascii="Arial Narrow" w:hAnsi="Arial Narrow"/>
                <w:b/>
                <w:sz w:val="20"/>
              </w:rPr>
              <w:fldChar w:fldCharType="end"/>
            </w:r>
            <w:r w:rsidRPr="00DA3C6E">
              <w:rPr>
                <w:rFonts w:ascii="Arial Narrow" w:hAnsi="Arial Narrow"/>
                <w:b/>
                <w:sz w:val="20"/>
              </w:rPr>
              <w:t xml:space="preserve"> (n = 5)</w:t>
            </w:r>
          </w:p>
        </w:tc>
        <w:tc>
          <w:tcPr>
            <w:tcW w:w="2126" w:type="dxa"/>
            <w:tcBorders>
              <w:left w:val="nil"/>
              <w:bottom w:val="single" w:sz="4" w:space="0" w:color="auto"/>
              <w:right w:val="nil"/>
            </w:tcBorders>
            <w:vAlign w:val="center"/>
          </w:tcPr>
          <w:p w14:paraId="7B8E447B" w14:textId="77777777" w:rsidR="002D6035" w:rsidRPr="00DA3C6E" w:rsidRDefault="002D6035" w:rsidP="002D6035">
            <w:pPr>
              <w:keepNext/>
              <w:keepLines/>
              <w:spacing w:after="0" w:line="240" w:lineRule="auto"/>
              <w:jc w:val="center"/>
              <w:rPr>
                <w:rFonts w:ascii="Arial Narrow" w:hAnsi="Arial Narrow"/>
                <w:b/>
                <w:sz w:val="20"/>
                <w:szCs w:val="20"/>
              </w:rPr>
            </w:pPr>
          </w:p>
        </w:tc>
        <w:tc>
          <w:tcPr>
            <w:tcW w:w="1933" w:type="dxa"/>
            <w:tcBorders>
              <w:left w:val="nil"/>
              <w:bottom w:val="single" w:sz="4" w:space="0" w:color="auto"/>
            </w:tcBorders>
            <w:vAlign w:val="center"/>
          </w:tcPr>
          <w:p w14:paraId="1BE61720" w14:textId="77777777" w:rsidR="002D6035" w:rsidRPr="00DA3C6E" w:rsidRDefault="002D6035" w:rsidP="002D6035">
            <w:pPr>
              <w:keepNext/>
              <w:keepLines/>
              <w:spacing w:after="0" w:line="240" w:lineRule="auto"/>
              <w:jc w:val="center"/>
              <w:rPr>
                <w:rFonts w:ascii="Arial Narrow" w:hAnsi="Arial Narrow"/>
                <w:b/>
                <w:sz w:val="20"/>
                <w:szCs w:val="20"/>
              </w:rPr>
            </w:pPr>
          </w:p>
        </w:tc>
      </w:tr>
      <w:tr w:rsidR="002D6035" w:rsidRPr="00DA3C6E" w14:paraId="0B14AA93" w14:textId="77777777" w:rsidTr="00041518">
        <w:tc>
          <w:tcPr>
            <w:tcW w:w="4957" w:type="dxa"/>
            <w:vAlign w:val="center"/>
          </w:tcPr>
          <w:p w14:paraId="7A7B5702"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age at onset (range)</w:t>
            </w:r>
          </w:p>
        </w:tc>
        <w:tc>
          <w:tcPr>
            <w:tcW w:w="4059" w:type="dxa"/>
            <w:gridSpan w:val="2"/>
            <w:vAlign w:val="center"/>
          </w:tcPr>
          <w:p w14:paraId="68C5E5FB"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48.4 (41 - 63)</w:t>
            </w:r>
          </w:p>
        </w:tc>
      </w:tr>
      <w:tr w:rsidR="002D6035" w:rsidRPr="00DA3C6E" w14:paraId="65EDDA9C" w14:textId="77777777" w:rsidTr="00041518">
        <w:tc>
          <w:tcPr>
            <w:tcW w:w="4957" w:type="dxa"/>
            <w:vAlign w:val="center"/>
          </w:tcPr>
          <w:p w14:paraId="32E07B75"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Gender male, n (%) </w:t>
            </w:r>
          </w:p>
        </w:tc>
        <w:tc>
          <w:tcPr>
            <w:tcW w:w="4059" w:type="dxa"/>
            <w:gridSpan w:val="2"/>
            <w:vAlign w:val="center"/>
          </w:tcPr>
          <w:p w14:paraId="68ECF7DD"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4 (80)</w:t>
            </w:r>
          </w:p>
        </w:tc>
      </w:tr>
      <w:tr w:rsidR="002D6035" w:rsidRPr="00DA3C6E" w14:paraId="753BD615" w14:textId="77777777" w:rsidTr="00041518">
        <w:tc>
          <w:tcPr>
            <w:tcW w:w="4957" w:type="dxa"/>
            <w:vAlign w:val="center"/>
          </w:tcPr>
          <w:p w14:paraId="70E88024"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Duration of symptoms (mean years)</w:t>
            </w:r>
          </w:p>
        </w:tc>
        <w:tc>
          <w:tcPr>
            <w:tcW w:w="4059" w:type="dxa"/>
            <w:gridSpan w:val="2"/>
            <w:vAlign w:val="center"/>
          </w:tcPr>
          <w:p w14:paraId="2288CD61"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6.07</w:t>
            </w:r>
          </w:p>
        </w:tc>
      </w:tr>
      <w:tr w:rsidR="002D6035" w:rsidRPr="00DA3C6E" w14:paraId="30F0D783" w14:textId="77777777" w:rsidTr="00041518">
        <w:tc>
          <w:tcPr>
            <w:tcW w:w="4957" w:type="dxa"/>
            <w:vAlign w:val="center"/>
          </w:tcPr>
          <w:p w14:paraId="1390C749"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baseline disability (Norris scale)</w:t>
            </w:r>
          </w:p>
        </w:tc>
        <w:tc>
          <w:tcPr>
            <w:tcW w:w="4059" w:type="dxa"/>
            <w:gridSpan w:val="2"/>
            <w:vAlign w:val="center"/>
          </w:tcPr>
          <w:p w14:paraId="343A057A"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1EA56895" w14:textId="77777777" w:rsidTr="00041518">
        <w:tc>
          <w:tcPr>
            <w:tcW w:w="4957" w:type="dxa"/>
            <w:tcBorders>
              <w:bottom w:val="single" w:sz="4" w:space="0" w:color="auto"/>
            </w:tcBorders>
            <w:vAlign w:val="center"/>
          </w:tcPr>
          <w:p w14:paraId="22888D4A"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Presence of conduction block</w:t>
            </w:r>
          </w:p>
        </w:tc>
        <w:tc>
          <w:tcPr>
            <w:tcW w:w="4059" w:type="dxa"/>
            <w:gridSpan w:val="2"/>
            <w:tcBorders>
              <w:bottom w:val="single" w:sz="4" w:space="0" w:color="auto"/>
            </w:tcBorders>
            <w:vAlign w:val="center"/>
          </w:tcPr>
          <w:p w14:paraId="6BA11B68"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w:t>
            </w:r>
          </w:p>
        </w:tc>
      </w:tr>
      <w:tr w:rsidR="002D6035" w:rsidRPr="00DA3C6E" w14:paraId="3E968825" w14:textId="77777777" w:rsidTr="00041518">
        <w:tc>
          <w:tcPr>
            <w:tcW w:w="4957" w:type="dxa"/>
            <w:tcBorders>
              <w:bottom w:val="single" w:sz="4" w:space="0" w:color="auto"/>
            </w:tcBorders>
            <w:vAlign w:val="center"/>
          </w:tcPr>
          <w:p w14:paraId="4AA9E316" w14:textId="3EBA2F7C"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Previously treated/treatment </w:t>
            </w:r>
            <w:r w:rsidR="00FA2533" w:rsidRPr="00DA3C6E">
              <w:rPr>
                <w:rFonts w:ascii="Arial Narrow" w:hAnsi="Arial Narrow"/>
                <w:sz w:val="20"/>
                <w:szCs w:val="20"/>
              </w:rPr>
              <w:t>naïve</w:t>
            </w:r>
          </w:p>
        </w:tc>
        <w:tc>
          <w:tcPr>
            <w:tcW w:w="4059" w:type="dxa"/>
            <w:gridSpan w:val="2"/>
            <w:tcBorders>
              <w:bottom w:val="single" w:sz="4" w:space="0" w:color="auto"/>
            </w:tcBorders>
            <w:vAlign w:val="center"/>
          </w:tcPr>
          <w:p w14:paraId="72799D5A"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52FCB6D1" w14:textId="77777777" w:rsidTr="00041518">
        <w:tc>
          <w:tcPr>
            <w:tcW w:w="4957" w:type="dxa"/>
            <w:tcBorders>
              <w:right w:val="nil"/>
            </w:tcBorders>
            <w:vAlign w:val="center"/>
          </w:tcPr>
          <w:p w14:paraId="2FF1D66C" w14:textId="167DD12A" w:rsidR="002D6035" w:rsidRPr="00DA3C6E" w:rsidRDefault="002D6035" w:rsidP="00C04BCE">
            <w:pPr>
              <w:keepNext/>
              <w:keepLines/>
              <w:spacing w:after="0" w:line="240" w:lineRule="auto"/>
              <w:ind w:left="0"/>
              <w:jc w:val="left"/>
              <w:rPr>
                <w:rFonts w:ascii="Arial Narrow" w:hAnsi="Arial Narrow"/>
                <w:b/>
                <w:sz w:val="20"/>
                <w:szCs w:val="20"/>
              </w:rPr>
            </w:pPr>
            <w:r w:rsidRPr="00DA3C6E">
              <w:rPr>
                <w:rFonts w:ascii="Arial Narrow" w:hAnsi="Arial Narrow"/>
                <w:b/>
                <w:sz w:val="20"/>
                <w:vertAlign w:val="superscript"/>
                <w:lang w:val="es-CL"/>
              </w:rPr>
              <w:t>a</w:t>
            </w:r>
            <w:r w:rsidRPr="00DA3C6E">
              <w:rPr>
                <w:rFonts w:ascii="Arial Narrow" w:hAnsi="Arial Narrow"/>
                <w:b/>
                <w:sz w:val="20"/>
                <w:lang w:val="es-CL"/>
              </w:rPr>
              <w:t xml:space="preserve">Van den Berg et al. </w:t>
            </w:r>
            <w:r w:rsidRPr="00DA3C6E">
              <w:rPr>
                <w:rFonts w:ascii="Arial Narrow" w:hAnsi="Arial Narrow"/>
                <w:b/>
                <w:sz w:val="20"/>
              </w:rPr>
              <w:t>1995</w:t>
            </w:r>
            <w:r w:rsidR="00DB568A" w:rsidRPr="00DA3C6E">
              <w:rPr>
                <w:rFonts w:ascii="Arial Narrow" w:hAnsi="Arial Narrow"/>
                <w:b/>
                <w:sz w:val="20"/>
              </w:rPr>
              <w:fldChar w:fldCharType="begin"/>
            </w:r>
            <w:r w:rsidR="00DB568A" w:rsidRPr="00DA3C6E">
              <w:rPr>
                <w:rFonts w:ascii="Arial Narrow" w:hAnsi="Arial Narrow"/>
                <w:b/>
                <w:sz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Fonts w:ascii="Arial Narrow" w:hAnsi="Arial Narrow"/>
                <w:b/>
                <w:sz w:val="20"/>
              </w:rPr>
              <w:fldChar w:fldCharType="separate"/>
            </w:r>
            <w:r w:rsidR="00DB568A" w:rsidRPr="00DA3C6E">
              <w:rPr>
                <w:rFonts w:ascii="Arial Narrow" w:hAnsi="Arial Narrow"/>
                <w:b/>
                <w:noProof/>
                <w:sz w:val="20"/>
              </w:rPr>
              <w:t>(</w:t>
            </w:r>
            <w:hyperlink w:anchor="_ENREF_25" w:tooltip="Van den Berg, 1995 #77" w:history="1">
              <w:r w:rsidR="00C04BCE" w:rsidRPr="00DA3C6E">
                <w:rPr>
                  <w:rFonts w:ascii="Arial Narrow" w:hAnsi="Arial Narrow"/>
                  <w:b/>
                  <w:noProof/>
                  <w:sz w:val="20"/>
                </w:rPr>
                <w:t>25</w:t>
              </w:r>
            </w:hyperlink>
            <w:r w:rsidR="00DB568A" w:rsidRPr="00DA3C6E">
              <w:rPr>
                <w:rFonts w:ascii="Arial Narrow" w:hAnsi="Arial Narrow"/>
                <w:b/>
                <w:noProof/>
                <w:sz w:val="20"/>
              </w:rPr>
              <w:t>)</w:t>
            </w:r>
            <w:r w:rsidR="00DB568A" w:rsidRPr="00DA3C6E">
              <w:rPr>
                <w:rFonts w:ascii="Arial Narrow" w:hAnsi="Arial Narrow"/>
                <w:b/>
                <w:sz w:val="20"/>
              </w:rPr>
              <w:fldChar w:fldCharType="end"/>
            </w:r>
            <w:r w:rsidRPr="00DA3C6E">
              <w:rPr>
                <w:rFonts w:ascii="Arial Narrow" w:hAnsi="Arial Narrow"/>
                <w:b/>
                <w:sz w:val="20"/>
              </w:rPr>
              <w:t xml:space="preserve"> (n = 6)</w:t>
            </w:r>
          </w:p>
        </w:tc>
        <w:tc>
          <w:tcPr>
            <w:tcW w:w="2126" w:type="dxa"/>
            <w:tcBorders>
              <w:left w:val="nil"/>
              <w:right w:val="nil"/>
            </w:tcBorders>
            <w:vAlign w:val="center"/>
          </w:tcPr>
          <w:p w14:paraId="6BBBC50C" w14:textId="77777777" w:rsidR="002D6035" w:rsidRPr="00DA3C6E" w:rsidRDefault="002D6035" w:rsidP="00490DF0">
            <w:pPr>
              <w:keepNext/>
              <w:keepLines/>
              <w:spacing w:after="0" w:line="240" w:lineRule="auto"/>
              <w:jc w:val="center"/>
              <w:rPr>
                <w:rFonts w:ascii="Arial Narrow" w:hAnsi="Arial Narrow"/>
                <w:b/>
                <w:sz w:val="20"/>
                <w:szCs w:val="20"/>
              </w:rPr>
            </w:pPr>
          </w:p>
        </w:tc>
        <w:tc>
          <w:tcPr>
            <w:tcW w:w="1933" w:type="dxa"/>
            <w:tcBorders>
              <w:left w:val="nil"/>
            </w:tcBorders>
            <w:vAlign w:val="center"/>
          </w:tcPr>
          <w:p w14:paraId="1D835912" w14:textId="77777777" w:rsidR="002D6035" w:rsidRPr="00DA3C6E" w:rsidRDefault="002D6035" w:rsidP="00490DF0">
            <w:pPr>
              <w:keepNext/>
              <w:keepLines/>
              <w:spacing w:after="0" w:line="240" w:lineRule="auto"/>
              <w:jc w:val="center"/>
              <w:rPr>
                <w:rFonts w:ascii="Arial Narrow" w:hAnsi="Arial Narrow"/>
                <w:b/>
                <w:sz w:val="20"/>
                <w:szCs w:val="20"/>
              </w:rPr>
            </w:pPr>
          </w:p>
        </w:tc>
      </w:tr>
      <w:tr w:rsidR="002D6035" w:rsidRPr="00DA3C6E" w14:paraId="02D27754" w14:textId="77777777" w:rsidTr="00041518">
        <w:tc>
          <w:tcPr>
            <w:tcW w:w="4957" w:type="dxa"/>
            <w:vAlign w:val="center"/>
          </w:tcPr>
          <w:p w14:paraId="43FE615E"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Mean age </w:t>
            </w:r>
          </w:p>
        </w:tc>
        <w:tc>
          <w:tcPr>
            <w:tcW w:w="4059" w:type="dxa"/>
            <w:gridSpan w:val="2"/>
            <w:vAlign w:val="center"/>
          </w:tcPr>
          <w:p w14:paraId="10EA2D24"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47 (NR)</w:t>
            </w:r>
          </w:p>
        </w:tc>
      </w:tr>
      <w:tr w:rsidR="002D6035" w:rsidRPr="00DA3C6E" w14:paraId="0AFE99FE" w14:textId="77777777" w:rsidTr="00041518">
        <w:tc>
          <w:tcPr>
            <w:tcW w:w="4957" w:type="dxa"/>
            <w:vAlign w:val="center"/>
          </w:tcPr>
          <w:p w14:paraId="5F387C4C"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Gender male, n (%) </w:t>
            </w:r>
          </w:p>
        </w:tc>
        <w:tc>
          <w:tcPr>
            <w:tcW w:w="4059" w:type="dxa"/>
            <w:gridSpan w:val="2"/>
            <w:vAlign w:val="center"/>
          </w:tcPr>
          <w:p w14:paraId="150564F4"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4(67)</w:t>
            </w:r>
          </w:p>
        </w:tc>
      </w:tr>
      <w:tr w:rsidR="002D6035" w:rsidRPr="00DA3C6E" w14:paraId="0F2B7942" w14:textId="77777777" w:rsidTr="00041518">
        <w:tc>
          <w:tcPr>
            <w:tcW w:w="4957" w:type="dxa"/>
            <w:vAlign w:val="center"/>
          </w:tcPr>
          <w:p w14:paraId="64666556"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Duration of symptoms (mean years)</w:t>
            </w:r>
          </w:p>
        </w:tc>
        <w:tc>
          <w:tcPr>
            <w:tcW w:w="4059" w:type="dxa"/>
            <w:gridSpan w:val="2"/>
            <w:vAlign w:val="center"/>
          </w:tcPr>
          <w:p w14:paraId="474A79B2"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6</w:t>
            </w:r>
          </w:p>
        </w:tc>
      </w:tr>
      <w:tr w:rsidR="002D6035" w:rsidRPr="00DA3C6E" w14:paraId="0EE5070A" w14:textId="77777777" w:rsidTr="00041518">
        <w:tc>
          <w:tcPr>
            <w:tcW w:w="4957" w:type="dxa"/>
            <w:vAlign w:val="center"/>
          </w:tcPr>
          <w:p w14:paraId="11D7996B" w14:textId="77777777" w:rsidR="002D6035" w:rsidRPr="00DA3C6E" w:rsidRDefault="002D6035" w:rsidP="002D6035">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baseline disability (modified Rankin scale)</w:t>
            </w:r>
          </w:p>
        </w:tc>
        <w:tc>
          <w:tcPr>
            <w:tcW w:w="4059" w:type="dxa"/>
            <w:gridSpan w:val="2"/>
            <w:vAlign w:val="center"/>
          </w:tcPr>
          <w:p w14:paraId="17255971" w14:textId="77777777" w:rsidR="002D6035" w:rsidRPr="00DA3C6E" w:rsidRDefault="002D6035" w:rsidP="002D6035">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2</w:t>
            </w:r>
          </w:p>
        </w:tc>
      </w:tr>
      <w:tr w:rsidR="002D6035" w:rsidRPr="00DA3C6E" w14:paraId="05016337" w14:textId="77777777" w:rsidTr="00041518">
        <w:tc>
          <w:tcPr>
            <w:tcW w:w="4957" w:type="dxa"/>
            <w:tcBorders>
              <w:bottom w:val="single" w:sz="4" w:space="0" w:color="auto"/>
            </w:tcBorders>
            <w:vAlign w:val="center"/>
          </w:tcPr>
          <w:p w14:paraId="034BCCF3"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Presence of conduction block</w:t>
            </w:r>
          </w:p>
        </w:tc>
        <w:tc>
          <w:tcPr>
            <w:tcW w:w="4059" w:type="dxa"/>
            <w:gridSpan w:val="2"/>
            <w:tcBorders>
              <w:bottom w:val="single" w:sz="4" w:space="0" w:color="auto"/>
            </w:tcBorders>
            <w:vAlign w:val="center"/>
          </w:tcPr>
          <w:p w14:paraId="0E02303E"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w:t>
            </w:r>
          </w:p>
        </w:tc>
      </w:tr>
      <w:tr w:rsidR="002D6035" w:rsidRPr="00DA3C6E" w14:paraId="1AA840D7" w14:textId="77777777" w:rsidTr="00041518">
        <w:tc>
          <w:tcPr>
            <w:tcW w:w="4957" w:type="dxa"/>
            <w:tcBorders>
              <w:bottom w:val="single" w:sz="4" w:space="0" w:color="auto"/>
            </w:tcBorders>
            <w:vAlign w:val="center"/>
          </w:tcPr>
          <w:p w14:paraId="2147F14D" w14:textId="489C4F75"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Previously treated/treatment </w:t>
            </w:r>
            <w:r w:rsidR="00FA2533" w:rsidRPr="00DA3C6E">
              <w:rPr>
                <w:rFonts w:ascii="Arial Narrow" w:hAnsi="Arial Narrow"/>
                <w:sz w:val="20"/>
                <w:szCs w:val="20"/>
              </w:rPr>
              <w:t>naïve</w:t>
            </w:r>
          </w:p>
        </w:tc>
        <w:tc>
          <w:tcPr>
            <w:tcW w:w="4059" w:type="dxa"/>
            <w:gridSpan w:val="2"/>
            <w:tcBorders>
              <w:bottom w:val="single" w:sz="4" w:space="0" w:color="auto"/>
            </w:tcBorders>
            <w:vAlign w:val="center"/>
          </w:tcPr>
          <w:p w14:paraId="6000D2EA"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15115DE6" w14:textId="77777777" w:rsidTr="00041518">
        <w:tc>
          <w:tcPr>
            <w:tcW w:w="4957" w:type="dxa"/>
            <w:tcBorders>
              <w:right w:val="nil"/>
            </w:tcBorders>
            <w:vAlign w:val="center"/>
          </w:tcPr>
          <w:p w14:paraId="43CC25D0" w14:textId="09584173" w:rsidR="002D6035" w:rsidRPr="00DA3C6E" w:rsidRDefault="002D6035" w:rsidP="00C04BCE">
            <w:pPr>
              <w:keepNext/>
              <w:keepLines/>
              <w:spacing w:after="0" w:line="240" w:lineRule="auto"/>
              <w:ind w:left="0"/>
              <w:jc w:val="left"/>
              <w:rPr>
                <w:rFonts w:ascii="Arial Narrow" w:hAnsi="Arial Narrow"/>
                <w:b/>
                <w:sz w:val="20"/>
                <w:szCs w:val="20"/>
              </w:rPr>
            </w:pPr>
            <w:r w:rsidRPr="00DA3C6E">
              <w:rPr>
                <w:rFonts w:ascii="Arial Narrow" w:hAnsi="Arial Narrow"/>
                <w:b/>
                <w:sz w:val="20"/>
              </w:rPr>
              <w:t>Federico et al. 2000</w:t>
            </w:r>
            <w:r w:rsidR="00DB568A" w:rsidRPr="00DA3C6E">
              <w:rPr>
                <w:rFonts w:ascii="Arial Narrow" w:hAnsi="Arial Narrow"/>
                <w:b/>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sz w:val="20"/>
              </w:rPr>
              <w:instrText xml:space="preserve"> ADDIN EN.CITE </w:instrText>
            </w:r>
            <w:r w:rsidR="00DB568A" w:rsidRPr="00DA3C6E">
              <w:rPr>
                <w:rFonts w:ascii="Arial Narrow" w:hAnsi="Arial Narrow"/>
                <w:b/>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sz w:val="20"/>
              </w:rPr>
              <w:instrText xml:space="preserve"> ADDIN EN.CITE.DATA </w:instrText>
            </w:r>
            <w:r w:rsidR="00DB568A" w:rsidRPr="00DA3C6E">
              <w:rPr>
                <w:rFonts w:ascii="Arial Narrow" w:hAnsi="Arial Narrow"/>
                <w:b/>
                <w:sz w:val="20"/>
              </w:rPr>
            </w:r>
            <w:r w:rsidR="00DB568A" w:rsidRPr="00DA3C6E">
              <w:rPr>
                <w:rFonts w:ascii="Arial Narrow" w:hAnsi="Arial Narrow"/>
                <w:b/>
                <w:sz w:val="20"/>
              </w:rPr>
              <w:fldChar w:fldCharType="end"/>
            </w:r>
            <w:r w:rsidR="00DB568A" w:rsidRPr="00DA3C6E">
              <w:rPr>
                <w:rFonts w:ascii="Arial Narrow" w:hAnsi="Arial Narrow"/>
                <w:b/>
                <w:sz w:val="20"/>
              </w:rPr>
            </w:r>
            <w:r w:rsidR="00DB568A" w:rsidRPr="00DA3C6E">
              <w:rPr>
                <w:rFonts w:ascii="Arial Narrow" w:hAnsi="Arial Narrow"/>
                <w:b/>
                <w:sz w:val="20"/>
              </w:rPr>
              <w:fldChar w:fldCharType="separate"/>
            </w:r>
            <w:r w:rsidR="00DB568A" w:rsidRPr="00DA3C6E">
              <w:rPr>
                <w:rFonts w:ascii="Arial Narrow" w:hAnsi="Arial Narrow"/>
                <w:b/>
                <w:noProof/>
                <w:sz w:val="20"/>
              </w:rPr>
              <w:t>(</w:t>
            </w:r>
            <w:hyperlink w:anchor="_ENREF_26" w:tooltip="Federico, 2000 #20" w:history="1">
              <w:r w:rsidR="00C04BCE" w:rsidRPr="00DA3C6E">
                <w:rPr>
                  <w:rFonts w:ascii="Arial Narrow" w:hAnsi="Arial Narrow"/>
                  <w:b/>
                  <w:noProof/>
                  <w:sz w:val="20"/>
                </w:rPr>
                <w:t>26</w:t>
              </w:r>
            </w:hyperlink>
            <w:r w:rsidR="00DB568A" w:rsidRPr="00DA3C6E">
              <w:rPr>
                <w:rFonts w:ascii="Arial Narrow" w:hAnsi="Arial Narrow"/>
                <w:b/>
                <w:noProof/>
                <w:sz w:val="20"/>
              </w:rPr>
              <w:t>)</w:t>
            </w:r>
            <w:r w:rsidR="00DB568A" w:rsidRPr="00DA3C6E">
              <w:rPr>
                <w:rFonts w:ascii="Arial Narrow" w:hAnsi="Arial Narrow"/>
                <w:b/>
                <w:sz w:val="20"/>
              </w:rPr>
              <w:fldChar w:fldCharType="end"/>
            </w:r>
            <w:r w:rsidRPr="00DA3C6E">
              <w:rPr>
                <w:rFonts w:ascii="Arial Narrow" w:hAnsi="Arial Narrow"/>
                <w:b/>
                <w:sz w:val="20"/>
              </w:rPr>
              <w:t xml:space="preserve"> (n = 16)</w:t>
            </w:r>
          </w:p>
        </w:tc>
        <w:tc>
          <w:tcPr>
            <w:tcW w:w="2126" w:type="dxa"/>
            <w:tcBorders>
              <w:left w:val="nil"/>
              <w:right w:val="nil"/>
            </w:tcBorders>
            <w:vAlign w:val="center"/>
          </w:tcPr>
          <w:p w14:paraId="09D36EC3" w14:textId="77777777" w:rsidR="002D6035" w:rsidRPr="00DA3C6E" w:rsidRDefault="002D6035" w:rsidP="00490DF0">
            <w:pPr>
              <w:keepNext/>
              <w:keepLines/>
              <w:spacing w:after="0" w:line="240" w:lineRule="auto"/>
              <w:jc w:val="center"/>
              <w:rPr>
                <w:rFonts w:ascii="Arial Narrow" w:hAnsi="Arial Narrow"/>
                <w:sz w:val="20"/>
                <w:szCs w:val="20"/>
              </w:rPr>
            </w:pPr>
          </w:p>
        </w:tc>
        <w:tc>
          <w:tcPr>
            <w:tcW w:w="1933" w:type="dxa"/>
            <w:tcBorders>
              <w:left w:val="nil"/>
            </w:tcBorders>
            <w:vAlign w:val="center"/>
          </w:tcPr>
          <w:p w14:paraId="0F4CEC49" w14:textId="77777777" w:rsidR="002D6035" w:rsidRPr="00DA3C6E" w:rsidRDefault="002D6035" w:rsidP="00490DF0">
            <w:pPr>
              <w:keepNext/>
              <w:keepLines/>
              <w:spacing w:after="0" w:line="240" w:lineRule="auto"/>
              <w:jc w:val="center"/>
              <w:rPr>
                <w:rFonts w:ascii="Arial Narrow" w:hAnsi="Arial Narrow"/>
                <w:sz w:val="20"/>
                <w:szCs w:val="20"/>
              </w:rPr>
            </w:pPr>
          </w:p>
        </w:tc>
      </w:tr>
      <w:tr w:rsidR="002D6035" w:rsidRPr="00DA3C6E" w14:paraId="09578DE8" w14:textId="77777777" w:rsidTr="00041518">
        <w:tc>
          <w:tcPr>
            <w:tcW w:w="4957" w:type="dxa"/>
            <w:vAlign w:val="center"/>
          </w:tcPr>
          <w:p w14:paraId="564C0EEE"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age (SD)</w:t>
            </w:r>
          </w:p>
        </w:tc>
        <w:tc>
          <w:tcPr>
            <w:tcW w:w="4059" w:type="dxa"/>
            <w:gridSpan w:val="2"/>
            <w:vAlign w:val="center"/>
          </w:tcPr>
          <w:p w14:paraId="3EE59A27"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38.9 (2.8)</w:t>
            </w:r>
          </w:p>
        </w:tc>
      </w:tr>
      <w:tr w:rsidR="002D6035" w:rsidRPr="00DA3C6E" w14:paraId="75BA93F8" w14:textId="77777777" w:rsidTr="00041518">
        <w:tc>
          <w:tcPr>
            <w:tcW w:w="4957" w:type="dxa"/>
            <w:vAlign w:val="center"/>
          </w:tcPr>
          <w:p w14:paraId="7EEBB88C"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Gender male, n (%) </w:t>
            </w:r>
          </w:p>
        </w:tc>
        <w:tc>
          <w:tcPr>
            <w:tcW w:w="4059" w:type="dxa"/>
            <w:gridSpan w:val="2"/>
            <w:vAlign w:val="center"/>
          </w:tcPr>
          <w:p w14:paraId="3413C6B3"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15 (94)</w:t>
            </w:r>
          </w:p>
        </w:tc>
      </w:tr>
      <w:tr w:rsidR="002D6035" w:rsidRPr="00DA3C6E" w14:paraId="49629F06" w14:textId="77777777" w:rsidTr="00041518">
        <w:tc>
          <w:tcPr>
            <w:tcW w:w="4957" w:type="dxa"/>
            <w:vAlign w:val="center"/>
          </w:tcPr>
          <w:p w14:paraId="11CB9439"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Duration of symptoms (mean years (SD))</w:t>
            </w:r>
          </w:p>
        </w:tc>
        <w:tc>
          <w:tcPr>
            <w:tcW w:w="4059" w:type="dxa"/>
            <w:gridSpan w:val="2"/>
            <w:vAlign w:val="center"/>
          </w:tcPr>
          <w:p w14:paraId="4A01FD63"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5.3 (1.2)</w:t>
            </w:r>
          </w:p>
        </w:tc>
      </w:tr>
      <w:tr w:rsidR="002D6035" w:rsidRPr="00DA3C6E" w14:paraId="2C33C481" w14:textId="77777777" w:rsidTr="00041518">
        <w:tc>
          <w:tcPr>
            <w:tcW w:w="4957" w:type="dxa"/>
            <w:vAlign w:val="center"/>
          </w:tcPr>
          <w:p w14:paraId="677B7DC6"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baseline disability, (SD)</w:t>
            </w:r>
          </w:p>
        </w:tc>
        <w:tc>
          <w:tcPr>
            <w:tcW w:w="2126" w:type="dxa"/>
            <w:vAlign w:val="center"/>
          </w:tcPr>
          <w:p w14:paraId="0794F18B"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28.6 points (6.3)</w:t>
            </w:r>
          </w:p>
        </w:tc>
        <w:tc>
          <w:tcPr>
            <w:tcW w:w="1933" w:type="dxa"/>
            <w:vAlign w:val="center"/>
          </w:tcPr>
          <w:p w14:paraId="78032873"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25.4 points (5.9)</w:t>
            </w:r>
          </w:p>
        </w:tc>
      </w:tr>
      <w:tr w:rsidR="002D6035" w:rsidRPr="00DA3C6E" w14:paraId="444FCF9B" w14:textId="77777777" w:rsidTr="00041518">
        <w:tc>
          <w:tcPr>
            <w:tcW w:w="4957" w:type="dxa"/>
            <w:vAlign w:val="center"/>
          </w:tcPr>
          <w:p w14:paraId="59066519"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Baseline grip strength (SD)</w:t>
            </w:r>
          </w:p>
        </w:tc>
        <w:tc>
          <w:tcPr>
            <w:tcW w:w="2126" w:type="dxa"/>
            <w:vAlign w:val="center"/>
          </w:tcPr>
          <w:p w14:paraId="656160EC"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21.9 Kg (3.4)</w:t>
            </w:r>
          </w:p>
        </w:tc>
        <w:tc>
          <w:tcPr>
            <w:tcW w:w="1933" w:type="dxa"/>
            <w:vAlign w:val="center"/>
          </w:tcPr>
          <w:p w14:paraId="63D02CB4"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19.7 kg (3.2)</w:t>
            </w:r>
          </w:p>
        </w:tc>
      </w:tr>
      <w:tr w:rsidR="002D6035" w:rsidRPr="00DA3C6E" w14:paraId="27C0F0C5" w14:textId="77777777" w:rsidTr="00041518">
        <w:tc>
          <w:tcPr>
            <w:tcW w:w="4957" w:type="dxa"/>
            <w:vAlign w:val="center"/>
          </w:tcPr>
          <w:p w14:paraId="44DC3B75"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Presence of conduction block</w:t>
            </w:r>
          </w:p>
        </w:tc>
        <w:tc>
          <w:tcPr>
            <w:tcW w:w="4059" w:type="dxa"/>
            <w:gridSpan w:val="2"/>
            <w:vAlign w:val="center"/>
          </w:tcPr>
          <w:p w14:paraId="4FE1E2A7"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w:t>
            </w:r>
          </w:p>
        </w:tc>
      </w:tr>
      <w:tr w:rsidR="002D6035" w:rsidRPr="00DA3C6E" w14:paraId="450CF5C8" w14:textId="77777777" w:rsidTr="00041518">
        <w:tc>
          <w:tcPr>
            <w:tcW w:w="4957" w:type="dxa"/>
            <w:tcBorders>
              <w:bottom w:val="single" w:sz="4" w:space="0" w:color="auto"/>
            </w:tcBorders>
            <w:vAlign w:val="center"/>
          </w:tcPr>
          <w:p w14:paraId="2FE16FB6" w14:textId="58BEDC3B"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Previously treated/treatment </w:t>
            </w:r>
            <w:r w:rsidR="00FA2533" w:rsidRPr="00DA3C6E">
              <w:rPr>
                <w:rFonts w:ascii="Arial Narrow" w:hAnsi="Arial Narrow"/>
                <w:sz w:val="20"/>
                <w:szCs w:val="20"/>
              </w:rPr>
              <w:t>naïve</w:t>
            </w:r>
          </w:p>
        </w:tc>
        <w:tc>
          <w:tcPr>
            <w:tcW w:w="4059" w:type="dxa"/>
            <w:gridSpan w:val="2"/>
            <w:tcBorders>
              <w:bottom w:val="single" w:sz="4" w:space="0" w:color="auto"/>
            </w:tcBorders>
            <w:vAlign w:val="center"/>
          </w:tcPr>
          <w:p w14:paraId="76877128"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25B5A879" w14:textId="77777777" w:rsidTr="00041518">
        <w:tc>
          <w:tcPr>
            <w:tcW w:w="4957" w:type="dxa"/>
            <w:tcBorders>
              <w:right w:val="nil"/>
            </w:tcBorders>
            <w:vAlign w:val="center"/>
          </w:tcPr>
          <w:p w14:paraId="1D3DC303" w14:textId="1825F12D" w:rsidR="002D6035" w:rsidRPr="00DA3C6E" w:rsidRDefault="002D6035" w:rsidP="00C04BCE">
            <w:pPr>
              <w:keepNext/>
              <w:keepLines/>
              <w:spacing w:after="0" w:line="240" w:lineRule="auto"/>
              <w:ind w:left="0"/>
              <w:jc w:val="left"/>
              <w:rPr>
                <w:rFonts w:ascii="Arial Narrow" w:hAnsi="Arial Narrow"/>
                <w:b/>
                <w:sz w:val="20"/>
                <w:szCs w:val="20"/>
              </w:rPr>
            </w:pPr>
            <w:r w:rsidRPr="00DA3C6E">
              <w:rPr>
                <w:rFonts w:ascii="Arial Narrow" w:hAnsi="Arial Narrow"/>
                <w:b/>
                <w:sz w:val="20"/>
                <w:szCs w:val="20"/>
              </w:rPr>
              <w:t>Leger et al. 2001</w:t>
            </w:r>
            <w:r w:rsidR="00DB568A" w:rsidRPr="00DA3C6E">
              <w:rPr>
                <w:rFonts w:ascii="Arial Narrow" w:hAnsi="Arial Narrow"/>
                <w:b/>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sz w:val="20"/>
                <w:szCs w:val="20"/>
              </w:rPr>
              <w:instrText xml:space="preserve"> ADDIN EN.CITE </w:instrText>
            </w:r>
            <w:r w:rsidR="00DB568A" w:rsidRPr="00DA3C6E">
              <w:rPr>
                <w:rFonts w:ascii="Arial Narrow" w:hAnsi="Arial Narrow"/>
                <w:b/>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sz w:val="20"/>
                <w:szCs w:val="20"/>
              </w:rPr>
              <w:instrText xml:space="preserve"> ADDIN EN.CITE.DATA </w:instrText>
            </w:r>
            <w:r w:rsidR="00DB568A" w:rsidRPr="00DA3C6E">
              <w:rPr>
                <w:rFonts w:ascii="Arial Narrow" w:hAnsi="Arial Narrow"/>
                <w:b/>
                <w:sz w:val="20"/>
                <w:szCs w:val="20"/>
              </w:rPr>
            </w:r>
            <w:r w:rsidR="00DB568A" w:rsidRPr="00DA3C6E">
              <w:rPr>
                <w:rFonts w:ascii="Arial Narrow" w:hAnsi="Arial Narrow"/>
                <w:b/>
                <w:sz w:val="20"/>
                <w:szCs w:val="20"/>
              </w:rPr>
              <w:fldChar w:fldCharType="end"/>
            </w:r>
            <w:r w:rsidR="00DB568A" w:rsidRPr="00DA3C6E">
              <w:rPr>
                <w:rFonts w:ascii="Arial Narrow" w:hAnsi="Arial Narrow"/>
                <w:b/>
                <w:sz w:val="20"/>
                <w:szCs w:val="20"/>
              </w:rPr>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7" w:tooltip="Leger, 2001 #39" w:history="1">
              <w:r w:rsidR="00C04BCE" w:rsidRPr="00DA3C6E">
                <w:rPr>
                  <w:rFonts w:ascii="Arial Narrow" w:hAnsi="Arial Narrow"/>
                  <w:b/>
                  <w:noProof/>
                  <w:sz w:val="20"/>
                  <w:szCs w:val="20"/>
                </w:rPr>
                <w:t>27</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r w:rsidR="00186264" w:rsidRPr="00DA3C6E">
              <w:rPr>
                <w:rFonts w:ascii="Arial Narrow" w:hAnsi="Arial Narrow"/>
                <w:b/>
                <w:sz w:val="20"/>
                <w:szCs w:val="20"/>
              </w:rPr>
              <w:t xml:space="preserve"> </w:t>
            </w:r>
            <w:r w:rsidRPr="00DA3C6E">
              <w:rPr>
                <w:rFonts w:ascii="Arial Narrow" w:hAnsi="Arial Narrow"/>
                <w:b/>
                <w:sz w:val="20"/>
                <w:szCs w:val="20"/>
              </w:rPr>
              <w:t>(n = 19)</w:t>
            </w:r>
          </w:p>
        </w:tc>
        <w:tc>
          <w:tcPr>
            <w:tcW w:w="2126" w:type="dxa"/>
            <w:tcBorders>
              <w:left w:val="nil"/>
              <w:right w:val="nil"/>
            </w:tcBorders>
            <w:vAlign w:val="center"/>
          </w:tcPr>
          <w:p w14:paraId="656F1D42" w14:textId="77777777" w:rsidR="002D6035" w:rsidRPr="00DA3C6E" w:rsidRDefault="002D6035" w:rsidP="00490DF0">
            <w:pPr>
              <w:keepNext/>
              <w:keepLines/>
              <w:spacing w:after="0" w:line="240" w:lineRule="auto"/>
              <w:jc w:val="center"/>
              <w:rPr>
                <w:rFonts w:ascii="Arial Narrow" w:hAnsi="Arial Narrow"/>
                <w:b/>
                <w:sz w:val="20"/>
                <w:szCs w:val="20"/>
              </w:rPr>
            </w:pPr>
          </w:p>
        </w:tc>
        <w:tc>
          <w:tcPr>
            <w:tcW w:w="1933" w:type="dxa"/>
            <w:tcBorders>
              <w:left w:val="nil"/>
            </w:tcBorders>
            <w:vAlign w:val="center"/>
          </w:tcPr>
          <w:p w14:paraId="72C25EA4" w14:textId="77777777" w:rsidR="002D6035" w:rsidRPr="00DA3C6E" w:rsidRDefault="002D6035" w:rsidP="00490DF0">
            <w:pPr>
              <w:keepNext/>
              <w:keepLines/>
              <w:spacing w:after="0" w:line="240" w:lineRule="auto"/>
              <w:jc w:val="center"/>
              <w:rPr>
                <w:rFonts w:ascii="Arial Narrow" w:hAnsi="Arial Narrow"/>
                <w:b/>
                <w:sz w:val="20"/>
                <w:szCs w:val="20"/>
              </w:rPr>
            </w:pPr>
          </w:p>
        </w:tc>
      </w:tr>
      <w:tr w:rsidR="002D6035" w:rsidRPr="00DA3C6E" w14:paraId="694E1CBD" w14:textId="77777777" w:rsidTr="00041518">
        <w:tc>
          <w:tcPr>
            <w:tcW w:w="4957" w:type="dxa"/>
            <w:vAlign w:val="center"/>
          </w:tcPr>
          <w:p w14:paraId="450CFD34"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age (SD)</w:t>
            </w:r>
          </w:p>
        </w:tc>
        <w:tc>
          <w:tcPr>
            <w:tcW w:w="2126" w:type="dxa"/>
            <w:vAlign w:val="center"/>
          </w:tcPr>
          <w:p w14:paraId="1E5A862A"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57.1 (6.6)</w:t>
            </w:r>
          </w:p>
        </w:tc>
        <w:tc>
          <w:tcPr>
            <w:tcW w:w="1933" w:type="dxa"/>
            <w:vAlign w:val="center"/>
          </w:tcPr>
          <w:p w14:paraId="11D9BDAC"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51.9 (6.8)</w:t>
            </w:r>
          </w:p>
        </w:tc>
      </w:tr>
      <w:tr w:rsidR="002D6035" w:rsidRPr="00DA3C6E" w14:paraId="4CCFBFA6" w14:textId="77777777" w:rsidTr="00041518">
        <w:tc>
          <w:tcPr>
            <w:tcW w:w="4957" w:type="dxa"/>
            <w:vAlign w:val="center"/>
          </w:tcPr>
          <w:p w14:paraId="74B173C5"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Gender, n (%) male</w:t>
            </w:r>
          </w:p>
        </w:tc>
        <w:tc>
          <w:tcPr>
            <w:tcW w:w="2126" w:type="dxa"/>
            <w:vAlign w:val="center"/>
          </w:tcPr>
          <w:p w14:paraId="56B34919" w14:textId="77777777" w:rsidR="002D6035" w:rsidRPr="00DA3C6E" w:rsidRDefault="002D6035" w:rsidP="00AE597A">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7 (70)</w:t>
            </w:r>
          </w:p>
        </w:tc>
        <w:tc>
          <w:tcPr>
            <w:tcW w:w="1933" w:type="dxa"/>
            <w:vAlign w:val="center"/>
          </w:tcPr>
          <w:p w14:paraId="370819BA"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6 (66.7)</w:t>
            </w:r>
          </w:p>
        </w:tc>
      </w:tr>
      <w:tr w:rsidR="002D6035" w:rsidRPr="00DA3C6E" w14:paraId="31E255BB" w14:textId="77777777" w:rsidTr="00041518">
        <w:tc>
          <w:tcPr>
            <w:tcW w:w="4957" w:type="dxa"/>
            <w:vAlign w:val="center"/>
          </w:tcPr>
          <w:p w14:paraId="58F81D4B"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Duration of symptoms (mean years)</w:t>
            </w:r>
          </w:p>
        </w:tc>
        <w:tc>
          <w:tcPr>
            <w:tcW w:w="2126" w:type="dxa"/>
            <w:vAlign w:val="center"/>
          </w:tcPr>
          <w:p w14:paraId="4188A5DB"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9.8 (8.7)</w:t>
            </w:r>
          </w:p>
        </w:tc>
        <w:tc>
          <w:tcPr>
            <w:tcW w:w="1933" w:type="dxa"/>
            <w:vAlign w:val="center"/>
          </w:tcPr>
          <w:p w14:paraId="324F93B5"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8.2 (5.6)</w:t>
            </w:r>
          </w:p>
        </w:tc>
      </w:tr>
      <w:tr w:rsidR="002D6035" w:rsidRPr="00DA3C6E" w14:paraId="4CE85649" w14:textId="77777777" w:rsidTr="00041518">
        <w:tc>
          <w:tcPr>
            <w:tcW w:w="4957" w:type="dxa"/>
            <w:vAlign w:val="center"/>
          </w:tcPr>
          <w:p w14:paraId="52FFABA4" w14:textId="77777777" w:rsidR="002D6035" w:rsidRPr="00DA3C6E" w:rsidRDefault="002D6035" w:rsidP="00490DF0">
            <w:pPr>
              <w:keepNext/>
              <w:keepLines/>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Mean baseline muscle strength (SD)</w:t>
            </w:r>
            <w:r w:rsidRPr="00DA3C6E">
              <w:rPr>
                <w:rFonts w:ascii="Arial Narrow" w:hAnsi="Arial Narrow"/>
                <w:sz w:val="20"/>
                <w:szCs w:val="20"/>
                <w:vertAlign w:val="superscript"/>
              </w:rPr>
              <w:t>b</w:t>
            </w:r>
          </w:p>
        </w:tc>
        <w:tc>
          <w:tcPr>
            <w:tcW w:w="2126" w:type="dxa"/>
            <w:vAlign w:val="center"/>
          </w:tcPr>
          <w:p w14:paraId="3568A213"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118.4 (11.2)</w:t>
            </w:r>
          </w:p>
        </w:tc>
        <w:tc>
          <w:tcPr>
            <w:tcW w:w="1933" w:type="dxa"/>
            <w:vAlign w:val="center"/>
          </w:tcPr>
          <w:p w14:paraId="0A1E712C"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112.9 (19.2)</w:t>
            </w:r>
          </w:p>
        </w:tc>
      </w:tr>
      <w:tr w:rsidR="002D6035" w:rsidRPr="00DA3C6E" w14:paraId="7F239B54" w14:textId="77777777" w:rsidTr="00041518">
        <w:tc>
          <w:tcPr>
            <w:tcW w:w="4957" w:type="dxa"/>
            <w:vAlign w:val="center"/>
          </w:tcPr>
          <w:p w14:paraId="08431C4B"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baseline self-evaluation score (SD)</w:t>
            </w:r>
            <w:r w:rsidRPr="00DA3C6E">
              <w:rPr>
                <w:rFonts w:ascii="Arial Narrow" w:hAnsi="Arial Narrow"/>
                <w:sz w:val="20"/>
                <w:szCs w:val="20"/>
                <w:vertAlign w:val="superscript"/>
              </w:rPr>
              <w:t>c</w:t>
            </w:r>
          </w:p>
        </w:tc>
        <w:tc>
          <w:tcPr>
            <w:tcW w:w="2126" w:type="dxa"/>
            <w:vAlign w:val="center"/>
          </w:tcPr>
          <w:p w14:paraId="11A120B2"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19.1 (2.0)</w:t>
            </w:r>
          </w:p>
        </w:tc>
        <w:tc>
          <w:tcPr>
            <w:tcW w:w="1933" w:type="dxa"/>
            <w:vAlign w:val="center"/>
          </w:tcPr>
          <w:p w14:paraId="6D701006"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18.7 (2.9)</w:t>
            </w:r>
          </w:p>
        </w:tc>
      </w:tr>
      <w:tr w:rsidR="002D6035" w:rsidRPr="00DA3C6E" w14:paraId="142CF8CD" w14:textId="77777777" w:rsidTr="00041518">
        <w:tc>
          <w:tcPr>
            <w:tcW w:w="4957" w:type="dxa"/>
            <w:vAlign w:val="center"/>
          </w:tcPr>
          <w:p w14:paraId="140AEE1D"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Presence of conduction block</w:t>
            </w:r>
          </w:p>
        </w:tc>
        <w:tc>
          <w:tcPr>
            <w:tcW w:w="2126" w:type="dxa"/>
            <w:vAlign w:val="center"/>
          </w:tcPr>
          <w:p w14:paraId="025D871C"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w:t>
            </w:r>
          </w:p>
        </w:tc>
        <w:tc>
          <w:tcPr>
            <w:tcW w:w="1933" w:type="dxa"/>
            <w:vAlign w:val="center"/>
          </w:tcPr>
          <w:p w14:paraId="5914F5F7"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w:t>
            </w:r>
          </w:p>
        </w:tc>
      </w:tr>
      <w:tr w:rsidR="002D6035" w:rsidRPr="00DA3C6E" w14:paraId="762D635D" w14:textId="77777777" w:rsidTr="00041518">
        <w:tc>
          <w:tcPr>
            <w:tcW w:w="4957" w:type="dxa"/>
            <w:tcBorders>
              <w:bottom w:val="single" w:sz="4" w:space="0" w:color="auto"/>
            </w:tcBorders>
            <w:vAlign w:val="center"/>
          </w:tcPr>
          <w:p w14:paraId="1C518274" w14:textId="272D35BE"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Previously treated/treatment </w:t>
            </w:r>
            <w:r w:rsidR="00FA2533" w:rsidRPr="00DA3C6E">
              <w:rPr>
                <w:rFonts w:ascii="Arial Narrow" w:hAnsi="Arial Narrow"/>
                <w:sz w:val="20"/>
                <w:szCs w:val="20"/>
              </w:rPr>
              <w:t>naïve</w:t>
            </w:r>
          </w:p>
        </w:tc>
        <w:tc>
          <w:tcPr>
            <w:tcW w:w="2126" w:type="dxa"/>
            <w:tcBorders>
              <w:bottom w:val="single" w:sz="4" w:space="0" w:color="auto"/>
            </w:tcBorders>
            <w:vAlign w:val="center"/>
          </w:tcPr>
          <w:p w14:paraId="7E065588"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Yes/Yes</w:t>
            </w:r>
          </w:p>
        </w:tc>
        <w:tc>
          <w:tcPr>
            <w:tcW w:w="1933" w:type="dxa"/>
            <w:tcBorders>
              <w:bottom w:val="single" w:sz="4" w:space="0" w:color="auto"/>
            </w:tcBorders>
            <w:vAlign w:val="center"/>
          </w:tcPr>
          <w:p w14:paraId="540C47DA"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Yes/Yes</w:t>
            </w:r>
          </w:p>
        </w:tc>
      </w:tr>
      <w:tr w:rsidR="002D6035" w:rsidRPr="00DA3C6E" w14:paraId="623F523F" w14:textId="77777777" w:rsidTr="00041518">
        <w:tc>
          <w:tcPr>
            <w:tcW w:w="4957" w:type="dxa"/>
            <w:tcBorders>
              <w:right w:val="nil"/>
            </w:tcBorders>
            <w:vAlign w:val="center"/>
          </w:tcPr>
          <w:p w14:paraId="4649D993" w14:textId="339C7DCC" w:rsidR="002D6035" w:rsidRPr="00DA3C6E" w:rsidRDefault="002D6035" w:rsidP="00C04BCE">
            <w:pPr>
              <w:keepNext/>
              <w:keepLines/>
              <w:spacing w:after="0" w:line="240" w:lineRule="auto"/>
              <w:ind w:left="0"/>
              <w:jc w:val="left"/>
              <w:rPr>
                <w:rFonts w:ascii="Arial Narrow" w:hAnsi="Arial Narrow"/>
                <w:b/>
                <w:sz w:val="20"/>
                <w:szCs w:val="20"/>
                <w:vertAlign w:val="superscript"/>
              </w:rPr>
            </w:pPr>
            <w:r w:rsidRPr="00DA3C6E">
              <w:rPr>
                <w:rFonts w:ascii="Arial Narrow" w:hAnsi="Arial Narrow"/>
                <w:b/>
                <w:sz w:val="20"/>
                <w:szCs w:val="20"/>
                <w:vertAlign w:val="superscript"/>
              </w:rPr>
              <w:t>a</w:t>
            </w:r>
            <w:r w:rsidRPr="00DA3C6E">
              <w:rPr>
                <w:rFonts w:ascii="Arial Narrow" w:hAnsi="Arial Narrow"/>
                <w:b/>
                <w:sz w:val="20"/>
                <w:szCs w:val="20"/>
              </w:rPr>
              <w:t xml:space="preserve">Hahn et al. 2013 </w:t>
            </w:r>
            <w:r w:rsidR="00DB568A" w:rsidRPr="00DA3C6E">
              <w:rPr>
                <w:rFonts w:ascii="Arial Narrow" w:hAnsi="Arial Narrow"/>
                <w:b/>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sz w:val="20"/>
                <w:szCs w:val="20"/>
              </w:rPr>
              <w:instrText xml:space="preserve"> ADDIN EN.CITE </w:instrText>
            </w:r>
            <w:r w:rsidR="00DB568A" w:rsidRPr="00DA3C6E">
              <w:rPr>
                <w:rFonts w:ascii="Arial Narrow" w:hAnsi="Arial Narrow"/>
                <w:b/>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sz w:val="20"/>
                <w:szCs w:val="20"/>
              </w:rPr>
              <w:instrText xml:space="preserve"> ADDIN EN.CITE.DATA </w:instrText>
            </w:r>
            <w:r w:rsidR="00DB568A" w:rsidRPr="00DA3C6E">
              <w:rPr>
                <w:rFonts w:ascii="Arial Narrow" w:hAnsi="Arial Narrow"/>
                <w:b/>
                <w:sz w:val="20"/>
                <w:szCs w:val="20"/>
              </w:rPr>
            </w:r>
            <w:r w:rsidR="00DB568A" w:rsidRPr="00DA3C6E">
              <w:rPr>
                <w:rFonts w:ascii="Arial Narrow" w:hAnsi="Arial Narrow"/>
                <w:b/>
                <w:sz w:val="20"/>
                <w:szCs w:val="20"/>
              </w:rPr>
              <w:fldChar w:fldCharType="end"/>
            </w:r>
            <w:r w:rsidR="00DB568A" w:rsidRPr="00DA3C6E">
              <w:rPr>
                <w:rFonts w:ascii="Arial Narrow" w:hAnsi="Arial Narrow"/>
                <w:b/>
                <w:sz w:val="20"/>
                <w:szCs w:val="20"/>
              </w:rPr>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8" w:tooltip="Hahn, 2013 #26" w:history="1">
              <w:r w:rsidR="00C04BCE" w:rsidRPr="00DA3C6E">
                <w:rPr>
                  <w:rFonts w:ascii="Arial Narrow" w:hAnsi="Arial Narrow"/>
                  <w:b/>
                  <w:noProof/>
                  <w:sz w:val="20"/>
                  <w:szCs w:val="20"/>
                </w:rPr>
                <w:t>28</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r w:rsidR="00FA2533" w:rsidRPr="00DA3C6E">
              <w:rPr>
                <w:rFonts w:ascii="Arial Narrow" w:hAnsi="Arial Narrow"/>
                <w:b/>
                <w:sz w:val="20"/>
                <w:szCs w:val="20"/>
              </w:rPr>
              <w:t xml:space="preserve"> </w:t>
            </w:r>
            <w:r w:rsidRPr="00DA3C6E">
              <w:rPr>
                <w:rFonts w:ascii="Arial Narrow" w:hAnsi="Arial Narrow"/>
                <w:b/>
                <w:sz w:val="20"/>
                <w:szCs w:val="20"/>
              </w:rPr>
              <w:t>(n = 44)</w:t>
            </w:r>
          </w:p>
        </w:tc>
        <w:tc>
          <w:tcPr>
            <w:tcW w:w="2126" w:type="dxa"/>
            <w:tcBorders>
              <w:left w:val="nil"/>
              <w:right w:val="nil"/>
            </w:tcBorders>
            <w:vAlign w:val="center"/>
          </w:tcPr>
          <w:p w14:paraId="1A2CC0BC" w14:textId="77777777" w:rsidR="002D6035" w:rsidRPr="00DA3C6E" w:rsidRDefault="002D6035" w:rsidP="00490DF0">
            <w:pPr>
              <w:keepNext/>
              <w:keepLines/>
              <w:spacing w:after="0" w:line="240" w:lineRule="auto"/>
              <w:jc w:val="center"/>
              <w:rPr>
                <w:rFonts w:ascii="Arial Narrow" w:hAnsi="Arial Narrow"/>
                <w:b/>
                <w:sz w:val="20"/>
                <w:szCs w:val="20"/>
              </w:rPr>
            </w:pPr>
          </w:p>
        </w:tc>
        <w:tc>
          <w:tcPr>
            <w:tcW w:w="1933" w:type="dxa"/>
            <w:tcBorders>
              <w:left w:val="nil"/>
            </w:tcBorders>
            <w:vAlign w:val="center"/>
          </w:tcPr>
          <w:p w14:paraId="41EAA817" w14:textId="77777777" w:rsidR="002D6035" w:rsidRPr="00DA3C6E" w:rsidRDefault="002D6035" w:rsidP="00490DF0">
            <w:pPr>
              <w:keepNext/>
              <w:keepLines/>
              <w:spacing w:after="0" w:line="240" w:lineRule="auto"/>
              <w:jc w:val="center"/>
              <w:rPr>
                <w:rFonts w:ascii="Arial Narrow" w:hAnsi="Arial Narrow"/>
                <w:b/>
                <w:sz w:val="20"/>
                <w:szCs w:val="20"/>
              </w:rPr>
            </w:pPr>
          </w:p>
        </w:tc>
      </w:tr>
      <w:tr w:rsidR="002D6035" w:rsidRPr="00DA3C6E" w14:paraId="22A6CB4F" w14:textId="77777777" w:rsidTr="00041518">
        <w:tc>
          <w:tcPr>
            <w:tcW w:w="4957" w:type="dxa"/>
            <w:vAlign w:val="center"/>
          </w:tcPr>
          <w:p w14:paraId="32431733"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Mean age (SD)</w:t>
            </w:r>
          </w:p>
        </w:tc>
        <w:tc>
          <w:tcPr>
            <w:tcW w:w="4059" w:type="dxa"/>
            <w:gridSpan w:val="2"/>
            <w:vAlign w:val="center"/>
          </w:tcPr>
          <w:p w14:paraId="52DDD0F9"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51.64 (10.25)</w:t>
            </w:r>
          </w:p>
        </w:tc>
      </w:tr>
      <w:tr w:rsidR="002D6035" w:rsidRPr="00DA3C6E" w14:paraId="4E495D1D" w14:textId="77777777" w:rsidTr="00041518">
        <w:tc>
          <w:tcPr>
            <w:tcW w:w="4957" w:type="dxa"/>
            <w:vAlign w:val="center"/>
          </w:tcPr>
          <w:p w14:paraId="73D249EC"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Gender male, n (%) </w:t>
            </w:r>
          </w:p>
        </w:tc>
        <w:tc>
          <w:tcPr>
            <w:tcW w:w="4059" w:type="dxa"/>
            <w:gridSpan w:val="2"/>
            <w:vAlign w:val="center"/>
          </w:tcPr>
          <w:p w14:paraId="656AD3B9"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32 (72.7)</w:t>
            </w:r>
          </w:p>
        </w:tc>
      </w:tr>
      <w:tr w:rsidR="002D6035" w:rsidRPr="00DA3C6E" w14:paraId="025B5CCF" w14:textId="77777777" w:rsidTr="00041518">
        <w:tc>
          <w:tcPr>
            <w:tcW w:w="4957" w:type="dxa"/>
            <w:vAlign w:val="center"/>
          </w:tcPr>
          <w:p w14:paraId="6F85F381" w14:textId="77777777"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Duration of symptoms (mean years)</w:t>
            </w:r>
          </w:p>
        </w:tc>
        <w:tc>
          <w:tcPr>
            <w:tcW w:w="4059" w:type="dxa"/>
            <w:gridSpan w:val="2"/>
            <w:vAlign w:val="center"/>
          </w:tcPr>
          <w:p w14:paraId="00DB9121"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0F543110" w14:textId="77777777" w:rsidTr="00041518">
        <w:tc>
          <w:tcPr>
            <w:tcW w:w="4957" w:type="dxa"/>
            <w:vAlign w:val="center"/>
          </w:tcPr>
          <w:p w14:paraId="06041F0F" w14:textId="77777777" w:rsidR="002D6035" w:rsidRPr="00DA3C6E" w:rsidRDefault="002D6035" w:rsidP="00490DF0">
            <w:pPr>
              <w:keepNext/>
              <w:keepLines/>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Mean baseline disability (SD)</w:t>
            </w:r>
          </w:p>
        </w:tc>
        <w:tc>
          <w:tcPr>
            <w:tcW w:w="4059" w:type="dxa"/>
            <w:gridSpan w:val="2"/>
            <w:vAlign w:val="center"/>
          </w:tcPr>
          <w:p w14:paraId="672847B7"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NR</w:t>
            </w:r>
          </w:p>
        </w:tc>
      </w:tr>
      <w:tr w:rsidR="002D6035" w:rsidRPr="00DA3C6E" w14:paraId="664F0CDC" w14:textId="77777777" w:rsidTr="00041518">
        <w:tc>
          <w:tcPr>
            <w:tcW w:w="4957" w:type="dxa"/>
            <w:vAlign w:val="center"/>
          </w:tcPr>
          <w:p w14:paraId="2BEAFDAB" w14:textId="73098498" w:rsidR="002D6035" w:rsidRPr="00DA3C6E" w:rsidRDefault="002D6035" w:rsidP="00490DF0">
            <w:pPr>
              <w:keepNext/>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Previously treated/treatment </w:t>
            </w:r>
            <w:r w:rsidR="00FA2533" w:rsidRPr="00DA3C6E">
              <w:rPr>
                <w:rFonts w:ascii="Arial Narrow" w:hAnsi="Arial Narrow"/>
                <w:sz w:val="20"/>
                <w:szCs w:val="20"/>
              </w:rPr>
              <w:t>naïve</w:t>
            </w:r>
          </w:p>
        </w:tc>
        <w:tc>
          <w:tcPr>
            <w:tcW w:w="4059" w:type="dxa"/>
            <w:gridSpan w:val="2"/>
            <w:vAlign w:val="center"/>
          </w:tcPr>
          <w:p w14:paraId="71124E34" w14:textId="77777777" w:rsidR="002D6035" w:rsidRPr="00DA3C6E" w:rsidRDefault="002D6035" w:rsidP="00490DF0">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Yes/No</w:t>
            </w:r>
          </w:p>
        </w:tc>
      </w:tr>
    </w:tbl>
    <w:p w14:paraId="01AD4A63" w14:textId="77777777" w:rsidR="002D6035" w:rsidRPr="00DA3C6E" w:rsidRDefault="002D6035" w:rsidP="00E71542">
      <w:pPr>
        <w:spacing w:after="0" w:line="240" w:lineRule="auto"/>
        <w:rPr>
          <w:rFonts w:ascii="Arial Narrow" w:hAnsi="Arial Narrow"/>
          <w:sz w:val="18"/>
        </w:rPr>
      </w:pPr>
      <w:r w:rsidRPr="00DA3C6E">
        <w:rPr>
          <w:rFonts w:ascii="Arial Narrow" w:hAnsi="Arial Narrow"/>
          <w:sz w:val="18"/>
        </w:rPr>
        <w:t>Abbreviations: Ig= immunoglobulins; NR = not reported; SD = standard deviation</w:t>
      </w:r>
    </w:p>
    <w:p w14:paraId="700B721B" w14:textId="77777777" w:rsidR="002D6035" w:rsidRPr="00DA3C6E" w:rsidRDefault="002D6035" w:rsidP="0016555D">
      <w:pPr>
        <w:spacing w:line="240" w:lineRule="auto"/>
        <w:rPr>
          <w:rFonts w:ascii="Arial Narrow" w:hAnsi="Arial Narrow"/>
          <w:sz w:val="18"/>
        </w:rPr>
      </w:pPr>
      <w:r w:rsidRPr="00DA3C6E">
        <w:rPr>
          <w:rFonts w:ascii="Arial Narrow" w:hAnsi="Arial Narrow"/>
          <w:sz w:val="18"/>
        </w:rPr>
        <w:t xml:space="preserve">Note: </w:t>
      </w:r>
      <w:r w:rsidRPr="00DA3C6E">
        <w:rPr>
          <w:rFonts w:ascii="Arial Narrow" w:hAnsi="Arial Narrow"/>
          <w:sz w:val="18"/>
          <w:vertAlign w:val="superscript"/>
        </w:rPr>
        <w:t>a</w:t>
      </w:r>
      <w:r w:rsidRPr="00DA3C6E">
        <w:rPr>
          <w:rFonts w:ascii="Arial Narrow" w:hAnsi="Arial Narrow"/>
          <w:sz w:val="18"/>
        </w:rPr>
        <w:t xml:space="preserve"> Characteristics of patients were not reported according to the two arms of study; </w:t>
      </w:r>
      <w:r w:rsidRPr="00DA3C6E">
        <w:rPr>
          <w:rFonts w:ascii="Arial Narrow" w:hAnsi="Arial Narrow"/>
          <w:sz w:val="18"/>
          <w:vertAlign w:val="superscript"/>
        </w:rPr>
        <w:t>b</w:t>
      </w:r>
      <w:r w:rsidRPr="00DA3C6E">
        <w:rPr>
          <w:rFonts w:ascii="Arial Narrow" w:hAnsi="Arial Narrow"/>
          <w:sz w:val="18"/>
        </w:rPr>
        <w:t xml:space="preserve"> muscle strength was measured using the Medical Research Council (MRC) score with a maximum score of 150; </w:t>
      </w:r>
      <w:r w:rsidRPr="00DA3C6E">
        <w:rPr>
          <w:rFonts w:ascii="Arial Narrow" w:hAnsi="Arial Narrow"/>
          <w:sz w:val="18"/>
          <w:vertAlign w:val="superscript"/>
        </w:rPr>
        <w:t>c</w:t>
      </w:r>
      <w:r w:rsidRPr="00DA3C6E">
        <w:rPr>
          <w:rFonts w:ascii="Arial Narrow" w:hAnsi="Arial Narrow"/>
          <w:sz w:val="18"/>
        </w:rPr>
        <w:t xml:space="preserve"> the maximum self-evaluation score was 25 (ranged from 0-5 for each five motor activities of daily life). </w:t>
      </w:r>
    </w:p>
    <w:p w14:paraId="02257438" w14:textId="659257AA" w:rsidR="002D6035" w:rsidRPr="00DA3C6E" w:rsidRDefault="002D6035" w:rsidP="00D778BE">
      <w:r w:rsidRPr="00DA3C6E">
        <w:t xml:space="preserve">A summary of the features of the included single arm studies is presented in </w:t>
      </w:r>
      <w:r w:rsidRPr="00DA3C6E">
        <w:fldChar w:fldCharType="begin"/>
      </w:r>
      <w:r w:rsidRPr="00DA3C6E">
        <w:instrText xml:space="preserve"> REF _Ref25760716 \h  \* MERGEFORMAT </w:instrText>
      </w:r>
      <w:r w:rsidRPr="00DA3C6E">
        <w:fldChar w:fldCharType="separate"/>
      </w:r>
      <w:r w:rsidR="00EA5DC1" w:rsidRPr="00DA3C6E">
        <w:t xml:space="preserve">Table </w:t>
      </w:r>
      <w:r w:rsidR="00EA5DC1">
        <w:rPr>
          <w:noProof/>
        </w:rPr>
        <w:t>13</w:t>
      </w:r>
      <w:r w:rsidRPr="00DA3C6E">
        <w:fldChar w:fldCharType="end"/>
      </w:r>
      <w:r w:rsidRPr="00DA3C6E">
        <w:t xml:space="preserve">. Further details of all 24 included single arm studies is presented in </w:t>
      </w:r>
      <w:r w:rsidR="001A5C62" w:rsidRPr="00DA3C6E">
        <w:fldChar w:fldCharType="begin"/>
      </w:r>
      <w:r w:rsidR="001A5C62" w:rsidRPr="00DA3C6E">
        <w:instrText xml:space="preserve"> REF _Ref31207046 \h </w:instrText>
      </w:r>
      <w:r w:rsidR="00E8759F" w:rsidRPr="00DA3C6E">
        <w:instrText xml:space="preserve"> \* MERGEFORMAT </w:instrText>
      </w:r>
      <w:r w:rsidR="001A5C62" w:rsidRPr="00DA3C6E">
        <w:fldChar w:fldCharType="separate"/>
      </w:r>
      <w:r w:rsidR="00EA5DC1" w:rsidRPr="00DA3C6E">
        <w:t xml:space="preserve">Table </w:t>
      </w:r>
      <w:r w:rsidR="00EA5DC1">
        <w:rPr>
          <w:noProof/>
        </w:rPr>
        <w:t>52</w:t>
      </w:r>
      <w:r w:rsidR="001A5C62" w:rsidRPr="00DA3C6E">
        <w:fldChar w:fldCharType="end"/>
      </w:r>
      <w:r w:rsidR="001A5C62" w:rsidRPr="00DA3C6E">
        <w:t xml:space="preserve"> </w:t>
      </w:r>
      <w:r w:rsidRPr="00DA3C6E">
        <w:t>in Appendix C. Across the trials, there was no consistency between the trials in the definition of treatment response. In addition, the use of arbitrary cut-offs was used for the assessment of improvement (e.g. 1-2 point improvement in the Medical Research Council (MRC) score or in 1 or 2 muscles examined, 1 point improvement on a ordinal-based composite measure).</w:t>
      </w:r>
    </w:p>
    <w:p w14:paraId="71E83CDE" w14:textId="77777777" w:rsidR="00490DF0" w:rsidRPr="00DA3C6E" w:rsidRDefault="00490DF0" w:rsidP="00490DF0">
      <w:pPr>
        <w:keepNext/>
        <w:spacing w:before="240" w:after="120"/>
        <w:outlineLvl w:val="2"/>
        <w:rPr>
          <w:b/>
        </w:rPr>
      </w:pPr>
      <w:bookmarkStart w:id="160" w:name="_Toc37845738"/>
      <w:r w:rsidRPr="00DA3C6E">
        <w:rPr>
          <w:b/>
          <w:smallCaps/>
          <w:sz w:val="24"/>
          <w:szCs w:val="24"/>
        </w:rPr>
        <w:t>Single arm studies</w:t>
      </w:r>
      <w:bookmarkEnd w:id="160"/>
    </w:p>
    <w:p w14:paraId="7573F726" w14:textId="16C4D2DE" w:rsidR="002D6035" w:rsidRPr="00DA3C6E" w:rsidRDefault="002D6035" w:rsidP="00D778BE">
      <w:r w:rsidRPr="00DA3C6E">
        <w:t xml:space="preserve">Four retrospective studies described MMN patients who had received repeated Ig therapy over several years (1 - 8.2 years), suggesting that intravenous Ig can be considered a long-term treatment </w:t>
      </w:r>
      <w:r w:rsidRPr="00DA3C6E">
        <w:lastRenderedPageBreak/>
        <w:t xml:space="preserve">option for MMN patients </w:t>
      </w:r>
      <w:r w:rsidR="00DB568A" w:rsidRPr="00DA3C6E">
        <w:fldChar w:fldCharType="begin">
          <w:fldData xml:space="preserve">PEVuZE5vdGU+PENpdGU+PEF1dGhvcj5MZWdlcjwvQXV0aG9yPjxZZWFyPjIwMDg8L1llYXI+PFJl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dWcgQWRtaW5pc3RyYXRpb25dPC9rZXl3b3JkPjxrZXl3b3JkPnBsYWNlYm88L2tleXdvcmQ+PC9r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</w:fldData>
        </w:fldChar>
      </w:r>
      <w:r w:rsidR="00DB568A" w:rsidRPr="00DA3C6E">
        <w:instrText xml:space="preserve"> ADDIN EN.CITE </w:instrText>
      </w:r>
      <w:r w:rsidR="00DB568A" w:rsidRPr="00DA3C6E">
        <w:fldChar w:fldCharType="begin">
          <w:fldData xml:space="preserve">PEVuZE5vdGU+PENpdGU+PEF1dGhvcj5MZWdlcjwvQXV0aG9yPjxZZWFyPjIwMDg8L1llYXI+PFJl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dWcgQWRtaW5pc3RyYXRpb25dPC9rZXl3b3JkPjxrZXl3b3JkPnBsYWNlYm88L2tleXdvcmQ+PC9r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9" w:tooltip="Leger, 2008 #40" w:history="1">
        <w:r w:rsidR="00C04BCE" w:rsidRPr="00DA3C6E">
          <w:rPr>
            <w:noProof/>
          </w:rPr>
          <w:t>19</w:t>
        </w:r>
      </w:hyperlink>
      <w:r w:rsidR="00DB568A" w:rsidRPr="00DA3C6E">
        <w:rPr>
          <w:noProof/>
        </w:rPr>
        <w:t xml:space="preserve">, </w:t>
      </w:r>
      <w:hyperlink w:anchor="_ENREF_30" w:tooltip="Van den Berg-Vos, 2002 #68" w:history="1">
        <w:r w:rsidR="00C04BCE" w:rsidRPr="00DA3C6E">
          <w:rPr>
            <w:noProof/>
          </w:rPr>
          <w:t>30</w:t>
        </w:r>
      </w:hyperlink>
      <w:r w:rsidR="00DB568A" w:rsidRPr="00DA3C6E">
        <w:rPr>
          <w:noProof/>
        </w:rPr>
        <w:t xml:space="preserve">, </w:t>
      </w:r>
      <w:hyperlink w:anchor="_ENREF_31" w:tooltip="Vucic, 2004 #71" w:history="1">
        <w:r w:rsidR="00C04BCE" w:rsidRPr="00DA3C6E">
          <w:rPr>
            <w:noProof/>
          </w:rPr>
          <w:t>31</w:t>
        </w:r>
      </w:hyperlink>
      <w:r w:rsidR="00DB568A" w:rsidRPr="00DA3C6E">
        <w:rPr>
          <w:noProof/>
        </w:rPr>
        <w:t xml:space="preserve">, </w:t>
      </w:r>
      <w:hyperlink w:anchor="_ENREF_33" w:tooltip="Terenghi, 2004 #62" w:history="1">
        <w:r w:rsidR="00C04BCE" w:rsidRPr="00DA3C6E">
          <w:rPr>
            <w:noProof/>
          </w:rPr>
          <w:t>33</w:t>
        </w:r>
      </w:hyperlink>
      <w:r w:rsidR="00DB568A" w:rsidRPr="00DA3C6E">
        <w:rPr>
          <w:noProof/>
        </w:rPr>
        <w:t>)</w:t>
      </w:r>
      <w:r w:rsidR="00DB568A" w:rsidRPr="00DA3C6E">
        <w:fldChar w:fldCharType="end"/>
      </w:r>
      <w:r w:rsidRPr="00DA3C6E">
        <w:t xml:space="preserve">. In these studies, the intravenous Ig regimen and frequency, and treatment response varied among patients. In terms of long-term treatment effect, some studies showed sustained remission </w:t>
      </w:r>
      <w:r w:rsidR="00DB568A" w:rsidRPr="00DA3C6E">
        <w:fldChar w:fldCharType="begin"/>
      </w:r>
      <w:r w:rsidR="00DB568A" w:rsidRPr="00DA3C6E">
        <w:instrText xml:space="preserve"> ADDIN EN.CITE &lt;EndNote&gt;&lt;Cite&gt;&lt;Author&gt;Vucic&lt;/Author&gt;&lt;Year&gt;2004&lt;/Year&gt;&lt;RecNum&gt;71&lt;/RecNum&gt;&lt;DisplayText&gt;(31)&lt;/DisplayText&gt;&lt;record&gt;&lt;rec-number&gt;71&lt;/rec-number&gt;&lt;foreign-keys&gt;&lt;key app="EN" db-id="0992p2ztn5fez9e2wvnpw2xstd20f9w2dezz" timestamp="1586818281"&gt;71&lt;/key&gt;&lt;/foreign-keys&gt;&lt;ref-type name="Journal Article"&gt;17&lt;/ref-type&gt;&lt;contributors&gt;&lt;authors&gt;&lt;author&gt;Vucic, S.&lt;/author&gt;&lt;author&gt;Black, K. R.&lt;/author&gt;&lt;author&gt;Chong, P. S.&lt;/author&gt;&lt;author&gt;Cros, D.&lt;/author&gt;&lt;/authors&gt;&lt;/contributors&gt;&lt;auth-address&gt;Department of Neurology, Massachusetts General Hospital, Boston, MA, USA.&lt;/auth-address&gt;&lt;titles&gt;&lt;title&gt;Multifocal motor neuropathy: decrease in conduction blocks and reinnervation with long-term IVIg&lt;/title&gt;&lt;secondary-title&gt;Neurology&lt;/secondary-title&gt;&lt;/titles&gt;&lt;periodical&gt;&lt;full-title&gt;Neurology&lt;/full-title&gt;&lt;/periodical&gt;&lt;pages&gt;1264-9&lt;/pages&gt;&lt;volume&gt;63&lt;/volume&gt;&lt;number&gt;7&lt;/number&gt;&lt;keywords&gt;&lt;keyword&gt;Action Potentials/drug effects&lt;/keyword&gt;&lt;keyword&gt;Adult&lt;/keyword&gt;&lt;keyword&gt;Axons/drug effects/physiology&lt;/keyword&gt;&lt;keyword&gt;Drug Administration Schedule&lt;/keyword&gt;&lt;keyword&gt;Female&lt;/keyword&gt;&lt;keyword&gt;Follow-Up Studies&lt;/keyword&gt;&lt;keyword&gt;Humans&lt;/keyword&gt;&lt;keyword&gt;Immunoglobulins, Intravenous/administration &amp;amp; dosage/ therapeutic use&lt;/keyword&gt;&lt;keyword&gt;Male&lt;/keyword&gt;&lt;keyword&gt;Middle Aged&lt;/keyword&gt;&lt;keyword&gt;Motor Neuron Disease/physiopathology/ therapy&lt;/keyword&gt;&lt;keyword&gt;Muscle Weakness/physiopathology/therapy&lt;/keyword&gt;&lt;keyword&gt;Muscles/drug effects/physiopathology&lt;/keyword&gt;&lt;keyword&gt;Nerve Degeneration/physiopathology&lt;/keyword&gt;&lt;keyword&gt;Neural Conduction/ drug effects&lt;/keyword&gt;&lt;keyword&gt;Polyneuropathies/physiopathology/ therapy&lt;/keyword&gt;&lt;/keywords&gt;&lt;dates&gt;&lt;year&gt;2004&lt;/year&gt;&lt;pub-dates&gt;&lt;date&gt;Oct 12&lt;/date&gt;&lt;/pub-dates&gt;&lt;/dates&gt;&lt;accession-num&gt;15477549&lt;/accession-num&gt;&lt;urls&gt;&lt;related-urls&gt;&lt;url&gt;https://n.neurology.org/content/63/7/1264.long&lt;/url&gt;&lt;/related-urls&gt;&lt;/urls&gt;&lt;research-notes&gt;B. 10 patients with MMN and CB&lt;/research-notes&gt;&lt;/record&gt;&lt;/Cite&gt;&lt;/EndNote&gt;</w:instrText>
      </w:r>
      <w:r w:rsidR="00DB568A" w:rsidRPr="00DA3C6E">
        <w:fldChar w:fldCharType="separate"/>
      </w:r>
      <w:r w:rsidR="00DB568A" w:rsidRPr="00DA3C6E">
        <w:rPr>
          <w:noProof/>
        </w:rPr>
        <w:t>(</w:t>
      </w:r>
      <w:hyperlink w:anchor="_ENREF_31" w:tooltip="Vucic, 2004 #71" w:history="1">
        <w:r w:rsidR="00C04BCE" w:rsidRPr="00DA3C6E">
          <w:rPr>
            <w:noProof/>
          </w:rPr>
          <w:t>31</w:t>
        </w:r>
      </w:hyperlink>
      <w:r w:rsidR="00DB568A" w:rsidRPr="00DA3C6E">
        <w:rPr>
          <w:noProof/>
        </w:rPr>
        <w:t>)</w:t>
      </w:r>
      <w:r w:rsidR="00DB568A" w:rsidRPr="00DA3C6E">
        <w:fldChar w:fldCharType="end"/>
      </w:r>
      <w:r w:rsidRPr="00DA3C6E">
        <w:t xml:space="preserve"> and others gradual progression of muscle weakness </w:t>
      </w:r>
      <w:r w:rsidR="00DB568A" w:rsidRPr="00DA3C6E">
        <w:fldChar w:fldCharType="begin">
          <w:fldData xml:space="preserve">PEVuZE5vdGU+PENpdGU+PEF1dGhvcj5UZXJlbmdoaTwvQXV0aG9yPjxZZWFyPjIwMDQ8L1llYXI+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PEVuZE5vdGU+PENpdGU+PEF1dGhvcj5UZXJlbmdoaTwvQXV0aG9yPjxZZWFyPjIwMDQ8L1llYXI+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9" w:tooltip="Leger, 2008 #40" w:history="1">
        <w:r w:rsidR="00C04BCE" w:rsidRPr="00DA3C6E">
          <w:rPr>
            <w:noProof/>
          </w:rPr>
          <w:t>19</w:t>
        </w:r>
      </w:hyperlink>
      <w:r w:rsidR="00DB568A" w:rsidRPr="00DA3C6E">
        <w:rPr>
          <w:noProof/>
        </w:rPr>
        <w:t xml:space="preserve">, </w:t>
      </w:r>
      <w:hyperlink w:anchor="_ENREF_30" w:tooltip="Van den Berg-Vos, 2002 #68" w:history="1">
        <w:r w:rsidR="00C04BCE" w:rsidRPr="00DA3C6E">
          <w:rPr>
            <w:noProof/>
          </w:rPr>
          <w:t>30</w:t>
        </w:r>
      </w:hyperlink>
      <w:r w:rsidR="00DB568A" w:rsidRPr="00DA3C6E">
        <w:rPr>
          <w:noProof/>
        </w:rPr>
        <w:t xml:space="preserve">, </w:t>
      </w:r>
      <w:hyperlink w:anchor="_ENREF_33" w:tooltip="Terenghi, 2004 #62" w:history="1">
        <w:r w:rsidR="00C04BCE" w:rsidRPr="00DA3C6E">
          <w:rPr>
            <w:noProof/>
          </w:rPr>
          <w:t>33</w:t>
        </w:r>
      </w:hyperlink>
      <w:r w:rsidR="00DB568A" w:rsidRPr="00DA3C6E">
        <w:rPr>
          <w:noProof/>
        </w:rPr>
        <w:t>)</w:t>
      </w:r>
      <w:r w:rsidR="00DB568A" w:rsidRPr="00DA3C6E">
        <w:fldChar w:fldCharType="end"/>
      </w:r>
      <w:r w:rsidRPr="00DA3C6E">
        <w:t xml:space="preserve">. Some variability was also observed in the studies </w:t>
      </w:r>
      <w:r w:rsidR="00DF5422" w:rsidRPr="00DA3C6E">
        <w:t>regarding</w:t>
      </w:r>
      <w:r w:rsidRPr="00DA3C6E">
        <w:t xml:space="preserve"> to continuing dose and frequency of administration such as 1.0 g/kg every 2 to 4 weeks, 2 g/kg every 1 to 2 months, or 1.0 g/kg every 3 weeks. The latter may suggest that the use of intravenous Ig is dependent on patients' condition and response and that lower doses may also be considered effective. </w:t>
      </w:r>
    </w:p>
    <w:p w14:paraId="7CDD704D" w14:textId="7891C64B" w:rsidR="002D6035" w:rsidRPr="00DA3C6E" w:rsidRDefault="002D6035" w:rsidP="00D778BE">
      <w:r w:rsidRPr="00DA3C6E">
        <w:t xml:space="preserve">The follow-up period of the single arm studies was also variable with 13 reporting outcomes for a period of at least 1 year (up to a median of 7.25 years and </w:t>
      </w:r>
      <w:r w:rsidR="00D80F79" w:rsidRPr="00DA3C6E">
        <w:t xml:space="preserve">a </w:t>
      </w:r>
      <w:r w:rsidRPr="00DA3C6E">
        <w:t xml:space="preserve">maximum of 8.2 years). One recent study </w: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 </w:instrTex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4" w:tooltip="Chia, 2019 #15" w:history="1">
        <w:r w:rsidR="00C04BCE" w:rsidRPr="00DA3C6E">
          <w:rPr>
            <w:noProof/>
          </w:rPr>
          <w:t>34</w:t>
        </w:r>
      </w:hyperlink>
      <w:r w:rsidR="00DB568A" w:rsidRPr="00DA3C6E">
        <w:rPr>
          <w:noProof/>
        </w:rPr>
        <w:t>)</w:t>
      </w:r>
      <w:r w:rsidR="00DB568A" w:rsidRPr="00DA3C6E">
        <w:fldChar w:fldCharType="end"/>
      </w:r>
      <w:r w:rsidRPr="00DA3C6E">
        <w:t xml:space="preserve"> conducted </w:t>
      </w:r>
      <w:r w:rsidR="00552E79" w:rsidRPr="00DA3C6E">
        <w:t xml:space="preserve">by Chia et al 2019 in Malaysia </w:t>
      </w:r>
      <w:r w:rsidRPr="00DA3C6E">
        <w:t>(N=11) showed a high response rate at induction after 12 months treatment in both muscle strength (88.9%) and disability (77.8%)</w:t>
      </w:r>
      <w:r w:rsidR="00D80F79" w:rsidRPr="00DA3C6E">
        <w:t xml:space="preserve"> outcomes</w:t>
      </w:r>
      <w:r w:rsidRPr="00DA3C6E">
        <w:t>. The proportion of responder patients dropped to 33.3% after a follow-up of 13-24 months while the median duration of treatment was 48.4 (15-156) months. Two of the studies</w:t>
      </w:r>
      <w:r w:rsidR="00552E79" w:rsidRPr="00DA3C6E">
        <w:t xml:space="preserve">, </w:t>
      </w:r>
      <w:r w:rsidRPr="00DA3C6E">
        <w:t xml:space="preserve">Van den Berg et al (1998 and 2002) </w:t>
      </w:r>
      <w:r w:rsidR="00DB568A" w:rsidRPr="00DA3C6E">
        <w:fldChar w:fldCharType="begin">
          <w:fldData xml:space="preserve">PEVuZE5vdGU+PENpdGU+PEF1dGhvcj5WYW4gRGVuIEJlcmc8L0F1dGhvcj48WWVhcj4xOTk4PC9Z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</w:fldData>
        </w:fldChar>
      </w:r>
      <w:r w:rsidR="00DB568A" w:rsidRPr="00DA3C6E">
        <w:instrText xml:space="preserve"> ADDIN EN.CITE </w:instrText>
      </w:r>
      <w:r w:rsidR="00DB568A" w:rsidRPr="00DA3C6E">
        <w:fldChar w:fldCharType="begin">
          <w:fldData xml:space="preserve">PEVuZE5vdGU+PENpdGU+PEF1dGhvcj5WYW4gRGVuIEJlcmc8L0F1dGhvcj48WWVhcj4xOTk4PC9Z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9" w:tooltip="Van Den Berg, 1998 #66" w:history="1">
        <w:r w:rsidR="00C04BCE" w:rsidRPr="00DA3C6E">
          <w:rPr>
            <w:noProof/>
          </w:rPr>
          <w:t>29</w:t>
        </w:r>
      </w:hyperlink>
      <w:r w:rsidR="00DB568A" w:rsidRPr="00DA3C6E">
        <w:rPr>
          <w:noProof/>
        </w:rPr>
        <w:t xml:space="preserve">, </w:t>
      </w:r>
      <w:hyperlink w:anchor="_ENREF_30" w:tooltip="Van den Berg-Vos, 2002 #68" w:history="1">
        <w:r w:rsidR="00C04BCE" w:rsidRPr="00DA3C6E">
          <w:rPr>
            <w:noProof/>
          </w:rPr>
          <w:t>30</w:t>
        </w:r>
      </w:hyperlink>
      <w:r w:rsidR="00DB568A" w:rsidRPr="00DA3C6E">
        <w:rPr>
          <w:noProof/>
        </w:rPr>
        <w:t>)</w:t>
      </w:r>
      <w:r w:rsidR="00DB568A" w:rsidRPr="00DA3C6E">
        <w:fldChar w:fldCharType="end"/>
      </w:r>
      <w:r w:rsidRPr="00DA3C6E">
        <w:t xml:space="preserve"> were a follow-up to one RCTs </w:t>
      </w:r>
      <w:r w:rsidR="00DB568A" w:rsidRPr="00DA3C6E">
        <w:fldChar w:fldCharType="begin"/>
      </w:r>
      <w:r w:rsidR="00DB568A" w:rsidRPr="00DA3C6E">
        <w:instrText xml:space="preserve"> ADDIN EN.CITE &lt;EndNote&gt;&lt;Cite&gt;&lt;Author&gt;Van den Berg&lt;/Author&gt;&lt;Year&gt;1995&lt;/Year&gt;&lt;RecNum&gt;64&lt;/RecNum&gt;&lt;DisplayText&gt;(35)&lt;/DisplayText&gt;&lt;record&gt;&lt;rec-number&gt;64&lt;/rec-number&gt;&lt;foreign-keys&gt;&lt;key app="EN" db-id="0992p2ztn5fez9e2wvnpw2xstd20f9w2dezz" timestamp="1586818281"&gt;64&lt;/key&gt;&lt;/foreign-keys&gt;&lt;ref-type name="Journal Article"&gt;17&lt;/ref-type&gt;&lt;contributors&gt;&lt;authors&gt;&lt;author&gt;Van den Berg, L. H.&lt;/author&gt;&lt;author&gt;Franssen, H.&lt;/author&gt;&lt;author&gt;Oey, P. L.&lt;/author&gt;&lt;author&gt;Wokke, J. H. J.&lt;/author&gt;&lt;/authors&gt;&lt;/contributors&gt;&lt;titles&gt;&lt;title&gt;The effect of intravenous immunoglobulin treatment in patients with multifocal motor neuropathy or lower motor neurone disease&lt;/title&gt;&lt;secondary-title&gt;Journal of neurology&lt;/secondary-title&gt;&lt;/titles&gt;&lt;periodical&gt;&lt;full-title&gt;Journal of Neurology&lt;/full-title&gt;&lt;/periodical&gt;&lt;pages&gt;149, Abstract no: 806&lt;/pages&gt;&lt;volume&gt;242&lt;/volume&gt;&lt;dates&gt;&lt;year&gt;1995&lt;/year&gt;&lt;/dates&gt;&lt;urls&gt;&lt;related-urls&gt;&lt;url&gt;https://www.cochranelibrary.com/central/doi/10.1002/central/CN-00227886/full&lt;/url&gt;&lt;/related-urls&gt;&lt;/urls&gt;&lt;research-notes&gt;Included. abstract not available but title suggests to be relevant. &lt;/research-notes&gt;&lt;/record&gt;&lt;/Cite&gt;&lt;/EndNote&gt;</w:instrText>
      </w:r>
      <w:r w:rsidR="00DB568A" w:rsidRPr="00DA3C6E">
        <w:fldChar w:fldCharType="separate"/>
      </w:r>
      <w:r w:rsidR="00DB568A" w:rsidRPr="00DA3C6E">
        <w:rPr>
          <w:noProof/>
        </w:rPr>
        <w:t>(</w:t>
      </w:r>
      <w:hyperlink w:anchor="_ENREF_35" w:tooltip="Van den Berg, 1995 #64" w:history="1">
        <w:r w:rsidR="00C04BCE" w:rsidRPr="00DA3C6E">
          <w:rPr>
            <w:noProof/>
          </w:rPr>
          <w:t>35</w:t>
        </w:r>
      </w:hyperlink>
      <w:r w:rsidR="00DB568A" w:rsidRPr="00DA3C6E">
        <w:rPr>
          <w:noProof/>
        </w:rPr>
        <w:t>)</w:t>
      </w:r>
      <w:r w:rsidR="00DB568A" w:rsidRPr="00DA3C6E">
        <w:fldChar w:fldCharType="end"/>
      </w:r>
      <w:r w:rsidRPr="00DA3C6E">
        <w:t xml:space="preserve">. </w:t>
      </w:r>
    </w:p>
    <w:p w14:paraId="562A31C8" w14:textId="483EB9E2" w:rsidR="002D6035" w:rsidRPr="00DA3C6E" w:rsidRDefault="002D6035" w:rsidP="00D778BE">
      <w:pPr>
        <w:pStyle w:val="Caption"/>
      </w:pPr>
      <w:bookmarkStart w:id="161" w:name="_Ref25760716"/>
      <w:bookmarkStart w:id="162" w:name="_Toc30497460"/>
      <w:bookmarkStart w:id="163" w:name="_Toc30687741"/>
      <w:bookmarkStart w:id="164" w:name="_Toc37845816"/>
      <w:r w:rsidRPr="00DA3C6E">
        <w:t xml:space="preserve">Table </w:t>
      </w:r>
      <w:r w:rsidR="00515153">
        <w:fldChar w:fldCharType="begin"/>
      </w:r>
      <w:r w:rsidR="00515153">
        <w:instrText xml:space="preserve"> SEQ Table \* ARABIC </w:instrText>
      </w:r>
      <w:r w:rsidR="00515153">
        <w:fldChar w:fldCharType="separate"/>
      </w:r>
      <w:r w:rsidR="00EA5DC1">
        <w:rPr>
          <w:noProof/>
        </w:rPr>
        <w:t>13</w:t>
      </w:r>
      <w:r w:rsidR="00515153">
        <w:rPr>
          <w:noProof/>
        </w:rPr>
        <w:fldChar w:fldCharType="end"/>
      </w:r>
      <w:bookmarkEnd w:id="161"/>
      <w:r w:rsidRPr="00DA3C6E">
        <w:t>. Summary characteristics of single arm studies</w:t>
      </w:r>
      <w:bookmarkEnd w:id="162"/>
      <w:bookmarkEnd w:id="163"/>
      <w:bookmarkEnd w:id="164"/>
    </w:p>
    <w:tbl>
      <w:tblPr>
        <w:tblStyle w:val="TableGrid"/>
        <w:tblW w:w="0" w:type="auto"/>
        <w:tblLook w:val="04A0" w:firstRow="1" w:lastRow="0" w:firstColumn="1" w:lastColumn="0" w:noHBand="0" w:noVBand="1"/>
        <w:tblCaption w:val="Table 13. Summary characteristics of single arm studies"/>
      </w:tblPr>
      <w:tblGrid>
        <w:gridCol w:w="2405"/>
        <w:gridCol w:w="6611"/>
      </w:tblGrid>
      <w:tr w:rsidR="002D6035" w:rsidRPr="00DA3C6E" w14:paraId="0E6DD9AA" w14:textId="77777777" w:rsidTr="00D56F4F">
        <w:trPr>
          <w:tblHeader/>
        </w:trPr>
        <w:tc>
          <w:tcPr>
            <w:tcW w:w="2405" w:type="dxa"/>
            <w:vAlign w:val="center"/>
          </w:tcPr>
          <w:p w14:paraId="2BC4B095" w14:textId="77777777" w:rsidR="002D6035" w:rsidRPr="00DA3C6E" w:rsidRDefault="002D6035" w:rsidP="00D778BE">
            <w:pPr>
              <w:spacing w:after="0" w:line="240" w:lineRule="auto"/>
              <w:ind w:left="24"/>
              <w:jc w:val="left"/>
              <w:rPr>
                <w:rStyle w:val="TablenotesChar0"/>
                <w:b/>
                <w:sz w:val="20"/>
                <w:szCs w:val="20"/>
              </w:rPr>
            </w:pPr>
            <w:r w:rsidRPr="00DA3C6E">
              <w:rPr>
                <w:rStyle w:val="TablenotesChar0"/>
                <w:b/>
                <w:sz w:val="20"/>
                <w:szCs w:val="20"/>
              </w:rPr>
              <w:t>Single arm studies</w:t>
            </w:r>
          </w:p>
        </w:tc>
        <w:tc>
          <w:tcPr>
            <w:tcW w:w="6611" w:type="dxa"/>
            <w:vAlign w:val="center"/>
          </w:tcPr>
          <w:p w14:paraId="33B6FF53" w14:textId="77777777" w:rsidR="002D6035" w:rsidRPr="00DA3C6E" w:rsidRDefault="002D6035" w:rsidP="00D778BE">
            <w:pPr>
              <w:spacing w:after="0" w:line="240" w:lineRule="auto"/>
              <w:ind w:left="0"/>
              <w:jc w:val="left"/>
              <w:rPr>
                <w:rStyle w:val="TablenotesChar0"/>
                <w:sz w:val="20"/>
                <w:szCs w:val="20"/>
              </w:rPr>
            </w:pPr>
            <w:r w:rsidRPr="00DA3C6E">
              <w:rPr>
                <w:rStyle w:val="TablenotesChar0"/>
                <w:sz w:val="20"/>
                <w:szCs w:val="20"/>
              </w:rPr>
              <w:t>Included (n-24); excluded (n=41)</w:t>
            </w:r>
          </w:p>
        </w:tc>
      </w:tr>
      <w:tr w:rsidR="002D6035" w:rsidRPr="00DA3C6E" w14:paraId="69EA783F" w14:textId="77777777" w:rsidTr="00D778BE">
        <w:tc>
          <w:tcPr>
            <w:tcW w:w="2405" w:type="dxa"/>
            <w:vAlign w:val="center"/>
          </w:tcPr>
          <w:p w14:paraId="2743FF50" w14:textId="77777777" w:rsidR="002D6035" w:rsidRPr="00DA3C6E" w:rsidRDefault="002D6035" w:rsidP="00D778BE">
            <w:pPr>
              <w:spacing w:after="0" w:line="240" w:lineRule="auto"/>
              <w:ind w:left="24"/>
              <w:jc w:val="left"/>
              <w:rPr>
                <w:rStyle w:val="TablenotesChar0"/>
                <w:b/>
                <w:sz w:val="20"/>
                <w:szCs w:val="20"/>
              </w:rPr>
            </w:pPr>
            <w:r w:rsidRPr="00DA3C6E">
              <w:rPr>
                <w:rStyle w:val="TablenotesChar0"/>
                <w:b/>
                <w:sz w:val="20"/>
                <w:szCs w:val="20"/>
              </w:rPr>
              <w:t>Study designs</w:t>
            </w:r>
          </w:p>
        </w:tc>
        <w:tc>
          <w:tcPr>
            <w:tcW w:w="6611" w:type="dxa"/>
            <w:vAlign w:val="center"/>
          </w:tcPr>
          <w:p w14:paraId="76A66E82" w14:textId="77777777" w:rsidR="002D6035" w:rsidRPr="00DA3C6E" w:rsidRDefault="002D6035" w:rsidP="00D778BE">
            <w:pPr>
              <w:spacing w:after="0" w:line="240" w:lineRule="auto"/>
              <w:ind w:left="0"/>
              <w:jc w:val="left"/>
              <w:rPr>
                <w:rStyle w:val="TablenotesChar0"/>
                <w:sz w:val="20"/>
                <w:szCs w:val="20"/>
              </w:rPr>
            </w:pPr>
            <w:r w:rsidRPr="00DA3C6E">
              <w:rPr>
                <w:rFonts w:ascii="Arial Narrow" w:hAnsi="Arial Narrow" w:cs="Arial"/>
                <w:snapToGrid w:val="0"/>
                <w:sz w:val="20"/>
                <w:szCs w:val="20"/>
                <w:lang w:eastAsia="en-US"/>
              </w:rPr>
              <w:t xml:space="preserve">Case reports, retrospective studies, prospective open label non randomised studies, cross-sectional studies. </w:t>
            </w:r>
          </w:p>
        </w:tc>
      </w:tr>
      <w:tr w:rsidR="002D6035" w:rsidRPr="00DA3C6E" w14:paraId="74334CDE" w14:textId="77777777" w:rsidTr="00D778BE">
        <w:tc>
          <w:tcPr>
            <w:tcW w:w="2405" w:type="dxa"/>
            <w:vAlign w:val="center"/>
          </w:tcPr>
          <w:p w14:paraId="6313EF03" w14:textId="77777777" w:rsidR="002D6035" w:rsidRPr="00DA3C6E" w:rsidRDefault="002D6035" w:rsidP="00D778BE">
            <w:pPr>
              <w:spacing w:after="0" w:line="240" w:lineRule="auto"/>
              <w:ind w:left="24"/>
              <w:jc w:val="left"/>
              <w:rPr>
                <w:rStyle w:val="TablenotesChar0"/>
                <w:b/>
                <w:sz w:val="20"/>
                <w:szCs w:val="20"/>
              </w:rPr>
            </w:pPr>
            <w:r w:rsidRPr="00DA3C6E">
              <w:rPr>
                <w:rStyle w:val="TablenotesChar0"/>
                <w:b/>
                <w:sz w:val="20"/>
                <w:szCs w:val="20"/>
              </w:rPr>
              <w:t>Outcomes</w:t>
            </w:r>
          </w:p>
        </w:tc>
        <w:tc>
          <w:tcPr>
            <w:tcW w:w="6611" w:type="dxa"/>
            <w:vAlign w:val="center"/>
          </w:tcPr>
          <w:p w14:paraId="0EC53609"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Muscle strength</w:t>
            </w:r>
          </w:p>
          <w:p w14:paraId="3EB6B8FB" w14:textId="77777777" w:rsidR="002D6035" w:rsidRPr="00DA3C6E" w:rsidRDefault="002D6035" w:rsidP="0073359F">
            <w:pPr>
              <w:pStyle w:val="ListParagraph"/>
              <w:numPr>
                <w:ilvl w:val="0"/>
                <w:numId w:val="34"/>
              </w:numPr>
              <w:spacing w:after="0" w:line="240" w:lineRule="auto"/>
              <w:ind w:left="322" w:hanging="141"/>
              <w:jc w:val="left"/>
              <w:rPr>
                <w:rStyle w:val="TablenotesChar0"/>
                <w:sz w:val="20"/>
                <w:szCs w:val="20"/>
              </w:rPr>
            </w:pPr>
            <w:r w:rsidRPr="00DA3C6E">
              <w:rPr>
                <w:rStyle w:val="TablenotesChar0"/>
                <w:sz w:val="20"/>
                <w:szCs w:val="20"/>
              </w:rPr>
              <w:t>MRC score</w:t>
            </w:r>
          </w:p>
          <w:p w14:paraId="02E35A7E" w14:textId="77777777" w:rsidR="002D6035" w:rsidRPr="00DA3C6E" w:rsidRDefault="002D6035" w:rsidP="0073359F">
            <w:pPr>
              <w:pStyle w:val="ListParagraph"/>
              <w:numPr>
                <w:ilvl w:val="0"/>
                <w:numId w:val="34"/>
              </w:numPr>
              <w:spacing w:after="0" w:line="240" w:lineRule="auto"/>
              <w:ind w:left="322" w:hanging="141"/>
              <w:jc w:val="left"/>
              <w:rPr>
                <w:rStyle w:val="TablenotesChar0"/>
                <w:sz w:val="20"/>
                <w:szCs w:val="20"/>
              </w:rPr>
            </w:pPr>
            <w:r w:rsidRPr="00DA3C6E">
              <w:rPr>
                <w:rStyle w:val="TablenotesChar0"/>
                <w:sz w:val="20"/>
                <w:szCs w:val="20"/>
              </w:rPr>
              <w:t>MVIC</w:t>
            </w:r>
          </w:p>
          <w:p w14:paraId="67133710" w14:textId="77777777" w:rsidR="002D6035" w:rsidRPr="00DA3C6E" w:rsidRDefault="002D6035" w:rsidP="0073359F">
            <w:pPr>
              <w:pStyle w:val="ListParagraph"/>
              <w:numPr>
                <w:ilvl w:val="0"/>
                <w:numId w:val="34"/>
              </w:numPr>
              <w:spacing w:after="0" w:line="240" w:lineRule="auto"/>
              <w:ind w:left="322" w:hanging="141"/>
              <w:jc w:val="left"/>
              <w:rPr>
                <w:rStyle w:val="TablenotesChar0"/>
                <w:sz w:val="20"/>
                <w:szCs w:val="20"/>
              </w:rPr>
            </w:pPr>
            <w:r w:rsidRPr="00DA3C6E">
              <w:rPr>
                <w:rStyle w:val="TablenotesChar0"/>
                <w:sz w:val="20"/>
                <w:szCs w:val="20"/>
              </w:rPr>
              <w:t>Grip strength</w:t>
            </w:r>
          </w:p>
          <w:p w14:paraId="67344FDB"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Disability</w:t>
            </w:r>
          </w:p>
          <w:p w14:paraId="5CE87CBE"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Modified Rankin disability score</w:t>
            </w:r>
          </w:p>
          <w:p w14:paraId="5E066C59"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Overall Disability sum score (ODSS) </w:t>
            </w:r>
          </w:p>
          <w:p w14:paraId="37777EAE"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Guy’s Neurological Disability </w:t>
            </w:r>
            <w:r w:rsidRPr="00DA3C6E">
              <w:rPr>
                <w:rStyle w:val="TablenotesChar0"/>
              </w:rPr>
              <w:t>Scale</w:t>
            </w:r>
          </w:p>
          <w:p w14:paraId="7E43A5B6"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Self-Evaluation Scales </w:t>
            </w:r>
          </w:p>
          <w:p w14:paraId="0439226B"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Rasch-built Overall Disability Scale</w:t>
            </w:r>
          </w:p>
          <w:p w14:paraId="1EEA1A8C"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ONLS disability scale</w:t>
            </w:r>
          </w:p>
          <w:p w14:paraId="16091EC4"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Impact on conduction block</w:t>
            </w:r>
          </w:p>
          <w:p w14:paraId="76EDF7A0"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Safety</w:t>
            </w:r>
          </w:p>
          <w:p w14:paraId="2241BEB2"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Incidence of AEs</w:t>
            </w:r>
          </w:p>
          <w:p w14:paraId="4F3D7905"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QoL</w:t>
            </w:r>
          </w:p>
          <w:p w14:paraId="0458A42A"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SF-36 questionnaire. </w:t>
            </w:r>
          </w:p>
          <w:p w14:paraId="579E8F96"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EQ-5D </w:t>
            </w:r>
          </w:p>
          <w:p w14:paraId="78F74D66" w14:textId="77777777" w:rsidR="002D6035" w:rsidRPr="00DA3C6E" w:rsidRDefault="002D6035" w:rsidP="00D778BE">
            <w:pPr>
              <w:spacing w:after="0" w:line="240" w:lineRule="auto"/>
              <w:ind w:left="0"/>
              <w:jc w:val="left"/>
              <w:rPr>
                <w:rStyle w:val="TablenotesChar0"/>
                <w:b/>
                <w:sz w:val="20"/>
                <w:szCs w:val="20"/>
              </w:rPr>
            </w:pPr>
            <w:r w:rsidRPr="00DA3C6E">
              <w:rPr>
                <w:rStyle w:val="TablenotesChar0"/>
                <w:b/>
                <w:sz w:val="20"/>
                <w:szCs w:val="20"/>
              </w:rPr>
              <w:t>Costs</w:t>
            </w:r>
          </w:p>
          <w:p w14:paraId="42612F13"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Cost- minimisation</w:t>
            </w:r>
          </w:p>
          <w:p w14:paraId="2557D0D5"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Cost of illness</w:t>
            </w:r>
          </w:p>
          <w:p w14:paraId="34F3488E" w14:textId="77777777" w:rsidR="002D6035" w:rsidRPr="00DA3C6E" w:rsidRDefault="002D6035" w:rsidP="00021DC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Economic evaluation </w:t>
            </w:r>
          </w:p>
        </w:tc>
      </w:tr>
      <w:tr w:rsidR="002D6035" w:rsidRPr="00DA3C6E" w14:paraId="64C2A00C" w14:textId="77777777" w:rsidTr="00D778BE">
        <w:tc>
          <w:tcPr>
            <w:tcW w:w="2405" w:type="dxa"/>
            <w:vAlign w:val="center"/>
          </w:tcPr>
          <w:p w14:paraId="6F18E651" w14:textId="77777777" w:rsidR="002D6035" w:rsidRPr="00DA3C6E" w:rsidRDefault="002D6035" w:rsidP="00D778BE">
            <w:pPr>
              <w:spacing w:after="0" w:line="240" w:lineRule="auto"/>
              <w:ind w:left="24"/>
              <w:jc w:val="left"/>
              <w:rPr>
                <w:rStyle w:val="TablenotesChar0"/>
                <w:b/>
                <w:sz w:val="20"/>
                <w:szCs w:val="20"/>
              </w:rPr>
            </w:pPr>
            <w:r w:rsidRPr="00DA3C6E">
              <w:rPr>
                <w:rStyle w:val="TablenotesChar0"/>
                <w:b/>
                <w:sz w:val="20"/>
                <w:szCs w:val="20"/>
              </w:rPr>
              <w:t>Definition of respondents vs. non-respondents</w:t>
            </w:r>
          </w:p>
        </w:tc>
        <w:tc>
          <w:tcPr>
            <w:tcW w:w="6611" w:type="dxa"/>
            <w:vAlign w:val="center"/>
          </w:tcPr>
          <w:p w14:paraId="2948B36E"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Increase &gt; 30% of the initial strength (total score) was obtained at the end of the study (Azulay et al</w:t>
            </w:r>
            <w:r w:rsidR="00D80F79" w:rsidRPr="00DA3C6E">
              <w:rPr>
                <w:rStyle w:val="TablenotesChar0"/>
                <w:sz w:val="20"/>
                <w:szCs w:val="20"/>
              </w:rPr>
              <w:t>.</w:t>
            </w:r>
            <w:r w:rsidRPr="00DA3C6E">
              <w:rPr>
                <w:rStyle w:val="TablenotesChar0"/>
                <w:sz w:val="20"/>
                <w:szCs w:val="20"/>
              </w:rPr>
              <w:t xml:space="preserve"> 1997)</w:t>
            </w:r>
            <w:r w:rsidR="00D80F79" w:rsidRPr="00DA3C6E">
              <w:rPr>
                <w:rStyle w:val="TablenotesChar0"/>
                <w:sz w:val="20"/>
                <w:szCs w:val="20"/>
              </w:rPr>
              <w:t>;</w:t>
            </w:r>
          </w:p>
          <w:p w14:paraId="65183C21"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Improvement by at least 2 points in MRC paresis sum score and (in addition) by at least one point either in the Guy’s Neurological Disability Scale or the Individual Disability Score (Baumann et al 2009)</w:t>
            </w:r>
            <w:r w:rsidR="00D80F79" w:rsidRPr="00DA3C6E">
              <w:rPr>
                <w:rStyle w:val="TablenotesChar0"/>
                <w:sz w:val="20"/>
                <w:szCs w:val="20"/>
              </w:rPr>
              <w:t>;</w:t>
            </w:r>
          </w:p>
          <w:p w14:paraId="6DC7AE87" w14:textId="77777777" w:rsidR="002D6035" w:rsidRPr="00DA3C6E" w:rsidRDefault="002D6035"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t xml:space="preserve">Improvement in muscle strength (defined as an increase of </w:t>
            </w:r>
            <w:r w:rsidRPr="00DA3C6E">
              <w:rPr>
                <w:rStyle w:val="TablenotesChar0"/>
                <w:rFonts w:ascii="Segoe UI Historic" w:hAnsi="Segoe UI Historic" w:cs="Segoe UI Historic"/>
                <w:sz w:val="20"/>
                <w:szCs w:val="20"/>
              </w:rPr>
              <w:t>ⱖ</w:t>
            </w:r>
            <w:r w:rsidRPr="00DA3C6E">
              <w:rPr>
                <w:rStyle w:val="TablenotesChar0"/>
                <w:sz w:val="20"/>
                <w:szCs w:val="20"/>
              </w:rPr>
              <w:t>1 MRC grade in at least 2 muscle groups without decrease in other muscle groups) in patients with MMN and disability. More severe weakness was defined as lower MRC sumscore than the median, and more severe disability as a lower than median ODSS score for arms and legs (Cats et al 2010)</w:t>
            </w:r>
            <w:r w:rsidR="00D80F79" w:rsidRPr="00DA3C6E">
              <w:rPr>
                <w:rStyle w:val="TablenotesChar0"/>
                <w:sz w:val="20"/>
                <w:szCs w:val="20"/>
              </w:rPr>
              <w:t>;</w:t>
            </w:r>
            <w:r w:rsidRPr="00DA3C6E">
              <w:rPr>
                <w:rStyle w:val="TablenotesChar0"/>
                <w:sz w:val="20"/>
                <w:szCs w:val="20"/>
              </w:rPr>
              <w:t xml:space="preserve"> </w:t>
            </w:r>
          </w:p>
          <w:p w14:paraId="207F6A81" w14:textId="77777777" w:rsidR="002D6035" w:rsidRPr="00DA3C6E" w:rsidRDefault="00D80F79" w:rsidP="0073359F">
            <w:pPr>
              <w:pStyle w:val="ListParagraph"/>
              <w:numPr>
                <w:ilvl w:val="0"/>
                <w:numId w:val="35"/>
              </w:numPr>
              <w:spacing w:after="0" w:line="240" w:lineRule="auto"/>
              <w:ind w:left="322" w:hanging="141"/>
              <w:jc w:val="left"/>
              <w:rPr>
                <w:rStyle w:val="TablenotesChar0"/>
                <w:sz w:val="20"/>
                <w:szCs w:val="20"/>
              </w:rPr>
            </w:pPr>
            <w:r w:rsidRPr="00DA3C6E">
              <w:rPr>
                <w:rStyle w:val="TablenotesChar0"/>
                <w:sz w:val="20"/>
                <w:szCs w:val="20"/>
              </w:rPr>
              <w:lastRenderedPageBreak/>
              <w:t>I</w:t>
            </w:r>
            <w:r w:rsidR="002D6035" w:rsidRPr="00DA3C6E">
              <w:rPr>
                <w:rStyle w:val="TablenotesChar0"/>
                <w:sz w:val="20"/>
                <w:szCs w:val="20"/>
              </w:rPr>
              <w:t xml:space="preserve">mprovement of 2 points in </w:t>
            </w:r>
            <w:r w:rsidRPr="00DA3C6E">
              <w:rPr>
                <w:rStyle w:val="TablenotesChar0"/>
                <w:sz w:val="20"/>
                <w:szCs w:val="20"/>
              </w:rPr>
              <w:t>MRC</w:t>
            </w:r>
            <w:r w:rsidR="002D6035" w:rsidRPr="00DA3C6E">
              <w:rPr>
                <w:rStyle w:val="TablenotesChar0"/>
                <w:sz w:val="20"/>
                <w:szCs w:val="20"/>
              </w:rPr>
              <w:t xml:space="preserve"> Sum Score (MRCSS) or by at least one point in modified Rankin score (mRS) within the first 12 months of treatment (Chia et al 2019)</w:t>
            </w:r>
            <w:r w:rsidRPr="00DA3C6E">
              <w:rPr>
                <w:rStyle w:val="TablenotesChar0"/>
                <w:sz w:val="20"/>
                <w:szCs w:val="20"/>
              </w:rPr>
              <w:t>;</w:t>
            </w:r>
          </w:p>
          <w:p w14:paraId="53259B46" w14:textId="77777777" w:rsidR="002D6035" w:rsidRPr="00DA3C6E" w:rsidRDefault="002D6035" w:rsidP="00D80F79">
            <w:pPr>
              <w:spacing w:after="0" w:line="240" w:lineRule="auto"/>
              <w:ind w:left="0"/>
              <w:jc w:val="left"/>
              <w:rPr>
                <w:rStyle w:val="TablenotesChar0"/>
                <w:sz w:val="20"/>
                <w:szCs w:val="20"/>
              </w:rPr>
            </w:pPr>
            <w:r w:rsidRPr="00DA3C6E">
              <w:rPr>
                <w:rStyle w:val="TablenotesChar0"/>
                <w:sz w:val="20"/>
                <w:szCs w:val="20"/>
              </w:rPr>
              <w:t xml:space="preserve">Overall, </w:t>
            </w:r>
            <w:r w:rsidR="00D80F79" w:rsidRPr="00DA3C6E">
              <w:rPr>
                <w:rFonts w:ascii="Arial Narrow" w:hAnsi="Arial Narrow"/>
                <w:sz w:val="20"/>
                <w:szCs w:val="20"/>
              </w:rPr>
              <w:t>n</w:t>
            </w:r>
            <w:r w:rsidRPr="00DA3C6E">
              <w:rPr>
                <w:rFonts w:ascii="Arial Narrow" w:hAnsi="Arial Narrow"/>
                <w:sz w:val="20"/>
                <w:szCs w:val="20"/>
              </w:rPr>
              <w:t>o systematic approach to translating statistical significant results (p-value) to clinical relevance of the finding</w:t>
            </w:r>
            <w:r w:rsidR="00D80F79" w:rsidRPr="00DA3C6E">
              <w:rPr>
                <w:rFonts w:ascii="Arial Narrow" w:hAnsi="Arial Narrow"/>
                <w:sz w:val="20"/>
                <w:szCs w:val="20"/>
              </w:rPr>
              <w:t xml:space="preserve"> were reported</w:t>
            </w:r>
            <w:r w:rsidRPr="00DA3C6E">
              <w:rPr>
                <w:rFonts w:ascii="Arial Narrow" w:hAnsi="Arial Narrow"/>
                <w:sz w:val="20"/>
                <w:szCs w:val="20"/>
              </w:rPr>
              <w:t>.</w:t>
            </w:r>
            <w:r w:rsidRPr="00DA3C6E" w:rsidDel="0097504B">
              <w:rPr>
                <w:rStyle w:val="CommentReference"/>
              </w:rPr>
              <w:t xml:space="preserve"> </w:t>
            </w:r>
          </w:p>
        </w:tc>
      </w:tr>
    </w:tbl>
    <w:p w14:paraId="1982E17A" w14:textId="77777777" w:rsidR="002D6035" w:rsidRPr="00DA3C6E" w:rsidRDefault="002D6035" w:rsidP="0016555D">
      <w:pPr>
        <w:widowControl w:val="0"/>
        <w:spacing w:line="240" w:lineRule="auto"/>
        <w:rPr>
          <w:rStyle w:val="TablenotesChar0"/>
        </w:rPr>
      </w:pPr>
      <w:r w:rsidRPr="00DA3C6E">
        <w:rPr>
          <w:rStyle w:val="TablenotesChar0"/>
        </w:rPr>
        <w:lastRenderedPageBreak/>
        <w:t xml:space="preserve">Abbreviations: AEs = adverse events; EQ-5D = Euroqol five dimensions; CB = conduction block; Ig= immunoglobulin; MMN = multifocal motor neuropathy; MRC = Medical Research Council scores; MVIC = Maximal voluntary isometric contraction; </w:t>
      </w:r>
      <w:r w:rsidRPr="00DA3C6E">
        <w:rPr>
          <w:rFonts w:ascii="Arial Narrow" w:hAnsi="Arial Narrow"/>
          <w:sz w:val="18"/>
          <w:szCs w:val="18"/>
        </w:rPr>
        <w:t>ODSS = overall disability sum score;</w:t>
      </w:r>
      <w:r w:rsidRPr="00DA3C6E">
        <w:rPr>
          <w:rStyle w:val="TablenotesChar0"/>
        </w:rPr>
        <w:t xml:space="preserve"> </w:t>
      </w:r>
      <w:r w:rsidRPr="00DA3C6E">
        <w:rPr>
          <w:rFonts w:ascii="Arial Narrow" w:hAnsi="Arial Narrow"/>
          <w:sz w:val="18"/>
          <w:szCs w:val="18"/>
        </w:rPr>
        <w:t>ONLS = overall neuropathy limitations scale;</w:t>
      </w:r>
      <w:r w:rsidRPr="00DA3C6E">
        <w:rPr>
          <w:rStyle w:val="TablenotesChar0"/>
        </w:rPr>
        <w:t xml:space="preserve"> QoL = quality of life. </w:t>
      </w:r>
    </w:p>
    <w:p w14:paraId="4D10B520" w14:textId="77777777" w:rsidR="002D6035" w:rsidRPr="00DA3C6E" w:rsidRDefault="002D6035" w:rsidP="00D778BE">
      <w:pPr>
        <w:pStyle w:val="Heading2"/>
        <w:numPr>
          <w:ilvl w:val="1"/>
          <w:numId w:val="9"/>
        </w:numPr>
      </w:pPr>
      <w:bookmarkStart w:id="165" w:name="_Toc25216046"/>
      <w:bookmarkStart w:id="166" w:name="_Toc37845739"/>
      <w:r w:rsidRPr="00DA3C6E">
        <w:t>Outcome Measures and Analysis</w:t>
      </w:r>
      <w:bookmarkEnd w:id="165"/>
      <w:bookmarkEnd w:id="166"/>
    </w:p>
    <w:p w14:paraId="1501621F" w14:textId="77777777" w:rsidR="002D6035" w:rsidRPr="00DA3C6E" w:rsidRDefault="002D6035" w:rsidP="0060025E">
      <w:r w:rsidRPr="00DA3C6E">
        <w:t xml:space="preserve">Relevant outcomes were extracted from the included studies. It should be noted that outcomes were not measured consistently throughout the studies which could lead to difficulties in aggregating the data and interpretation of the overall results. </w:t>
      </w:r>
    </w:p>
    <w:p w14:paraId="711DFC67" w14:textId="77777777" w:rsidR="002D6035" w:rsidRPr="00DA3C6E" w:rsidRDefault="002D6035" w:rsidP="0097504B">
      <w:pPr>
        <w:pStyle w:val="Heading3"/>
      </w:pPr>
      <w:bookmarkStart w:id="167" w:name="_Toc37845740"/>
      <w:r w:rsidRPr="00DA3C6E">
        <w:t>Outcomes from RCTs</w:t>
      </w:r>
      <w:bookmarkEnd w:id="167"/>
    </w:p>
    <w:p w14:paraId="2668DDA7" w14:textId="3B8F5D82" w:rsidR="002D6035" w:rsidRPr="00DA3C6E" w:rsidRDefault="002D6035" w:rsidP="0060025E">
      <w:r w:rsidRPr="00DA3C6E">
        <w:t xml:space="preserve">The outcomes measured in the included RCTs, along with the statistical methods used to analyse the results are presented in </w:t>
      </w:r>
      <w:r w:rsidR="00A710CA" w:rsidRPr="00DA3C6E">
        <w:fldChar w:fldCharType="begin"/>
      </w:r>
      <w:r w:rsidR="00A710CA" w:rsidRPr="00DA3C6E">
        <w:instrText xml:space="preserve"> REF _Ref31197188 \h </w:instrText>
      </w:r>
      <w:r w:rsidR="00E8759F" w:rsidRPr="00DA3C6E">
        <w:instrText xml:space="preserve"> \* MERGEFORMAT </w:instrText>
      </w:r>
      <w:r w:rsidR="00A710CA" w:rsidRPr="00DA3C6E">
        <w:fldChar w:fldCharType="separate"/>
      </w:r>
      <w:r w:rsidR="00EA5DC1" w:rsidRPr="00DA3C6E">
        <w:t xml:space="preserve">Table </w:t>
      </w:r>
      <w:r w:rsidR="00EA5DC1">
        <w:rPr>
          <w:noProof/>
        </w:rPr>
        <w:t>51</w:t>
      </w:r>
      <w:r w:rsidR="00A710CA" w:rsidRPr="00DA3C6E">
        <w:fldChar w:fldCharType="end"/>
      </w:r>
      <w:r w:rsidR="001207B3" w:rsidRPr="00DA3C6E">
        <w:t xml:space="preserve"> </w:t>
      </w:r>
      <w:r w:rsidRPr="00DA3C6E">
        <w:t xml:space="preserve">Appendix </w:t>
      </w:r>
      <w:r w:rsidR="009F5EF2">
        <w:t>B</w:t>
      </w:r>
      <w:r w:rsidRPr="00DA3C6E">
        <w:t>. The primary outcomes included in these studies were change/improvement in disability and improvement in muscle strength/grip. Four out of the five RCTs reported results for safety. All but one study</w:t>
      </w:r>
      <w:r w:rsidR="00532427" w:rsidRPr="00DA3C6E">
        <w:t>,</w:t>
      </w:r>
      <w:r w:rsidR="00DF5422" w:rsidRPr="00DA3C6E">
        <w:t xml:space="preserve"> </w:t>
      </w:r>
      <w:r w:rsidRPr="00DA3C6E">
        <w:t>Hahn et al</w:t>
      </w:r>
      <w:r w:rsidR="00D80F79" w:rsidRPr="00DA3C6E">
        <w:t>.</w:t>
      </w:r>
      <w:r w:rsidRPr="00DA3C6E">
        <w:t xml:space="preserve"> 2013</w:t>
      </w:r>
      <w:r w:rsidR="009F5EF2">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00532427" w:rsidRPr="00DA3C6E">
        <w:t>,</w:t>
      </w:r>
      <w:r w:rsidRPr="00DA3C6E">
        <w:t xml:space="preserve"> reported data for change in motor nerve conduction block. Two studies</w:t>
      </w:r>
      <w:r w:rsidR="00532427" w:rsidRPr="00DA3C6E">
        <w:t>, Leger et al. 2001 and Hahn et al. 2013</w:t>
      </w:r>
      <w:r w:rsidR="00DF5422" w:rsidRPr="00DA3C6E">
        <w:t xml:space="preserve"> </w:t>
      </w:r>
      <w:r w:rsidR="00DB568A" w:rsidRPr="00DA3C6E">
        <w:fldChar w:fldCharType="begin">
          <w:fldData xml:space="preserve">PEVuZE5vdGU+PENpdGU+PEF1dGhvcj5IYWhuPC9BdXRob3I+PFllYXI+MjAxMzwvWWVhcj48UmVj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==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TnVtPjI2PC9SZWNOdW0+PERpc3BsYXlUZXh0PigyNywgMjgpPC9EaXNwbGF5VGV4dD48cmVjb3Jk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==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 xml:space="preserve">, </w:t>
      </w:r>
      <w:hyperlink w:anchor="_ENREF_28" w:tooltip="Hahn, 2013 #26" w:history="1">
        <w:r w:rsidR="00C04BCE" w:rsidRPr="00DA3C6E">
          <w:rPr>
            <w:noProof/>
          </w:rPr>
          <w:t>28</w:t>
        </w:r>
      </w:hyperlink>
      <w:r w:rsidR="00DB568A" w:rsidRPr="00DA3C6E">
        <w:rPr>
          <w:noProof/>
        </w:rPr>
        <w:t>)</w:t>
      </w:r>
      <w:r w:rsidR="00DB568A" w:rsidRPr="00DA3C6E">
        <w:fldChar w:fldCharType="end"/>
      </w:r>
      <w:r w:rsidR="00532427" w:rsidRPr="00DA3C6E">
        <w:t>,</w:t>
      </w:r>
      <w:r w:rsidRPr="00DA3C6E">
        <w:t xml:space="preserve"> also reported self-evaluated disability scores as secondary outcomes. </w:t>
      </w:r>
    </w:p>
    <w:p w14:paraId="200C083E" w14:textId="77777777" w:rsidR="002D6035" w:rsidRPr="00DA3C6E" w:rsidRDefault="002D6035" w:rsidP="0097504B">
      <w:pPr>
        <w:pStyle w:val="Heading3"/>
      </w:pPr>
      <w:bookmarkStart w:id="168" w:name="_Toc37845741"/>
      <w:r w:rsidRPr="00DA3C6E">
        <w:t>Outcomes from single arm studies</w:t>
      </w:r>
      <w:bookmarkEnd w:id="168"/>
    </w:p>
    <w:p w14:paraId="08A4EB53" w14:textId="24ACD42A" w:rsidR="002D6035" w:rsidRPr="00DA3C6E" w:rsidRDefault="002D6035" w:rsidP="008D77C9">
      <w:r w:rsidRPr="00DA3C6E">
        <w:t xml:space="preserve">The outcomes reported in the single arm studies are summarised in </w:t>
      </w:r>
      <w:r w:rsidR="001A5C62" w:rsidRPr="00DA3C6E">
        <w:fldChar w:fldCharType="begin"/>
      </w:r>
      <w:r w:rsidR="001A5C62" w:rsidRPr="00DA3C6E">
        <w:instrText xml:space="preserve"> REF _Ref31207046 \h </w:instrText>
      </w:r>
      <w:r w:rsidR="00E8759F" w:rsidRPr="00DA3C6E">
        <w:instrText xml:space="preserve"> \* MERGEFORMAT </w:instrText>
      </w:r>
      <w:r w:rsidR="001A5C62" w:rsidRPr="00DA3C6E">
        <w:fldChar w:fldCharType="separate"/>
      </w:r>
      <w:r w:rsidR="00EA5DC1" w:rsidRPr="00DA3C6E">
        <w:t xml:space="preserve">Table </w:t>
      </w:r>
      <w:r w:rsidR="00EA5DC1">
        <w:rPr>
          <w:noProof/>
        </w:rPr>
        <w:t>52</w:t>
      </w:r>
      <w:r w:rsidR="001A5C62" w:rsidRPr="00DA3C6E">
        <w:fldChar w:fldCharType="end"/>
      </w:r>
      <w:r w:rsidR="001A5C62" w:rsidRPr="00DA3C6E">
        <w:t xml:space="preserve"> </w:t>
      </w:r>
      <w:r w:rsidRPr="00DA3C6E">
        <w:t xml:space="preserve">in Appendix </w:t>
      </w:r>
      <w:r w:rsidR="009F5EF2">
        <w:t>B</w:t>
      </w:r>
      <w:r w:rsidRPr="00DA3C6E">
        <w:t xml:space="preserve">. Overall, 13 of the 24 assessed single arm studies presented results with a follow-up period beyond 1 year (range from 1 - 7.25 years). While not all studies reported the safety of intravenous Ig, all reported efficacy measures as improvement in disability, muscle strength and/or provided a definition for a treatment responder. </w:t>
      </w:r>
    </w:p>
    <w:p w14:paraId="39E4767E" w14:textId="77777777" w:rsidR="002D6035" w:rsidRPr="00DA3C6E" w:rsidRDefault="002D6035" w:rsidP="008D77C9">
      <w:r w:rsidRPr="00DA3C6E">
        <w:t xml:space="preserve"> </w:t>
      </w:r>
    </w:p>
    <w:p w14:paraId="0CA2811D" w14:textId="77777777" w:rsidR="002D6035" w:rsidRPr="00DA3C6E" w:rsidRDefault="002D6035" w:rsidP="008D77C9">
      <w:pPr>
        <w:sectPr w:rsidR="002D6035" w:rsidRPr="00DA3C6E" w:rsidSect="00740643">
          <w:pgSz w:w="11909" w:h="16834" w:code="9"/>
          <w:pgMar w:top="1440" w:right="1440" w:bottom="1440" w:left="1440" w:header="709" w:footer="709" w:gutter="0"/>
          <w:cols w:space="720"/>
        </w:sectPr>
      </w:pPr>
    </w:p>
    <w:p w14:paraId="513FF7FF" w14:textId="77777777" w:rsidR="002D6035" w:rsidRPr="00DA3C6E" w:rsidRDefault="002D6035" w:rsidP="00D778BE">
      <w:pPr>
        <w:pStyle w:val="Heading2"/>
        <w:numPr>
          <w:ilvl w:val="1"/>
          <w:numId w:val="9"/>
        </w:numPr>
      </w:pPr>
      <w:bookmarkStart w:id="169" w:name="_Toc25216047"/>
      <w:bookmarkStart w:id="170" w:name="_Toc37845742"/>
      <w:bookmarkStart w:id="171" w:name="_Toc122538326"/>
      <w:bookmarkStart w:id="172" w:name="_Toc143663862"/>
      <w:bookmarkStart w:id="173" w:name="_Ref144697268"/>
      <w:bookmarkStart w:id="174" w:name="_Ref144697275"/>
      <w:r w:rsidRPr="00DA3C6E">
        <w:lastRenderedPageBreak/>
        <w:t>Results of the Systematic Literature review</w:t>
      </w:r>
      <w:bookmarkEnd w:id="169"/>
      <w:bookmarkEnd w:id="170"/>
    </w:p>
    <w:p w14:paraId="1E19CFE6" w14:textId="77777777" w:rsidR="002D6035" w:rsidRPr="00DA3C6E" w:rsidRDefault="002D6035" w:rsidP="0097504B">
      <w:pPr>
        <w:pStyle w:val="Heading3"/>
      </w:pPr>
      <w:bookmarkStart w:id="175" w:name="_Toc25216048"/>
      <w:bookmarkStart w:id="176" w:name="_Toc37845743"/>
      <w:bookmarkEnd w:id="116"/>
      <w:bookmarkEnd w:id="171"/>
      <w:bookmarkEnd w:id="172"/>
      <w:bookmarkEnd w:id="173"/>
      <w:bookmarkEnd w:id="174"/>
      <w:r w:rsidRPr="00DA3C6E">
        <w:t>Is it safe?</w:t>
      </w:r>
      <w:bookmarkEnd w:id="117"/>
      <w:bookmarkEnd w:id="175"/>
      <w:bookmarkEnd w:id="176"/>
      <w:r w:rsidRPr="00DA3C6E">
        <w:t xml:space="preserve"> </w:t>
      </w:r>
      <w:bookmarkEnd w:id="118"/>
    </w:p>
    <w:p w14:paraId="5F49715C" w14:textId="77777777" w:rsidR="002D6035" w:rsidRPr="00DA3C6E" w:rsidRDefault="002D6035" w:rsidP="005C061E">
      <w:pPr>
        <w:pStyle w:val="Summaryboxheading"/>
        <w:pBdr>
          <w:top w:val="single" w:sz="4" w:space="1" w:color="auto"/>
          <w:left w:val="single" w:sz="4" w:space="4" w:color="auto"/>
          <w:bottom w:val="single" w:sz="4" w:space="1" w:color="auto"/>
          <w:right w:val="single" w:sz="4" w:space="4" w:color="auto"/>
        </w:pBdr>
      </w:pPr>
      <w:r w:rsidRPr="00DA3C6E">
        <w:t xml:space="preserve">Summary – What is the comparative safety of </w:t>
      </w:r>
      <w:r w:rsidR="00797214" w:rsidRPr="00DA3C6E">
        <w:t>i</w:t>
      </w:r>
      <w:r w:rsidRPr="00DA3C6E">
        <w:t>ntravenous Ig</w:t>
      </w:r>
      <w:r w:rsidR="00797214" w:rsidRPr="00DA3C6E">
        <w:t xml:space="preserve"> </w:t>
      </w:r>
      <w:r w:rsidRPr="00DA3C6E">
        <w:t>versus</w:t>
      </w:r>
      <w:r w:rsidR="00797214" w:rsidRPr="00DA3C6E">
        <w:t xml:space="preserve"> No intravenous Ig (</w:t>
      </w:r>
      <w:r w:rsidRPr="00DA3C6E">
        <w:t>BSC</w:t>
      </w:r>
      <w:r w:rsidR="00797214" w:rsidRPr="00DA3C6E">
        <w:t>)</w:t>
      </w:r>
      <w:r w:rsidRPr="00DA3C6E">
        <w:t xml:space="preserve"> in the treatment of MMN patients?</w:t>
      </w:r>
    </w:p>
    <w:p w14:paraId="1F8EC937" w14:textId="484E54B3" w:rsidR="002D6035" w:rsidRPr="00DA3C6E" w:rsidRDefault="002D6035" w:rsidP="005C061E">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DA3C6E">
        <w:rPr>
          <w:b w:val="0"/>
        </w:rPr>
        <w:t xml:space="preserve">Evidence from randomised trials showed that most adverse events (AEs) were mild and mainly typical of infusion reactions like headache, fever and chills. These events are generally characterised as being self-limiting and often resolved by reducing the rate or volume of infusion, or by implementing some preventive measures like prophylactic use of antihistamines. Only one </w:t>
      </w:r>
      <w:r w:rsidR="00021DCF" w:rsidRPr="00DA3C6E">
        <w:rPr>
          <w:b w:val="0"/>
        </w:rPr>
        <w:t>RCT</w:t>
      </w:r>
      <w:r w:rsidRPr="00DA3C6E">
        <w:rPr>
          <w:b w:val="0"/>
        </w:rPr>
        <w:t>, Hahn et al 2013</w: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 </w:instrTex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EN.CITE.DATA </w:instrText>
      </w:r>
      <w:r w:rsidR="00DB568A" w:rsidRPr="00DA3C6E">
        <w:rPr>
          <w:b w:val="0"/>
        </w:rPr>
      </w:r>
      <w:r w:rsidR="00DB568A" w:rsidRPr="00DA3C6E">
        <w:rPr>
          <w:b w:val="0"/>
        </w:rPr>
        <w:fldChar w:fldCharType="end"/>
      </w:r>
      <w:r w:rsidR="00DB568A" w:rsidRPr="00DA3C6E">
        <w:rPr>
          <w:b w:val="0"/>
        </w:rPr>
      </w:r>
      <w:r w:rsidR="00DB568A" w:rsidRPr="00DA3C6E">
        <w:rPr>
          <w:b w:val="0"/>
        </w:rPr>
        <w:fldChar w:fldCharType="separate"/>
      </w:r>
      <w:r w:rsidR="00DB568A" w:rsidRPr="00DA3C6E">
        <w:rPr>
          <w:b w:val="0"/>
          <w:noProof/>
        </w:rPr>
        <w:t>(</w:t>
      </w:r>
      <w:hyperlink w:anchor="_ENREF_28" w:tooltip="Hahn, 2013 #26" w:history="1">
        <w:r w:rsidR="00C04BCE" w:rsidRPr="00DA3C6E">
          <w:rPr>
            <w:b w:val="0"/>
            <w:noProof/>
          </w:rPr>
          <w:t>28</w:t>
        </w:r>
      </w:hyperlink>
      <w:r w:rsidR="00DB568A" w:rsidRPr="00DA3C6E">
        <w:rPr>
          <w:b w:val="0"/>
          <w:noProof/>
        </w:rPr>
        <w:t>)</w:t>
      </w:r>
      <w:r w:rsidR="00DB568A" w:rsidRPr="00DA3C6E">
        <w:rPr>
          <w:b w:val="0"/>
        </w:rPr>
        <w:fldChar w:fldCharType="end"/>
      </w:r>
      <w:r w:rsidRPr="00DA3C6E">
        <w:rPr>
          <w:b w:val="0"/>
        </w:rPr>
        <w:t xml:space="preserve">, reported </w:t>
      </w:r>
      <w:r w:rsidR="00797214" w:rsidRPr="00DA3C6E">
        <w:rPr>
          <w:b w:val="0"/>
        </w:rPr>
        <w:t xml:space="preserve">one </w:t>
      </w:r>
      <w:r w:rsidRPr="00DA3C6E">
        <w:rPr>
          <w:b w:val="0"/>
        </w:rPr>
        <w:t xml:space="preserve">patient who </w:t>
      </w:r>
      <w:r w:rsidR="00021DCF" w:rsidRPr="00DA3C6E">
        <w:rPr>
          <w:b w:val="0"/>
        </w:rPr>
        <w:t xml:space="preserve">suffered a pulmonary embolism which was </w:t>
      </w:r>
      <w:r w:rsidR="00FB2145" w:rsidRPr="00DA3C6E">
        <w:rPr>
          <w:b w:val="0"/>
        </w:rPr>
        <w:t xml:space="preserve">categorised </w:t>
      </w:r>
      <w:r w:rsidR="00021DCF" w:rsidRPr="00DA3C6E">
        <w:rPr>
          <w:b w:val="0"/>
        </w:rPr>
        <w:t>as a serious adverse event</w:t>
      </w:r>
      <w:r w:rsidR="00FB2145" w:rsidRPr="00DA3C6E">
        <w:rPr>
          <w:b w:val="0"/>
        </w:rPr>
        <w:t xml:space="preserve"> that could be</w:t>
      </w:r>
      <w:r w:rsidR="00021DCF" w:rsidRPr="00DA3C6E">
        <w:rPr>
          <w:b w:val="0"/>
        </w:rPr>
        <w:t xml:space="preserve"> attributed to the use of intravenous Ig by the investigators. </w:t>
      </w:r>
      <w:r w:rsidRPr="00DA3C6E">
        <w:rPr>
          <w:b w:val="0"/>
        </w:rPr>
        <w:t>.</w:t>
      </w:r>
    </w:p>
    <w:p w14:paraId="43CA00F2" w14:textId="77777777" w:rsidR="002D6035" w:rsidRPr="00DA3C6E" w:rsidRDefault="002D6035" w:rsidP="00CB3C91">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DA3C6E">
        <w:rPr>
          <w:b w:val="0"/>
        </w:rPr>
        <w:t xml:space="preserve">The safety profile did not show important differences between the randomised and single arm studies. Similarly, infusion related AEs were frequent but generally mild and manageable with adjustments to infusion rate. Moderate and serious adverse events (SAEs) were less frequent and few patients discontinued treatment due to AEs. </w:t>
      </w:r>
    </w:p>
    <w:p w14:paraId="37932612" w14:textId="41567AB3" w:rsidR="002D6035" w:rsidRPr="00DA3C6E" w:rsidRDefault="002D6035" w:rsidP="00CB3C91">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Intravenous Ig products have been used in patients with MMN </w:t>
      </w:r>
      <w:r w:rsidR="00DF5422" w:rsidRPr="00DA3C6E">
        <w:rPr>
          <w:b w:val="0"/>
        </w:rPr>
        <w:t>since the</w:t>
      </w:r>
      <w:r w:rsidRPr="00DA3C6E">
        <w:rPr>
          <w:b w:val="0"/>
        </w:rPr>
        <w:t xml:space="preserve"> early </w:t>
      </w:r>
      <w:r w:rsidR="00DF5422" w:rsidRPr="00DA3C6E">
        <w:rPr>
          <w:b w:val="0"/>
        </w:rPr>
        <w:t>19</w:t>
      </w:r>
      <w:r w:rsidRPr="00DA3C6E">
        <w:rPr>
          <w:b w:val="0"/>
        </w:rPr>
        <w:t xml:space="preserve">90s, thus the safety profile is well understood, even with regard to rare events. The safety profile as presented in the Product Information should provide a comprehensive overview and understanding </w:t>
      </w:r>
      <w:r w:rsidR="00DF5422" w:rsidRPr="00DA3C6E">
        <w:rPr>
          <w:b w:val="0"/>
        </w:rPr>
        <w:t xml:space="preserve">of </w:t>
      </w:r>
      <w:r w:rsidRPr="00DA3C6E">
        <w:rPr>
          <w:b w:val="0"/>
        </w:rPr>
        <w:t xml:space="preserve">the occurrence of adverse events, special warnings and precautions for use.  </w:t>
      </w:r>
    </w:p>
    <w:p w14:paraId="2328586F" w14:textId="6731ACFA" w:rsidR="002D6035" w:rsidRPr="00DA3C6E" w:rsidRDefault="002D6035" w:rsidP="00CB3C91">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In summary, most AEs are mild and reversible, although the safety profile of intravenous Ig was </w:t>
      </w:r>
      <w:r w:rsidR="00851275" w:rsidRPr="00DA3C6E">
        <w:rPr>
          <w:b w:val="0"/>
        </w:rPr>
        <w:t xml:space="preserve">worse </w:t>
      </w:r>
      <w:r w:rsidR="005C129C" w:rsidRPr="00DA3C6E">
        <w:rPr>
          <w:b w:val="0"/>
        </w:rPr>
        <w:t xml:space="preserve">than </w:t>
      </w:r>
      <w:r w:rsidRPr="00DA3C6E">
        <w:rPr>
          <w:b w:val="0"/>
        </w:rPr>
        <w:t xml:space="preserve">placebo.   </w:t>
      </w:r>
    </w:p>
    <w:p w14:paraId="5DD55045" w14:textId="77777777" w:rsidR="002D6035" w:rsidRPr="00DA3C6E" w:rsidRDefault="002D6035" w:rsidP="008651E8">
      <w:r w:rsidRPr="00DA3C6E">
        <w:t xml:space="preserve">Given that the ‘No IVIg with </w:t>
      </w:r>
      <w:r w:rsidR="00DB7677" w:rsidRPr="00DA3C6E">
        <w:t>BSC’</w:t>
      </w:r>
      <w:r w:rsidRPr="00DA3C6E">
        <w:t xml:space="preserve"> was defined as the comparator, it can be said that the safety of </w:t>
      </w:r>
      <w:r w:rsidR="00797214" w:rsidRPr="00DA3C6E">
        <w:t>i</w:t>
      </w:r>
      <w:r w:rsidRPr="00DA3C6E">
        <w:t xml:space="preserve">ntravenous Ig was worse than its comparator. </w:t>
      </w:r>
    </w:p>
    <w:p w14:paraId="5B755EE0" w14:textId="77777777" w:rsidR="002D6035" w:rsidRPr="00DA3C6E" w:rsidRDefault="002D6035" w:rsidP="00C6638C">
      <w:pPr>
        <w:pStyle w:val="Heading4"/>
      </w:pPr>
      <w:r w:rsidRPr="00DA3C6E">
        <w:t>Safety evidence from RCTs</w:t>
      </w:r>
    </w:p>
    <w:p w14:paraId="40C5A239" w14:textId="2865340B" w:rsidR="002D6035" w:rsidRPr="00DA3C6E" w:rsidRDefault="002D6035" w:rsidP="008651E8">
      <w:r w:rsidRPr="00DA3C6E">
        <w:t>Overall, minor adverse effects were reported in four of the five RCTs (</w:t>
      </w:r>
      <w:r w:rsidRPr="00DA3C6E">
        <w:fldChar w:fldCharType="begin"/>
      </w:r>
      <w:r w:rsidRPr="00DA3C6E">
        <w:instrText xml:space="preserve"> REF _Ref25929943 \h </w:instrText>
      </w:r>
      <w:r w:rsidR="00E8759F" w:rsidRPr="00DA3C6E">
        <w:instrText xml:space="preserve"> \* MERGEFORMAT </w:instrText>
      </w:r>
      <w:r w:rsidRPr="00DA3C6E">
        <w:fldChar w:fldCharType="separate"/>
      </w:r>
      <w:r w:rsidR="00EA5DC1" w:rsidRPr="00DA3C6E">
        <w:t xml:space="preserve">Table </w:t>
      </w:r>
      <w:r w:rsidR="00EA5DC1">
        <w:rPr>
          <w:noProof/>
        </w:rPr>
        <w:t>14</w:t>
      </w:r>
      <w:r w:rsidRPr="00DA3C6E">
        <w:fldChar w:fldCharType="end"/>
      </w:r>
      <w:r w:rsidRPr="00DA3C6E">
        <w:t>). Van den Berg et al</w:t>
      </w:r>
      <w:r w:rsidR="00DB7677" w:rsidRPr="00DA3C6E">
        <w:t>.</w:t>
      </w:r>
      <w:r w:rsidRPr="00DA3C6E">
        <w:t xml:space="preserve"> 1995</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r w:rsidRPr="00DA3C6E">
        <w:t xml:space="preserve"> did not measure safety as an outcome. Some of the above mentioned AEs may not have been observed during the limited follow-up time of randomised controlled trials. The potential long-term AEs will be assessed from single arm studies. </w:t>
      </w:r>
    </w:p>
    <w:p w14:paraId="78ED3F4B" w14:textId="1507D312" w:rsidR="002D6035" w:rsidRPr="00DA3C6E" w:rsidRDefault="002D6035" w:rsidP="00EC255D">
      <w:r w:rsidRPr="00DA3C6E">
        <w:t xml:space="preserve">The frequency of AEs in </w:t>
      </w:r>
      <w:r w:rsidR="00DF5422" w:rsidRPr="00DA3C6E">
        <w:t xml:space="preserve">the </w:t>
      </w:r>
      <w:r w:rsidR="00DB7677" w:rsidRPr="00DA3C6E">
        <w:t>RCTs</w:t>
      </w:r>
      <w:r w:rsidRPr="00DA3C6E">
        <w:t xml:space="preserve"> ranged from 1 to 40%, but was usually less than 20%. Most AEs were mild and mainly typical of infusion reactions like headache, fever and chills. Headache was the most commonly reported AE followed by rash and shivering. These reactions are generally characterised as being self-limiting and </w:t>
      </w:r>
      <w:r w:rsidR="00DF5422" w:rsidRPr="00DA3C6E">
        <w:t xml:space="preserve">are </w:t>
      </w:r>
      <w:r w:rsidRPr="00DA3C6E">
        <w:t>often resolved by reducing the rate or volume of infusion, or by implementing some preventive measures like premedication with an analgesics or antihistamines. Only one study, Hahn et al</w:t>
      </w:r>
      <w:r w:rsidR="00DB7677" w:rsidRPr="00DA3C6E">
        <w:t>.</w:t>
      </w:r>
      <w:r w:rsidRPr="00DA3C6E">
        <w:t xml:space="preserve">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w:t>
      </w:r>
      <w:r w:rsidR="00927676" w:rsidRPr="00DA3C6E">
        <w:t xml:space="preserve">reported one patient who </w:t>
      </w:r>
      <w:r w:rsidR="00021DCF" w:rsidRPr="00DA3C6E">
        <w:t>suffered a serious adverse event</w:t>
      </w:r>
      <w:r w:rsidR="00927676" w:rsidRPr="00DA3C6E">
        <w:t xml:space="preserve"> due to pulmonary embolism that was attributed to the use of </w:t>
      </w:r>
      <w:r w:rsidR="00DB7677" w:rsidRPr="00DA3C6E">
        <w:t xml:space="preserve">intravenous </w:t>
      </w:r>
      <w:r w:rsidR="00927676" w:rsidRPr="00DA3C6E">
        <w:t xml:space="preserve">Ig. The same study also </w:t>
      </w:r>
      <w:r w:rsidRPr="00DA3C6E">
        <w:t>report</w:t>
      </w:r>
      <w:r w:rsidR="00797214" w:rsidRPr="00DA3C6E">
        <w:t>ed</w:t>
      </w:r>
      <w:r w:rsidRPr="00DA3C6E">
        <w:t xml:space="preserve"> </w:t>
      </w:r>
      <w:r w:rsidR="009E5A09" w:rsidRPr="00DA3C6E">
        <w:t xml:space="preserve">two </w:t>
      </w:r>
      <w:r w:rsidRPr="00DA3C6E">
        <w:t xml:space="preserve">patients </w:t>
      </w:r>
      <w:r w:rsidR="00927676" w:rsidRPr="00DA3C6E">
        <w:t xml:space="preserve">who discontinued </w:t>
      </w:r>
      <w:r w:rsidR="00797214" w:rsidRPr="00DA3C6E">
        <w:t>treatment</w:t>
      </w:r>
      <w:r w:rsidR="00927676" w:rsidRPr="00DA3C6E">
        <w:t>;</w:t>
      </w:r>
      <w:r w:rsidR="009E5A09" w:rsidRPr="00DA3C6E">
        <w:t xml:space="preserve"> one</w:t>
      </w:r>
      <w:r w:rsidR="00797214" w:rsidRPr="00DA3C6E">
        <w:t xml:space="preserve"> </w:t>
      </w:r>
      <w:r w:rsidRPr="00DA3C6E">
        <w:t xml:space="preserve">due to muscular weakness and one due to decreased </w:t>
      </w:r>
      <w:r w:rsidRPr="00DA3C6E">
        <w:lastRenderedPageBreak/>
        <w:t>range of joint motion.</w:t>
      </w:r>
      <w:r w:rsidR="00797214" w:rsidRPr="00DA3C6E">
        <w:t xml:space="preserve"> However, deterioration in muscle weakness </w:t>
      </w:r>
      <w:r w:rsidR="00653785" w:rsidRPr="00DA3C6E">
        <w:t xml:space="preserve">and decreased range of joint motion were </w:t>
      </w:r>
      <w:r w:rsidR="00797214" w:rsidRPr="00DA3C6E">
        <w:t xml:space="preserve">not considered a </w:t>
      </w:r>
      <w:r w:rsidR="009E5A09" w:rsidRPr="00DA3C6E">
        <w:t xml:space="preserve">treatment related </w:t>
      </w:r>
      <w:r w:rsidR="00797214" w:rsidRPr="00DA3C6E">
        <w:t xml:space="preserve">AE and thus not considered in the </w:t>
      </w:r>
      <w:r w:rsidR="00DF5422" w:rsidRPr="00DA3C6E">
        <w:t>intention to treat (</w:t>
      </w:r>
      <w:r w:rsidR="00797214" w:rsidRPr="00DA3C6E">
        <w:t>ITT</w:t>
      </w:r>
      <w:r w:rsidR="00DF5422" w:rsidRPr="00DA3C6E">
        <w:t>)</w:t>
      </w:r>
      <w:r w:rsidR="00797214" w:rsidRPr="00DA3C6E">
        <w:t xml:space="preserve"> analysis</w:t>
      </w:r>
      <w:r w:rsidR="00927676" w:rsidRPr="00DA3C6E">
        <w:t>.</w:t>
      </w:r>
      <w:r w:rsidR="00E74058" w:rsidRPr="00DA3C6E">
        <w:t xml:space="preserve"> </w:t>
      </w:r>
    </w:p>
    <w:p w14:paraId="40A2113D" w14:textId="5E42037D" w:rsidR="002D6035" w:rsidRPr="00DA3C6E" w:rsidRDefault="002D6035" w:rsidP="008651E8">
      <w:pPr>
        <w:pStyle w:val="Caption"/>
      </w:pPr>
      <w:bookmarkStart w:id="177" w:name="_Ref25929943"/>
      <w:bookmarkStart w:id="178" w:name="_Toc30497461"/>
      <w:bookmarkStart w:id="179" w:name="_Toc30687742"/>
      <w:bookmarkStart w:id="180" w:name="_Toc37845817"/>
      <w:r w:rsidRPr="00DA3C6E">
        <w:t xml:space="preserve">Table </w:t>
      </w:r>
      <w:r w:rsidR="00515153">
        <w:fldChar w:fldCharType="begin"/>
      </w:r>
      <w:r w:rsidR="00515153">
        <w:instrText xml:space="preserve"> SEQ Table \* ARABIC </w:instrText>
      </w:r>
      <w:r w:rsidR="00515153">
        <w:fldChar w:fldCharType="separate"/>
      </w:r>
      <w:r w:rsidR="00EA5DC1">
        <w:rPr>
          <w:noProof/>
        </w:rPr>
        <w:t>14</w:t>
      </w:r>
      <w:r w:rsidR="00515153">
        <w:rPr>
          <w:noProof/>
        </w:rPr>
        <w:fldChar w:fldCharType="end"/>
      </w:r>
      <w:bookmarkEnd w:id="177"/>
      <w:r w:rsidRPr="00DA3C6E">
        <w:t>. Summary of adverse events reported in randomised controlled trials.</w:t>
      </w:r>
      <w:bookmarkEnd w:id="178"/>
      <w:bookmarkEnd w:id="179"/>
      <w:bookmarkEnd w:id="180"/>
      <w:r w:rsidRPr="00DA3C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559"/>
        <w:gridCol w:w="1701"/>
        <w:gridCol w:w="1560"/>
        <w:gridCol w:w="1791"/>
      </w:tblGrid>
      <w:tr w:rsidR="002D6035" w:rsidRPr="00DA3C6E" w14:paraId="2E210621" w14:textId="77777777" w:rsidTr="0016555D">
        <w:trPr>
          <w:tblHeader/>
        </w:trPr>
        <w:tc>
          <w:tcPr>
            <w:tcW w:w="2405" w:type="dxa"/>
            <w:tcMar>
              <w:top w:w="0" w:type="dxa"/>
              <w:left w:w="108" w:type="dxa"/>
              <w:bottom w:w="0" w:type="dxa"/>
              <w:right w:w="108" w:type="dxa"/>
            </w:tcMar>
            <w:vAlign w:val="center"/>
            <w:hideMark/>
          </w:tcPr>
          <w:p w14:paraId="247C27B4" w14:textId="77777777" w:rsidR="002D6035" w:rsidRPr="00DA3C6E" w:rsidRDefault="002D6035" w:rsidP="008651E8">
            <w:pPr>
              <w:spacing w:after="0" w:line="240" w:lineRule="auto"/>
              <w:jc w:val="left"/>
              <w:rPr>
                <w:rFonts w:ascii="Arial Narrow" w:hAnsi="Arial Narrow" w:cs="Calibri"/>
                <w:b/>
                <w:bCs/>
                <w:sz w:val="20"/>
                <w:szCs w:val="20"/>
              </w:rPr>
            </w:pPr>
            <w:r w:rsidRPr="00DA3C6E">
              <w:rPr>
                <w:rFonts w:ascii="Arial Narrow" w:hAnsi="Arial Narrow"/>
                <w:b/>
                <w:bCs/>
                <w:sz w:val="20"/>
                <w:szCs w:val="20"/>
              </w:rPr>
              <w:t xml:space="preserve">Study </w:t>
            </w:r>
          </w:p>
        </w:tc>
        <w:tc>
          <w:tcPr>
            <w:tcW w:w="1559" w:type="dxa"/>
            <w:tcMar>
              <w:top w:w="0" w:type="dxa"/>
              <w:left w:w="108" w:type="dxa"/>
              <w:bottom w:w="0" w:type="dxa"/>
              <w:right w:w="108" w:type="dxa"/>
            </w:tcMar>
            <w:vAlign w:val="center"/>
            <w:hideMark/>
          </w:tcPr>
          <w:p w14:paraId="4A0BF65D"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Intravenous Ig treatment</w:t>
            </w:r>
          </w:p>
          <w:p w14:paraId="47F71CAF"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n/N (%)</w:t>
            </w:r>
          </w:p>
        </w:tc>
        <w:tc>
          <w:tcPr>
            <w:tcW w:w="1701" w:type="dxa"/>
            <w:tcMar>
              <w:top w:w="0" w:type="dxa"/>
              <w:left w:w="108" w:type="dxa"/>
              <w:bottom w:w="0" w:type="dxa"/>
              <w:right w:w="108" w:type="dxa"/>
            </w:tcMar>
            <w:vAlign w:val="center"/>
            <w:hideMark/>
          </w:tcPr>
          <w:p w14:paraId="6E1449AD"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Placebo treatment</w:t>
            </w:r>
          </w:p>
          <w:p w14:paraId="1B5B6577"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n/N (%)</w:t>
            </w:r>
          </w:p>
        </w:tc>
        <w:tc>
          <w:tcPr>
            <w:tcW w:w="1560" w:type="dxa"/>
            <w:tcMar>
              <w:top w:w="0" w:type="dxa"/>
              <w:left w:w="108" w:type="dxa"/>
              <w:bottom w:w="0" w:type="dxa"/>
              <w:right w:w="108" w:type="dxa"/>
            </w:tcMar>
            <w:vAlign w:val="center"/>
            <w:hideMark/>
          </w:tcPr>
          <w:p w14:paraId="1C504433"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Relative Risk</w:t>
            </w:r>
          </w:p>
          <w:p w14:paraId="4E551452"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(95%CI)</w:t>
            </w:r>
          </w:p>
        </w:tc>
        <w:tc>
          <w:tcPr>
            <w:tcW w:w="1791" w:type="dxa"/>
            <w:tcMar>
              <w:top w:w="0" w:type="dxa"/>
              <w:left w:w="108" w:type="dxa"/>
              <w:bottom w:w="0" w:type="dxa"/>
              <w:right w:w="108" w:type="dxa"/>
            </w:tcMar>
            <w:vAlign w:val="center"/>
            <w:hideMark/>
          </w:tcPr>
          <w:p w14:paraId="30F965AE"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Risk difference</w:t>
            </w:r>
          </w:p>
          <w:p w14:paraId="6ABEA085"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(95%CI)</w:t>
            </w:r>
          </w:p>
        </w:tc>
      </w:tr>
      <w:tr w:rsidR="002D6035" w:rsidRPr="00DA3C6E" w14:paraId="24EDD08C" w14:textId="77777777" w:rsidTr="00041518">
        <w:tc>
          <w:tcPr>
            <w:tcW w:w="9016" w:type="dxa"/>
            <w:gridSpan w:val="5"/>
            <w:tcMar>
              <w:top w:w="0" w:type="dxa"/>
              <w:left w:w="108" w:type="dxa"/>
              <w:bottom w:w="0" w:type="dxa"/>
              <w:right w:w="108" w:type="dxa"/>
            </w:tcMar>
            <w:vAlign w:val="center"/>
            <w:hideMark/>
          </w:tcPr>
          <w:p w14:paraId="43F4E479" w14:textId="3B6EECF7" w:rsidR="002D6035" w:rsidRPr="00DA3C6E" w:rsidRDefault="002D6035" w:rsidP="00C04BCE">
            <w:pPr>
              <w:spacing w:after="0" w:line="240" w:lineRule="auto"/>
              <w:jc w:val="left"/>
              <w:rPr>
                <w:rFonts w:ascii="Arial Narrow" w:hAnsi="Arial Narrow"/>
                <w:b/>
                <w:bCs/>
                <w:sz w:val="20"/>
                <w:szCs w:val="20"/>
              </w:rPr>
            </w:pPr>
            <w:r w:rsidRPr="00DA3C6E">
              <w:rPr>
                <w:rFonts w:ascii="Arial Narrow" w:hAnsi="Arial Narrow"/>
                <w:b/>
                <w:bCs/>
                <w:sz w:val="20"/>
                <w:szCs w:val="20"/>
              </w:rPr>
              <w:t>Azulay et al. 1994</w:t>
            </w:r>
            <w:r w:rsidR="00DB568A" w:rsidRPr="00DA3C6E">
              <w:rPr>
                <w:rFonts w:ascii="Arial Narrow" w:hAnsi="Arial Narrow"/>
                <w:b/>
                <w:bCs/>
                <w:sz w:val="20"/>
                <w:szCs w:val="20"/>
              </w:rPr>
              <w:fldChar w:fldCharType="begin"/>
            </w:r>
            <w:r w:rsidR="00DB568A" w:rsidRPr="00DA3C6E">
              <w:rPr>
                <w:rFonts w:ascii="Arial Narrow" w:hAnsi="Arial Narrow"/>
                <w:b/>
                <w:bCs/>
                <w:sz w:val="2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Fonts w:ascii="Arial Narrow" w:hAnsi="Arial Narrow"/>
                <w:b/>
                <w:bCs/>
                <w:sz w:val="20"/>
                <w:szCs w:val="20"/>
              </w:rPr>
              <w:fldChar w:fldCharType="separate"/>
            </w:r>
            <w:r w:rsidR="00DB568A" w:rsidRPr="00DA3C6E">
              <w:rPr>
                <w:rFonts w:ascii="Arial Narrow" w:hAnsi="Arial Narrow"/>
                <w:b/>
                <w:bCs/>
                <w:noProof/>
                <w:sz w:val="20"/>
                <w:szCs w:val="20"/>
              </w:rPr>
              <w:t>(</w:t>
            </w:r>
            <w:hyperlink w:anchor="_ENREF_24" w:tooltip="Azulay, 1994 #4" w:history="1">
              <w:r w:rsidR="00C04BCE" w:rsidRPr="00DA3C6E">
                <w:rPr>
                  <w:rFonts w:ascii="Arial Narrow" w:hAnsi="Arial Narrow"/>
                  <w:b/>
                  <w:bCs/>
                  <w:noProof/>
                  <w:sz w:val="20"/>
                  <w:szCs w:val="20"/>
                </w:rPr>
                <w:t>24</w:t>
              </w:r>
            </w:hyperlink>
            <w:r w:rsidR="00DB568A" w:rsidRPr="00DA3C6E">
              <w:rPr>
                <w:rFonts w:ascii="Arial Narrow" w:hAnsi="Arial Narrow"/>
                <w:b/>
                <w:bCs/>
                <w:noProof/>
                <w:sz w:val="20"/>
                <w:szCs w:val="20"/>
              </w:rPr>
              <w:t>)</w:t>
            </w:r>
            <w:r w:rsidR="00DB568A" w:rsidRPr="00DA3C6E">
              <w:rPr>
                <w:rFonts w:ascii="Arial Narrow" w:hAnsi="Arial Narrow"/>
                <w:b/>
                <w:bCs/>
                <w:sz w:val="20"/>
                <w:szCs w:val="20"/>
              </w:rPr>
              <w:fldChar w:fldCharType="end"/>
            </w:r>
          </w:p>
        </w:tc>
      </w:tr>
      <w:tr w:rsidR="002D6035" w:rsidRPr="00DA3C6E" w14:paraId="53AD94B6" w14:textId="77777777" w:rsidTr="0016555D">
        <w:tc>
          <w:tcPr>
            <w:tcW w:w="2405" w:type="dxa"/>
            <w:tcMar>
              <w:top w:w="0" w:type="dxa"/>
              <w:left w:w="108" w:type="dxa"/>
              <w:bottom w:w="0" w:type="dxa"/>
              <w:right w:w="108" w:type="dxa"/>
            </w:tcMar>
            <w:vAlign w:val="center"/>
          </w:tcPr>
          <w:p w14:paraId="5266557D"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Cutaneous rash</w:t>
            </w:r>
          </w:p>
        </w:tc>
        <w:tc>
          <w:tcPr>
            <w:tcW w:w="1559" w:type="dxa"/>
            <w:tcMar>
              <w:top w:w="0" w:type="dxa"/>
              <w:left w:w="108" w:type="dxa"/>
              <w:bottom w:w="0" w:type="dxa"/>
              <w:right w:w="108" w:type="dxa"/>
            </w:tcMar>
            <w:vAlign w:val="center"/>
            <w:hideMark/>
          </w:tcPr>
          <w:p w14:paraId="3AEA72F4" w14:textId="77777777" w:rsidR="002D6035" w:rsidRPr="00DA3C6E" w:rsidRDefault="002D6035" w:rsidP="008651E8">
            <w:pPr>
              <w:spacing w:after="0" w:line="240" w:lineRule="auto"/>
              <w:jc w:val="left"/>
              <w:rPr>
                <w:rFonts w:ascii="Arial Narrow" w:hAnsi="Arial Narrow"/>
                <w:sz w:val="20"/>
                <w:szCs w:val="20"/>
                <w:vertAlign w:val="superscript"/>
              </w:rPr>
            </w:pPr>
            <w:r w:rsidRPr="00DA3C6E">
              <w:rPr>
                <w:rFonts w:ascii="Arial Narrow" w:hAnsi="Arial Narrow"/>
                <w:sz w:val="20"/>
                <w:szCs w:val="20"/>
              </w:rPr>
              <w:t>2/5 (40.0)</w:t>
            </w:r>
          </w:p>
        </w:tc>
        <w:tc>
          <w:tcPr>
            <w:tcW w:w="1701" w:type="dxa"/>
            <w:tcMar>
              <w:top w:w="0" w:type="dxa"/>
              <w:left w:w="108" w:type="dxa"/>
              <w:bottom w:w="0" w:type="dxa"/>
              <w:right w:w="108" w:type="dxa"/>
            </w:tcMar>
            <w:vAlign w:val="center"/>
          </w:tcPr>
          <w:p w14:paraId="4F48CC9D"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0/5 (0)</w:t>
            </w:r>
          </w:p>
        </w:tc>
        <w:tc>
          <w:tcPr>
            <w:tcW w:w="1560" w:type="dxa"/>
            <w:tcMar>
              <w:top w:w="0" w:type="dxa"/>
              <w:left w:w="108" w:type="dxa"/>
              <w:bottom w:w="0" w:type="dxa"/>
              <w:right w:w="108" w:type="dxa"/>
            </w:tcMar>
            <w:vAlign w:val="center"/>
          </w:tcPr>
          <w:p w14:paraId="36DE71EF"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0EC5C1EF"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0.40 (-0.03, 0.83)</w:t>
            </w:r>
          </w:p>
        </w:tc>
      </w:tr>
      <w:tr w:rsidR="002D6035" w:rsidRPr="00DA3C6E" w14:paraId="4E3955E5" w14:textId="77777777" w:rsidTr="0016555D">
        <w:tc>
          <w:tcPr>
            <w:tcW w:w="2405" w:type="dxa"/>
            <w:tcMar>
              <w:top w:w="0" w:type="dxa"/>
              <w:left w:w="108" w:type="dxa"/>
              <w:bottom w:w="0" w:type="dxa"/>
              <w:right w:w="108" w:type="dxa"/>
            </w:tcMar>
            <w:vAlign w:val="center"/>
          </w:tcPr>
          <w:p w14:paraId="452EEE5F" w14:textId="77777777" w:rsidR="002D6035" w:rsidRPr="00DA3C6E" w:rsidRDefault="002D6035" w:rsidP="00E54929">
            <w:pPr>
              <w:spacing w:after="0" w:line="240" w:lineRule="auto"/>
              <w:jc w:val="left"/>
              <w:rPr>
                <w:rFonts w:ascii="Arial Narrow" w:hAnsi="Arial Narrow"/>
                <w:sz w:val="20"/>
                <w:szCs w:val="20"/>
              </w:rPr>
            </w:pPr>
            <w:r w:rsidRPr="00DA3C6E">
              <w:rPr>
                <w:rFonts w:ascii="Arial Narrow" w:hAnsi="Arial Narrow"/>
                <w:sz w:val="20"/>
                <w:szCs w:val="20"/>
              </w:rPr>
              <w:t>Transient fever</w:t>
            </w:r>
          </w:p>
        </w:tc>
        <w:tc>
          <w:tcPr>
            <w:tcW w:w="1559" w:type="dxa"/>
            <w:tcMar>
              <w:top w:w="0" w:type="dxa"/>
              <w:left w:w="108" w:type="dxa"/>
              <w:bottom w:w="0" w:type="dxa"/>
              <w:right w:w="108" w:type="dxa"/>
            </w:tcMar>
            <w:vAlign w:val="center"/>
          </w:tcPr>
          <w:p w14:paraId="347B8DB3" w14:textId="77777777" w:rsidR="002D6035" w:rsidRPr="00DA3C6E" w:rsidRDefault="002D6035" w:rsidP="00E54929">
            <w:pPr>
              <w:spacing w:after="0" w:line="240" w:lineRule="auto"/>
              <w:jc w:val="left"/>
              <w:rPr>
                <w:rFonts w:ascii="Arial Narrow" w:hAnsi="Arial Narrow"/>
                <w:sz w:val="20"/>
                <w:szCs w:val="20"/>
              </w:rPr>
            </w:pPr>
            <w:r w:rsidRPr="00DA3C6E">
              <w:rPr>
                <w:rFonts w:ascii="Arial Narrow" w:hAnsi="Arial Narrow"/>
                <w:sz w:val="20"/>
                <w:szCs w:val="20"/>
              </w:rPr>
              <w:t>2/5 (40.0)</w:t>
            </w:r>
          </w:p>
        </w:tc>
        <w:tc>
          <w:tcPr>
            <w:tcW w:w="1701" w:type="dxa"/>
            <w:tcMar>
              <w:top w:w="0" w:type="dxa"/>
              <w:left w:w="108" w:type="dxa"/>
              <w:bottom w:w="0" w:type="dxa"/>
              <w:right w:w="108" w:type="dxa"/>
            </w:tcMar>
            <w:vAlign w:val="center"/>
          </w:tcPr>
          <w:p w14:paraId="02F7E80B" w14:textId="77777777" w:rsidR="002D6035" w:rsidRPr="00DA3C6E" w:rsidRDefault="002D6035" w:rsidP="00E54929">
            <w:pPr>
              <w:spacing w:after="0" w:line="240" w:lineRule="auto"/>
              <w:jc w:val="left"/>
              <w:rPr>
                <w:rFonts w:ascii="Arial Narrow" w:hAnsi="Arial Narrow"/>
                <w:sz w:val="20"/>
                <w:szCs w:val="20"/>
              </w:rPr>
            </w:pPr>
            <w:r w:rsidRPr="00DA3C6E">
              <w:rPr>
                <w:rFonts w:ascii="Arial Narrow" w:hAnsi="Arial Narrow"/>
                <w:sz w:val="20"/>
                <w:szCs w:val="20"/>
              </w:rPr>
              <w:t>0/5 (0)</w:t>
            </w:r>
          </w:p>
        </w:tc>
        <w:tc>
          <w:tcPr>
            <w:tcW w:w="1560" w:type="dxa"/>
            <w:tcMar>
              <w:top w:w="0" w:type="dxa"/>
              <w:left w:w="108" w:type="dxa"/>
              <w:bottom w:w="0" w:type="dxa"/>
              <w:right w:w="108" w:type="dxa"/>
            </w:tcMar>
            <w:vAlign w:val="center"/>
          </w:tcPr>
          <w:p w14:paraId="7B8DA391" w14:textId="77777777" w:rsidR="002D6035" w:rsidRPr="00DA3C6E" w:rsidRDefault="002D6035" w:rsidP="00E54929">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tcPr>
          <w:p w14:paraId="03C8ED04" w14:textId="77777777" w:rsidR="002D6035" w:rsidRPr="00DA3C6E" w:rsidRDefault="002D6035" w:rsidP="00E54929">
            <w:pPr>
              <w:spacing w:after="0" w:line="240" w:lineRule="auto"/>
              <w:jc w:val="left"/>
              <w:rPr>
                <w:rFonts w:ascii="Arial Narrow" w:hAnsi="Arial Narrow"/>
                <w:sz w:val="20"/>
                <w:szCs w:val="20"/>
              </w:rPr>
            </w:pPr>
            <w:r w:rsidRPr="00DA3C6E">
              <w:rPr>
                <w:rFonts w:ascii="Arial Narrow" w:hAnsi="Arial Narrow"/>
                <w:sz w:val="20"/>
                <w:szCs w:val="20"/>
              </w:rPr>
              <w:t>0.40 (-0.03, 0.83)</w:t>
            </w:r>
          </w:p>
        </w:tc>
      </w:tr>
      <w:tr w:rsidR="00DF5422" w:rsidRPr="00DA3C6E" w14:paraId="2B8CBB6F" w14:textId="77777777" w:rsidTr="00DF5422">
        <w:tc>
          <w:tcPr>
            <w:tcW w:w="9016" w:type="dxa"/>
            <w:gridSpan w:val="5"/>
            <w:tcMar>
              <w:top w:w="0" w:type="dxa"/>
              <w:left w:w="108" w:type="dxa"/>
              <w:bottom w:w="0" w:type="dxa"/>
              <w:right w:w="108" w:type="dxa"/>
            </w:tcMar>
            <w:vAlign w:val="center"/>
            <w:hideMark/>
          </w:tcPr>
          <w:p w14:paraId="1FA22C5D" w14:textId="37DD06E4" w:rsidR="00DF5422" w:rsidRPr="00DA3C6E" w:rsidRDefault="00DF5422" w:rsidP="00C04BCE">
            <w:pPr>
              <w:spacing w:after="0" w:line="240" w:lineRule="auto"/>
              <w:jc w:val="left"/>
              <w:rPr>
                <w:rFonts w:ascii="Arial Narrow" w:hAnsi="Arial Narrow"/>
                <w:b/>
                <w:bCs/>
                <w:sz w:val="20"/>
                <w:szCs w:val="20"/>
              </w:rPr>
            </w:pPr>
            <w:r w:rsidRPr="00DA3C6E">
              <w:rPr>
                <w:rFonts w:ascii="Arial Narrow" w:hAnsi="Arial Narrow"/>
                <w:b/>
                <w:bCs/>
                <w:sz w:val="20"/>
                <w:szCs w:val="20"/>
                <w:lang w:val="es-CL"/>
              </w:rPr>
              <w:t xml:space="preserve">Van den Berg et al.  </w:t>
            </w:r>
            <w:r w:rsidRPr="00DA3C6E">
              <w:rPr>
                <w:rFonts w:ascii="Arial Narrow" w:hAnsi="Arial Narrow"/>
                <w:b/>
                <w:bCs/>
                <w:sz w:val="20"/>
                <w:szCs w:val="20"/>
              </w:rPr>
              <w:t>1995</w:t>
            </w:r>
            <w:r w:rsidR="00DB568A" w:rsidRPr="00DA3C6E">
              <w:rPr>
                <w:rFonts w:ascii="Arial Narrow" w:hAnsi="Arial Narrow"/>
                <w:b/>
                <w:bCs/>
                <w:sz w:val="20"/>
                <w:szCs w:val="20"/>
              </w:rPr>
              <w:fldChar w:fldCharType="begin"/>
            </w:r>
            <w:r w:rsidR="00DB568A" w:rsidRPr="00DA3C6E">
              <w:rPr>
                <w:rFonts w:ascii="Arial Narrow" w:hAnsi="Arial Narrow"/>
                <w:b/>
                <w:bCs/>
                <w:sz w:val="20"/>
                <w:szCs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Fonts w:ascii="Arial Narrow" w:hAnsi="Arial Narrow"/>
                <w:b/>
                <w:bCs/>
                <w:sz w:val="20"/>
                <w:szCs w:val="20"/>
              </w:rPr>
              <w:fldChar w:fldCharType="separate"/>
            </w:r>
            <w:r w:rsidR="00DB568A" w:rsidRPr="00DA3C6E">
              <w:rPr>
                <w:rFonts w:ascii="Arial Narrow" w:hAnsi="Arial Narrow"/>
                <w:b/>
                <w:bCs/>
                <w:noProof/>
                <w:sz w:val="20"/>
                <w:szCs w:val="20"/>
              </w:rPr>
              <w:t>(</w:t>
            </w:r>
            <w:hyperlink w:anchor="_ENREF_25" w:tooltip="Van den Berg, 1995 #77" w:history="1">
              <w:r w:rsidR="00C04BCE" w:rsidRPr="00DA3C6E">
                <w:rPr>
                  <w:rFonts w:ascii="Arial Narrow" w:hAnsi="Arial Narrow"/>
                  <w:b/>
                  <w:bCs/>
                  <w:noProof/>
                  <w:sz w:val="20"/>
                  <w:szCs w:val="20"/>
                </w:rPr>
                <w:t>25</w:t>
              </w:r>
            </w:hyperlink>
            <w:r w:rsidR="00DB568A" w:rsidRPr="00DA3C6E">
              <w:rPr>
                <w:rFonts w:ascii="Arial Narrow" w:hAnsi="Arial Narrow"/>
                <w:b/>
                <w:bCs/>
                <w:noProof/>
                <w:sz w:val="20"/>
                <w:szCs w:val="20"/>
              </w:rPr>
              <w:t>)</w:t>
            </w:r>
            <w:r w:rsidR="00DB568A" w:rsidRPr="00DA3C6E">
              <w:rPr>
                <w:rFonts w:ascii="Arial Narrow" w:hAnsi="Arial Narrow"/>
                <w:b/>
                <w:bCs/>
                <w:sz w:val="20"/>
                <w:szCs w:val="20"/>
              </w:rPr>
              <w:fldChar w:fldCharType="end"/>
            </w:r>
          </w:p>
        </w:tc>
      </w:tr>
      <w:tr w:rsidR="002D6035" w:rsidRPr="00DA3C6E" w14:paraId="163E3FDE" w14:textId="77777777" w:rsidTr="0016555D">
        <w:tc>
          <w:tcPr>
            <w:tcW w:w="2405" w:type="dxa"/>
            <w:tcMar>
              <w:top w:w="0" w:type="dxa"/>
              <w:left w:w="108" w:type="dxa"/>
              <w:bottom w:w="0" w:type="dxa"/>
              <w:right w:w="108" w:type="dxa"/>
            </w:tcMar>
            <w:vAlign w:val="center"/>
          </w:tcPr>
          <w:p w14:paraId="50FF6E62" w14:textId="77777777" w:rsidR="002D6035" w:rsidRPr="00DA3C6E" w:rsidRDefault="002D6035" w:rsidP="008651E8">
            <w:pPr>
              <w:spacing w:after="0" w:line="240" w:lineRule="auto"/>
              <w:jc w:val="left"/>
              <w:rPr>
                <w:rFonts w:ascii="Arial Narrow" w:hAnsi="Arial Narrow"/>
                <w:sz w:val="20"/>
                <w:szCs w:val="20"/>
              </w:rPr>
            </w:pPr>
          </w:p>
        </w:tc>
        <w:tc>
          <w:tcPr>
            <w:tcW w:w="1559" w:type="dxa"/>
            <w:tcMar>
              <w:top w:w="0" w:type="dxa"/>
              <w:left w:w="108" w:type="dxa"/>
              <w:bottom w:w="0" w:type="dxa"/>
              <w:right w:w="108" w:type="dxa"/>
            </w:tcMar>
            <w:vAlign w:val="center"/>
            <w:hideMark/>
          </w:tcPr>
          <w:p w14:paraId="723A965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NR</w:t>
            </w:r>
          </w:p>
        </w:tc>
        <w:tc>
          <w:tcPr>
            <w:tcW w:w="1701" w:type="dxa"/>
            <w:tcMar>
              <w:top w:w="0" w:type="dxa"/>
              <w:left w:w="108" w:type="dxa"/>
              <w:bottom w:w="0" w:type="dxa"/>
              <w:right w:w="108" w:type="dxa"/>
            </w:tcMar>
            <w:vAlign w:val="center"/>
          </w:tcPr>
          <w:p w14:paraId="4CA77C2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NR</w:t>
            </w:r>
          </w:p>
        </w:tc>
        <w:tc>
          <w:tcPr>
            <w:tcW w:w="1560" w:type="dxa"/>
            <w:tcMar>
              <w:top w:w="0" w:type="dxa"/>
              <w:left w:w="108" w:type="dxa"/>
              <w:bottom w:w="0" w:type="dxa"/>
              <w:right w:w="108" w:type="dxa"/>
            </w:tcMar>
            <w:vAlign w:val="center"/>
          </w:tcPr>
          <w:p w14:paraId="50529C24"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NR</w:t>
            </w:r>
          </w:p>
        </w:tc>
        <w:tc>
          <w:tcPr>
            <w:tcW w:w="1791" w:type="dxa"/>
            <w:tcMar>
              <w:top w:w="0" w:type="dxa"/>
              <w:left w:w="108" w:type="dxa"/>
              <w:bottom w:w="0" w:type="dxa"/>
              <w:right w:w="108" w:type="dxa"/>
            </w:tcMar>
            <w:vAlign w:val="center"/>
            <w:hideMark/>
          </w:tcPr>
          <w:p w14:paraId="0C3CDEDB"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NR</w:t>
            </w:r>
          </w:p>
        </w:tc>
      </w:tr>
      <w:tr w:rsidR="002D6035" w:rsidRPr="00DA3C6E" w14:paraId="3B97F98C" w14:textId="77777777" w:rsidTr="00041518">
        <w:tc>
          <w:tcPr>
            <w:tcW w:w="9016" w:type="dxa"/>
            <w:gridSpan w:val="5"/>
            <w:tcMar>
              <w:top w:w="0" w:type="dxa"/>
              <w:left w:w="108" w:type="dxa"/>
              <w:bottom w:w="0" w:type="dxa"/>
              <w:right w:w="108" w:type="dxa"/>
            </w:tcMar>
            <w:vAlign w:val="center"/>
            <w:hideMark/>
          </w:tcPr>
          <w:p w14:paraId="6D24E5FD" w14:textId="0B16678D" w:rsidR="002D6035" w:rsidRPr="00DA3C6E" w:rsidRDefault="002D6035" w:rsidP="00C04BCE">
            <w:pPr>
              <w:spacing w:after="0" w:line="240" w:lineRule="auto"/>
              <w:jc w:val="left"/>
              <w:rPr>
                <w:rFonts w:ascii="Arial Narrow" w:hAnsi="Arial Narrow"/>
                <w:sz w:val="20"/>
                <w:szCs w:val="20"/>
                <w:vertAlign w:val="superscript"/>
              </w:rPr>
            </w:pPr>
            <w:r w:rsidRPr="00DA3C6E">
              <w:rPr>
                <w:rFonts w:ascii="Arial Narrow" w:hAnsi="Arial Narrow"/>
                <w:b/>
                <w:bCs/>
                <w:sz w:val="20"/>
                <w:szCs w:val="20"/>
              </w:rPr>
              <w:t>Federico et al. 2000</w:t>
            </w:r>
            <w:r w:rsidR="00DB568A" w:rsidRPr="00DA3C6E">
              <w:rPr>
                <w:rFonts w:ascii="Arial Narrow" w:hAnsi="Arial Narrow"/>
                <w:b/>
                <w:bCs/>
                <w:sz w:val="2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bCs/>
                <w:sz w:val="20"/>
                <w:szCs w:val="20"/>
              </w:rPr>
              <w:instrText xml:space="preserve"> ADDIN EN.CITE </w:instrText>
            </w:r>
            <w:r w:rsidR="00DB568A" w:rsidRPr="00DA3C6E">
              <w:rPr>
                <w:rFonts w:ascii="Arial Narrow" w:hAnsi="Arial Narrow"/>
                <w:b/>
                <w:bCs/>
                <w:sz w:val="2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bCs/>
                <w:sz w:val="20"/>
                <w:szCs w:val="20"/>
              </w:rPr>
              <w:instrText xml:space="preserve"> ADDIN EN.CITE.DATA </w:instrText>
            </w:r>
            <w:r w:rsidR="00DB568A" w:rsidRPr="00DA3C6E">
              <w:rPr>
                <w:rFonts w:ascii="Arial Narrow" w:hAnsi="Arial Narrow"/>
                <w:b/>
                <w:bCs/>
                <w:sz w:val="20"/>
                <w:szCs w:val="20"/>
              </w:rPr>
            </w:r>
            <w:r w:rsidR="00DB568A" w:rsidRPr="00DA3C6E">
              <w:rPr>
                <w:rFonts w:ascii="Arial Narrow" w:hAnsi="Arial Narrow"/>
                <w:b/>
                <w:bCs/>
                <w:sz w:val="20"/>
                <w:szCs w:val="20"/>
              </w:rPr>
              <w:fldChar w:fldCharType="end"/>
            </w:r>
            <w:r w:rsidR="00DB568A" w:rsidRPr="00DA3C6E">
              <w:rPr>
                <w:rFonts w:ascii="Arial Narrow" w:hAnsi="Arial Narrow"/>
                <w:b/>
                <w:bCs/>
                <w:sz w:val="20"/>
                <w:szCs w:val="20"/>
              </w:rPr>
            </w:r>
            <w:r w:rsidR="00DB568A" w:rsidRPr="00DA3C6E">
              <w:rPr>
                <w:rFonts w:ascii="Arial Narrow" w:hAnsi="Arial Narrow"/>
                <w:b/>
                <w:bCs/>
                <w:sz w:val="20"/>
                <w:szCs w:val="20"/>
              </w:rPr>
              <w:fldChar w:fldCharType="separate"/>
            </w:r>
            <w:r w:rsidR="00DB568A" w:rsidRPr="00DA3C6E">
              <w:rPr>
                <w:rFonts w:ascii="Arial Narrow" w:hAnsi="Arial Narrow"/>
                <w:b/>
                <w:bCs/>
                <w:noProof/>
                <w:sz w:val="20"/>
                <w:szCs w:val="20"/>
              </w:rPr>
              <w:t>(</w:t>
            </w:r>
            <w:hyperlink w:anchor="_ENREF_26" w:tooltip="Federico, 2000 #20" w:history="1">
              <w:r w:rsidR="00C04BCE" w:rsidRPr="00DA3C6E">
                <w:rPr>
                  <w:rFonts w:ascii="Arial Narrow" w:hAnsi="Arial Narrow"/>
                  <w:b/>
                  <w:bCs/>
                  <w:noProof/>
                  <w:sz w:val="20"/>
                  <w:szCs w:val="20"/>
                </w:rPr>
                <w:t>26</w:t>
              </w:r>
            </w:hyperlink>
            <w:r w:rsidR="00DB568A" w:rsidRPr="00DA3C6E">
              <w:rPr>
                <w:rFonts w:ascii="Arial Narrow" w:hAnsi="Arial Narrow"/>
                <w:b/>
                <w:bCs/>
                <w:noProof/>
                <w:sz w:val="20"/>
                <w:szCs w:val="20"/>
              </w:rPr>
              <w:t>)</w:t>
            </w:r>
            <w:r w:rsidR="00DB568A" w:rsidRPr="00DA3C6E">
              <w:rPr>
                <w:rFonts w:ascii="Arial Narrow" w:hAnsi="Arial Narrow"/>
                <w:b/>
                <w:bCs/>
                <w:sz w:val="20"/>
                <w:szCs w:val="20"/>
              </w:rPr>
              <w:fldChar w:fldCharType="end"/>
            </w:r>
          </w:p>
        </w:tc>
      </w:tr>
      <w:tr w:rsidR="002D6035" w:rsidRPr="00DA3C6E" w14:paraId="29DC3BCA" w14:textId="77777777" w:rsidTr="0016555D">
        <w:tc>
          <w:tcPr>
            <w:tcW w:w="2405" w:type="dxa"/>
            <w:tcMar>
              <w:top w:w="0" w:type="dxa"/>
              <w:left w:w="108" w:type="dxa"/>
              <w:bottom w:w="0" w:type="dxa"/>
              <w:right w:w="108" w:type="dxa"/>
            </w:tcMar>
            <w:vAlign w:val="center"/>
            <w:hideMark/>
          </w:tcPr>
          <w:p w14:paraId="504D333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Total events</w:t>
            </w:r>
          </w:p>
        </w:tc>
        <w:tc>
          <w:tcPr>
            <w:tcW w:w="1559" w:type="dxa"/>
            <w:tcMar>
              <w:top w:w="0" w:type="dxa"/>
              <w:left w:w="108" w:type="dxa"/>
              <w:bottom w:w="0" w:type="dxa"/>
              <w:right w:w="108" w:type="dxa"/>
            </w:tcMar>
            <w:vAlign w:val="center"/>
            <w:hideMark/>
          </w:tcPr>
          <w:p w14:paraId="3CB2D07F"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13/16 (81.2)</w:t>
            </w:r>
          </w:p>
        </w:tc>
        <w:tc>
          <w:tcPr>
            <w:tcW w:w="1701" w:type="dxa"/>
            <w:tcMar>
              <w:top w:w="0" w:type="dxa"/>
              <w:left w:w="108" w:type="dxa"/>
              <w:bottom w:w="0" w:type="dxa"/>
              <w:right w:w="108" w:type="dxa"/>
            </w:tcMar>
            <w:vAlign w:val="center"/>
            <w:hideMark/>
          </w:tcPr>
          <w:p w14:paraId="32F57A3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560" w:type="dxa"/>
            <w:tcMar>
              <w:top w:w="0" w:type="dxa"/>
              <w:left w:w="108" w:type="dxa"/>
              <w:bottom w:w="0" w:type="dxa"/>
              <w:right w:w="108" w:type="dxa"/>
            </w:tcMar>
            <w:vAlign w:val="center"/>
          </w:tcPr>
          <w:p w14:paraId="0E5E8745" w14:textId="77777777" w:rsidR="002D6035" w:rsidRPr="00DA3C6E" w:rsidRDefault="002D6035" w:rsidP="008651E8">
            <w:pPr>
              <w:spacing w:after="0" w:line="240" w:lineRule="auto"/>
              <w:jc w:val="left"/>
              <w:rPr>
                <w:rFonts w:ascii="Arial Narrow" w:hAnsi="Arial Narrow"/>
                <w:b/>
                <w:sz w:val="20"/>
                <w:szCs w:val="20"/>
              </w:rPr>
            </w:pPr>
            <w:r w:rsidRPr="00DA3C6E">
              <w:rPr>
                <w:rFonts w:ascii="Arial Narrow" w:hAnsi="Arial Narrow"/>
                <w:b/>
                <w:sz w:val="20"/>
                <w:szCs w:val="20"/>
              </w:rPr>
              <w:t>13 (1.92, 87.99)</w:t>
            </w:r>
          </w:p>
        </w:tc>
        <w:tc>
          <w:tcPr>
            <w:tcW w:w="1791" w:type="dxa"/>
            <w:tcMar>
              <w:top w:w="0" w:type="dxa"/>
              <w:left w:w="108" w:type="dxa"/>
              <w:bottom w:w="0" w:type="dxa"/>
              <w:right w:w="108" w:type="dxa"/>
            </w:tcMar>
            <w:vAlign w:val="center"/>
            <w:hideMark/>
          </w:tcPr>
          <w:p w14:paraId="5B781C22" w14:textId="77777777" w:rsidR="002D6035" w:rsidRPr="00DA3C6E" w:rsidRDefault="002D6035" w:rsidP="00303403">
            <w:pPr>
              <w:spacing w:after="0" w:line="240" w:lineRule="auto"/>
              <w:jc w:val="left"/>
              <w:rPr>
                <w:rFonts w:ascii="Arial Narrow" w:hAnsi="Arial Narrow"/>
                <w:b/>
                <w:bCs/>
                <w:sz w:val="20"/>
                <w:szCs w:val="20"/>
              </w:rPr>
            </w:pPr>
            <w:r w:rsidRPr="00DA3C6E">
              <w:rPr>
                <w:rFonts w:ascii="Arial Narrow" w:hAnsi="Arial Narrow"/>
                <w:b/>
                <w:bCs/>
                <w:sz w:val="20"/>
                <w:szCs w:val="20"/>
              </w:rPr>
              <w:t>0.75 (0.52, 0.98)</w:t>
            </w:r>
          </w:p>
        </w:tc>
      </w:tr>
      <w:tr w:rsidR="002D6035" w:rsidRPr="00DA3C6E" w14:paraId="27689151" w14:textId="77777777" w:rsidTr="0016555D">
        <w:tc>
          <w:tcPr>
            <w:tcW w:w="2405" w:type="dxa"/>
            <w:tcMar>
              <w:top w:w="0" w:type="dxa"/>
              <w:left w:w="108" w:type="dxa"/>
              <w:bottom w:w="0" w:type="dxa"/>
              <w:right w:w="108" w:type="dxa"/>
            </w:tcMar>
            <w:vAlign w:val="center"/>
            <w:hideMark/>
          </w:tcPr>
          <w:p w14:paraId="00EE7C6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Headache </w:t>
            </w:r>
          </w:p>
        </w:tc>
        <w:tc>
          <w:tcPr>
            <w:tcW w:w="1559" w:type="dxa"/>
            <w:tcMar>
              <w:top w:w="0" w:type="dxa"/>
              <w:left w:w="108" w:type="dxa"/>
              <w:bottom w:w="0" w:type="dxa"/>
              <w:right w:w="108" w:type="dxa"/>
            </w:tcMar>
            <w:vAlign w:val="center"/>
            <w:hideMark/>
          </w:tcPr>
          <w:p w14:paraId="5826D12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5/16 (31.3)</w:t>
            </w:r>
          </w:p>
        </w:tc>
        <w:tc>
          <w:tcPr>
            <w:tcW w:w="1701" w:type="dxa"/>
            <w:tcMar>
              <w:top w:w="0" w:type="dxa"/>
              <w:left w:w="108" w:type="dxa"/>
              <w:bottom w:w="0" w:type="dxa"/>
              <w:right w:w="108" w:type="dxa"/>
            </w:tcMar>
            <w:vAlign w:val="center"/>
            <w:hideMark/>
          </w:tcPr>
          <w:p w14:paraId="6432DAA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560" w:type="dxa"/>
            <w:tcMar>
              <w:top w:w="0" w:type="dxa"/>
              <w:left w:w="108" w:type="dxa"/>
              <w:bottom w:w="0" w:type="dxa"/>
              <w:right w:w="108" w:type="dxa"/>
            </w:tcMar>
            <w:vAlign w:val="center"/>
          </w:tcPr>
          <w:p w14:paraId="0DFB05E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5 (0.66, 38.15)</w:t>
            </w:r>
          </w:p>
        </w:tc>
        <w:tc>
          <w:tcPr>
            <w:tcW w:w="1791" w:type="dxa"/>
            <w:tcMar>
              <w:top w:w="0" w:type="dxa"/>
              <w:left w:w="108" w:type="dxa"/>
              <w:bottom w:w="0" w:type="dxa"/>
              <w:right w:w="108" w:type="dxa"/>
            </w:tcMar>
            <w:vAlign w:val="center"/>
            <w:hideMark/>
          </w:tcPr>
          <w:p w14:paraId="721EEC9F"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0.25 (-0.01, 0.51)</w:t>
            </w:r>
          </w:p>
        </w:tc>
      </w:tr>
      <w:tr w:rsidR="002D6035" w:rsidRPr="00DA3C6E" w14:paraId="7776F717" w14:textId="77777777" w:rsidTr="0016555D">
        <w:tc>
          <w:tcPr>
            <w:tcW w:w="2405" w:type="dxa"/>
            <w:tcMar>
              <w:top w:w="0" w:type="dxa"/>
              <w:left w:w="108" w:type="dxa"/>
              <w:bottom w:w="0" w:type="dxa"/>
              <w:right w:w="108" w:type="dxa"/>
            </w:tcMar>
            <w:vAlign w:val="center"/>
            <w:hideMark/>
          </w:tcPr>
          <w:p w14:paraId="719B862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Headache and rash</w:t>
            </w:r>
          </w:p>
        </w:tc>
        <w:tc>
          <w:tcPr>
            <w:tcW w:w="1559" w:type="dxa"/>
            <w:tcMar>
              <w:top w:w="0" w:type="dxa"/>
              <w:left w:w="108" w:type="dxa"/>
              <w:bottom w:w="0" w:type="dxa"/>
              <w:right w:w="108" w:type="dxa"/>
            </w:tcMar>
            <w:vAlign w:val="center"/>
            <w:hideMark/>
          </w:tcPr>
          <w:p w14:paraId="767642B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3/16 (18.8)</w:t>
            </w:r>
          </w:p>
        </w:tc>
        <w:tc>
          <w:tcPr>
            <w:tcW w:w="1701" w:type="dxa"/>
            <w:tcMar>
              <w:top w:w="0" w:type="dxa"/>
              <w:left w:w="108" w:type="dxa"/>
              <w:bottom w:w="0" w:type="dxa"/>
              <w:right w:w="108" w:type="dxa"/>
            </w:tcMar>
            <w:vAlign w:val="center"/>
            <w:hideMark/>
          </w:tcPr>
          <w:p w14:paraId="31EA10F7"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0/16 (0)</w:t>
            </w:r>
          </w:p>
        </w:tc>
        <w:tc>
          <w:tcPr>
            <w:tcW w:w="1560" w:type="dxa"/>
            <w:tcMar>
              <w:top w:w="0" w:type="dxa"/>
              <w:left w:w="108" w:type="dxa"/>
              <w:bottom w:w="0" w:type="dxa"/>
              <w:right w:w="108" w:type="dxa"/>
            </w:tcMar>
            <w:vAlign w:val="center"/>
          </w:tcPr>
          <w:p w14:paraId="7B99AD44"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51990C3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0.19 (-00, 0.38)</w:t>
            </w:r>
          </w:p>
        </w:tc>
      </w:tr>
      <w:tr w:rsidR="002D6035" w:rsidRPr="00DA3C6E" w14:paraId="7BDDB519" w14:textId="77777777" w:rsidTr="0016555D">
        <w:tc>
          <w:tcPr>
            <w:tcW w:w="2405" w:type="dxa"/>
            <w:tcMar>
              <w:top w:w="0" w:type="dxa"/>
              <w:left w:w="108" w:type="dxa"/>
              <w:bottom w:w="0" w:type="dxa"/>
              <w:right w:w="108" w:type="dxa"/>
            </w:tcMar>
            <w:vAlign w:val="center"/>
            <w:hideMark/>
          </w:tcPr>
          <w:p w14:paraId="29F22E62"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Rash only</w:t>
            </w:r>
          </w:p>
        </w:tc>
        <w:tc>
          <w:tcPr>
            <w:tcW w:w="1559" w:type="dxa"/>
            <w:tcMar>
              <w:top w:w="0" w:type="dxa"/>
              <w:left w:w="108" w:type="dxa"/>
              <w:bottom w:w="0" w:type="dxa"/>
              <w:right w:w="108" w:type="dxa"/>
            </w:tcMar>
            <w:vAlign w:val="center"/>
            <w:hideMark/>
          </w:tcPr>
          <w:p w14:paraId="4AEA375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2/16 (12.5)</w:t>
            </w:r>
          </w:p>
        </w:tc>
        <w:tc>
          <w:tcPr>
            <w:tcW w:w="1701" w:type="dxa"/>
            <w:tcMar>
              <w:top w:w="0" w:type="dxa"/>
              <w:left w:w="108" w:type="dxa"/>
              <w:bottom w:w="0" w:type="dxa"/>
              <w:right w:w="108" w:type="dxa"/>
            </w:tcMar>
            <w:vAlign w:val="center"/>
            <w:hideMark/>
          </w:tcPr>
          <w:p w14:paraId="165A31B1"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0/16 (0)</w:t>
            </w:r>
          </w:p>
        </w:tc>
        <w:tc>
          <w:tcPr>
            <w:tcW w:w="1560" w:type="dxa"/>
            <w:tcMar>
              <w:top w:w="0" w:type="dxa"/>
              <w:left w:w="108" w:type="dxa"/>
              <w:bottom w:w="0" w:type="dxa"/>
              <w:right w:w="108" w:type="dxa"/>
            </w:tcMar>
            <w:vAlign w:val="center"/>
          </w:tcPr>
          <w:p w14:paraId="1D311D6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0041EAE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0.13 (-0.04, 0.29)</w:t>
            </w:r>
          </w:p>
        </w:tc>
      </w:tr>
      <w:tr w:rsidR="002D6035" w:rsidRPr="00DA3C6E" w14:paraId="52026D3D" w14:textId="77777777" w:rsidTr="0016555D">
        <w:tc>
          <w:tcPr>
            <w:tcW w:w="2405" w:type="dxa"/>
            <w:tcMar>
              <w:top w:w="0" w:type="dxa"/>
              <w:left w:w="108" w:type="dxa"/>
              <w:bottom w:w="0" w:type="dxa"/>
              <w:right w:w="108" w:type="dxa"/>
            </w:tcMar>
            <w:vAlign w:val="center"/>
            <w:hideMark/>
          </w:tcPr>
          <w:p w14:paraId="037972B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Headache and malaise</w:t>
            </w:r>
          </w:p>
        </w:tc>
        <w:tc>
          <w:tcPr>
            <w:tcW w:w="1559" w:type="dxa"/>
            <w:tcMar>
              <w:top w:w="0" w:type="dxa"/>
              <w:left w:w="108" w:type="dxa"/>
              <w:bottom w:w="0" w:type="dxa"/>
              <w:right w:w="108" w:type="dxa"/>
            </w:tcMar>
            <w:vAlign w:val="center"/>
            <w:hideMark/>
          </w:tcPr>
          <w:p w14:paraId="653307F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701" w:type="dxa"/>
            <w:tcMar>
              <w:top w:w="0" w:type="dxa"/>
              <w:left w:w="108" w:type="dxa"/>
              <w:bottom w:w="0" w:type="dxa"/>
              <w:right w:w="108" w:type="dxa"/>
            </w:tcMar>
            <w:vAlign w:val="center"/>
            <w:hideMark/>
          </w:tcPr>
          <w:p w14:paraId="71C6342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0/16 (0)</w:t>
            </w:r>
          </w:p>
        </w:tc>
        <w:tc>
          <w:tcPr>
            <w:tcW w:w="1560" w:type="dxa"/>
            <w:tcMar>
              <w:top w:w="0" w:type="dxa"/>
              <w:left w:w="108" w:type="dxa"/>
              <w:bottom w:w="0" w:type="dxa"/>
              <w:right w:w="108" w:type="dxa"/>
            </w:tcMar>
            <w:vAlign w:val="center"/>
          </w:tcPr>
          <w:p w14:paraId="5BCB7B5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28474A84"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0.06 (-0.06, 0.18)</w:t>
            </w:r>
          </w:p>
        </w:tc>
      </w:tr>
      <w:tr w:rsidR="002D6035" w:rsidRPr="00DA3C6E" w14:paraId="3E37E894" w14:textId="77777777" w:rsidTr="0016555D">
        <w:tc>
          <w:tcPr>
            <w:tcW w:w="2405" w:type="dxa"/>
            <w:tcMar>
              <w:top w:w="0" w:type="dxa"/>
              <w:left w:w="108" w:type="dxa"/>
              <w:bottom w:w="0" w:type="dxa"/>
              <w:right w:w="108" w:type="dxa"/>
            </w:tcMar>
            <w:vAlign w:val="center"/>
            <w:hideMark/>
          </w:tcPr>
          <w:p w14:paraId="42259B5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Anorexia, chills and fever</w:t>
            </w:r>
          </w:p>
        </w:tc>
        <w:tc>
          <w:tcPr>
            <w:tcW w:w="1559" w:type="dxa"/>
            <w:tcMar>
              <w:top w:w="0" w:type="dxa"/>
              <w:left w:w="108" w:type="dxa"/>
              <w:bottom w:w="0" w:type="dxa"/>
              <w:right w:w="108" w:type="dxa"/>
            </w:tcMar>
            <w:vAlign w:val="center"/>
            <w:hideMark/>
          </w:tcPr>
          <w:p w14:paraId="37C5652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701" w:type="dxa"/>
            <w:tcMar>
              <w:top w:w="0" w:type="dxa"/>
              <w:left w:w="108" w:type="dxa"/>
              <w:bottom w:w="0" w:type="dxa"/>
              <w:right w:w="108" w:type="dxa"/>
            </w:tcMar>
            <w:vAlign w:val="center"/>
            <w:hideMark/>
          </w:tcPr>
          <w:p w14:paraId="2AC7198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560" w:type="dxa"/>
            <w:tcMar>
              <w:top w:w="0" w:type="dxa"/>
              <w:left w:w="108" w:type="dxa"/>
              <w:bottom w:w="0" w:type="dxa"/>
              <w:right w:w="108" w:type="dxa"/>
            </w:tcMar>
            <w:vAlign w:val="center"/>
          </w:tcPr>
          <w:p w14:paraId="332B5A5D"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 (0.07, 14,64)</w:t>
            </w:r>
          </w:p>
        </w:tc>
        <w:tc>
          <w:tcPr>
            <w:tcW w:w="1791" w:type="dxa"/>
            <w:tcMar>
              <w:top w:w="0" w:type="dxa"/>
              <w:left w:w="108" w:type="dxa"/>
              <w:bottom w:w="0" w:type="dxa"/>
              <w:right w:w="108" w:type="dxa"/>
            </w:tcMar>
            <w:vAlign w:val="center"/>
            <w:hideMark/>
          </w:tcPr>
          <w:p w14:paraId="2136611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0.00 (-0.17, 0.17)</w:t>
            </w:r>
          </w:p>
        </w:tc>
      </w:tr>
      <w:tr w:rsidR="002D6035" w:rsidRPr="00DA3C6E" w14:paraId="46528F30" w14:textId="77777777" w:rsidTr="0016555D">
        <w:tc>
          <w:tcPr>
            <w:tcW w:w="2405" w:type="dxa"/>
            <w:tcMar>
              <w:top w:w="0" w:type="dxa"/>
              <w:left w:w="108" w:type="dxa"/>
              <w:bottom w:w="0" w:type="dxa"/>
              <w:right w:w="108" w:type="dxa"/>
            </w:tcMar>
            <w:vAlign w:val="center"/>
            <w:hideMark/>
          </w:tcPr>
          <w:p w14:paraId="01E2503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Transient hypertension</w:t>
            </w:r>
          </w:p>
        </w:tc>
        <w:tc>
          <w:tcPr>
            <w:tcW w:w="1559" w:type="dxa"/>
            <w:tcMar>
              <w:top w:w="0" w:type="dxa"/>
              <w:left w:w="108" w:type="dxa"/>
              <w:bottom w:w="0" w:type="dxa"/>
              <w:right w:w="108" w:type="dxa"/>
            </w:tcMar>
            <w:vAlign w:val="center"/>
            <w:hideMark/>
          </w:tcPr>
          <w:p w14:paraId="622BBDF2"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1/16 (6.3)</w:t>
            </w:r>
          </w:p>
        </w:tc>
        <w:tc>
          <w:tcPr>
            <w:tcW w:w="1701" w:type="dxa"/>
            <w:tcMar>
              <w:top w:w="0" w:type="dxa"/>
              <w:left w:w="108" w:type="dxa"/>
              <w:bottom w:w="0" w:type="dxa"/>
              <w:right w:w="108" w:type="dxa"/>
            </w:tcMar>
            <w:vAlign w:val="center"/>
            <w:hideMark/>
          </w:tcPr>
          <w:p w14:paraId="4322CBB3"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0/16 (0)</w:t>
            </w:r>
          </w:p>
        </w:tc>
        <w:tc>
          <w:tcPr>
            <w:tcW w:w="1560" w:type="dxa"/>
            <w:tcMar>
              <w:top w:w="0" w:type="dxa"/>
              <w:left w:w="108" w:type="dxa"/>
              <w:bottom w:w="0" w:type="dxa"/>
              <w:right w:w="108" w:type="dxa"/>
            </w:tcMar>
            <w:vAlign w:val="center"/>
          </w:tcPr>
          <w:p w14:paraId="28ED7A41"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3977DC7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0.06 (-0.06, 0.18)</w:t>
            </w:r>
          </w:p>
        </w:tc>
      </w:tr>
      <w:tr w:rsidR="002D6035" w:rsidRPr="00DA3C6E" w14:paraId="43F137CA" w14:textId="77777777" w:rsidTr="00041518">
        <w:tc>
          <w:tcPr>
            <w:tcW w:w="9016" w:type="dxa"/>
            <w:gridSpan w:val="5"/>
            <w:tcMar>
              <w:top w:w="0" w:type="dxa"/>
              <w:left w:w="108" w:type="dxa"/>
              <w:bottom w:w="0" w:type="dxa"/>
              <w:right w:w="108" w:type="dxa"/>
            </w:tcMar>
            <w:vAlign w:val="center"/>
            <w:hideMark/>
          </w:tcPr>
          <w:p w14:paraId="684BEDDD" w14:textId="74AB37DD" w:rsidR="002D6035" w:rsidRPr="00DA3C6E" w:rsidRDefault="002D6035" w:rsidP="00C04BCE">
            <w:pPr>
              <w:spacing w:after="0" w:line="240" w:lineRule="auto"/>
              <w:jc w:val="left"/>
              <w:rPr>
                <w:rFonts w:ascii="Arial Narrow" w:hAnsi="Arial Narrow"/>
                <w:sz w:val="20"/>
                <w:szCs w:val="20"/>
              </w:rPr>
            </w:pPr>
            <w:r w:rsidRPr="00DA3C6E">
              <w:rPr>
                <w:rFonts w:ascii="Arial Narrow" w:hAnsi="Arial Narrow"/>
                <w:b/>
                <w:bCs/>
                <w:sz w:val="20"/>
                <w:szCs w:val="20"/>
              </w:rPr>
              <w:t>Leger et al. 2001</w:t>
            </w:r>
            <w:r w:rsidR="00DB568A" w:rsidRPr="00DA3C6E">
              <w:rPr>
                <w:rFonts w:ascii="Arial Narrow" w:hAnsi="Arial Narrow"/>
                <w:b/>
                <w:bCs/>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bCs/>
                <w:sz w:val="20"/>
                <w:szCs w:val="20"/>
              </w:rPr>
              <w:instrText xml:space="preserve"> ADDIN EN.CITE </w:instrText>
            </w:r>
            <w:r w:rsidR="00DB568A" w:rsidRPr="00DA3C6E">
              <w:rPr>
                <w:rFonts w:ascii="Arial Narrow" w:hAnsi="Arial Narrow"/>
                <w:b/>
                <w:bCs/>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bCs/>
                <w:sz w:val="20"/>
                <w:szCs w:val="20"/>
              </w:rPr>
              <w:instrText xml:space="preserve"> ADDIN EN.CITE.DATA </w:instrText>
            </w:r>
            <w:r w:rsidR="00DB568A" w:rsidRPr="00DA3C6E">
              <w:rPr>
                <w:rFonts w:ascii="Arial Narrow" w:hAnsi="Arial Narrow"/>
                <w:b/>
                <w:bCs/>
                <w:sz w:val="20"/>
                <w:szCs w:val="20"/>
              </w:rPr>
            </w:r>
            <w:r w:rsidR="00DB568A" w:rsidRPr="00DA3C6E">
              <w:rPr>
                <w:rFonts w:ascii="Arial Narrow" w:hAnsi="Arial Narrow"/>
                <w:b/>
                <w:bCs/>
                <w:sz w:val="20"/>
                <w:szCs w:val="20"/>
              </w:rPr>
              <w:fldChar w:fldCharType="end"/>
            </w:r>
            <w:r w:rsidR="00DB568A" w:rsidRPr="00DA3C6E">
              <w:rPr>
                <w:rFonts w:ascii="Arial Narrow" w:hAnsi="Arial Narrow"/>
                <w:b/>
                <w:bCs/>
                <w:sz w:val="20"/>
                <w:szCs w:val="20"/>
              </w:rPr>
            </w:r>
            <w:r w:rsidR="00DB568A" w:rsidRPr="00DA3C6E">
              <w:rPr>
                <w:rFonts w:ascii="Arial Narrow" w:hAnsi="Arial Narrow"/>
                <w:b/>
                <w:bCs/>
                <w:sz w:val="20"/>
                <w:szCs w:val="20"/>
              </w:rPr>
              <w:fldChar w:fldCharType="separate"/>
            </w:r>
            <w:r w:rsidR="00DB568A" w:rsidRPr="00DA3C6E">
              <w:rPr>
                <w:rFonts w:ascii="Arial Narrow" w:hAnsi="Arial Narrow"/>
                <w:b/>
                <w:bCs/>
                <w:noProof/>
                <w:sz w:val="20"/>
                <w:szCs w:val="20"/>
              </w:rPr>
              <w:t>(</w:t>
            </w:r>
            <w:hyperlink w:anchor="_ENREF_27" w:tooltip="Leger, 2001 #39" w:history="1">
              <w:r w:rsidR="00C04BCE" w:rsidRPr="00DA3C6E">
                <w:rPr>
                  <w:rFonts w:ascii="Arial Narrow" w:hAnsi="Arial Narrow"/>
                  <w:b/>
                  <w:bCs/>
                  <w:noProof/>
                  <w:sz w:val="20"/>
                  <w:szCs w:val="20"/>
                </w:rPr>
                <w:t>27</w:t>
              </w:r>
            </w:hyperlink>
            <w:r w:rsidR="00DB568A" w:rsidRPr="00DA3C6E">
              <w:rPr>
                <w:rFonts w:ascii="Arial Narrow" w:hAnsi="Arial Narrow"/>
                <w:b/>
                <w:bCs/>
                <w:noProof/>
                <w:sz w:val="20"/>
                <w:szCs w:val="20"/>
              </w:rPr>
              <w:t>)</w:t>
            </w:r>
            <w:r w:rsidR="00DB568A" w:rsidRPr="00DA3C6E">
              <w:rPr>
                <w:rFonts w:ascii="Arial Narrow" w:hAnsi="Arial Narrow"/>
                <w:b/>
                <w:bCs/>
                <w:sz w:val="20"/>
                <w:szCs w:val="20"/>
              </w:rPr>
              <w:fldChar w:fldCharType="end"/>
            </w:r>
          </w:p>
        </w:tc>
      </w:tr>
      <w:tr w:rsidR="002D6035" w:rsidRPr="00DA3C6E" w14:paraId="27BB0412" w14:textId="77777777" w:rsidTr="0016555D">
        <w:tc>
          <w:tcPr>
            <w:tcW w:w="2405" w:type="dxa"/>
            <w:tcMar>
              <w:top w:w="0" w:type="dxa"/>
              <w:left w:w="108" w:type="dxa"/>
              <w:bottom w:w="0" w:type="dxa"/>
              <w:right w:w="108" w:type="dxa"/>
            </w:tcMar>
            <w:vAlign w:val="center"/>
            <w:hideMark/>
          </w:tcPr>
          <w:p w14:paraId="17F60791"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Headache </w:t>
            </w:r>
          </w:p>
        </w:tc>
        <w:tc>
          <w:tcPr>
            <w:tcW w:w="1559" w:type="dxa"/>
            <w:tcMar>
              <w:top w:w="0" w:type="dxa"/>
              <w:left w:w="108" w:type="dxa"/>
              <w:bottom w:w="0" w:type="dxa"/>
              <w:right w:w="108" w:type="dxa"/>
            </w:tcMar>
            <w:vAlign w:val="center"/>
            <w:hideMark/>
          </w:tcPr>
          <w:p w14:paraId="548D0E9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3/9 (33.3)</w:t>
            </w:r>
          </w:p>
        </w:tc>
        <w:tc>
          <w:tcPr>
            <w:tcW w:w="1701" w:type="dxa"/>
            <w:tcMar>
              <w:top w:w="0" w:type="dxa"/>
              <w:left w:w="108" w:type="dxa"/>
              <w:bottom w:w="0" w:type="dxa"/>
              <w:right w:w="108" w:type="dxa"/>
            </w:tcMar>
            <w:vAlign w:val="center"/>
            <w:hideMark/>
          </w:tcPr>
          <w:p w14:paraId="427539D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2639443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7DFB2B59" w14:textId="77777777" w:rsidR="002D6035" w:rsidRPr="00DA3C6E" w:rsidRDefault="002D6035" w:rsidP="008651E8">
            <w:pPr>
              <w:spacing w:after="0" w:line="240" w:lineRule="auto"/>
              <w:jc w:val="left"/>
              <w:rPr>
                <w:rFonts w:ascii="Arial Narrow" w:hAnsi="Arial Narrow"/>
                <w:b/>
                <w:bCs/>
                <w:sz w:val="20"/>
                <w:szCs w:val="20"/>
              </w:rPr>
            </w:pPr>
            <w:r w:rsidRPr="00DA3C6E">
              <w:rPr>
                <w:rFonts w:ascii="Arial Narrow" w:hAnsi="Arial Narrow"/>
                <w:b/>
                <w:bCs/>
                <w:sz w:val="20"/>
                <w:szCs w:val="20"/>
              </w:rPr>
              <w:t>0.33 (0.03, 0.64)</w:t>
            </w:r>
          </w:p>
        </w:tc>
      </w:tr>
      <w:tr w:rsidR="002D6035" w:rsidRPr="00DA3C6E" w14:paraId="2D279D63" w14:textId="77777777" w:rsidTr="0016555D">
        <w:tc>
          <w:tcPr>
            <w:tcW w:w="2405" w:type="dxa"/>
            <w:tcMar>
              <w:top w:w="0" w:type="dxa"/>
              <w:left w:w="108" w:type="dxa"/>
              <w:bottom w:w="0" w:type="dxa"/>
              <w:right w:w="108" w:type="dxa"/>
            </w:tcMar>
            <w:vAlign w:val="center"/>
            <w:hideMark/>
          </w:tcPr>
          <w:p w14:paraId="4C98016D"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Flushing </w:t>
            </w:r>
          </w:p>
        </w:tc>
        <w:tc>
          <w:tcPr>
            <w:tcW w:w="1559" w:type="dxa"/>
            <w:tcMar>
              <w:top w:w="0" w:type="dxa"/>
              <w:left w:w="108" w:type="dxa"/>
              <w:bottom w:w="0" w:type="dxa"/>
              <w:right w:w="108" w:type="dxa"/>
            </w:tcMar>
            <w:vAlign w:val="center"/>
            <w:hideMark/>
          </w:tcPr>
          <w:p w14:paraId="7E7B991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1/9 (11.1)</w:t>
            </w:r>
          </w:p>
        </w:tc>
        <w:tc>
          <w:tcPr>
            <w:tcW w:w="1701" w:type="dxa"/>
            <w:tcMar>
              <w:top w:w="0" w:type="dxa"/>
              <w:left w:w="108" w:type="dxa"/>
              <w:bottom w:w="0" w:type="dxa"/>
              <w:right w:w="108" w:type="dxa"/>
            </w:tcMar>
            <w:vAlign w:val="center"/>
            <w:hideMark/>
          </w:tcPr>
          <w:p w14:paraId="66AD4080"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1F90686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02024BE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0.11 (-0.09, 0.32)</w:t>
            </w:r>
          </w:p>
        </w:tc>
      </w:tr>
      <w:tr w:rsidR="002D6035" w:rsidRPr="00DA3C6E" w14:paraId="624322E4" w14:textId="77777777" w:rsidTr="0016555D">
        <w:tc>
          <w:tcPr>
            <w:tcW w:w="2405" w:type="dxa"/>
            <w:tcMar>
              <w:top w:w="0" w:type="dxa"/>
              <w:left w:w="108" w:type="dxa"/>
              <w:bottom w:w="0" w:type="dxa"/>
              <w:right w:w="108" w:type="dxa"/>
            </w:tcMar>
            <w:vAlign w:val="center"/>
            <w:hideMark/>
          </w:tcPr>
          <w:p w14:paraId="63CDB415"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Shivering </w:t>
            </w:r>
          </w:p>
        </w:tc>
        <w:tc>
          <w:tcPr>
            <w:tcW w:w="1559" w:type="dxa"/>
            <w:tcMar>
              <w:top w:w="0" w:type="dxa"/>
              <w:left w:w="108" w:type="dxa"/>
              <w:bottom w:w="0" w:type="dxa"/>
              <w:right w:w="108" w:type="dxa"/>
            </w:tcMar>
            <w:vAlign w:val="center"/>
            <w:hideMark/>
          </w:tcPr>
          <w:p w14:paraId="658287A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2/9 (22.2)</w:t>
            </w:r>
          </w:p>
        </w:tc>
        <w:tc>
          <w:tcPr>
            <w:tcW w:w="1701" w:type="dxa"/>
            <w:tcMar>
              <w:top w:w="0" w:type="dxa"/>
              <w:left w:w="108" w:type="dxa"/>
              <w:bottom w:w="0" w:type="dxa"/>
              <w:right w:w="108" w:type="dxa"/>
            </w:tcMar>
            <w:vAlign w:val="center"/>
            <w:hideMark/>
          </w:tcPr>
          <w:p w14:paraId="5B9B25CD"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6A06074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04523EE2"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0.22 (-0.05, 0.49)</w:t>
            </w:r>
          </w:p>
        </w:tc>
      </w:tr>
      <w:tr w:rsidR="002D6035" w:rsidRPr="00DA3C6E" w14:paraId="10AFACC4" w14:textId="77777777" w:rsidTr="0016555D">
        <w:tc>
          <w:tcPr>
            <w:tcW w:w="2405" w:type="dxa"/>
            <w:tcMar>
              <w:top w:w="0" w:type="dxa"/>
              <w:left w:w="108" w:type="dxa"/>
              <w:bottom w:w="0" w:type="dxa"/>
              <w:right w:w="108" w:type="dxa"/>
            </w:tcMar>
            <w:vAlign w:val="center"/>
            <w:hideMark/>
          </w:tcPr>
          <w:p w14:paraId="449E66E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Fever </w:t>
            </w:r>
          </w:p>
        </w:tc>
        <w:tc>
          <w:tcPr>
            <w:tcW w:w="1559" w:type="dxa"/>
            <w:tcMar>
              <w:top w:w="0" w:type="dxa"/>
              <w:left w:w="108" w:type="dxa"/>
              <w:bottom w:w="0" w:type="dxa"/>
              <w:right w:w="108" w:type="dxa"/>
            </w:tcMar>
            <w:vAlign w:val="center"/>
            <w:hideMark/>
          </w:tcPr>
          <w:p w14:paraId="0BDEC992"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1/9 (11.1)</w:t>
            </w:r>
          </w:p>
        </w:tc>
        <w:tc>
          <w:tcPr>
            <w:tcW w:w="1701" w:type="dxa"/>
            <w:tcMar>
              <w:top w:w="0" w:type="dxa"/>
              <w:left w:w="108" w:type="dxa"/>
              <w:bottom w:w="0" w:type="dxa"/>
              <w:right w:w="108" w:type="dxa"/>
            </w:tcMar>
            <w:vAlign w:val="center"/>
            <w:hideMark/>
          </w:tcPr>
          <w:p w14:paraId="7CE7A01B"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5CF6233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69B2F00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0.11 (-0.09, 0.32)</w:t>
            </w:r>
          </w:p>
        </w:tc>
      </w:tr>
      <w:tr w:rsidR="002D6035" w:rsidRPr="00DA3C6E" w14:paraId="37B44DD0" w14:textId="77777777" w:rsidTr="0016555D">
        <w:tc>
          <w:tcPr>
            <w:tcW w:w="2405" w:type="dxa"/>
            <w:tcMar>
              <w:top w:w="0" w:type="dxa"/>
              <w:left w:w="108" w:type="dxa"/>
              <w:bottom w:w="0" w:type="dxa"/>
              <w:right w:w="108" w:type="dxa"/>
            </w:tcMar>
            <w:vAlign w:val="center"/>
            <w:hideMark/>
          </w:tcPr>
          <w:p w14:paraId="3E839BB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Cold feet</w:t>
            </w:r>
          </w:p>
        </w:tc>
        <w:tc>
          <w:tcPr>
            <w:tcW w:w="1559" w:type="dxa"/>
            <w:tcMar>
              <w:top w:w="0" w:type="dxa"/>
              <w:left w:w="108" w:type="dxa"/>
              <w:bottom w:w="0" w:type="dxa"/>
              <w:right w:w="108" w:type="dxa"/>
            </w:tcMar>
            <w:vAlign w:val="center"/>
            <w:hideMark/>
          </w:tcPr>
          <w:p w14:paraId="59F9A461"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701" w:type="dxa"/>
            <w:tcMar>
              <w:top w:w="0" w:type="dxa"/>
              <w:left w:w="108" w:type="dxa"/>
              <w:bottom w:w="0" w:type="dxa"/>
              <w:right w:w="108" w:type="dxa"/>
            </w:tcMar>
            <w:vAlign w:val="center"/>
            <w:hideMark/>
          </w:tcPr>
          <w:p w14:paraId="59240277"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1/9 (11.1)</w:t>
            </w:r>
          </w:p>
        </w:tc>
        <w:tc>
          <w:tcPr>
            <w:tcW w:w="1560" w:type="dxa"/>
            <w:tcMar>
              <w:top w:w="0" w:type="dxa"/>
              <w:left w:w="108" w:type="dxa"/>
              <w:bottom w:w="0" w:type="dxa"/>
              <w:right w:w="108" w:type="dxa"/>
            </w:tcMar>
            <w:vAlign w:val="center"/>
          </w:tcPr>
          <w:p w14:paraId="557F7847"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16362EF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-0.11 (-0.32, 0.09)</w:t>
            </w:r>
          </w:p>
        </w:tc>
      </w:tr>
      <w:tr w:rsidR="002D6035" w:rsidRPr="00DA3C6E" w14:paraId="3ABF41B4" w14:textId="77777777" w:rsidTr="0016555D">
        <w:tc>
          <w:tcPr>
            <w:tcW w:w="2405" w:type="dxa"/>
            <w:tcMar>
              <w:top w:w="0" w:type="dxa"/>
              <w:left w:w="108" w:type="dxa"/>
              <w:bottom w:w="0" w:type="dxa"/>
              <w:right w:w="108" w:type="dxa"/>
            </w:tcMar>
            <w:vAlign w:val="center"/>
            <w:hideMark/>
          </w:tcPr>
          <w:p w14:paraId="1B19F21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Visual blur</w:t>
            </w:r>
          </w:p>
        </w:tc>
        <w:tc>
          <w:tcPr>
            <w:tcW w:w="1559" w:type="dxa"/>
            <w:tcMar>
              <w:top w:w="0" w:type="dxa"/>
              <w:left w:w="108" w:type="dxa"/>
              <w:bottom w:w="0" w:type="dxa"/>
              <w:right w:w="108" w:type="dxa"/>
            </w:tcMar>
            <w:vAlign w:val="center"/>
            <w:hideMark/>
          </w:tcPr>
          <w:p w14:paraId="4D6A1C4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2/9 (22.2)</w:t>
            </w:r>
          </w:p>
        </w:tc>
        <w:tc>
          <w:tcPr>
            <w:tcW w:w="1701" w:type="dxa"/>
            <w:tcMar>
              <w:top w:w="0" w:type="dxa"/>
              <w:left w:w="108" w:type="dxa"/>
              <w:bottom w:w="0" w:type="dxa"/>
              <w:right w:w="108" w:type="dxa"/>
            </w:tcMar>
            <w:vAlign w:val="center"/>
            <w:hideMark/>
          </w:tcPr>
          <w:p w14:paraId="7ACC80A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12714A5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1F3E794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0.22 (-0.05, 0.49)</w:t>
            </w:r>
          </w:p>
        </w:tc>
      </w:tr>
      <w:tr w:rsidR="002D6035" w:rsidRPr="00DA3C6E" w14:paraId="27E4B535" w14:textId="77777777" w:rsidTr="0016555D">
        <w:tc>
          <w:tcPr>
            <w:tcW w:w="2405" w:type="dxa"/>
            <w:tcMar>
              <w:top w:w="0" w:type="dxa"/>
              <w:left w:w="108" w:type="dxa"/>
              <w:bottom w:w="0" w:type="dxa"/>
              <w:right w:w="108" w:type="dxa"/>
            </w:tcMar>
            <w:vAlign w:val="center"/>
            <w:hideMark/>
          </w:tcPr>
          <w:p w14:paraId="564876F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 xml:space="preserve">Eczema </w:t>
            </w:r>
          </w:p>
        </w:tc>
        <w:tc>
          <w:tcPr>
            <w:tcW w:w="1559" w:type="dxa"/>
            <w:tcMar>
              <w:top w:w="0" w:type="dxa"/>
              <w:left w:w="108" w:type="dxa"/>
              <w:bottom w:w="0" w:type="dxa"/>
              <w:right w:w="108" w:type="dxa"/>
            </w:tcMar>
            <w:vAlign w:val="center"/>
            <w:hideMark/>
          </w:tcPr>
          <w:p w14:paraId="35090D7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1/9 (11.1)</w:t>
            </w:r>
          </w:p>
        </w:tc>
        <w:tc>
          <w:tcPr>
            <w:tcW w:w="1701" w:type="dxa"/>
            <w:tcMar>
              <w:top w:w="0" w:type="dxa"/>
              <w:left w:w="108" w:type="dxa"/>
              <w:bottom w:w="0" w:type="dxa"/>
              <w:right w:w="108" w:type="dxa"/>
            </w:tcMar>
            <w:vAlign w:val="center"/>
            <w:hideMark/>
          </w:tcPr>
          <w:p w14:paraId="3756745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0/9 (0)</w:t>
            </w:r>
          </w:p>
        </w:tc>
        <w:tc>
          <w:tcPr>
            <w:tcW w:w="1560" w:type="dxa"/>
            <w:tcMar>
              <w:top w:w="0" w:type="dxa"/>
              <w:left w:w="108" w:type="dxa"/>
              <w:bottom w:w="0" w:type="dxa"/>
              <w:right w:w="108" w:type="dxa"/>
            </w:tcMar>
            <w:vAlign w:val="center"/>
          </w:tcPr>
          <w:p w14:paraId="0ABAB701"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hideMark/>
          </w:tcPr>
          <w:p w14:paraId="380B6314"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0.11 (-0.09, 0.32)</w:t>
            </w:r>
          </w:p>
        </w:tc>
      </w:tr>
      <w:tr w:rsidR="002D6035" w:rsidRPr="00DA3C6E" w14:paraId="3C866253" w14:textId="77777777" w:rsidTr="00041518">
        <w:tc>
          <w:tcPr>
            <w:tcW w:w="9016" w:type="dxa"/>
            <w:gridSpan w:val="5"/>
            <w:tcMar>
              <w:top w:w="0" w:type="dxa"/>
              <w:left w:w="108" w:type="dxa"/>
              <w:bottom w:w="0" w:type="dxa"/>
              <w:right w:w="108" w:type="dxa"/>
            </w:tcMar>
            <w:vAlign w:val="center"/>
            <w:hideMark/>
          </w:tcPr>
          <w:p w14:paraId="0C087BE9" w14:textId="492E25E5" w:rsidR="002D6035" w:rsidRPr="00DA3C6E" w:rsidRDefault="002D6035" w:rsidP="00C04BCE">
            <w:pPr>
              <w:spacing w:after="0" w:line="240" w:lineRule="auto"/>
              <w:jc w:val="left"/>
              <w:rPr>
                <w:rFonts w:ascii="Arial Narrow" w:hAnsi="Arial Narrow"/>
                <w:sz w:val="20"/>
                <w:szCs w:val="20"/>
              </w:rPr>
            </w:pPr>
            <w:r w:rsidRPr="00DA3C6E">
              <w:rPr>
                <w:rFonts w:ascii="Arial Narrow" w:hAnsi="Arial Narrow"/>
                <w:b/>
                <w:bCs/>
                <w:sz w:val="20"/>
                <w:szCs w:val="20"/>
              </w:rPr>
              <w:t>Hahn et al. 2013</w:t>
            </w:r>
            <w:r w:rsidR="00DB568A" w:rsidRPr="00DA3C6E">
              <w:rPr>
                <w:rFonts w:ascii="Arial Narrow" w:hAnsi="Arial Narrow"/>
                <w:b/>
                <w:bCs/>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bCs/>
                <w:sz w:val="20"/>
                <w:szCs w:val="20"/>
              </w:rPr>
              <w:instrText xml:space="preserve"> ADDIN EN.CITE </w:instrText>
            </w:r>
            <w:r w:rsidR="00DB568A" w:rsidRPr="00DA3C6E">
              <w:rPr>
                <w:rFonts w:ascii="Arial Narrow" w:hAnsi="Arial Narrow"/>
                <w:b/>
                <w:bCs/>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bCs/>
                <w:sz w:val="20"/>
                <w:szCs w:val="20"/>
              </w:rPr>
              <w:instrText xml:space="preserve"> ADDIN EN.CITE.DATA </w:instrText>
            </w:r>
            <w:r w:rsidR="00DB568A" w:rsidRPr="00DA3C6E">
              <w:rPr>
                <w:rFonts w:ascii="Arial Narrow" w:hAnsi="Arial Narrow"/>
                <w:b/>
                <w:bCs/>
                <w:sz w:val="20"/>
                <w:szCs w:val="20"/>
              </w:rPr>
            </w:r>
            <w:r w:rsidR="00DB568A" w:rsidRPr="00DA3C6E">
              <w:rPr>
                <w:rFonts w:ascii="Arial Narrow" w:hAnsi="Arial Narrow"/>
                <w:b/>
                <w:bCs/>
                <w:sz w:val="20"/>
                <w:szCs w:val="20"/>
              </w:rPr>
              <w:fldChar w:fldCharType="end"/>
            </w:r>
            <w:r w:rsidR="00DB568A" w:rsidRPr="00DA3C6E">
              <w:rPr>
                <w:rFonts w:ascii="Arial Narrow" w:hAnsi="Arial Narrow"/>
                <w:b/>
                <w:bCs/>
                <w:sz w:val="20"/>
                <w:szCs w:val="20"/>
              </w:rPr>
            </w:r>
            <w:r w:rsidR="00DB568A" w:rsidRPr="00DA3C6E">
              <w:rPr>
                <w:rFonts w:ascii="Arial Narrow" w:hAnsi="Arial Narrow"/>
                <w:b/>
                <w:bCs/>
                <w:sz w:val="20"/>
                <w:szCs w:val="20"/>
              </w:rPr>
              <w:fldChar w:fldCharType="separate"/>
            </w:r>
            <w:r w:rsidR="00DB568A" w:rsidRPr="00DA3C6E">
              <w:rPr>
                <w:rFonts w:ascii="Arial Narrow" w:hAnsi="Arial Narrow"/>
                <w:b/>
                <w:bCs/>
                <w:noProof/>
                <w:sz w:val="20"/>
                <w:szCs w:val="20"/>
              </w:rPr>
              <w:t>(</w:t>
            </w:r>
            <w:hyperlink w:anchor="_ENREF_28" w:tooltip="Hahn, 2013 #26" w:history="1">
              <w:r w:rsidR="00C04BCE" w:rsidRPr="00DA3C6E">
                <w:rPr>
                  <w:rFonts w:ascii="Arial Narrow" w:hAnsi="Arial Narrow"/>
                  <w:b/>
                  <w:bCs/>
                  <w:noProof/>
                  <w:sz w:val="20"/>
                  <w:szCs w:val="20"/>
                </w:rPr>
                <w:t>28</w:t>
              </w:r>
            </w:hyperlink>
            <w:r w:rsidR="00DB568A" w:rsidRPr="00DA3C6E">
              <w:rPr>
                <w:rFonts w:ascii="Arial Narrow" w:hAnsi="Arial Narrow"/>
                <w:b/>
                <w:bCs/>
                <w:noProof/>
                <w:sz w:val="20"/>
                <w:szCs w:val="20"/>
              </w:rPr>
              <w:t>)</w:t>
            </w:r>
            <w:r w:rsidR="00DB568A" w:rsidRPr="00DA3C6E">
              <w:rPr>
                <w:rFonts w:ascii="Arial Narrow" w:hAnsi="Arial Narrow"/>
                <w:b/>
                <w:bCs/>
                <w:sz w:val="20"/>
                <w:szCs w:val="20"/>
              </w:rPr>
              <w:fldChar w:fldCharType="end"/>
            </w:r>
          </w:p>
        </w:tc>
      </w:tr>
      <w:tr w:rsidR="002D6035" w:rsidRPr="00DA3C6E" w14:paraId="0F2F0C46" w14:textId="77777777" w:rsidTr="005816F0">
        <w:tc>
          <w:tcPr>
            <w:tcW w:w="9016" w:type="dxa"/>
            <w:gridSpan w:val="5"/>
            <w:tcMar>
              <w:top w:w="0" w:type="dxa"/>
              <w:left w:w="108" w:type="dxa"/>
              <w:bottom w:w="0" w:type="dxa"/>
              <w:right w:w="108" w:type="dxa"/>
            </w:tcMar>
            <w:vAlign w:val="center"/>
            <w:hideMark/>
          </w:tcPr>
          <w:p w14:paraId="0A76EB57"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One or more moderate or severe adverse events</w:t>
            </w:r>
            <w:r w:rsidRPr="00DA3C6E">
              <w:rPr>
                <w:rFonts w:ascii="Arial Narrow" w:hAnsi="Arial Narrow"/>
                <w:sz w:val="20"/>
                <w:szCs w:val="20"/>
                <w:vertAlign w:val="superscript"/>
              </w:rPr>
              <w:t>b</w:t>
            </w:r>
          </w:p>
        </w:tc>
      </w:tr>
      <w:tr w:rsidR="002D6035" w:rsidRPr="00DA3C6E" w14:paraId="527EEE01" w14:textId="77777777" w:rsidTr="0016555D">
        <w:tc>
          <w:tcPr>
            <w:tcW w:w="2405" w:type="dxa"/>
            <w:tcMar>
              <w:top w:w="0" w:type="dxa"/>
              <w:left w:w="108" w:type="dxa"/>
              <w:bottom w:w="0" w:type="dxa"/>
              <w:right w:w="108" w:type="dxa"/>
            </w:tcMar>
            <w:vAlign w:val="center"/>
          </w:tcPr>
          <w:p w14:paraId="1AF69E97"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Pulmonary embolism</w:t>
            </w:r>
          </w:p>
        </w:tc>
        <w:tc>
          <w:tcPr>
            <w:tcW w:w="1559" w:type="dxa"/>
            <w:tcMar>
              <w:top w:w="0" w:type="dxa"/>
              <w:left w:w="108" w:type="dxa"/>
              <w:bottom w:w="0" w:type="dxa"/>
              <w:right w:w="108" w:type="dxa"/>
            </w:tcMar>
            <w:vAlign w:val="center"/>
          </w:tcPr>
          <w:p w14:paraId="022ED370"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1/22 (9.1)</w:t>
            </w:r>
          </w:p>
        </w:tc>
        <w:tc>
          <w:tcPr>
            <w:tcW w:w="1701" w:type="dxa"/>
            <w:tcMar>
              <w:top w:w="0" w:type="dxa"/>
              <w:left w:w="108" w:type="dxa"/>
              <w:bottom w:w="0" w:type="dxa"/>
              <w:right w:w="108" w:type="dxa"/>
            </w:tcMar>
            <w:vAlign w:val="center"/>
          </w:tcPr>
          <w:p w14:paraId="5972153A"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0/22</w:t>
            </w:r>
          </w:p>
        </w:tc>
        <w:tc>
          <w:tcPr>
            <w:tcW w:w="1560" w:type="dxa"/>
            <w:tcMar>
              <w:top w:w="0" w:type="dxa"/>
              <w:left w:w="108" w:type="dxa"/>
              <w:bottom w:w="0" w:type="dxa"/>
              <w:right w:w="108" w:type="dxa"/>
            </w:tcMar>
            <w:vAlign w:val="center"/>
          </w:tcPr>
          <w:p w14:paraId="08A52BF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NE</w:t>
            </w:r>
          </w:p>
        </w:tc>
        <w:tc>
          <w:tcPr>
            <w:tcW w:w="1791" w:type="dxa"/>
            <w:tcMar>
              <w:top w:w="0" w:type="dxa"/>
              <w:left w:w="108" w:type="dxa"/>
              <w:bottom w:w="0" w:type="dxa"/>
              <w:right w:w="108" w:type="dxa"/>
            </w:tcMar>
            <w:vAlign w:val="center"/>
          </w:tcPr>
          <w:p w14:paraId="43955231" w14:textId="77777777" w:rsidR="002D6035" w:rsidRPr="00DA3C6E" w:rsidRDefault="002D6035" w:rsidP="005816F0">
            <w:pPr>
              <w:spacing w:after="0" w:line="240" w:lineRule="auto"/>
              <w:jc w:val="left"/>
              <w:rPr>
                <w:rFonts w:ascii="Arial Narrow" w:hAnsi="Arial Narrow"/>
                <w:sz w:val="20"/>
                <w:szCs w:val="20"/>
              </w:rPr>
            </w:pPr>
            <w:r w:rsidRPr="00DA3C6E">
              <w:rPr>
                <w:rFonts w:ascii="Arial Narrow" w:hAnsi="Arial Narrow"/>
                <w:sz w:val="20"/>
                <w:szCs w:val="20"/>
              </w:rPr>
              <w:t>0.045 (-0.042, 0.13)</w:t>
            </w:r>
          </w:p>
        </w:tc>
      </w:tr>
      <w:tr w:rsidR="002D6035" w:rsidRPr="00DA3C6E" w14:paraId="52223F26" w14:textId="77777777" w:rsidTr="0016555D">
        <w:tc>
          <w:tcPr>
            <w:tcW w:w="2405" w:type="dxa"/>
            <w:tcMar>
              <w:top w:w="0" w:type="dxa"/>
              <w:left w:w="108" w:type="dxa"/>
              <w:bottom w:w="0" w:type="dxa"/>
              <w:right w:w="108" w:type="dxa"/>
            </w:tcMar>
            <w:vAlign w:val="center"/>
            <w:hideMark/>
          </w:tcPr>
          <w:p w14:paraId="6A7D6BC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Intravenous Ig then placebo sequence</w:t>
            </w:r>
          </w:p>
        </w:tc>
        <w:tc>
          <w:tcPr>
            <w:tcW w:w="1559" w:type="dxa"/>
            <w:tcMar>
              <w:top w:w="0" w:type="dxa"/>
              <w:left w:w="108" w:type="dxa"/>
              <w:bottom w:w="0" w:type="dxa"/>
              <w:right w:w="108" w:type="dxa"/>
            </w:tcMar>
            <w:vAlign w:val="center"/>
            <w:hideMark/>
          </w:tcPr>
          <w:p w14:paraId="689CEC89"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1/22 (9.1)</w:t>
            </w:r>
          </w:p>
        </w:tc>
        <w:tc>
          <w:tcPr>
            <w:tcW w:w="1701" w:type="dxa"/>
            <w:tcMar>
              <w:top w:w="0" w:type="dxa"/>
              <w:left w:w="108" w:type="dxa"/>
              <w:bottom w:w="0" w:type="dxa"/>
              <w:right w:w="108" w:type="dxa"/>
            </w:tcMar>
            <w:vAlign w:val="center"/>
            <w:hideMark/>
          </w:tcPr>
          <w:p w14:paraId="672B40E6"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6/22 (27.3)</w:t>
            </w:r>
          </w:p>
        </w:tc>
        <w:tc>
          <w:tcPr>
            <w:tcW w:w="1560" w:type="dxa"/>
            <w:tcMar>
              <w:top w:w="0" w:type="dxa"/>
              <w:left w:w="108" w:type="dxa"/>
              <w:bottom w:w="0" w:type="dxa"/>
              <w:right w:w="108" w:type="dxa"/>
            </w:tcMar>
            <w:vAlign w:val="center"/>
          </w:tcPr>
          <w:p w14:paraId="01659E6F"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0.17 (0.02,1.27)</w:t>
            </w:r>
          </w:p>
        </w:tc>
        <w:tc>
          <w:tcPr>
            <w:tcW w:w="1791" w:type="dxa"/>
            <w:tcMar>
              <w:top w:w="0" w:type="dxa"/>
              <w:left w:w="108" w:type="dxa"/>
              <w:bottom w:w="0" w:type="dxa"/>
              <w:right w:w="108" w:type="dxa"/>
            </w:tcMar>
            <w:vAlign w:val="center"/>
            <w:hideMark/>
          </w:tcPr>
          <w:p w14:paraId="327BCADD" w14:textId="77777777" w:rsidR="002D6035" w:rsidRPr="00DA3C6E" w:rsidRDefault="002D6035" w:rsidP="008651E8">
            <w:pPr>
              <w:spacing w:after="0" w:line="240" w:lineRule="auto"/>
              <w:jc w:val="left"/>
              <w:rPr>
                <w:rFonts w:ascii="Arial Narrow" w:hAnsi="Arial Narrow"/>
                <w:bCs/>
                <w:sz w:val="20"/>
                <w:szCs w:val="20"/>
              </w:rPr>
            </w:pPr>
            <w:r w:rsidRPr="00DA3C6E">
              <w:rPr>
                <w:rFonts w:ascii="Arial Narrow" w:hAnsi="Arial Narrow"/>
                <w:bCs/>
                <w:sz w:val="20"/>
                <w:szCs w:val="20"/>
              </w:rPr>
              <w:t>-0.23 (-0.43, -0.02)</w:t>
            </w:r>
          </w:p>
        </w:tc>
      </w:tr>
      <w:tr w:rsidR="002D6035" w:rsidRPr="00DA3C6E" w14:paraId="2C20BA1D" w14:textId="77777777" w:rsidTr="0016555D">
        <w:tc>
          <w:tcPr>
            <w:tcW w:w="2405" w:type="dxa"/>
            <w:tcMar>
              <w:top w:w="0" w:type="dxa"/>
              <w:left w:w="108" w:type="dxa"/>
              <w:bottom w:w="0" w:type="dxa"/>
              <w:right w:w="108" w:type="dxa"/>
            </w:tcMar>
            <w:vAlign w:val="center"/>
            <w:hideMark/>
          </w:tcPr>
          <w:p w14:paraId="06DD895C"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Placebo then intravenous Ig sequence</w:t>
            </w:r>
          </w:p>
        </w:tc>
        <w:tc>
          <w:tcPr>
            <w:tcW w:w="1559" w:type="dxa"/>
            <w:tcMar>
              <w:top w:w="0" w:type="dxa"/>
              <w:left w:w="108" w:type="dxa"/>
              <w:bottom w:w="0" w:type="dxa"/>
              <w:right w:w="108" w:type="dxa"/>
            </w:tcMar>
            <w:vAlign w:val="center"/>
            <w:hideMark/>
          </w:tcPr>
          <w:p w14:paraId="7BEB437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4/21 (19)</w:t>
            </w:r>
          </w:p>
        </w:tc>
        <w:tc>
          <w:tcPr>
            <w:tcW w:w="1701" w:type="dxa"/>
            <w:tcMar>
              <w:top w:w="0" w:type="dxa"/>
              <w:left w:w="108" w:type="dxa"/>
              <w:bottom w:w="0" w:type="dxa"/>
              <w:right w:w="108" w:type="dxa"/>
            </w:tcMar>
            <w:vAlign w:val="center"/>
            <w:hideMark/>
          </w:tcPr>
          <w:p w14:paraId="0B884384"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1/21 (9.1)</w:t>
            </w:r>
          </w:p>
        </w:tc>
        <w:tc>
          <w:tcPr>
            <w:tcW w:w="1560" w:type="dxa"/>
            <w:tcMar>
              <w:top w:w="0" w:type="dxa"/>
              <w:left w:w="108" w:type="dxa"/>
              <w:bottom w:w="0" w:type="dxa"/>
              <w:right w:w="108" w:type="dxa"/>
            </w:tcMar>
            <w:vAlign w:val="center"/>
          </w:tcPr>
          <w:p w14:paraId="0592C83E"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4 (0.49,33.00)</w:t>
            </w:r>
          </w:p>
        </w:tc>
        <w:tc>
          <w:tcPr>
            <w:tcW w:w="1791" w:type="dxa"/>
            <w:tcMar>
              <w:top w:w="0" w:type="dxa"/>
              <w:left w:w="108" w:type="dxa"/>
              <w:bottom w:w="0" w:type="dxa"/>
              <w:right w:w="108" w:type="dxa"/>
            </w:tcMar>
            <w:vAlign w:val="center"/>
            <w:hideMark/>
          </w:tcPr>
          <w:p w14:paraId="6B18A938" w14:textId="77777777" w:rsidR="002D6035" w:rsidRPr="00DA3C6E" w:rsidRDefault="002D6035" w:rsidP="008651E8">
            <w:pPr>
              <w:spacing w:after="0" w:line="240" w:lineRule="auto"/>
              <w:jc w:val="left"/>
              <w:rPr>
                <w:rFonts w:ascii="Arial Narrow" w:hAnsi="Arial Narrow"/>
                <w:sz w:val="20"/>
                <w:szCs w:val="20"/>
              </w:rPr>
            </w:pPr>
            <w:r w:rsidRPr="00DA3C6E">
              <w:rPr>
                <w:rFonts w:ascii="Arial Narrow" w:hAnsi="Arial Narrow"/>
                <w:sz w:val="20"/>
                <w:szCs w:val="20"/>
              </w:rPr>
              <w:t>0.14 (-0.05, 0.32)</w:t>
            </w:r>
          </w:p>
        </w:tc>
      </w:tr>
    </w:tbl>
    <w:p w14:paraId="7E90AC3E" w14:textId="77777777" w:rsidR="002D6035" w:rsidRPr="00DA3C6E" w:rsidRDefault="002D6035" w:rsidP="008651E8">
      <w:pPr>
        <w:spacing w:after="0" w:line="240" w:lineRule="auto"/>
        <w:rPr>
          <w:rFonts w:ascii="Arial Narrow" w:hAnsi="Arial Narrow"/>
          <w:sz w:val="18"/>
          <w:szCs w:val="18"/>
        </w:rPr>
      </w:pPr>
      <w:r w:rsidRPr="00DA3C6E">
        <w:rPr>
          <w:rFonts w:ascii="Arial Narrow" w:hAnsi="Arial Narrow"/>
          <w:sz w:val="18"/>
          <w:szCs w:val="18"/>
        </w:rPr>
        <w:t xml:space="preserve">Abbreviations: CI = confidence interval; Ig = immunoglobulins; NE = not estimable; NR = not reported. </w:t>
      </w:r>
    </w:p>
    <w:p w14:paraId="0F2CD231" w14:textId="42A3EB5B" w:rsidR="002D6035" w:rsidRPr="00DA3C6E" w:rsidRDefault="002D6035" w:rsidP="00503509">
      <w:pPr>
        <w:spacing w:line="240" w:lineRule="auto"/>
        <w:rPr>
          <w:rFonts w:ascii="Arial Narrow" w:hAnsi="Arial Narrow"/>
          <w:sz w:val="18"/>
          <w:szCs w:val="18"/>
        </w:rPr>
      </w:pPr>
      <w:r w:rsidRPr="00DA3C6E">
        <w:rPr>
          <w:rFonts w:ascii="Arial Narrow" w:hAnsi="Arial Narrow"/>
          <w:sz w:val="18"/>
          <w:szCs w:val="18"/>
        </w:rPr>
        <w:t xml:space="preserve">Note: Bold text refers to statistically significant; </w:t>
      </w:r>
      <w:r w:rsidRPr="00DA3C6E">
        <w:rPr>
          <w:rFonts w:ascii="Arial Narrow" w:hAnsi="Arial Narrow"/>
          <w:sz w:val="18"/>
          <w:szCs w:val="18"/>
          <w:vertAlign w:val="superscript"/>
        </w:rPr>
        <w:t>a</w:t>
      </w:r>
      <w:r w:rsidRPr="00DA3C6E">
        <w:rPr>
          <w:rFonts w:ascii="Arial Narrow" w:hAnsi="Arial Narrow"/>
          <w:sz w:val="18"/>
          <w:szCs w:val="18"/>
        </w:rPr>
        <w:t xml:space="preserve">study reported that two patients </w:t>
      </w:r>
      <w:r w:rsidR="00DF5422" w:rsidRPr="00DA3C6E">
        <w:rPr>
          <w:rFonts w:ascii="Arial Narrow" w:hAnsi="Arial Narrow"/>
          <w:sz w:val="18"/>
          <w:szCs w:val="18"/>
        </w:rPr>
        <w:t xml:space="preserve">have </w:t>
      </w:r>
      <w:r w:rsidRPr="00DA3C6E">
        <w:rPr>
          <w:rFonts w:ascii="Arial Narrow" w:hAnsi="Arial Narrow"/>
          <w:sz w:val="18"/>
          <w:szCs w:val="18"/>
        </w:rPr>
        <w:t xml:space="preserve">cutaneous rash and transient fever, but did not specify if patients were MMN or LMNS; </w:t>
      </w:r>
      <w:r w:rsidRPr="00DA3C6E">
        <w:rPr>
          <w:rFonts w:ascii="Arial Narrow" w:hAnsi="Arial Narrow"/>
          <w:sz w:val="18"/>
          <w:szCs w:val="18"/>
          <w:vertAlign w:val="superscript"/>
        </w:rPr>
        <w:t>b</w:t>
      </w:r>
      <w:r w:rsidRPr="00DA3C6E">
        <w:rPr>
          <w:rFonts w:ascii="Arial Narrow" w:hAnsi="Arial Narrow"/>
          <w:sz w:val="18"/>
          <w:szCs w:val="18"/>
        </w:rPr>
        <w:t>one or more moderate or severe adverse events that began during infusion or within 72hrs of completion of infusion regardless of causality. Severe adverse events were pulmonary embolism (serious and severe) and headaches and nausea (severe but non-serious).</w:t>
      </w:r>
    </w:p>
    <w:p w14:paraId="45886B75" w14:textId="77777777" w:rsidR="002D6035" w:rsidRPr="00DA3C6E" w:rsidRDefault="002D6035" w:rsidP="00E74058">
      <w:pPr>
        <w:pStyle w:val="Heading4"/>
      </w:pPr>
      <w:r w:rsidRPr="00DA3C6E">
        <w:t>Safety evidence from single arm studies</w:t>
      </w:r>
    </w:p>
    <w:p w14:paraId="4B5121F6" w14:textId="6D97DABD" w:rsidR="0083201D" w:rsidRPr="00D96AFB" w:rsidRDefault="002D6035" w:rsidP="008651E8">
      <w:r w:rsidRPr="00DA3C6E">
        <w:t>Fourteen of the 24 included single arm studies reported safety outcomes (</w:t>
      </w:r>
      <w:r w:rsidRPr="00DA3C6E">
        <w:fldChar w:fldCharType="begin"/>
      </w:r>
      <w:r w:rsidRPr="00DA3C6E">
        <w:instrText xml:space="preserve"> REF _Ref25932077 \h </w:instrText>
      </w:r>
      <w:r w:rsidR="00E8759F" w:rsidRPr="00DA3C6E">
        <w:instrText xml:space="preserve"> \* MERGEFORMAT </w:instrText>
      </w:r>
      <w:r w:rsidRPr="00DA3C6E">
        <w:fldChar w:fldCharType="separate"/>
      </w:r>
      <w:r w:rsidR="00EA5DC1" w:rsidRPr="00DA3C6E">
        <w:t xml:space="preserve">Table </w:t>
      </w:r>
      <w:r w:rsidR="00EA5DC1">
        <w:rPr>
          <w:noProof/>
        </w:rPr>
        <w:t>15</w:t>
      </w:r>
      <w:r w:rsidRPr="00DA3C6E">
        <w:fldChar w:fldCharType="end"/>
      </w:r>
      <w:r w:rsidRPr="00DA3C6E">
        <w:t xml:space="preserve">). Safety data reported in these studies included reports of systemic AEs directly related to the infusion over a longer follow-up period than what was available in the RCTs. Infusion related AEs were frequent but generally mild (low grade) and were manageable with adjustments to infusion rate. Moderate and SAEs tended to be less frequently reported. Overall, few patients discontinued treatment due to AEs. </w:t>
      </w:r>
    </w:p>
    <w:p w14:paraId="19385C42" w14:textId="1AA0FCB3" w:rsidR="002D6035" w:rsidRPr="00DA3C6E" w:rsidRDefault="002D6035" w:rsidP="008651E8">
      <w:pPr>
        <w:pStyle w:val="Caption"/>
        <w:keepNext/>
        <w:keepLines/>
        <w:rPr>
          <w:rFonts w:cs="Arial"/>
          <w:snapToGrid w:val="0"/>
          <w:szCs w:val="16"/>
          <w:lang w:eastAsia="en-US"/>
        </w:rPr>
      </w:pPr>
      <w:bookmarkStart w:id="181" w:name="_Ref25932077"/>
      <w:bookmarkStart w:id="182" w:name="_Toc30497462"/>
      <w:bookmarkStart w:id="183" w:name="_Toc30687743"/>
      <w:bookmarkStart w:id="184" w:name="_Toc37845818"/>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15</w:t>
      </w:r>
      <w:r w:rsidR="00515153">
        <w:rPr>
          <w:noProof/>
        </w:rPr>
        <w:fldChar w:fldCharType="end"/>
      </w:r>
      <w:bookmarkEnd w:id="181"/>
      <w:r w:rsidRPr="00DA3C6E">
        <w:t>: Summary of adverse events reported in single arm studies.</w:t>
      </w:r>
      <w:bookmarkEnd w:id="182"/>
      <w:bookmarkEnd w:id="183"/>
      <w:bookmarkEnd w:id="184"/>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10"/>
        <w:gridCol w:w="851"/>
        <w:gridCol w:w="5670"/>
        <w:gridCol w:w="657"/>
      </w:tblGrid>
      <w:tr w:rsidR="00C04BCE" w:rsidRPr="00DA3C6E" w14:paraId="6D100677" w14:textId="77777777" w:rsidTr="006D0966">
        <w:trPr>
          <w:trHeight w:val="337"/>
          <w:tblHeader/>
        </w:trPr>
        <w:tc>
          <w:tcPr>
            <w:tcW w:w="1810" w:type="dxa"/>
            <w:shd w:val="clear" w:color="auto" w:fill="auto"/>
            <w:vAlign w:val="center"/>
          </w:tcPr>
          <w:p w14:paraId="22381A02" w14:textId="77777777" w:rsidR="002D6035" w:rsidRPr="00DA3C6E" w:rsidRDefault="002D6035" w:rsidP="006D0966">
            <w:pPr>
              <w:pStyle w:val="TableHeading"/>
              <w:spacing w:after="0"/>
              <w:jc w:val="left"/>
              <w:rPr>
                <w:snapToGrid w:val="0"/>
                <w:lang w:eastAsia="en-US"/>
              </w:rPr>
            </w:pPr>
            <w:r w:rsidRPr="00DA3C6E">
              <w:rPr>
                <w:snapToGrid w:val="0"/>
                <w:lang w:eastAsia="en-US"/>
              </w:rPr>
              <w:t>Study ID</w:t>
            </w:r>
          </w:p>
        </w:tc>
        <w:tc>
          <w:tcPr>
            <w:tcW w:w="851" w:type="dxa"/>
            <w:vAlign w:val="center"/>
          </w:tcPr>
          <w:p w14:paraId="5D4A83E2" w14:textId="77777777" w:rsidR="002D6035" w:rsidRPr="00DA3C6E" w:rsidRDefault="002D6035" w:rsidP="006D0966">
            <w:pPr>
              <w:pStyle w:val="TableHeading"/>
              <w:spacing w:after="0"/>
              <w:ind w:right="117"/>
              <w:jc w:val="left"/>
              <w:rPr>
                <w:snapToGrid w:val="0"/>
                <w:lang w:eastAsia="en-US"/>
              </w:rPr>
            </w:pPr>
            <w:r w:rsidRPr="00DA3C6E">
              <w:rPr>
                <w:snapToGrid w:val="0"/>
                <w:lang w:eastAsia="en-US"/>
              </w:rPr>
              <w:t>N</w:t>
            </w:r>
          </w:p>
        </w:tc>
        <w:tc>
          <w:tcPr>
            <w:tcW w:w="5670" w:type="dxa"/>
            <w:vAlign w:val="center"/>
          </w:tcPr>
          <w:p w14:paraId="0EB2680B" w14:textId="77777777" w:rsidR="002D6035" w:rsidRPr="00DA3C6E" w:rsidRDefault="002D6035" w:rsidP="006D0966">
            <w:pPr>
              <w:pStyle w:val="TableHeading"/>
              <w:spacing w:after="0"/>
              <w:ind w:right="117"/>
              <w:jc w:val="left"/>
              <w:rPr>
                <w:snapToGrid w:val="0"/>
                <w:lang w:eastAsia="en-US"/>
              </w:rPr>
            </w:pPr>
            <w:r w:rsidRPr="00DA3C6E">
              <w:rPr>
                <w:snapToGrid w:val="0"/>
                <w:lang w:eastAsia="en-US"/>
              </w:rPr>
              <w:t>AEs (n/N, %)</w:t>
            </w:r>
          </w:p>
        </w:tc>
        <w:tc>
          <w:tcPr>
            <w:tcW w:w="657" w:type="dxa"/>
            <w:vAlign w:val="center"/>
          </w:tcPr>
          <w:p w14:paraId="6D4E39E5" w14:textId="77777777" w:rsidR="002D6035" w:rsidRPr="00DA3C6E" w:rsidRDefault="002D6035" w:rsidP="006D0966">
            <w:pPr>
              <w:pStyle w:val="TableHeading"/>
              <w:spacing w:after="0"/>
              <w:ind w:right="117"/>
              <w:jc w:val="center"/>
              <w:rPr>
                <w:snapToGrid w:val="0"/>
                <w:lang w:eastAsia="en-US"/>
              </w:rPr>
            </w:pPr>
            <w:r w:rsidRPr="00DA3C6E">
              <w:rPr>
                <w:snapToGrid w:val="0"/>
                <w:lang w:eastAsia="en-US"/>
              </w:rPr>
              <w:t>Ref</w:t>
            </w:r>
          </w:p>
        </w:tc>
      </w:tr>
      <w:tr w:rsidR="00C04BCE" w:rsidRPr="00DA3C6E" w14:paraId="3E8E44C9" w14:textId="77777777" w:rsidTr="006D0966">
        <w:trPr>
          <w:trHeight w:val="325"/>
        </w:trPr>
        <w:tc>
          <w:tcPr>
            <w:tcW w:w="1810" w:type="dxa"/>
            <w:shd w:val="clear" w:color="auto" w:fill="auto"/>
            <w:vAlign w:val="center"/>
          </w:tcPr>
          <w:p w14:paraId="1AD5023D" w14:textId="1EED53C5" w:rsidR="002D6035" w:rsidRPr="00DA3C6E" w:rsidRDefault="002D6035" w:rsidP="00C535CA">
            <w:pPr>
              <w:pStyle w:val="TableText0"/>
              <w:spacing w:after="0"/>
              <w:jc w:val="left"/>
              <w:rPr>
                <w:snapToGrid w:val="0"/>
                <w:szCs w:val="20"/>
              </w:rPr>
            </w:pPr>
            <w:r w:rsidRPr="00DA3C6E">
              <w:rPr>
                <w:snapToGrid w:val="0"/>
                <w:szCs w:val="20"/>
              </w:rPr>
              <w:t>Chaudhry et al. 1993</w:t>
            </w:r>
            <w:r w:rsidR="00BE7F1B">
              <w:rPr>
                <w:snapToGrid w:val="0"/>
                <w:szCs w:val="20"/>
              </w:rPr>
              <w:t xml:space="preserve"> </w:t>
            </w:r>
          </w:p>
        </w:tc>
        <w:tc>
          <w:tcPr>
            <w:tcW w:w="851" w:type="dxa"/>
            <w:vAlign w:val="center"/>
          </w:tcPr>
          <w:p w14:paraId="78C38D23"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9</w:t>
            </w:r>
          </w:p>
        </w:tc>
        <w:tc>
          <w:tcPr>
            <w:tcW w:w="5670" w:type="dxa"/>
            <w:vAlign w:val="center"/>
          </w:tcPr>
          <w:p w14:paraId="010A73A7" w14:textId="77777777" w:rsidR="002D6035" w:rsidRPr="00DA3C6E" w:rsidRDefault="002D6035" w:rsidP="006D0966">
            <w:pPr>
              <w:pStyle w:val="TableText0"/>
              <w:numPr>
                <w:ilvl w:val="0"/>
                <w:numId w:val="40"/>
              </w:numPr>
              <w:spacing w:after="0"/>
              <w:ind w:right="117"/>
              <w:jc w:val="left"/>
              <w:rPr>
                <w:snapToGrid w:val="0"/>
                <w:szCs w:val="20"/>
              </w:rPr>
            </w:pPr>
            <w:r w:rsidRPr="00DA3C6E">
              <w:rPr>
                <w:snapToGrid w:val="0"/>
                <w:szCs w:val="20"/>
              </w:rPr>
              <w:t>Transient headache (7/9, 77.8%)</w:t>
            </w:r>
          </w:p>
          <w:p w14:paraId="09036B91" w14:textId="77777777" w:rsidR="002D6035" w:rsidRPr="00DA3C6E" w:rsidRDefault="002D6035" w:rsidP="006D0966">
            <w:pPr>
              <w:pStyle w:val="TableText0"/>
              <w:numPr>
                <w:ilvl w:val="0"/>
                <w:numId w:val="40"/>
              </w:numPr>
              <w:spacing w:after="0"/>
              <w:ind w:right="117"/>
              <w:jc w:val="left"/>
              <w:rPr>
                <w:snapToGrid w:val="0"/>
                <w:szCs w:val="20"/>
              </w:rPr>
            </w:pPr>
            <w:r w:rsidRPr="00DA3C6E">
              <w:rPr>
                <w:snapToGrid w:val="0"/>
                <w:szCs w:val="20"/>
              </w:rPr>
              <w:t>Nausea 5/9 (55.5%) fever (3/9, 33.3%)</w:t>
            </w:r>
          </w:p>
          <w:p w14:paraId="63425F5C" w14:textId="77777777" w:rsidR="002D6035" w:rsidRPr="00DA3C6E" w:rsidRDefault="002D6035" w:rsidP="006D0966">
            <w:pPr>
              <w:pStyle w:val="TableText0"/>
              <w:numPr>
                <w:ilvl w:val="0"/>
                <w:numId w:val="40"/>
              </w:numPr>
              <w:spacing w:after="0"/>
              <w:ind w:right="117"/>
              <w:jc w:val="left"/>
              <w:rPr>
                <w:snapToGrid w:val="0"/>
                <w:szCs w:val="20"/>
              </w:rPr>
            </w:pPr>
            <w:r w:rsidRPr="00DA3C6E">
              <w:rPr>
                <w:snapToGrid w:val="0"/>
                <w:szCs w:val="20"/>
              </w:rPr>
              <w:t xml:space="preserve">Rigors (1/9, 11.1%), </w:t>
            </w:r>
          </w:p>
          <w:p w14:paraId="04512EEB" w14:textId="77777777" w:rsidR="002D6035" w:rsidRPr="00DA3C6E" w:rsidRDefault="002D6035" w:rsidP="006D0966">
            <w:pPr>
              <w:pStyle w:val="TableText0"/>
              <w:numPr>
                <w:ilvl w:val="0"/>
                <w:numId w:val="40"/>
              </w:numPr>
              <w:spacing w:after="0"/>
              <w:ind w:right="117"/>
              <w:jc w:val="left"/>
              <w:rPr>
                <w:snapToGrid w:val="0"/>
                <w:szCs w:val="20"/>
              </w:rPr>
            </w:pPr>
            <w:r w:rsidRPr="00DA3C6E">
              <w:rPr>
                <w:snapToGrid w:val="0"/>
                <w:szCs w:val="20"/>
              </w:rPr>
              <w:t>Diarrhoea (1/9, 11.1%)</w:t>
            </w:r>
          </w:p>
        </w:tc>
        <w:tc>
          <w:tcPr>
            <w:tcW w:w="657" w:type="dxa"/>
            <w:vAlign w:val="center"/>
          </w:tcPr>
          <w:p w14:paraId="3981AB1D" w14:textId="59E6CBD8"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r>
            <w:r w:rsidRPr="00DA3C6E">
              <w:rPr>
                <w:snapToGrid w:val="0"/>
                <w:szCs w:val="20"/>
              </w:rPr>
              <w:instrText xml:space="preserve"> ADDIN EN.CITE &lt;EndNote&gt;&lt;Cite&gt;&lt;Author&gt;Chaudhry&lt;/Author&gt;&lt;Year&gt;1993&lt;/Year&gt;&lt;RecNum&gt;14&lt;/RecNum&gt;&lt;DisplayText&gt;(22)&lt;/DisplayText&gt;&lt;record&gt;&lt;rec-number&gt;14&lt;/rec-number&gt;&lt;foreign-keys&gt;&lt;key app="EN" db-id="0992p2ztn5fez9e2wvnpw2xstd20f9w2dezz" timestamp="1586818281"&gt;14&lt;/key&gt;&lt;/foreign-keys&gt;&lt;ref-type name="Journal Article"&gt;17&lt;/ref-type&gt;&lt;contributors&gt;&lt;authors&gt;&lt;author&gt;Chaudhry, V.&lt;/author&gt;&lt;author&gt;Corse, A. M.&lt;/author&gt;&lt;author&gt;Cornblath, D. R.&lt;/author&gt;&lt;author&gt;Kuncl, R. W.&lt;/author&gt;&lt;author&gt;Drachman, D. B.&lt;/author&gt;&lt;author&gt;Freimer, M. L.&lt;/author&gt;&lt;author&gt;Miller, R. G.&lt;/author&gt;&lt;author&gt;Griffin, J. W.&lt;/author&gt;&lt;/authors&gt;&lt;/contributors&gt;&lt;auth-address&gt;Department of Neurology, Johns Hopkins University School of Medicine, Baltimore, MD.&lt;/auth-address&gt;&lt;titles&gt;&lt;title&gt;Multifocal motor neuropathy: response to human immune globulin&lt;/title&gt;&lt;secondary-title&gt;Ann Neurol&lt;/secondary-title&gt;&lt;/titles&gt;&lt;periodical&gt;&lt;full-title&gt;Ann Neurol&lt;/full-title&gt;&lt;/periodical&gt;&lt;pages&gt;237-42&lt;/pages&gt;&lt;volume&gt;33&lt;/volume&gt;&lt;number&gt;3&lt;/number&gt;&lt;keywords&gt;&lt;keyword&gt;Adult&lt;/keyword&gt;&lt;keyword&gt;Cyclophosphamide/therapeutic use&lt;/keyword&gt;&lt;keyword&gt;Electrophysiology&lt;/keyword&gt;&lt;keyword&gt;Female&lt;/keyword&gt;&lt;keyword&gt;Humans&lt;/keyword&gt;&lt;keyword&gt;Immunoglobulins, Intravenous&lt;/keyword&gt;&lt;keyword&gt;Male&lt;/keyword&gt;&lt;keyword&gt;Middle Aged&lt;/keyword&gt;&lt;keyword&gt;Muscles/physiopathology&lt;/keyword&gt;&lt;keyword&gt;Neuromuscular Diseases/physiopathology/ therapy&lt;/keyword&gt;&lt;/keywords&gt;&lt;dates&gt;&lt;year&gt;1993&lt;/year&gt;&lt;pub-dates&gt;&lt;date&gt;Mar&lt;/date&gt;&lt;/pub-dates&gt;&lt;/dates&gt;&lt;accession-num&gt;8498806&lt;/accession-num&gt;&lt;urls&gt;&lt;related-urls&gt;&lt;url&gt;https://onlinelibrary.wiley.com/doi/abs/10.1002/ana.410330303?sid=nlm%3Apubmed&lt;/url&gt;&lt;/related-urls&gt;&lt;/urls&gt;&lt;research-notes&gt;B. Included 9 patients with MMN&lt;/research-notes&gt;&lt;/record&gt;&lt;/Cite&gt;&lt;/EndNote&gt;</w:instrText>
            </w:r>
            <w:r w:rsidRPr="00DA3C6E">
              <w:rPr>
                <w:snapToGrid w:val="0"/>
                <w:szCs w:val="20"/>
              </w:rPr>
              <w:fldChar w:fldCharType="separate"/>
            </w:r>
            <w:r w:rsidRPr="00DA3C6E">
              <w:rPr>
                <w:noProof/>
                <w:snapToGrid w:val="0"/>
                <w:szCs w:val="20"/>
              </w:rPr>
              <w:t>(</w:t>
            </w:r>
            <w:hyperlink w:anchor="_ENREF_22" w:tooltip="Chaudhry, 1993 #14" w:history="1">
              <w:r w:rsidR="00C04BCE" w:rsidRPr="00DA3C6E">
                <w:rPr>
                  <w:noProof/>
                  <w:snapToGrid w:val="0"/>
                  <w:szCs w:val="20"/>
                </w:rPr>
                <w:t>22</w:t>
              </w:r>
            </w:hyperlink>
            <w:r w:rsidRPr="00DA3C6E">
              <w:rPr>
                <w:noProof/>
                <w:snapToGrid w:val="0"/>
                <w:szCs w:val="20"/>
              </w:rPr>
              <w:t>)</w:t>
            </w:r>
            <w:r w:rsidRPr="00DA3C6E">
              <w:rPr>
                <w:snapToGrid w:val="0"/>
                <w:szCs w:val="20"/>
              </w:rPr>
              <w:fldChar w:fldCharType="end"/>
            </w:r>
          </w:p>
        </w:tc>
      </w:tr>
      <w:tr w:rsidR="00C04BCE" w:rsidRPr="00DA3C6E" w14:paraId="654A4C7C" w14:textId="77777777" w:rsidTr="006D0966">
        <w:trPr>
          <w:trHeight w:val="337"/>
        </w:trPr>
        <w:tc>
          <w:tcPr>
            <w:tcW w:w="1810" w:type="dxa"/>
            <w:shd w:val="clear" w:color="auto" w:fill="auto"/>
            <w:vAlign w:val="center"/>
          </w:tcPr>
          <w:p w14:paraId="72F1B745" w14:textId="4DDCA982" w:rsidR="002D6035" w:rsidRPr="00DA3C6E" w:rsidRDefault="002D6035" w:rsidP="00C535CA">
            <w:pPr>
              <w:pStyle w:val="TableText0"/>
              <w:spacing w:after="0"/>
              <w:jc w:val="left"/>
              <w:rPr>
                <w:snapToGrid w:val="0"/>
                <w:szCs w:val="20"/>
              </w:rPr>
            </w:pPr>
            <w:r w:rsidRPr="00DA3C6E">
              <w:rPr>
                <w:snapToGrid w:val="0"/>
                <w:szCs w:val="20"/>
              </w:rPr>
              <w:t>Nobile-Orazio et al. 1993</w:t>
            </w:r>
            <w:r w:rsidR="00BE7F1B">
              <w:rPr>
                <w:snapToGrid w:val="0"/>
                <w:szCs w:val="20"/>
              </w:rPr>
              <w:t xml:space="preserve"> </w:t>
            </w:r>
          </w:p>
        </w:tc>
        <w:tc>
          <w:tcPr>
            <w:tcW w:w="851" w:type="dxa"/>
            <w:vAlign w:val="center"/>
          </w:tcPr>
          <w:p w14:paraId="3E10D39E"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5</w:t>
            </w:r>
          </w:p>
        </w:tc>
        <w:tc>
          <w:tcPr>
            <w:tcW w:w="5670" w:type="dxa"/>
            <w:vAlign w:val="center"/>
          </w:tcPr>
          <w:p w14:paraId="2693307D" w14:textId="77777777" w:rsidR="002D6035" w:rsidRPr="00DA3C6E" w:rsidRDefault="002D6035" w:rsidP="006D0966">
            <w:pPr>
              <w:pStyle w:val="TableText0"/>
              <w:numPr>
                <w:ilvl w:val="0"/>
                <w:numId w:val="42"/>
              </w:numPr>
              <w:spacing w:after="0"/>
              <w:ind w:right="117"/>
              <w:jc w:val="left"/>
              <w:rPr>
                <w:snapToGrid w:val="0"/>
                <w:szCs w:val="20"/>
              </w:rPr>
            </w:pPr>
            <w:r w:rsidRPr="00DA3C6E">
              <w:rPr>
                <w:snapToGrid w:val="0"/>
                <w:szCs w:val="20"/>
              </w:rPr>
              <w:t>Mild headache with moderate fever (less than 38 "C) and itching after the first infusion (2/5, 40 %)</w:t>
            </w:r>
          </w:p>
        </w:tc>
        <w:tc>
          <w:tcPr>
            <w:tcW w:w="657" w:type="dxa"/>
            <w:vAlign w:val="center"/>
          </w:tcPr>
          <w:p w14:paraId="77B7E7F3" w14:textId="382C555B"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r>
            <w:r w:rsidRPr="00DA3C6E">
              <w:rPr>
                <w:snapToGrid w:val="0"/>
                <w:szCs w:val="20"/>
              </w:rPr>
              <w:instrText xml:space="preserve"> ADDIN EN.CITE &lt;EndNote&gt;&lt;Cite&gt;&lt;Author&gt;Nobile-Orazio&lt;/Author&gt;&lt;Year&gt;1993&lt;/Year&gt;&lt;RecNum&gt;51&lt;/RecNum&gt;&lt;DisplayText&gt;(36)&lt;/DisplayText&gt;&lt;record&gt;&lt;rec-number&gt;51&lt;/rec-number&gt;&lt;foreign-keys&gt;&lt;key app="EN" db-id="0992p2ztn5fez9e2wvnpw2xstd20f9w2dezz" timestamp="1586818281"&gt;51&lt;/key&gt;&lt;/foreign-keys&gt;&lt;ref-type name="Journal Article"&gt;17&lt;/ref-type&gt;&lt;contributors&gt;&lt;authors&gt;&lt;author&gt;Nobile-Orazio, E.&lt;/author&gt;&lt;author&gt;Meucci, N.&lt;/author&gt;&lt;author&gt;Barbieri, S.&lt;/author&gt;&lt;author&gt;Carpo, M.&lt;/author&gt;&lt;author&gt;Scarlato, G.&lt;/author&gt;&lt;/authors&gt;&lt;/contributors&gt;&lt;auth-address&gt;Institute of Clinical Neurology, Centro Dino Ferrari, University of Milan, Ospedale Maggiore-Policlinico, Italy.&lt;/auth-address&gt;&lt;titles&gt;&lt;title&gt;High-dose intravenous immunoglobulin therapy in multifocal motor neuropathy&lt;/title&gt;&lt;secondary-title&gt;Neurology&lt;/secondary-title&gt;&lt;/titles&gt;&lt;periodical&gt;&lt;full-title&gt;Neurology&lt;/full-title&gt;&lt;/periodical&gt;&lt;pages&gt;537-44&lt;/pages&gt;&lt;volume&gt;43&lt;/volume&gt;&lt;number&gt;3 Pt 1&lt;/number&gt;&lt;keywords&gt;&lt;keyword&gt;Adult&lt;/keyword&gt;&lt;keyword&gt;Autoantibodies/analysis&lt;/keyword&gt;&lt;keyword&gt;Female&lt;/keyword&gt;&lt;keyword&gt;G(M1) Ganglioside/analysis/immunology&lt;/keyword&gt;&lt;keyword&gt;Humans&lt;/keyword&gt;&lt;keyword&gt;Immunoglobulin M/analysis&lt;/keyword&gt;&lt;keyword&gt;Immunoglobulins, Intravenous/ administration &amp;amp; dosage&lt;/keyword&gt;&lt;keyword&gt;Male&lt;/keyword&gt;&lt;keyword&gt;Middle Aged&lt;/keyword&gt;&lt;keyword&gt;Motor Neuron Disease/blood/immunology/physiopathology/ therapy&lt;/keyword&gt;&lt;keyword&gt;Neural Conduction&lt;/keyword&gt;&lt;/keywords&gt;&lt;dates&gt;&lt;year&gt;1993&lt;/year&gt;&lt;pub-dates&gt;&lt;date&gt;Mar&lt;/date&gt;&lt;/pub-dates&gt;&lt;/dates&gt;&lt;accession-num&gt;8450997&lt;/accession-num&gt;&lt;urls&gt;&lt;/urls&gt;&lt;research-notes&gt;B. 5 patients with MMN&lt;/research-notes&gt;&lt;/record&gt;&lt;/Cite&gt;&lt;/EndNote&gt;</w:instrText>
            </w:r>
            <w:r w:rsidRPr="00DA3C6E">
              <w:rPr>
                <w:snapToGrid w:val="0"/>
                <w:szCs w:val="20"/>
              </w:rPr>
              <w:fldChar w:fldCharType="separate"/>
            </w:r>
            <w:r w:rsidRPr="00DA3C6E">
              <w:rPr>
                <w:noProof/>
                <w:snapToGrid w:val="0"/>
                <w:szCs w:val="20"/>
              </w:rPr>
              <w:t>(</w:t>
            </w:r>
            <w:hyperlink w:anchor="_ENREF_36" w:tooltip="Nobile-Orazio, 1993 #51" w:history="1">
              <w:r w:rsidR="00C04BCE" w:rsidRPr="00DA3C6E">
                <w:rPr>
                  <w:noProof/>
                  <w:snapToGrid w:val="0"/>
                  <w:szCs w:val="20"/>
                </w:rPr>
                <w:t>36</w:t>
              </w:r>
            </w:hyperlink>
            <w:r w:rsidRPr="00DA3C6E">
              <w:rPr>
                <w:noProof/>
                <w:snapToGrid w:val="0"/>
                <w:szCs w:val="20"/>
              </w:rPr>
              <w:t>)</w:t>
            </w:r>
            <w:r w:rsidRPr="00DA3C6E">
              <w:rPr>
                <w:snapToGrid w:val="0"/>
                <w:szCs w:val="20"/>
              </w:rPr>
              <w:fldChar w:fldCharType="end"/>
            </w:r>
          </w:p>
        </w:tc>
      </w:tr>
      <w:tr w:rsidR="00C04BCE" w:rsidRPr="00DA3C6E" w14:paraId="01CBBA68" w14:textId="77777777" w:rsidTr="006D0966">
        <w:trPr>
          <w:trHeight w:val="337"/>
        </w:trPr>
        <w:tc>
          <w:tcPr>
            <w:tcW w:w="1810" w:type="dxa"/>
            <w:shd w:val="clear" w:color="auto" w:fill="auto"/>
            <w:vAlign w:val="center"/>
          </w:tcPr>
          <w:p w14:paraId="6E6530F2" w14:textId="79182230" w:rsidR="002D6035" w:rsidRPr="00DA3C6E" w:rsidRDefault="002D6035" w:rsidP="00C535CA">
            <w:pPr>
              <w:pStyle w:val="TableText0"/>
              <w:spacing w:after="0"/>
              <w:jc w:val="left"/>
              <w:rPr>
                <w:snapToGrid w:val="0"/>
                <w:szCs w:val="20"/>
              </w:rPr>
            </w:pPr>
            <w:r w:rsidRPr="00DA3C6E">
              <w:rPr>
                <w:snapToGrid w:val="0"/>
                <w:szCs w:val="20"/>
              </w:rPr>
              <w:t>Jaspert et al. 1996</w:t>
            </w:r>
          </w:p>
        </w:tc>
        <w:tc>
          <w:tcPr>
            <w:tcW w:w="851" w:type="dxa"/>
            <w:vAlign w:val="center"/>
          </w:tcPr>
          <w:p w14:paraId="3B13B671"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8</w:t>
            </w:r>
          </w:p>
        </w:tc>
        <w:tc>
          <w:tcPr>
            <w:tcW w:w="5670" w:type="dxa"/>
            <w:vAlign w:val="center"/>
          </w:tcPr>
          <w:p w14:paraId="7E4AD0B5" w14:textId="77777777" w:rsidR="002D6035" w:rsidRPr="00DA3C6E" w:rsidRDefault="002D6035" w:rsidP="006D0966">
            <w:pPr>
              <w:pStyle w:val="TableText0"/>
              <w:numPr>
                <w:ilvl w:val="0"/>
                <w:numId w:val="42"/>
              </w:numPr>
              <w:spacing w:after="0"/>
              <w:ind w:right="117"/>
              <w:jc w:val="left"/>
              <w:rPr>
                <w:snapToGrid w:val="0"/>
                <w:szCs w:val="20"/>
              </w:rPr>
            </w:pPr>
            <w:r w:rsidRPr="00DA3C6E">
              <w:rPr>
                <w:snapToGrid w:val="0"/>
                <w:szCs w:val="20"/>
              </w:rPr>
              <w:t>Headache and sickness during the first two treatment cycles (1/8, 12.5%)</w:t>
            </w:r>
          </w:p>
        </w:tc>
        <w:tc>
          <w:tcPr>
            <w:tcW w:w="657" w:type="dxa"/>
            <w:vAlign w:val="center"/>
          </w:tcPr>
          <w:p w14:paraId="1735B0C9" w14:textId="51237A32"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37" w:tooltip="Jaspert, 1996 #31" w:history="1">
              <w:r w:rsidR="00C04BCE" w:rsidRPr="00DA3C6E">
                <w:rPr>
                  <w:noProof/>
                  <w:snapToGrid w:val="0"/>
                  <w:szCs w:val="20"/>
                </w:rPr>
                <w:t>37</w:t>
              </w:r>
            </w:hyperlink>
            <w:r w:rsidRPr="00DA3C6E">
              <w:rPr>
                <w:noProof/>
                <w:snapToGrid w:val="0"/>
                <w:szCs w:val="20"/>
              </w:rPr>
              <w:t>)</w:t>
            </w:r>
            <w:r w:rsidRPr="00DA3C6E">
              <w:rPr>
                <w:snapToGrid w:val="0"/>
                <w:szCs w:val="20"/>
              </w:rPr>
              <w:fldChar w:fldCharType="end"/>
            </w:r>
          </w:p>
        </w:tc>
      </w:tr>
      <w:tr w:rsidR="00C04BCE" w:rsidRPr="00DA3C6E" w14:paraId="2E8413F5" w14:textId="77777777" w:rsidTr="006D0966">
        <w:trPr>
          <w:trHeight w:val="337"/>
        </w:trPr>
        <w:tc>
          <w:tcPr>
            <w:tcW w:w="1810" w:type="dxa"/>
            <w:shd w:val="clear" w:color="auto" w:fill="auto"/>
            <w:vAlign w:val="center"/>
          </w:tcPr>
          <w:p w14:paraId="7FBAE1C6" w14:textId="0496B5F3" w:rsidR="002D6035" w:rsidRPr="00DA3C6E" w:rsidRDefault="002D6035" w:rsidP="00C535CA">
            <w:pPr>
              <w:pStyle w:val="TableText0"/>
              <w:spacing w:after="0"/>
              <w:jc w:val="left"/>
              <w:rPr>
                <w:snapToGrid w:val="0"/>
                <w:szCs w:val="20"/>
              </w:rPr>
            </w:pPr>
            <w:r w:rsidRPr="00DA3C6E">
              <w:rPr>
                <w:snapToGrid w:val="0"/>
                <w:szCs w:val="20"/>
              </w:rPr>
              <w:t>Azulay et al. 1997</w:t>
            </w:r>
          </w:p>
        </w:tc>
        <w:tc>
          <w:tcPr>
            <w:tcW w:w="851" w:type="dxa"/>
            <w:vAlign w:val="center"/>
          </w:tcPr>
          <w:p w14:paraId="3F745966"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18</w:t>
            </w:r>
          </w:p>
        </w:tc>
        <w:tc>
          <w:tcPr>
            <w:tcW w:w="5670" w:type="dxa"/>
            <w:vAlign w:val="center"/>
          </w:tcPr>
          <w:p w14:paraId="6D96812F" w14:textId="77777777" w:rsidR="002D6035" w:rsidRPr="00DA3C6E" w:rsidRDefault="002D6035" w:rsidP="006D0966">
            <w:pPr>
              <w:pStyle w:val="TableText0"/>
              <w:numPr>
                <w:ilvl w:val="0"/>
                <w:numId w:val="42"/>
              </w:numPr>
              <w:spacing w:after="0"/>
              <w:ind w:right="117"/>
              <w:jc w:val="left"/>
              <w:rPr>
                <w:snapToGrid w:val="0"/>
                <w:szCs w:val="20"/>
              </w:rPr>
            </w:pPr>
            <w:r w:rsidRPr="00DA3C6E">
              <w:rPr>
                <w:snapToGrid w:val="0"/>
                <w:szCs w:val="20"/>
              </w:rPr>
              <w:t>Headache, fever, or rash (8/18, 44.4%)</w:t>
            </w:r>
          </w:p>
          <w:p w14:paraId="41E6CDD4" w14:textId="77777777" w:rsidR="002D6035" w:rsidRPr="00DA3C6E" w:rsidRDefault="002D6035" w:rsidP="006D0966">
            <w:pPr>
              <w:pStyle w:val="TableText0"/>
              <w:numPr>
                <w:ilvl w:val="0"/>
                <w:numId w:val="42"/>
              </w:numPr>
              <w:spacing w:after="0"/>
              <w:ind w:right="117"/>
              <w:jc w:val="left"/>
              <w:rPr>
                <w:snapToGrid w:val="0"/>
                <w:szCs w:val="20"/>
              </w:rPr>
            </w:pPr>
            <w:r w:rsidRPr="00DA3C6E">
              <w:rPr>
                <w:snapToGrid w:val="0"/>
                <w:szCs w:val="20"/>
              </w:rPr>
              <w:t>Aseptic meningitis occurred (1/8, 12.5%)</w:t>
            </w:r>
          </w:p>
        </w:tc>
        <w:tc>
          <w:tcPr>
            <w:tcW w:w="657" w:type="dxa"/>
            <w:vAlign w:val="center"/>
          </w:tcPr>
          <w:p w14:paraId="4E730B44" w14:textId="5C92F652"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38" w:tooltip="Azulay, 1997 #5" w:history="1">
              <w:r w:rsidR="00C04BCE" w:rsidRPr="00DA3C6E">
                <w:rPr>
                  <w:noProof/>
                  <w:snapToGrid w:val="0"/>
                  <w:szCs w:val="20"/>
                </w:rPr>
                <w:t>38</w:t>
              </w:r>
            </w:hyperlink>
            <w:r w:rsidRPr="00DA3C6E">
              <w:rPr>
                <w:noProof/>
                <w:snapToGrid w:val="0"/>
                <w:szCs w:val="20"/>
              </w:rPr>
              <w:t>)</w:t>
            </w:r>
            <w:r w:rsidRPr="00DA3C6E">
              <w:rPr>
                <w:snapToGrid w:val="0"/>
                <w:szCs w:val="20"/>
              </w:rPr>
              <w:fldChar w:fldCharType="end"/>
            </w:r>
          </w:p>
        </w:tc>
      </w:tr>
      <w:tr w:rsidR="00C04BCE" w:rsidRPr="00DA3C6E" w14:paraId="7B9B32AE" w14:textId="77777777" w:rsidTr="006D0966">
        <w:trPr>
          <w:trHeight w:val="337"/>
        </w:trPr>
        <w:tc>
          <w:tcPr>
            <w:tcW w:w="1810" w:type="dxa"/>
            <w:shd w:val="clear" w:color="auto" w:fill="auto"/>
            <w:vAlign w:val="center"/>
          </w:tcPr>
          <w:p w14:paraId="1BFE7932" w14:textId="052F917B" w:rsidR="002D6035" w:rsidRPr="00DA3C6E" w:rsidRDefault="002D6035" w:rsidP="00C535CA">
            <w:pPr>
              <w:pStyle w:val="TableText0"/>
              <w:spacing w:after="0"/>
              <w:jc w:val="left"/>
              <w:rPr>
                <w:snapToGrid w:val="0"/>
                <w:szCs w:val="20"/>
              </w:rPr>
            </w:pPr>
            <w:r w:rsidRPr="00DA3C6E">
              <w:rPr>
                <w:snapToGrid w:val="0"/>
                <w:szCs w:val="20"/>
              </w:rPr>
              <w:t>Grehl et al. 1997</w:t>
            </w:r>
          </w:p>
        </w:tc>
        <w:tc>
          <w:tcPr>
            <w:tcW w:w="851" w:type="dxa"/>
            <w:vAlign w:val="center"/>
          </w:tcPr>
          <w:p w14:paraId="0C7C28D1"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7</w:t>
            </w:r>
          </w:p>
        </w:tc>
        <w:tc>
          <w:tcPr>
            <w:tcW w:w="5670" w:type="dxa"/>
            <w:vAlign w:val="center"/>
          </w:tcPr>
          <w:p w14:paraId="12368F81" w14:textId="77777777" w:rsidR="002D6035" w:rsidRPr="00DA3C6E" w:rsidRDefault="002D6035" w:rsidP="006D0966">
            <w:pPr>
              <w:pStyle w:val="TableText0"/>
              <w:spacing w:after="0"/>
              <w:ind w:right="117"/>
              <w:jc w:val="left"/>
              <w:rPr>
                <w:snapToGrid w:val="0"/>
                <w:szCs w:val="20"/>
              </w:rPr>
            </w:pPr>
            <w:r w:rsidRPr="00DA3C6E">
              <w:rPr>
                <w:snapToGrid w:val="0"/>
                <w:szCs w:val="20"/>
              </w:rPr>
              <w:t xml:space="preserve">No severe side effects were observed during a total of 529 months of therapy. </w:t>
            </w:r>
            <w:r w:rsidRPr="00DA3C6E">
              <w:rPr>
                <w:color w:val="000000"/>
                <w:szCs w:val="20"/>
              </w:rPr>
              <w:t xml:space="preserve">One patient suffered from headache and nausea for some hours after every </w:t>
            </w:r>
            <w:r w:rsidR="00E40EC1" w:rsidRPr="00DA3C6E">
              <w:rPr>
                <w:color w:val="000000"/>
                <w:szCs w:val="20"/>
              </w:rPr>
              <w:t>i</w:t>
            </w:r>
            <w:r w:rsidRPr="00DA3C6E">
              <w:rPr>
                <w:color w:val="000000"/>
                <w:szCs w:val="20"/>
              </w:rPr>
              <w:t>ntravenous Ig infusion.</w:t>
            </w:r>
          </w:p>
        </w:tc>
        <w:tc>
          <w:tcPr>
            <w:tcW w:w="657" w:type="dxa"/>
            <w:vAlign w:val="center"/>
          </w:tcPr>
          <w:p w14:paraId="522BF678" w14:textId="6F9AB29E"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39" w:tooltip="Grehl, 1997 #24" w:history="1">
              <w:r w:rsidR="00C04BCE" w:rsidRPr="00DA3C6E">
                <w:rPr>
                  <w:noProof/>
                  <w:snapToGrid w:val="0"/>
                  <w:szCs w:val="20"/>
                </w:rPr>
                <w:t>39</w:t>
              </w:r>
            </w:hyperlink>
            <w:r w:rsidRPr="00DA3C6E">
              <w:rPr>
                <w:noProof/>
                <w:snapToGrid w:val="0"/>
                <w:szCs w:val="20"/>
              </w:rPr>
              <w:t>)</w:t>
            </w:r>
            <w:r w:rsidRPr="00DA3C6E">
              <w:rPr>
                <w:snapToGrid w:val="0"/>
                <w:szCs w:val="20"/>
              </w:rPr>
              <w:fldChar w:fldCharType="end"/>
            </w:r>
          </w:p>
        </w:tc>
      </w:tr>
      <w:tr w:rsidR="00C04BCE" w:rsidRPr="00DA3C6E" w14:paraId="57196479" w14:textId="77777777" w:rsidTr="006D0966">
        <w:trPr>
          <w:trHeight w:val="337"/>
        </w:trPr>
        <w:tc>
          <w:tcPr>
            <w:tcW w:w="1810" w:type="dxa"/>
            <w:shd w:val="clear" w:color="auto" w:fill="auto"/>
            <w:vAlign w:val="center"/>
          </w:tcPr>
          <w:p w14:paraId="0BF43C4B" w14:textId="303AE61B" w:rsidR="002D6035" w:rsidRPr="00DA3C6E" w:rsidRDefault="002D6035" w:rsidP="00C535CA">
            <w:pPr>
              <w:spacing w:after="0" w:line="240" w:lineRule="auto"/>
              <w:jc w:val="left"/>
              <w:rPr>
                <w:rFonts w:ascii="Arial Narrow" w:hAnsi="Arial Narrow"/>
                <w:snapToGrid w:val="0"/>
                <w:sz w:val="20"/>
                <w:szCs w:val="20"/>
                <w:lang w:val="es-CL" w:eastAsia="en-US"/>
              </w:rPr>
            </w:pPr>
            <w:r w:rsidRPr="00DA3C6E">
              <w:rPr>
                <w:rFonts w:ascii="Arial Narrow" w:hAnsi="Arial Narrow"/>
                <w:snapToGrid w:val="0"/>
                <w:sz w:val="20"/>
                <w:szCs w:val="20"/>
                <w:lang w:val="es-CL" w:eastAsia="en-US"/>
              </w:rPr>
              <w:t>Van den Berg et al</w:t>
            </w:r>
            <w:r w:rsidR="00BE7F1B">
              <w:rPr>
                <w:rFonts w:ascii="Arial Narrow" w:hAnsi="Arial Narrow"/>
                <w:snapToGrid w:val="0"/>
                <w:sz w:val="20"/>
                <w:szCs w:val="20"/>
                <w:lang w:val="es-CL" w:eastAsia="en-US"/>
              </w:rPr>
              <w:t>.</w:t>
            </w:r>
            <w:r w:rsidRPr="00DA3C6E">
              <w:rPr>
                <w:rFonts w:ascii="Arial Narrow" w:hAnsi="Arial Narrow"/>
                <w:snapToGrid w:val="0"/>
                <w:sz w:val="20"/>
                <w:szCs w:val="20"/>
                <w:lang w:val="es-CL" w:eastAsia="en-US"/>
              </w:rPr>
              <w:t xml:space="preserve"> 1998</w:t>
            </w:r>
          </w:p>
        </w:tc>
        <w:tc>
          <w:tcPr>
            <w:tcW w:w="851" w:type="dxa"/>
            <w:vAlign w:val="center"/>
          </w:tcPr>
          <w:p w14:paraId="33B9BF1F"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7</w:t>
            </w:r>
          </w:p>
        </w:tc>
        <w:tc>
          <w:tcPr>
            <w:tcW w:w="5670" w:type="dxa"/>
            <w:vAlign w:val="center"/>
          </w:tcPr>
          <w:p w14:paraId="77E5D2BD" w14:textId="77777777" w:rsidR="002D6035" w:rsidRPr="00DA3C6E" w:rsidRDefault="002D6035" w:rsidP="006D0966">
            <w:pPr>
              <w:pStyle w:val="TableText0"/>
              <w:spacing w:after="0"/>
              <w:ind w:right="117"/>
              <w:jc w:val="left"/>
              <w:rPr>
                <w:snapToGrid w:val="0"/>
                <w:szCs w:val="20"/>
              </w:rPr>
            </w:pPr>
            <w:r w:rsidRPr="00DA3C6E">
              <w:rPr>
                <w:snapToGrid w:val="0"/>
                <w:szCs w:val="20"/>
              </w:rPr>
              <w:t xml:space="preserve">Adverse effects after a full </w:t>
            </w:r>
            <w:r w:rsidR="00E40EC1" w:rsidRPr="00DA3C6E">
              <w:rPr>
                <w:snapToGrid w:val="0"/>
                <w:szCs w:val="20"/>
              </w:rPr>
              <w:t>i</w:t>
            </w:r>
            <w:r w:rsidRPr="00DA3C6E">
              <w:rPr>
                <w:snapToGrid w:val="0"/>
                <w:szCs w:val="20"/>
              </w:rPr>
              <w:t xml:space="preserve">ntravenous Ig course were: </w:t>
            </w:r>
          </w:p>
          <w:p w14:paraId="46D28BA1"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Rash (2/7, 28.5%)</w:t>
            </w:r>
          </w:p>
          <w:p w14:paraId="164379C8"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Headache (2/7, 28.5%)</w:t>
            </w:r>
          </w:p>
          <w:p w14:paraId="35A39C6A"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Fever (1/7, 14.2%),</w:t>
            </w:r>
          </w:p>
          <w:p w14:paraId="60B44F2B" w14:textId="77777777" w:rsidR="002D6035" w:rsidRPr="00DA3C6E" w:rsidRDefault="002D6035" w:rsidP="006D0966">
            <w:pPr>
              <w:pStyle w:val="TableText0"/>
              <w:spacing w:after="0"/>
              <w:ind w:right="117"/>
              <w:jc w:val="left"/>
              <w:rPr>
                <w:snapToGrid w:val="0"/>
                <w:szCs w:val="20"/>
              </w:rPr>
            </w:pPr>
            <w:r w:rsidRPr="00DA3C6E">
              <w:rPr>
                <w:snapToGrid w:val="0"/>
                <w:szCs w:val="20"/>
              </w:rPr>
              <w:t xml:space="preserve">Adverse effects during continuing </w:t>
            </w:r>
            <w:r w:rsidR="00E40EC1" w:rsidRPr="00DA3C6E">
              <w:rPr>
                <w:snapToGrid w:val="0"/>
                <w:szCs w:val="20"/>
              </w:rPr>
              <w:t>i</w:t>
            </w:r>
            <w:r w:rsidRPr="00DA3C6E">
              <w:rPr>
                <w:snapToGrid w:val="0"/>
                <w:szCs w:val="20"/>
              </w:rPr>
              <w:t xml:space="preserve">ntravenous Ig treatment: </w:t>
            </w:r>
          </w:p>
          <w:p w14:paraId="004E1B76"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Rash (2/7, 28.5%)</w:t>
            </w:r>
          </w:p>
          <w:p w14:paraId="4F80347D"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Headache (1/7, 14.2%)</w:t>
            </w:r>
          </w:p>
          <w:p w14:paraId="046A8937"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Leukopenia (2/7, 28.5%)</w:t>
            </w:r>
          </w:p>
          <w:p w14:paraId="061EB0C4" w14:textId="77777777" w:rsidR="002D6035" w:rsidRPr="00DA3C6E" w:rsidRDefault="002D6035" w:rsidP="006D0966">
            <w:pPr>
              <w:pStyle w:val="TableText0"/>
              <w:numPr>
                <w:ilvl w:val="0"/>
                <w:numId w:val="41"/>
              </w:numPr>
              <w:spacing w:after="0"/>
              <w:ind w:right="117"/>
              <w:jc w:val="left"/>
              <w:rPr>
                <w:snapToGrid w:val="0"/>
                <w:szCs w:val="20"/>
              </w:rPr>
            </w:pPr>
            <w:r w:rsidRPr="00DA3C6E">
              <w:rPr>
                <w:snapToGrid w:val="0"/>
                <w:szCs w:val="20"/>
              </w:rPr>
              <w:t>Fatigue (1/7, 14.2%)</w:t>
            </w:r>
          </w:p>
          <w:p w14:paraId="62700201" w14:textId="77777777" w:rsidR="002D6035" w:rsidRPr="00DA3C6E" w:rsidRDefault="002D6035" w:rsidP="006D0966">
            <w:pPr>
              <w:pStyle w:val="TableText0"/>
              <w:spacing w:after="0"/>
              <w:ind w:right="117"/>
              <w:jc w:val="left"/>
              <w:rPr>
                <w:snapToGrid w:val="0"/>
                <w:szCs w:val="20"/>
              </w:rPr>
            </w:pPr>
            <w:r w:rsidRPr="00DA3C6E">
              <w:rPr>
                <w:snapToGrid w:val="0"/>
                <w:szCs w:val="20"/>
              </w:rPr>
              <w:t>One patient had a maculopapular rash on the trunk and distal limbs and another patient had an eczematous dermatitis on the palmar surface of the hands. In both patients the rash improved substantially after treatment with local corticosteroids but did not clear up completely during intravenous Ig infusions.</w:t>
            </w:r>
          </w:p>
        </w:tc>
        <w:tc>
          <w:tcPr>
            <w:tcW w:w="657" w:type="dxa"/>
            <w:vAlign w:val="center"/>
          </w:tcPr>
          <w:p w14:paraId="7E09C00B" w14:textId="1730CCF5"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29" w:tooltip="Van Den Berg, 1998 #66" w:history="1">
              <w:r w:rsidR="00C04BCE" w:rsidRPr="00DA3C6E">
                <w:rPr>
                  <w:noProof/>
                  <w:snapToGrid w:val="0"/>
                  <w:szCs w:val="20"/>
                </w:rPr>
                <w:t>29</w:t>
              </w:r>
            </w:hyperlink>
            <w:r w:rsidRPr="00DA3C6E">
              <w:rPr>
                <w:noProof/>
                <w:snapToGrid w:val="0"/>
                <w:szCs w:val="20"/>
              </w:rPr>
              <w:t>)</w:t>
            </w:r>
            <w:r w:rsidRPr="00DA3C6E">
              <w:rPr>
                <w:snapToGrid w:val="0"/>
                <w:szCs w:val="20"/>
              </w:rPr>
              <w:fldChar w:fldCharType="end"/>
            </w:r>
          </w:p>
        </w:tc>
      </w:tr>
      <w:tr w:rsidR="00C04BCE" w:rsidRPr="00DA3C6E" w14:paraId="0F670360" w14:textId="77777777" w:rsidTr="006D0966">
        <w:trPr>
          <w:trHeight w:val="337"/>
        </w:trPr>
        <w:tc>
          <w:tcPr>
            <w:tcW w:w="1810" w:type="dxa"/>
            <w:shd w:val="clear" w:color="auto" w:fill="auto"/>
            <w:vAlign w:val="center"/>
          </w:tcPr>
          <w:p w14:paraId="0430672D" w14:textId="29FC5538" w:rsidR="002D6035" w:rsidRPr="00DA3C6E" w:rsidRDefault="002D6035" w:rsidP="00C535CA">
            <w:pPr>
              <w:spacing w:after="0" w:line="240" w:lineRule="auto"/>
              <w:jc w:val="left"/>
              <w:rPr>
                <w:rFonts w:ascii="Arial Narrow" w:hAnsi="Arial Narrow"/>
                <w:snapToGrid w:val="0"/>
                <w:sz w:val="20"/>
                <w:szCs w:val="20"/>
                <w:lang w:val="es-CL" w:eastAsia="en-US"/>
              </w:rPr>
            </w:pPr>
            <w:r w:rsidRPr="00DA3C6E">
              <w:rPr>
                <w:rFonts w:ascii="Arial Narrow" w:hAnsi="Arial Narrow"/>
                <w:snapToGrid w:val="0"/>
                <w:sz w:val="20"/>
                <w:szCs w:val="20"/>
                <w:lang w:val="es-CL"/>
              </w:rPr>
              <w:t>Van den Berg et al. 2002</w:t>
            </w:r>
          </w:p>
        </w:tc>
        <w:tc>
          <w:tcPr>
            <w:tcW w:w="851" w:type="dxa"/>
            <w:vAlign w:val="center"/>
          </w:tcPr>
          <w:p w14:paraId="4FF2EE6E"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11</w:t>
            </w:r>
          </w:p>
        </w:tc>
        <w:tc>
          <w:tcPr>
            <w:tcW w:w="5670" w:type="dxa"/>
            <w:vAlign w:val="center"/>
          </w:tcPr>
          <w:p w14:paraId="35B1DDEF" w14:textId="77777777" w:rsidR="002D6035" w:rsidRPr="00DA3C6E" w:rsidRDefault="002D6035" w:rsidP="006D0966">
            <w:pPr>
              <w:pStyle w:val="TableText0"/>
              <w:spacing w:after="0"/>
              <w:ind w:right="117"/>
              <w:jc w:val="left"/>
              <w:rPr>
                <w:snapToGrid w:val="0"/>
                <w:szCs w:val="20"/>
              </w:rPr>
            </w:pPr>
            <w:r w:rsidRPr="00DA3C6E">
              <w:rPr>
                <w:snapToGrid w:val="0"/>
                <w:szCs w:val="20"/>
              </w:rPr>
              <w:t xml:space="preserve">Intravenous Ig was well tolerated in all patients over the years and side effects described previously (headache, rash, fatigue) and only caused minor inconvenience. </w:t>
            </w:r>
          </w:p>
        </w:tc>
        <w:tc>
          <w:tcPr>
            <w:tcW w:w="657" w:type="dxa"/>
            <w:vAlign w:val="center"/>
          </w:tcPr>
          <w:p w14:paraId="039BE9DA" w14:textId="6366E5ED"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30" w:tooltip="Van den Berg-Vos, 2002 #68" w:history="1">
              <w:r w:rsidR="00C04BCE" w:rsidRPr="00DA3C6E">
                <w:rPr>
                  <w:noProof/>
                  <w:snapToGrid w:val="0"/>
                  <w:szCs w:val="20"/>
                </w:rPr>
                <w:t>30</w:t>
              </w:r>
            </w:hyperlink>
            <w:r w:rsidRPr="00DA3C6E">
              <w:rPr>
                <w:noProof/>
                <w:snapToGrid w:val="0"/>
                <w:szCs w:val="20"/>
              </w:rPr>
              <w:t>)</w:t>
            </w:r>
            <w:r w:rsidRPr="00DA3C6E">
              <w:rPr>
                <w:snapToGrid w:val="0"/>
                <w:szCs w:val="20"/>
              </w:rPr>
              <w:fldChar w:fldCharType="end"/>
            </w:r>
          </w:p>
        </w:tc>
      </w:tr>
      <w:tr w:rsidR="00C04BCE" w:rsidRPr="00DA3C6E" w14:paraId="6F3373B3" w14:textId="77777777" w:rsidTr="006D0966">
        <w:trPr>
          <w:trHeight w:val="337"/>
        </w:trPr>
        <w:tc>
          <w:tcPr>
            <w:tcW w:w="1810" w:type="dxa"/>
            <w:shd w:val="clear" w:color="auto" w:fill="auto"/>
            <w:vAlign w:val="center"/>
          </w:tcPr>
          <w:p w14:paraId="7DF92FAC" w14:textId="189969D4"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t>Leger et al. 2008</w:t>
            </w:r>
          </w:p>
        </w:tc>
        <w:tc>
          <w:tcPr>
            <w:tcW w:w="851" w:type="dxa"/>
            <w:vAlign w:val="center"/>
          </w:tcPr>
          <w:p w14:paraId="5BA6C35B"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40</w:t>
            </w:r>
          </w:p>
        </w:tc>
        <w:tc>
          <w:tcPr>
            <w:tcW w:w="5670" w:type="dxa"/>
            <w:vAlign w:val="center"/>
          </w:tcPr>
          <w:p w14:paraId="27A16D3A" w14:textId="77777777" w:rsidR="002D6035" w:rsidRPr="00DA3C6E" w:rsidRDefault="002D6035" w:rsidP="006D0966">
            <w:pPr>
              <w:pStyle w:val="TableText0"/>
              <w:ind w:left="16" w:right="117"/>
              <w:jc w:val="left"/>
              <w:rPr>
                <w:snapToGrid w:val="0"/>
                <w:szCs w:val="20"/>
              </w:rPr>
            </w:pPr>
            <w:r w:rsidRPr="00DA3C6E">
              <w:rPr>
                <w:snapToGrid w:val="0"/>
                <w:szCs w:val="20"/>
              </w:rPr>
              <w:t>150 adverse effects observed in 32/40 (80%) patients.</w:t>
            </w:r>
          </w:p>
          <w:p w14:paraId="76E80483" w14:textId="77777777" w:rsidR="002D6035" w:rsidRPr="00DA3C6E" w:rsidRDefault="002D6035" w:rsidP="006D0966">
            <w:pPr>
              <w:pStyle w:val="TableText0"/>
              <w:ind w:left="16" w:right="117"/>
              <w:jc w:val="left"/>
              <w:rPr>
                <w:snapToGrid w:val="0"/>
                <w:szCs w:val="20"/>
              </w:rPr>
            </w:pPr>
            <w:r w:rsidRPr="00DA3C6E">
              <w:rPr>
                <w:snapToGrid w:val="0"/>
                <w:szCs w:val="20"/>
              </w:rPr>
              <w:t>These were in line with those previously described and only caused minor inconvenience.</w:t>
            </w:r>
            <w:r w:rsidRPr="00DA3C6E">
              <w:rPr>
                <w:snapToGrid w:val="0"/>
                <w:color w:val="FFFFFF" w:themeColor="background1"/>
                <w:szCs w:val="20"/>
              </w:rPr>
              <w:t xml:space="preserve"> inconvenience</w:t>
            </w:r>
          </w:p>
        </w:tc>
        <w:tc>
          <w:tcPr>
            <w:tcW w:w="657" w:type="dxa"/>
            <w:vAlign w:val="center"/>
          </w:tcPr>
          <w:p w14:paraId="3E020981" w14:textId="42337B03" w:rsidR="002D6035" w:rsidRPr="00DA3C6E" w:rsidRDefault="00DB568A" w:rsidP="00C04BCE">
            <w:pPr>
              <w:pStyle w:val="TableText0"/>
              <w:ind w:right="117"/>
              <w:jc w:val="center"/>
              <w:rPr>
                <w:snapToGrid w:val="0"/>
                <w:szCs w:val="20"/>
              </w:rPr>
            </w:pPr>
            <w:r w:rsidRPr="00DA3C6E">
              <w:rPr>
                <w:snapToGrid w:val="0"/>
                <w:szCs w:val="20"/>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19" w:tooltip="Leger, 2008 #40" w:history="1">
              <w:r w:rsidR="00C04BCE" w:rsidRPr="00DA3C6E">
                <w:rPr>
                  <w:noProof/>
                  <w:snapToGrid w:val="0"/>
                  <w:szCs w:val="20"/>
                </w:rPr>
                <w:t>19</w:t>
              </w:r>
            </w:hyperlink>
            <w:r w:rsidRPr="00DA3C6E">
              <w:rPr>
                <w:noProof/>
                <w:snapToGrid w:val="0"/>
                <w:szCs w:val="20"/>
              </w:rPr>
              <w:t>)</w:t>
            </w:r>
            <w:r w:rsidRPr="00DA3C6E">
              <w:rPr>
                <w:snapToGrid w:val="0"/>
                <w:szCs w:val="20"/>
              </w:rPr>
              <w:fldChar w:fldCharType="end"/>
            </w:r>
          </w:p>
        </w:tc>
      </w:tr>
      <w:tr w:rsidR="00C04BCE" w:rsidRPr="00DA3C6E" w14:paraId="3D50F988" w14:textId="77777777" w:rsidTr="006D0966">
        <w:trPr>
          <w:trHeight w:val="337"/>
        </w:trPr>
        <w:tc>
          <w:tcPr>
            <w:tcW w:w="1810" w:type="dxa"/>
            <w:shd w:val="clear" w:color="auto" w:fill="auto"/>
            <w:vAlign w:val="center"/>
          </w:tcPr>
          <w:p w14:paraId="23EA9211" w14:textId="11DC8DC4"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lastRenderedPageBreak/>
              <w:t>Baumann et al. 2009</w:t>
            </w:r>
          </w:p>
        </w:tc>
        <w:tc>
          <w:tcPr>
            <w:tcW w:w="851" w:type="dxa"/>
            <w:vAlign w:val="center"/>
          </w:tcPr>
          <w:p w14:paraId="78F24959"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9</w:t>
            </w:r>
          </w:p>
        </w:tc>
        <w:tc>
          <w:tcPr>
            <w:tcW w:w="5670" w:type="dxa"/>
            <w:vAlign w:val="center"/>
          </w:tcPr>
          <w:p w14:paraId="01F4DDDC" w14:textId="77777777" w:rsidR="002D6035" w:rsidRPr="00DA3C6E" w:rsidRDefault="002D6035" w:rsidP="006D0966">
            <w:pPr>
              <w:pStyle w:val="TableText0"/>
              <w:ind w:left="16" w:right="117"/>
              <w:jc w:val="left"/>
              <w:rPr>
                <w:snapToGrid w:val="0"/>
                <w:szCs w:val="20"/>
              </w:rPr>
            </w:pPr>
            <w:r w:rsidRPr="00DA3C6E">
              <w:rPr>
                <w:snapToGrid w:val="0"/>
                <w:szCs w:val="20"/>
              </w:rPr>
              <w:t xml:space="preserve">The following AEs were considered SAE: death, all events requiring hospitalization, myocardial infarction, stroke, thrombosis and embolic disease. </w:t>
            </w:r>
          </w:p>
          <w:p w14:paraId="29F00495" w14:textId="77777777" w:rsidR="002D6035" w:rsidRPr="00DA3C6E" w:rsidRDefault="002D6035" w:rsidP="006D0966">
            <w:pPr>
              <w:pStyle w:val="TableText0"/>
              <w:ind w:right="117"/>
              <w:jc w:val="left"/>
              <w:rPr>
                <w:snapToGrid w:val="0"/>
                <w:szCs w:val="20"/>
              </w:rPr>
            </w:pPr>
            <w:r w:rsidRPr="00DA3C6E">
              <w:rPr>
                <w:snapToGrid w:val="0"/>
                <w:szCs w:val="20"/>
              </w:rPr>
              <w:t>AEs:</w:t>
            </w:r>
          </w:p>
          <w:p w14:paraId="77ECA2CB"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Fatigue (5/9, 55.5%)</w:t>
            </w:r>
          </w:p>
          <w:p w14:paraId="4C2E2E58"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 xml:space="preserve">Headache (4/9, 44.4%), </w:t>
            </w:r>
          </w:p>
          <w:p w14:paraId="22B4D5B0"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Nausea (2/9, 22.2%)</w:t>
            </w:r>
          </w:p>
          <w:p w14:paraId="0E76941C"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Hypertension (2/9, 22.2%)</w:t>
            </w:r>
          </w:p>
          <w:p w14:paraId="761CC179"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Vertigo (1/9, 11.1%)</w:t>
            </w:r>
          </w:p>
          <w:p w14:paraId="48372DDA" w14:textId="77777777" w:rsidR="002D6035" w:rsidRPr="00DA3C6E" w:rsidRDefault="002D6035" w:rsidP="006D0966">
            <w:pPr>
              <w:pStyle w:val="TableText0"/>
              <w:numPr>
                <w:ilvl w:val="0"/>
                <w:numId w:val="48"/>
              </w:numPr>
              <w:ind w:right="117"/>
              <w:jc w:val="left"/>
              <w:rPr>
                <w:snapToGrid w:val="0"/>
                <w:szCs w:val="20"/>
              </w:rPr>
            </w:pPr>
            <w:r w:rsidRPr="00DA3C6E">
              <w:rPr>
                <w:snapToGrid w:val="0"/>
                <w:szCs w:val="20"/>
              </w:rPr>
              <w:t>Abdominal pain (1/9, 11.1%)</w:t>
            </w:r>
          </w:p>
          <w:p w14:paraId="07E6D772" w14:textId="77777777" w:rsidR="002D6035" w:rsidRPr="00DA3C6E" w:rsidRDefault="002D6035" w:rsidP="006D0966">
            <w:pPr>
              <w:pStyle w:val="TableText0"/>
              <w:ind w:left="16" w:right="117"/>
              <w:jc w:val="left"/>
              <w:rPr>
                <w:snapToGrid w:val="0"/>
                <w:szCs w:val="20"/>
              </w:rPr>
            </w:pPr>
            <w:r w:rsidRPr="00DA3C6E">
              <w:rPr>
                <w:snapToGrid w:val="0"/>
                <w:szCs w:val="20"/>
              </w:rPr>
              <w:t>SAE:</w:t>
            </w:r>
          </w:p>
          <w:p w14:paraId="3DE3DC53" w14:textId="77777777" w:rsidR="002D6035" w:rsidRPr="00DA3C6E" w:rsidRDefault="002D6035" w:rsidP="006D0966">
            <w:pPr>
              <w:pStyle w:val="TableText0"/>
              <w:numPr>
                <w:ilvl w:val="0"/>
                <w:numId w:val="49"/>
              </w:numPr>
              <w:ind w:right="117"/>
              <w:jc w:val="left"/>
              <w:rPr>
                <w:snapToGrid w:val="0"/>
                <w:szCs w:val="20"/>
              </w:rPr>
            </w:pPr>
            <w:r w:rsidRPr="00DA3C6E">
              <w:rPr>
                <w:snapToGrid w:val="0"/>
                <w:szCs w:val="20"/>
              </w:rPr>
              <w:t>Hospitalization due to infection of the IV line with septicaemia (1/9, 11.1%)</w:t>
            </w:r>
          </w:p>
          <w:p w14:paraId="6988208F" w14:textId="77777777" w:rsidR="002D6035" w:rsidRPr="00DA3C6E" w:rsidRDefault="002D6035" w:rsidP="006D0966">
            <w:pPr>
              <w:pStyle w:val="TableText0"/>
              <w:ind w:right="117"/>
              <w:jc w:val="left"/>
              <w:rPr>
                <w:snapToGrid w:val="0"/>
                <w:szCs w:val="20"/>
              </w:rPr>
            </w:pPr>
            <w:r w:rsidRPr="00DA3C6E">
              <w:rPr>
                <w:snapToGrid w:val="0"/>
                <w:szCs w:val="20"/>
              </w:rPr>
              <w:t xml:space="preserve">Treatment discontinuation due to AEs: </w:t>
            </w:r>
          </w:p>
          <w:p w14:paraId="265607EF" w14:textId="77777777" w:rsidR="002D6035" w:rsidRPr="00DA3C6E" w:rsidRDefault="00C6638C" w:rsidP="006D0966">
            <w:pPr>
              <w:pStyle w:val="TableText0"/>
              <w:numPr>
                <w:ilvl w:val="0"/>
                <w:numId w:val="49"/>
              </w:numPr>
              <w:ind w:right="117"/>
              <w:jc w:val="left"/>
              <w:rPr>
                <w:snapToGrid w:val="0"/>
                <w:szCs w:val="20"/>
              </w:rPr>
            </w:pPr>
            <w:r w:rsidRPr="00DA3C6E">
              <w:rPr>
                <w:snapToGrid w:val="0"/>
                <w:szCs w:val="20"/>
              </w:rPr>
              <w:t>Nausea</w:t>
            </w:r>
            <w:r w:rsidR="002D6035" w:rsidRPr="00DA3C6E">
              <w:rPr>
                <w:snapToGrid w:val="0"/>
                <w:szCs w:val="20"/>
              </w:rPr>
              <w:t xml:space="preserve"> (1/6, 16.6%). </w:t>
            </w:r>
          </w:p>
          <w:p w14:paraId="4D7B2A93" w14:textId="77777777" w:rsidR="002D6035" w:rsidRPr="00DA3C6E" w:rsidRDefault="002D6035" w:rsidP="00E40EC1">
            <w:pPr>
              <w:pStyle w:val="TableText0"/>
              <w:spacing w:after="0"/>
              <w:ind w:right="117"/>
              <w:jc w:val="left"/>
              <w:rPr>
                <w:snapToGrid w:val="0"/>
                <w:szCs w:val="20"/>
              </w:rPr>
            </w:pPr>
            <w:r w:rsidRPr="00DA3C6E">
              <w:rPr>
                <w:snapToGrid w:val="0"/>
                <w:szCs w:val="20"/>
              </w:rPr>
              <w:t xml:space="preserve">Overall in 35/48 (73%) of intravenous </w:t>
            </w:r>
            <w:r w:rsidR="00E40EC1" w:rsidRPr="00DA3C6E">
              <w:rPr>
                <w:snapToGrid w:val="0"/>
                <w:szCs w:val="20"/>
              </w:rPr>
              <w:t xml:space="preserve">Ig </w:t>
            </w:r>
            <w:r w:rsidRPr="00DA3C6E">
              <w:rPr>
                <w:snapToGrid w:val="0"/>
                <w:szCs w:val="20"/>
              </w:rPr>
              <w:t>cycles with increased dose at least one side effect was reported; in the 6 months before dose-increase at least one side effect was reported in 5/39 intravenous Ig cycles (13%).</w:t>
            </w:r>
          </w:p>
        </w:tc>
        <w:tc>
          <w:tcPr>
            <w:tcW w:w="657" w:type="dxa"/>
            <w:vAlign w:val="center"/>
          </w:tcPr>
          <w:p w14:paraId="091D1F93" w14:textId="2A26E3C2" w:rsidR="002D6035" w:rsidRPr="00DA3C6E" w:rsidRDefault="00DB568A" w:rsidP="00C04BCE">
            <w:pPr>
              <w:pStyle w:val="TableText0"/>
              <w:ind w:right="117"/>
              <w:jc w:val="center"/>
              <w:rPr>
                <w:snapToGrid w:val="0"/>
                <w:szCs w:val="20"/>
              </w:rPr>
            </w:pPr>
            <w:r w:rsidRPr="00DA3C6E">
              <w:rPr>
                <w:snapToGrid w:val="0"/>
                <w:szCs w:val="20"/>
              </w:rPr>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40" w:tooltip="Baumann, 2009 #7" w:history="1">
              <w:r w:rsidR="00C04BCE" w:rsidRPr="00DA3C6E">
                <w:rPr>
                  <w:noProof/>
                  <w:snapToGrid w:val="0"/>
                  <w:szCs w:val="20"/>
                </w:rPr>
                <w:t>40</w:t>
              </w:r>
            </w:hyperlink>
            <w:r w:rsidRPr="00DA3C6E">
              <w:rPr>
                <w:noProof/>
                <w:snapToGrid w:val="0"/>
                <w:szCs w:val="20"/>
              </w:rPr>
              <w:t>)</w:t>
            </w:r>
            <w:r w:rsidRPr="00DA3C6E">
              <w:rPr>
                <w:snapToGrid w:val="0"/>
                <w:szCs w:val="20"/>
              </w:rPr>
              <w:fldChar w:fldCharType="end"/>
            </w:r>
          </w:p>
        </w:tc>
      </w:tr>
      <w:tr w:rsidR="00C04BCE" w:rsidRPr="00DA3C6E" w14:paraId="648B11BB" w14:textId="77777777" w:rsidTr="006D0966">
        <w:trPr>
          <w:trHeight w:val="337"/>
        </w:trPr>
        <w:tc>
          <w:tcPr>
            <w:tcW w:w="1810" w:type="dxa"/>
            <w:shd w:val="clear" w:color="auto" w:fill="auto"/>
            <w:vAlign w:val="center"/>
          </w:tcPr>
          <w:p w14:paraId="6681B9E9" w14:textId="7E571CBE"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t>Cats et al. 2010</w:t>
            </w:r>
          </w:p>
        </w:tc>
        <w:tc>
          <w:tcPr>
            <w:tcW w:w="851" w:type="dxa"/>
            <w:vAlign w:val="center"/>
          </w:tcPr>
          <w:p w14:paraId="19C601E1"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88</w:t>
            </w:r>
          </w:p>
        </w:tc>
        <w:tc>
          <w:tcPr>
            <w:tcW w:w="5670" w:type="dxa"/>
            <w:vAlign w:val="center"/>
          </w:tcPr>
          <w:p w14:paraId="5C42CD3C" w14:textId="77777777" w:rsidR="002D6035" w:rsidRPr="00DA3C6E" w:rsidRDefault="002D6035" w:rsidP="006D0966">
            <w:pPr>
              <w:pStyle w:val="TableText0"/>
              <w:spacing w:after="0"/>
              <w:ind w:right="117"/>
              <w:jc w:val="left"/>
              <w:rPr>
                <w:snapToGrid w:val="0"/>
                <w:szCs w:val="20"/>
              </w:rPr>
            </w:pPr>
            <w:r w:rsidRPr="00DA3C6E">
              <w:rPr>
                <w:snapToGrid w:val="0"/>
                <w:szCs w:val="20"/>
              </w:rPr>
              <w:t xml:space="preserve">Treatment discontinuation due to AEs: severe erythema and thromboembolic complication (2/88, 2.3%) </w:t>
            </w:r>
          </w:p>
        </w:tc>
        <w:tc>
          <w:tcPr>
            <w:tcW w:w="657" w:type="dxa"/>
            <w:vAlign w:val="center"/>
          </w:tcPr>
          <w:p w14:paraId="09C84EFE" w14:textId="1EBB9552" w:rsidR="002D6035" w:rsidRPr="00DA3C6E" w:rsidRDefault="00DB568A" w:rsidP="00C04BCE">
            <w:pPr>
              <w:pStyle w:val="TableText0"/>
              <w:spacing w:after="0"/>
              <w:ind w:right="117"/>
              <w:jc w:val="center"/>
              <w:rPr>
                <w:snapToGrid w:val="0"/>
                <w:szCs w:val="20"/>
              </w:rPr>
            </w:pPr>
            <w:r w:rsidRPr="00DA3C6E">
              <w:rPr>
                <w:snapToGrid w:val="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14" w:tooltip="Cats, 2010 #13" w:history="1">
              <w:r w:rsidR="00C04BCE" w:rsidRPr="00DA3C6E">
                <w:rPr>
                  <w:noProof/>
                  <w:snapToGrid w:val="0"/>
                  <w:szCs w:val="20"/>
                </w:rPr>
                <w:t>14</w:t>
              </w:r>
            </w:hyperlink>
            <w:r w:rsidRPr="00DA3C6E">
              <w:rPr>
                <w:noProof/>
                <w:snapToGrid w:val="0"/>
                <w:szCs w:val="20"/>
              </w:rPr>
              <w:t>)</w:t>
            </w:r>
            <w:r w:rsidRPr="00DA3C6E">
              <w:rPr>
                <w:snapToGrid w:val="0"/>
                <w:szCs w:val="20"/>
              </w:rPr>
              <w:fldChar w:fldCharType="end"/>
            </w:r>
          </w:p>
        </w:tc>
      </w:tr>
      <w:tr w:rsidR="00C04BCE" w:rsidRPr="00DA3C6E" w14:paraId="0D5B5AE8" w14:textId="77777777" w:rsidTr="006D0966">
        <w:trPr>
          <w:trHeight w:val="337"/>
        </w:trPr>
        <w:tc>
          <w:tcPr>
            <w:tcW w:w="1810" w:type="dxa"/>
            <w:shd w:val="clear" w:color="auto" w:fill="auto"/>
            <w:vAlign w:val="center"/>
          </w:tcPr>
          <w:p w14:paraId="46341A42" w14:textId="29F85B35"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t>Nobile-Orazio 2017</w:t>
            </w:r>
          </w:p>
        </w:tc>
        <w:tc>
          <w:tcPr>
            <w:tcW w:w="851" w:type="dxa"/>
            <w:vAlign w:val="center"/>
          </w:tcPr>
          <w:p w14:paraId="57E04252"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20</w:t>
            </w:r>
          </w:p>
        </w:tc>
        <w:tc>
          <w:tcPr>
            <w:tcW w:w="5670" w:type="dxa"/>
            <w:vAlign w:val="center"/>
          </w:tcPr>
          <w:p w14:paraId="515D36A7" w14:textId="77777777" w:rsidR="002D6035" w:rsidRPr="00DA3C6E" w:rsidRDefault="002D6035" w:rsidP="006D0966">
            <w:pPr>
              <w:pStyle w:val="TableText0"/>
              <w:ind w:left="16" w:right="117"/>
              <w:jc w:val="left"/>
              <w:rPr>
                <w:snapToGrid w:val="0"/>
                <w:szCs w:val="20"/>
              </w:rPr>
            </w:pPr>
            <w:r w:rsidRPr="00DA3C6E">
              <w:rPr>
                <w:snapToGrid w:val="0"/>
                <w:szCs w:val="20"/>
              </w:rPr>
              <w:t xml:space="preserve">All reported adverse drug reactions (ADR) were mild, transient and possibly related to the study drug: </w:t>
            </w:r>
          </w:p>
          <w:p w14:paraId="00068FF8" w14:textId="77777777" w:rsidR="002D6035" w:rsidRPr="00DA3C6E" w:rsidRDefault="002D6035" w:rsidP="006D0966">
            <w:pPr>
              <w:pStyle w:val="TableText0"/>
              <w:ind w:left="16" w:right="117"/>
              <w:jc w:val="left"/>
              <w:rPr>
                <w:snapToGrid w:val="0"/>
                <w:szCs w:val="20"/>
              </w:rPr>
            </w:pPr>
            <w:r w:rsidRPr="00DA3C6E">
              <w:rPr>
                <w:snapToGrid w:val="0"/>
                <w:szCs w:val="20"/>
              </w:rPr>
              <w:t xml:space="preserve">All ADRs (4/20, 20%): </w:t>
            </w:r>
          </w:p>
          <w:p w14:paraId="16CDD4C5" w14:textId="77777777" w:rsidR="002D6035" w:rsidRPr="00DA3C6E" w:rsidRDefault="002D6035" w:rsidP="006D0966">
            <w:pPr>
              <w:pStyle w:val="TableText0"/>
              <w:numPr>
                <w:ilvl w:val="0"/>
                <w:numId w:val="47"/>
              </w:numPr>
              <w:ind w:right="117"/>
              <w:jc w:val="left"/>
              <w:rPr>
                <w:snapToGrid w:val="0"/>
                <w:szCs w:val="20"/>
              </w:rPr>
            </w:pPr>
            <w:r w:rsidRPr="00DA3C6E">
              <w:rPr>
                <w:snapToGrid w:val="0"/>
                <w:szCs w:val="20"/>
              </w:rPr>
              <w:t>Headache (3/20, 15%)</w:t>
            </w:r>
          </w:p>
          <w:p w14:paraId="71683B78" w14:textId="77777777" w:rsidR="002D6035" w:rsidRPr="00DA3C6E" w:rsidRDefault="002D6035" w:rsidP="006D0966">
            <w:pPr>
              <w:pStyle w:val="TableText0"/>
              <w:numPr>
                <w:ilvl w:val="0"/>
                <w:numId w:val="47"/>
              </w:numPr>
              <w:ind w:right="117"/>
              <w:jc w:val="left"/>
              <w:rPr>
                <w:snapToGrid w:val="0"/>
                <w:szCs w:val="20"/>
              </w:rPr>
            </w:pPr>
            <w:r w:rsidRPr="00DA3C6E">
              <w:rPr>
                <w:snapToGrid w:val="0"/>
                <w:szCs w:val="20"/>
              </w:rPr>
              <w:t>Fever (1/20, 5%)</w:t>
            </w:r>
          </w:p>
          <w:p w14:paraId="46BE510A" w14:textId="77777777" w:rsidR="002D6035" w:rsidRPr="00DA3C6E" w:rsidRDefault="002D6035" w:rsidP="006D0966">
            <w:pPr>
              <w:pStyle w:val="TableText0"/>
              <w:spacing w:after="0"/>
              <w:ind w:right="117"/>
              <w:jc w:val="left"/>
              <w:rPr>
                <w:snapToGrid w:val="0"/>
                <w:szCs w:val="20"/>
              </w:rPr>
            </w:pPr>
            <w:r w:rsidRPr="00DA3C6E">
              <w:rPr>
                <w:snapToGrid w:val="0"/>
                <w:szCs w:val="20"/>
              </w:rPr>
              <w:t>There were no SAE or unexpected ADRs.</w:t>
            </w:r>
          </w:p>
        </w:tc>
        <w:tc>
          <w:tcPr>
            <w:tcW w:w="657" w:type="dxa"/>
            <w:vAlign w:val="center"/>
          </w:tcPr>
          <w:p w14:paraId="0E37CA5F" w14:textId="24466EEF" w:rsidR="002D6035" w:rsidRPr="00DA3C6E" w:rsidRDefault="00DB568A" w:rsidP="00C04BCE">
            <w:pPr>
              <w:pStyle w:val="TableText0"/>
              <w:ind w:right="117"/>
              <w:jc w:val="center"/>
              <w:rPr>
                <w:snapToGrid w:val="0"/>
                <w:szCs w:val="20"/>
              </w:rPr>
            </w:pPr>
            <w:r w:rsidRPr="00DA3C6E">
              <w:rPr>
                <w:snapToGrid w:val="0"/>
                <w:szCs w:val="20"/>
              </w:rPr>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41" w:tooltip="Nobile-Orazio, 2017 #50" w:history="1">
              <w:r w:rsidR="00C04BCE" w:rsidRPr="00DA3C6E">
                <w:rPr>
                  <w:noProof/>
                  <w:snapToGrid w:val="0"/>
                  <w:szCs w:val="20"/>
                </w:rPr>
                <w:t>41</w:t>
              </w:r>
            </w:hyperlink>
            <w:r w:rsidRPr="00DA3C6E">
              <w:rPr>
                <w:noProof/>
                <w:snapToGrid w:val="0"/>
                <w:szCs w:val="20"/>
              </w:rPr>
              <w:t>)</w:t>
            </w:r>
            <w:r w:rsidRPr="00DA3C6E">
              <w:rPr>
                <w:snapToGrid w:val="0"/>
                <w:szCs w:val="20"/>
              </w:rPr>
              <w:fldChar w:fldCharType="end"/>
            </w:r>
          </w:p>
        </w:tc>
      </w:tr>
      <w:tr w:rsidR="00C04BCE" w:rsidRPr="00DA3C6E" w14:paraId="22950CBA" w14:textId="77777777" w:rsidTr="006D0966">
        <w:trPr>
          <w:trHeight w:val="337"/>
        </w:trPr>
        <w:tc>
          <w:tcPr>
            <w:tcW w:w="1810" w:type="dxa"/>
            <w:shd w:val="clear" w:color="auto" w:fill="auto"/>
            <w:vAlign w:val="center"/>
          </w:tcPr>
          <w:p w14:paraId="04BB3932" w14:textId="0A20E4C0"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t>Kuwabara et al. 2018</w:t>
            </w:r>
          </w:p>
        </w:tc>
        <w:tc>
          <w:tcPr>
            <w:tcW w:w="851" w:type="dxa"/>
            <w:vAlign w:val="center"/>
          </w:tcPr>
          <w:p w14:paraId="1D8DEE82"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13</w:t>
            </w:r>
          </w:p>
        </w:tc>
        <w:tc>
          <w:tcPr>
            <w:tcW w:w="5670" w:type="dxa"/>
            <w:vAlign w:val="center"/>
          </w:tcPr>
          <w:p w14:paraId="6903C5AB" w14:textId="77777777" w:rsidR="002D6035" w:rsidRPr="00DA3C6E" w:rsidRDefault="002D6035" w:rsidP="006D0966">
            <w:pPr>
              <w:pStyle w:val="TableText0"/>
              <w:ind w:left="16" w:right="117"/>
              <w:jc w:val="left"/>
              <w:rPr>
                <w:snapToGrid w:val="0"/>
                <w:szCs w:val="20"/>
              </w:rPr>
            </w:pPr>
            <w:r w:rsidRPr="00DA3C6E">
              <w:rPr>
                <w:snapToGrid w:val="0"/>
                <w:szCs w:val="20"/>
              </w:rPr>
              <w:t>AEs (12/13, 92.3%):</w:t>
            </w:r>
          </w:p>
          <w:p w14:paraId="50C32629" w14:textId="77777777" w:rsidR="002D6035" w:rsidRPr="00DA3C6E" w:rsidRDefault="002D6035" w:rsidP="006D0966">
            <w:pPr>
              <w:pStyle w:val="TableText0"/>
              <w:numPr>
                <w:ilvl w:val="0"/>
                <w:numId w:val="46"/>
              </w:numPr>
              <w:ind w:right="117"/>
              <w:jc w:val="left"/>
              <w:rPr>
                <w:snapToGrid w:val="0"/>
                <w:szCs w:val="20"/>
              </w:rPr>
            </w:pPr>
            <w:r w:rsidRPr="00DA3C6E">
              <w:rPr>
                <w:snapToGrid w:val="0"/>
                <w:szCs w:val="20"/>
              </w:rPr>
              <w:t>Nasopharyngitis (5/13, 38.5%)</w:t>
            </w:r>
          </w:p>
          <w:p w14:paraId="699BC217" w14:textId="77777777" w:rsidR="002D6035" w:rsidRPr="00DA3C6E" w:rsidRDefault="002D6035" w:rsidP="006D0966">
            <w:pPr>
              <w:pStyle w:val="TableText0"/>
              <w:numPr>
                <w:ilvl w:val="0"/>
                <w:numId w:val="46"/>
              </w:numPr>
              <w:ind w:right="117"/>
              <w:jc w:val="left"/>
              <w:rPr>
                <w:snapToGrid w:val="0"/>
                <w:szCs w:val="20"/>
              </w:rPr>
            </w:pPr>
            <w:r w:rsidRPr="00DA3C6E">
              <w:rPr>
                <w:snapToGrid w:val="0"/>
                <w:szCs w:val="20"/>
              </w:rPr>
              <w:t>Headache (3/13, 23.1%)</w:t>
            </w:r>
          </w:p>
          <w:p w14:paraId="1771EC56" w14:textId="77777777" w:rsidR="002D6035" w:rsidRPr="00DA3C6E" w:rsidRDefault="002D6035" w:rsidP="006D0966">
            <w:pPr>
              <w:pStyle w:val="TableText0"/>
              <w:numPr>
                <w:ilvl w:val="0"/>
                <w:numId w:val="46"/>
              </w:numPr>
              <w:ind w:right="117"/>
              <w:jc w:val="left"/>
              <w:rPr>
                <w:snapToGrid w:val="0"/>
                <w:szCs w:val="20"/>
              </w:rPr>
            </w:pPr>
            <w:r w:rsidRPr="00DA3C6E">
              <w:rPr>
                <w:snapToGrid w:val="0"/>
                <w:szCs w:val="20"/>
              </w:rPr>
              <w:t>Contusion (3/13, 23.1%)</w:t>
            </w:r>
          </w:p>
          <w:p w14:paraId="08845C03" w14:textId="77777777" w:rsidR="002D6035" w:rsidRPr="00DA3C6E" w:rsidRDefault="002D6035" w:rsidP="006D0966">
            <w:pPr>
              <w:pStyle w:val="TableText0"/>
              <w:ind w:right="117"/>
              <w:jc w:val="left"/>
              <w:rPr>
                <w:snapToGrid w:val="0"/>
                <w:szCs w:val="20"/>
              </w:rPr>
            </w:pPr>
            <w:r w:rsidRPr="00DA3C6E">
              <w:rPr>
                <w:snapToGrid w:val="0"/>
                <w:szCs w:val="20"/>
              </w:rPr>
              <w:t xml:space="preserve">ADR (9/13, 69.2%). </w:t>
            </w:r>
          </w:p>
          <w:p w14:paraId="58CA9E7A" w14:textId="6A501414" w:rsidR="002D6035" w:rsidRPr="00DA3C6E" w:rsidRDefault="002D6035" w:rsidP="006D0966">
            <w:pPr>
              <w:pStyle w:val="TableText0"/>
              <w:ind w:left="16" w:right="117"/>
              <w:jc w:val="left"/>
              <w:rPr>
                <w:snapToGrid w:val="0"/>
                <w:szCs w:val="20"/>
              </w:rPr>
            </w:pPr>
            <w:r w:rsidRPr="00DA3C6E">
              <w:rPr>
                <w:snapToGrid w:val="0"/>
                <w:szCs w:val="20"/>
              </w:rPr>
              <w:t xml:space="preserve">SAEs (3/13, 23.1%), none </w:t>
            </w:r>
            <w:r w:rsidR="009A4E4F" w:rsidRPr="00DA3C6E">
              <w:rPr>
                <w:snapToGrid w:val="0"/>
                <w:szCs w:val="20"/>
              </w:rPr>
              <w:t xml:space="preserve">were </w:t>
            </w:r>
            <w:r w:rsidRPr="00DA3C6E">
              <w:rPr>
                <w:snapToGrid w:val="0"/>
                <w:szCs w:val="20"/>
              </w:rPr>
              <w:t xml:space="preserve">considered to relate </w:t>
            </w:r>
            <w:r w:rsidR="009A4E4F" w:rsidRPr="00DA3C6E">
              <w:rPr>
                <w:snapToGrid w:val="0"/>
                <w:szCs w:val="20"/>
              </w:rPr>
              <w:t xml:space="preserve">to </w:t>
            </w:r>
            <w:r w:rsidR="00E40EC1" w:rsidRPr="00DA3C6E">
              <w:rPr>
                <w:snapToGrid w:val="0"/>
                <w:szCs w:val="20"/>
              </w:rPr>
              <w:t>i</w:t>
            </w:r>
            <w:r w:rsidRPr="00DA3C6E">
              <w:rPr>
                <w:snapToGrid w:val="0"/>
                <w:szCs w:val="20"/>
              </w:rPr>
              <w:t>ntravenous Ig.</w:t>
            </w:r>
          </w:p>
          <w:p w14:paraId="702EA1C8" w14:textId="77777777" w:rsidR="002D6035" w:rsidRPr="00DA3C6E" w:rsidRDefault="002D6035" w:rsidP="006D0966">
            <w:pPr>
              <w:pStyle w:val="TableText0"/>
              <w:numPr>
                <w:ilvl w:val="0"/>
                <w:numId w:val="45"/>
              </w:numPr>
              <w:ind w:right="117"/>
              <w:jc w:val="left"/>
              <w:rPr>
                <w:snapToGrid w:val="0"/>
                <w:szCs w:val="20"/>
              </w:rPr>
            </w:pPr>
            <w:r w:rsidRPr="00DA3C6E">
              <w:rPr>
                <w:snapToGrid w:val="0"/>
                <w:szCs w:val="20"/>
              </w:rPr>
              <w:t>Coronary artery stenosis (1/13, 7.7%)</w:t>
            </w:r>
          </w:p>
          <w:p w14:paraId="48017256" w14:textId="77777777" w:rsidR="002D6035" w:rsidRPr="00DA3C6E" w:rsidRDefault="002D6035" w:rsidP="006D0966">
            <w:pPr>
              <w:pStyle w:val="TableText0"/>
              <w:numPr>
                <w:ilvl w:val="0"/>
                <w:numId w:val="45"/>
              </w:numPr>
              <w:ind w:right="117"/>
              <w:jc w:val="left"/>
              <w:rPr>
                <w:snapToGrid w:val="0"/>
                <w:szCs w:val="20"/>
              </w:rPr>
            </w:pPr>
            <w:r w:rsidRPr="00DA3C6E">
              <w:rPr>
                <w:snapToGrid w:val="0"/>
                <w:szCs w:val="20"/>
              </w:rPr>
              <w:t>Dysphagia (1/13, 7.7%)</w:t>
            </w:r>
          </w:p>
          <w:p w14:paraId="7A8C30AB" w14:textId="77777777" w:rsidR="002D6035" w:rsidRPr="00DA3C6E" w:rsidRDefault="002D6035" w:rsidP="006D0966">
            <w:pPr>
              <w:pStyle w:val="TableText0"/>
              <w:numPr>
                <w:ilvl w:val="0"/>
                <w:numId w:val="45"/>
              </w:numPr>
              <w:ind w:right="117"/>
              <w:jc w:val="left"/>
              <w:rPr>
                <w:snapToGrid w:val="0"/>
                <w:szCs w:val="20"/>
              </w:rPr>
            </w:pPr>
            <w:r w:rsidRPr="00DA3C6E">
              <w:rPr>
                <w:snapToGrid w:val="0"/>
                <w:szCs w:val="20"/>
              </w:rPr>
              <w:t>Inguinal hernia (1/13, 7.7%)</w:t>
            </w:r>
          </w:p>
          <w:p w14:paraId="6F3411BF" w14:textId="77777777" w:rsidR="002D6035" w:rsidRPr="00DA3C6E" w:rsidRDefault="002D6035" w:rsidP="006D0966">
            <w:pPr>
              <w:pStyle w:val="TableText0"/>
              <w:ind w:right="117"/>
              <w:jc w:val="left"/>
              <w:rPr>
                <w:snapToGrid w:val="0"/>
                <w:szCs w:val="20"/>
              </w:rPr>
            </w:pPr>
            <w:r w:rsidRPr="00DA3C6E">
              <w:rPr>
                <w:snapToGrid w:val="0"/>
                <w:szCs w:val="20"/>
              </w:rPr>
              <w:t xml:space="preserve">Treatment </w:t>
            </w:r>
            <w:r w:rsidR="00074033" w:rsidRPr="00DA3C6E">
              <w:rPr>
                <w:snapToGrid w:val="0"/>
                <w:szCs w:val="20"/>
              </w:rPr>
              <w:t>d</w:t>
            </w:r>
            <w:r w:rsidRPr="00DA3C6E">
              <w:rPr>
                <w:snapToGrid w:val="0"/>
                <w:szCs w:val="20"/>
              </w:rPr>
              <w:t xml:space="preserve">iscontinuations due to AEs (2/13, 15.3%):  dysphagia and decision of the investigator (slight decline of muscle strength). </w:t>
            </w:r>
          </w:p>
          <w:p w14:paraId="3B99AF84" w14:textId="77777777" w:rsidR="002D6035" w:rsidRPr="00DA3C6E" w:rsidRDefault="002D6035" w:rsidP="006D0966">
            <w:pPr>
              <w:pStyle w:val="TableText0"/>
              <w:ind w:right="117"/>
              <w:jc w:val="left"/>
              <w:rPr>
                <w:snapToGrid w:val="0"/>
                <w:szCs w:val="20"/>
              </w:rPr>
            </w:pPr>
            <w:r w:rsidRPr="00DA3C6E">
              <w:rPr>
                <w:snapToGrid w:val="0"/>
                <w:szCs w:val="20"/>
              </w:rPr>
              <w:t>No death occurred during the study.</w:t>
            </w:r>
          </w:p>
        </w:tc>
        <w:tc>
          <w:tcPr>
            <w:tcW w:w="657" w:type="dxa"/>
            <w:vAlign w:val="center"/>
          </w:tcPr>
          <w:p w14:paraId="11EF40C9" w14:textId="3BBA35D6" w:rsidR="002D6035" w:rsidRPr="00DA3C6E" w:rsidRDefault="00DB568A" w:rsidP="00C04BCE">
            <w:pPr>
              <w:pStyle w:val="TableText0"/>
              <w:ind w:right="117"/>
              <w:jc w:val="center"/>
              <w:rPr>
                <w:snapToGrid w:val="0"/>
                <w:szCs w:val="20"/>
              </w:rPr>
            </w:pPr>
            <w:r w:rsidRPr="00DA3C6E">
              <w:rPr>
                <w:snapToGrid w:val="0"/>
                <w:szCs w:val="20"/>
              </w:rPr>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32" w:tooltip="Kuwabara, 2018 #37" w:history="1">
              <w:r w:rsidR="00C04BCE" w:rsidRPr="00DA3C6E">
                <w:rPr>
                  <w:noProof/>
                  <w:snapToGrid w:val="0"/>
                  <w:szCs w:val="20"/>
                </w:rPr>
                <w:t>32</w:t>
              </w:r>
            </w:hyperlink>
            <w:r w:rsidRPr="00DA3C6E">
              <w:rPr>
                <w:noProof/>
                <w:snapToGrid w:val="0"/>
                <w:szCs w:val="20"/>
              </w:rPr>
              <w:t>)</w:t>
            </w:r>
            <w:r w:rsidRPr="00DA3C6E">
              <w:rPr>
                <w:snapToGrid w:val="0"/>
                <w:szCs w:val="20"/>
              </w:rPr>
              <w:fldChar w:fldCharType="end"/>
            </w:r>
          </w:p>
        </w:tc>
      </w:tr>
      <w:tr w:rsidR="00C04BCE" w:rsidRPr="00DA3C6E" w14:paraId="4976A2FE" w14:textId="77777777" w:rsidTr="006D0966">
        <w:trPr>
          <w:trHeight w:val="337"/>
        </w:trPr>
        <w:tc>
          <w:tcPr>
            <w:tcW w:w="1810" w:type="dxa"/>
            <w:shd w:val="clear" w:color="auto" w:fill="auto"/>
            <w:vAlign w:val="center"/>
          </w:tcPr>
          <w:p w14:paraId="4B160DC4" w14:textId="616EEAAB"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lastRenderedPageBreak/>
              <w:t>Not et al. 2012</w:t>
            </w:r>
            <w:r w:rsidR="00BE7F1B" w:rsidRPr="00DA3C6E">
              <w:rPr>
                <w:rFonts w:ascii="Arial Narrow" w:hAnsi="Arial Narrow"/>
                <w:snapToGrid w:val="0"/>
                <w:sz w:val="20"/>
                <w:szCs w:val="20"/>
                <w:vertAlign w:val="superscript"/>
              </w:rPr>
              <w:t>1,2</w:t>
            </w:r>
          </w:p>
        </w:tc>
        <w:tc>
          <w:tcPr>
            <w:tcW w:w="851" w:type="dxa"/>
            <w:vAlign w:val="center"/>
          </w:tcPr>
          <w:p w14:paraId="281AFC02"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30</w:t>
            </w:r>
          </w:p>
        </w:tc>
        <w:tc>
          <w:tcPr>
            <w:tcW w:w="5670" w:type="dxa"/>
            <w:vAlign w:val="center"/>
          </w:tcPr>
          <w:p w14:paraId="2E42B078" w14:textId="77777777" w:rsidR="002D6035" w:rsidRPr="00DA3C6E" w:rsidRDefault="002D6035" w:rsidP="006D0966">
            <w:pPr>
              <w:pStyle w:val="TableText0"/>
              <w:ind w:right="117"/>
              <w:jc w:val="left"/>
              <w:rPr>
                <w:snapToGrid w:val="0"/>
                <w:szCs w:val="20"/>
              </w:rPr>
            </w:pPr>
            <w:r w:rsidRPr="00DA3C6E">
              <w:rPr>
                <w:snapToGrid w:val="0"/>
                <w:szCs w:val="20"/>
              </w:rPr>
              <w:t>At least one adverse effect occurred in 27 patients (90%) representing 183 infusions (43%).</w:t>
            </w:r>
          </w:p>
          <w:p w14:paraId="4F78B9F8" w14:textId="77777777" w:rsidR="002D6035" w:rsidRPr="00DA3C6E" w:rsidRDefault="002D6035" w:rsidP="006D0966">
            <w:pPr>
              <w:pStyle w:val="TableText0"/>
              <w:ind w:right="117"/>
              <w:jc w:val="left"/>
              <w:rPr>
                <w:snapToGrid w:val="0"/>
                <w:szCs w:val="20"/>
              </w:rPr>
            </w:pPr>
            <w:r w:rsidRPr="00DA3C6E">
              <w:rPr>
                <w:snapToGrid w:val="0"/>
                <w:szCs w:val="20"/>
              </w:rPr>
              <w:t xml:space="preserve">The most common AEs: </w:t>
            </w:r>
          </w:p>
          <w:p w14:paraId="658338C8" w14:textId="2D685E63" w:rsidR="002D6035" w:rsidRPr="00DA3C6E" w:rsidRDefault="002D6035" w:rsidP="006D0966">
            <w:pPr>
              <w:pStyle w:val="TableText0"/>
              <w:numPr>
                <w:ilvl w:val="0"/>
                <w:numId w:val="44"/>
              </w:numPr>
              <w:ind w:right="117"/>
              <w:jc w:val="left"/>
              <w:rPr>
                <w:snapToGrid w:val="0"/>
                <w:szCs w:val="20"/>
              </w:rPr>
            </w:pPr>
            <w:r w:rsidRPr="00DA3C6E">
              <w:rPr>
                <w:snapToGrid w:val="0"/>
                <w:szCs w:val="20"/>
              </w:rPr>
              <w:t xml:space="preserve">Hypertension 24/30 (80%; 131 infusions = 31%) requiring transient antihypertensive therapy in six </w:t>
            </w:r>
            <w:r w:rsidR="009A4E4F" w:rsidRPr="00DA3C6E">
              <w:rPr>
                <w:snapToGrid w:val="0"/>
                <w:szCs w:val="20"/>
              </w:rPr>
              <w:t>studies</w:t>
            </w:r>
            <w:r w:rsidRPr="00DA3C6E">
              <w:rPr>
                <w:snapToGrid w:val="0"/>
                <w:szCs w:val="20"/>
              </w:rPr>
              <w:t xml:space="preserve">. 80% of these patients did not have prior high blood pressure. </w:t>
            </w:r>
          </w:p>
          <w:p w14:paraId="76263AC0" w14:textId="1525F1BF" w:rsidR="002D6035" w:rsidRPr="00DA3C6E" w:rsidRDefault="002D6035" w:rsidP="006D0966">
            <w:pPr>
              <w:pStyle w:val="TableText0"/>
              <w:ind w:right="117"/>
              <w:jc w:val="left"/>
              <w:rPr>
                <w:snapToGrid w:val="0"/>
                <w:szCs w:val="20"/>
              </w:rPr>
            </w:pPr>
            <w:r w:rsidRPr="00DA3C6E">
              <w:rPr>
                <w:snapToGrid w:val="0"/>
                <w:szCs w:val="20"/>
              </w:rPr>
              <w:t>Other minor side effects included:</w:t>
            </w:r>
          </w:p>
          <w:p w14:paraId="33A8DFBF" w14:textId="77777777" w:rsidR="002D6035" w:rsidRPr="00DA3C6E" w:rsidRDefault="002D6035" w:rsidP="006D0966">
            <w:pPr>
              <w:pStyle w:val="TableText0"/>
              <w:numPr>
                <w:ilvl w:val="0"/>
                <w:numId w:val="44"/>
              </w:numPr>
              <w:ind w:right="117"/>
              <w:jc w:val="left"/>
              <w:rPr>
                <w:snapToGrid w:val="0"/>
                <w:szCs w:val="20"/>
              </w:rPr>
            </w:pPr>
            <w:r w:rsidRPr="00DA3C6E">
              <w:rPr>
                <w:snapToGrid w:val="0"/>
                <w:szCs w:val="20"/>
              </w:rPr>
              <w:t>Headache 9/30 (30%; 49 infusions: 11.4%),</w:t>
            </w:r>
          </w:p>
          <w:p w14:paraId="709C6FEF" w14:textId="77777777" w:rsidR="002D6035" w:rsidRPr="00DA3C6E" w:rsidRDefault="002D6035" w:rsidP="006D0966">
            <w:pPr>
              <w:pStyle w:val="TableText0"/>
              <w:numPr>
                <w:ilvl w:val="0"/>
                <w:numId w:val="44"/>
              </w:numPr>
              <w:ind w:right="117"/>
              <w:jc w:val="left"/>
              <w:rPr>
                <w:snapToGrid w:val="0"/>
                <w:szCs w:val="20"/>
              </w:rPr>
            </w:pPr>
            <w:r w:rsidRPr="00DA3C6E">
              <w:rPr>
                <w:snapToGrid w:val="0"/>
                <w:szCs w:val="20"/>
              </w:rPr>
              <w:t>Minor eczema type skin reactions 5/30 (16%, 20 infusions: 4.7%).</w:t>
            </w:r>
          </w:p>
          <w:p w14:paraId="3C7F23F4" w14:textId="77777777" w:rsidR="002D6035" w:rsidRPr="00DA3C6E" w:rsidRDefault="002D6035" w:rsidP="006D0966">
            <w:pPr>
              <w:pStyle w:val="TableText0"/>
              <w:ind w:right="117"/>
              <w:jc w:val="left"/>
              <w:rPr>
                <w:snapToGrid w:val="0"/>
                <w:szCs w:val="20"/>
              </w:rPr>
            </w:pPr>
            <w:r w:rsidRPr="00DA3C6E">
              <w:rPr>
                <w:snapToGrid w:val="0"/>
                <w:szCs w:val="20"/>
              </w:rPr>
              <w:t xml:space="preserve">SAEs 2/30 (6.6%): </w:t>
            </w:r>
          </w:p>
          <w:p w14:paraId="7493127E" w14:textId="77777777" w:rsidR="002D6035" w:rsidRPr="00DA3C6E" w:rsidRDefault="002D6035" w:rsidP="006D0966">
            <w:pPr>
              <w:pStyle w:val="TableText0"/>
              <w:numPr>
                <w:ilvl w:val="0"/>
                <w:numId w:val="44"/>
              </w:numPr>
              <w:ind w:right="117"/>
              <w:jc w:val="left"/>
              <w:rPr>
                <w:snapToGrid w:val="0"/>
                <w:szCs w:val="20"/>
              </w:rPr>
            </w:pPr>
            <w:r w:rsidRPr="00DA3C6E">
              <w:rPr>
                <w:snapToGrid w:val="0"/>
                <w:szCs w:val="20"/>
              </w:rPr>
              <w:t>Acute congestive heart failure in a patient without previous cardiac history (leading to the discovery of non-obstructive cardiomyopathy) 1/30 (3.3%); aseptic meningitis 1/30 (3.3%).</w:t>
            </w:r>
          </w:p>
          <w:p w14:paraId="49395738" w14:textId="77777777" w:rsidR="002D6035" w:rsidRPr="00DA3C6E" w:rsidRDefault="002D6035" w:rsidP="006D0966">
            <w:pPr>
              <w:pStyle w:val="TableText0"/>
              <w:numPr>
                <w:ilvl w:val="0"/>
                <w:numId w:val="44"/>
              </w:numPr>
              <w:ind w:right="117"/>
              <w:jc w:val="left"/>
              <w:rPr>
                <w:snapToGrid w:val="0"/>
                <w:szCs w:val="20"/>
              </w:rPr>
            </w:pPr>
            <w:r w:rsidRPr="00DA3C6E">
              <w:rPr>
                <w:snapToGrid w:val="0"/>
                <w:szCs w:val="20"/>
              </w:rPr>
              <w:t>Aseptic meningitis 1/30 (3.3%).</w:t>
            </w:r>
          </w:p>
          <w:p w14:paraId="37D3EB77" w14:textId="77777777" w:rsidR="002D6035" w:rsidRPr="00DA3C6E" w:rsidRDefault="002D6035" w:rsidP="006D0966">
            <w:pPr>
              <w:pStyle w:val="TableText0"/>
              <w:ind w:right="117"/>
              <w:jc w:val="left"/>
              <w:rPr>
                <w:snapToGrid w:val="0"/>
                <w:szCs w:val="20"/>
              </w:rPr>
            </w:pPr>
            <w:r w:rsidRPr="00DA3C6E">
              <w:rPr>
                <w:snapToGrid w:val="0"/>
                <w:szCs w:val="20"/>
              </w:rPr>
              <w:t>Uncatalogued</w:t>
            </w:r>
          </w:p>
          <w:p w14:paraId="57FD1230" w14:textId="77777777" w:rsidR="002D6035" w:rsidRPr="00DA3C6E" w:rsidRDefault="002D6035" w:rsidP="006D0966">
            <w:pPr>
              <w:pStyle w:val="TableText0"/>
              <w:numPr>
                <w:ilvl w:val="0"/>
                <w:numId w:val="44"/>
              </w:numPr>
              <w:ind w:right="117"/>
              <w:jc w:val="left"/>
              <w:rPr>
                <w:snapToGrid w:val="0"/>
                <w:szCs w:val="20"/>
              </w:rPr>
            </w:pPr>
            <w:r w:rsidRPr="00DA3C6E">
              <w:rPr>
                <w:snapToGrid w:val="0"/>
                <w:szCs w:val="20"/>
              </w:rPr>
              <w:t>Acute renal failure regressive after hydration alone occurred in Tegeline®</w:t>
            </w:r>
            <w:r w:rsidR="006F1581" w:rsidRPr="00DA3C6E">
              <w:rPr>
                <w:snapToGrid w:val="0"/>
                <w:szCs w:val="20"/>
              </w:rPr>
              <w:t xml:space="preserve"> (normal human immunoglobulin)</w:t>
            </w:r>
            <w:r w:rsidRPr="00DA3C6E">
              <w:rPr>
                <w:snapToGrid w:val="0"/>
                <w:szCs w:val="20"/>
              </w:rPr>
              <w:t xml:space="preserve"> treated patients 2/30 (6.6%)</w:t>
            </w:r>
          </w:p>
        </w:tc>
        <w:tc>
          <w:tcPr>
            <w:tcW w:w="657" w:type="dxa"/>
            <w:vAlign w:val="center"/>
          </w:tcPr>
          <w:p w14:paraId="22AFB31A" w14:textId="4E42E2C4" w:rsidR="002D6035" w:rsidRPr="00DA3C6E" w:rsidRDefault="00DB568A" w:rsidP="00C04BCE">
            <w:pPr>
              <w:pStyle w:val="TableText0"/>
              <w:ind w:right="117"/>
              <w:jc w:val="center"/>
              <w:rPr>
                <w:snapToGrid w:val="0"/>
                <w:szCs w:val="20"/>
              </w:rPr>
            </w:pPr>
            <w:r w:rsidRPr="00DA3C6E">
              <w:rPr>
                <w:snapToGrid w:val="0"/>
                <w:szCs w:val="20"/>
              </w:rPr>
              <w:fldChar w:fldCharType="begin">
                <w:fldData xml:space="preserve">PEVuZE5vdGU+PENpdGU+PEF1dGhvcj5Ob3Q8L0F1dGhvcj48WWVhcj4yMDEyPC9ZZWFyPjxSZWNO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</w:fldData>
              </w:fldChar>
            </w:r>
            <w:r w:rsidRPr="00DA3C6E">
              <w:rPr>
                <w:snapToGrid w:val="0"/>
                <w:szCs w:val="20"/>
              </w:rPr>
              <w:instrText xml:space="preserve"> ADDIN EN.CITE </w:instrText>
            </w:r>
            <w:r w:rsidRPr="00DA3C6E">
              <w:rPr>
                <w:snapToGrid w:val="0"/>
                <w:szCs w:val="20"/>
              </w:rPr>
              <w:fldChar w:fldCharType="begin">
                <w:fldData xml:space="preserve">PEVuZE5vdGU+PENpdGU+PEF1dGhvcj5Ob3Q8L0F1dGhvcj48WWVhcj4yMDEyPC9ZZWFyPjxSZWNO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</w:fldData>
              </w:fldChar>
            </w:r>
            <w:r w:rsidRPr="00DA3C6E">
              <w:rPr>
                <w:snapToGrid w:val="0"/>
                <w:szCs w:val="20"/>
              </w:rPr>
              <w:instrText xml:space="preserve"> ADDIN EN.CITE.DATA </w:instrText>
            </w:r>
            <w:r w:rsidRPr="00DA3C6E">
              <w:rPr>
                <w:snapToGrid w:val="0"/>
                <w:szCs w:val="20"/>
              </w:rPr>
            </w:r>
            <w:r w:rsidRPr="00DA3C6E">
              <w:rPr>
                <w:snapToGrid w:val="0"/>
                <w:szCs w:val="20"/>
              </w:rPr>
              <w:fldChar w:fldCharType="end"/>
            </w:r>
            <w:r w:rsidRPr="00DA3C6E">
              <w:rPr>
                <w:snapToGrid w:val="0"/>
                <w:szCs w:val="20"/>
              </w:rPr>
            </w:r>
            <w:r w:rsidRPr="00DA3C6E">
              <w:rPr>
                <w:snapToGrid w:val="0"/>
                <w:szCs w:val="20"/>
              </w:rPr>
              <w:fldChar w:fldCharType="separate"/>
            </w:r>
            <w:r w:rsidRPr="00DA3C6E">
              <w:rPr>
                <w:noProof/>
                <w:snapToGrid w:val="0"/>
                <w:szCs w:val="20"/>
              </w:rPr>
              <w:t>(</w:t>
            </w:r>
            <w:hyperlink w:anchor="_ENREF_42" w:tooltip="Not, 2012 #53" w:history="1">
              <w:r w:rsidR="00C04BCE" w:rsidRPr="00DA3C6E">
                <w:rPr>
                  <w:noProof/>
                  <w:snapToGrid w:val="0"/>
                  <w:szCs w:val="20"/>
                </w:rPr>
                <w:t>42</w:t>
              </w:r>
            </w:hyperlink>
            <w:r w:rsidRPr="00DA3C6E">
              <w:rPr>
                <w:noProof/>
                <w:snapToGrid w:val="0"/>
                <w:szCs w:val="20"/>
              </w:rPr>
              <w:t>)</w:t>
            </w:r>
            <w:r w:rsidRPr="00DA3C6E">
              <w:rPr>
                <w:snapToGrid w:val="0"/>
                <w:szCs w:val="20"/>
              </w:rPr>
              <w:fldChar w:fldCharType="end"/>
            </w:r>
          </w:p>
        </w:tc>
      </w:tr>
      <w:tr w:rsidR="00C04BCE" w:rsidRPr="00DA3C6E" w14:paraId="16472CB4" w14:textId="77777777" w:rsidTr="006D0966">
        <w:trPr>
          <w:trHeight w:val="337"/>
        </w:trPr>
        <w:tc>
          <w:tcPr>
            <w:tcW w:w="1810" w:type="dxa"/>
            <w:shd w:val="clear" w:color="auto" w:fill="auto"/>
            <w:vAlign w:val="center"/>
          </w:tcPr>
          <w:p w14:paraId="6757CD1A" w14:textId="64369606" w:rsidR="002D6035" w:rsidRPr="00DA3C6E" w:rsidRDefault="002D6035" w:rsidP="00C535CA">
            <w:pPr>
              <w:spacing w:after="0" w:line="240" w:lineRule="auto"/>
              <w:jc w:val="left"/>
              <w:rPr>
                <w:rFonts w:ascii="Arial Narrow" w:hAnsi="Arial Narrow"/>
                <w:snapToGrid w:val="0"/>
                <w:sz w:val="20"/>
                <w:szCs w:val="20"/>
                <w:lang w:eastAsia="en-US"/>
              </w:rPr>
            </w:pPr>
            <w:r w:rsidRPr="00DA3C6E">
              <w:rPr>
                <w:rFonts w:ascii="Arial Narrow" w:hAnsi="Arial Narrow"/>
                <w:snapToGrid w:val="0"/>
                <w:sz w:val="20"/>
                <w:szCs w:val="20"/>
              </w:rPr>
              <w:t>Rizk et al. 2001</w:t>
            </w:r>
            <w:r w:rsidR="00BE7F1B" w:rsidRPr="00DA3C6E">
              <w:rPr>
                <w:rFonts w:ascii="Arial Narrow" w:hAnsi="Arial Narrow"/>
                <w:snapToGrid w:val="0"/>
                <w:sz w:val="20"/>
                <w:szCs w:val="20"/>
                <w:vertAlign w:val="superscript"/>
              </w:rPr>
              <w:t>1</w:t>
            </w:r>
          </w:p>
        </w:tc>
        <w:tc>
          <w:tcPr>
            <w:tcW w:w="851" w:type="dxa"/>
            <w:vAlign w:val="center"/>
          </w:tcPr>
          <w:p w14:paraId="2E644EB0" w14:textId="77777777" w:rsidR="002D6035" w:rsidRPr="00DA3C6E" w:rsidRDefault="002D6035" w:rsidP="006D0966">
            <w:pPr>
              <w:pStyle w:val="TableText0"/>
              <w:spacing w:after="0"/>
              <w:ind w:left="16" w:right="117"/>
              <w:jc w:val="center"/>
              <w:rPr>
                <w:snapToGrid w:val="0"/>
                <w:szCs w:val="20"/>
              </w:rPr>
            </w:pPr>
            <w:r w:rsidRPr="00DA3C6E">
              <w:rPr>
                <w:snapToGrid w:val="0"/>
                <w:szCs w:val="20"/>
              </w:rPr>
              <w:t>1</w:t>
            </w:r>
          </w:p>
        </w:tc>
        <w:tc>
          <w:tcPr>
            <w:tcW w:w="5670" w:type="dxa"/>
            <w:vAlign w:val="center"/>
          </w:tcPr>
          <w:p w14:paraId="592B9386" w14:textId="77777777" w:rsidR="002D6035" w:rsidRPr="00DA3C6E" w:rsidRDefault="006F1581" w:rsidP="006D0966">
            <w:pPr>
              <w:pStyle w:val="TableText0"/>
              <w:numPr>
                <w:ilvl w:val="0"/>
                <w:numId w:val="43"/>
              </w:numPr>
              <w:ind w:right="117"/>
              <w:jc w:val="left"/>
              <w:rPr>
                <w:snapToGrid w:val="0"/>
                <w:szCs w:val="20"/>
              </w:rPr>
            </w:pPr>
            <w:r w:rsidRPr="00DA3C6E">
              <w:rPr>
                <w:snapToGrid w:val="0"/>
                <w:szCs w:val="20"/>
              </w:rPr>
              <w:t>Case report of n</w:t>
            </w:r>
            <w:r w:rsidR="002D6035" w:rsidRPr="00DA3C6E">
              <w:rPr>
                <w:snapToGrid w:val="0"/>
                <w:szCs w:val="20"/>
              </w:rPr>
              <w:t xml:space="preserve">on-cardiogenic pulmonary </w:t>
            </w:r>
            <w:r w:rsidR="00074033" w:rsidRPr="00DA3C6E">
              <w:rPr>
                <w:snapToGrid w:val="0"/>
                <w:szCs w:val="20"/>
              </w:rPr>
              <w:t>oedema</w:t>
            </w:r>
            <w:r w:rsidR="002D6035" w:rsidRPr="00DA3C6E">
              <w:rPr>
                <w:snapToGrid w:val="0"/>
                <w:szCs w:val="20"/>
              </w:rPr>
              <w:t xml:space="preserve"> within hours after receiving an infusion of intravenous Ig, a plasma derivative. </w:t>
            </w:r>
          </w:p>
          <w:p w14:paraId="77C7507F" w14:textId="77777777" w:rsidR="002D6035" w:rsidRPr="00DA3C6E" w:rsidRDefault="002D6035" w:rsidP="00E40EC1">
            <w:pPr>
              <w:pStyle w:val="TableText0"/>
              <w:spacing w:after="0"/>
              <w:ind w:left="114" w:right="117"/>
              <w:jc w:val="left"/>
              <w:rPr>
                <w:snapToGrid w:val="0"/>
                <w:szCs w:val="20"/>
              </w:rPr>
            </w:pPr>
            <w:r w:rsidRPr="00DA3C6E">
              <w:rPr>
                <w:snapToGrid w:val="0"/>
                <w:szCs w:val="20"/>
              </w:rPr>
              <w:t xml:space="preserve">Patient recovered spontaneously with only bed rest and nasal oxygen. Given the close temporal association between the intravenous Ig </w:t>
            </w:r>
            <w:r w:rsidR="00E40EC1" w:rsidRPr="00DA3C6E">
              <w:rPr>
                <w:snapToGrid w:val="0"/>
                <w:szCs w:val="20"/>
              </w:rPr>
              <w:t>infusion</w:t>
            </w:r>
            <w:r w:rsidRPr="00DA3C6E">
              <w:rPr>
                <w:snapToGrid w:val="0"/>
                <w:szCs w:val="20"/>
              </w:rPr>
              <w:t xml:space="preserve"> and the onset of respiratory symptoms, the study concluded that this was a case of TRALI.</w:t>
            </w:r>
          </w:p>
        </w:tc>
        <w:tc>
          <w:tcPr>
            <w:tcW w:w="657" w:type="dxa"/>
            <w:vAlign w:val="center"/>
          </w:tcPr>
          <w:p w14:paraId="346809A7" w14:textId="4C7DFE52" w:rsidR="002D6035" w:rsidRPr="00DA3C6E" w:rsidRDefault="00DB568A" w:rsidP="00C04BCE">
            <w:pPr>
              <w:pStyle w:val="TableText0"/>
              <w:ind w:right="117"/>
              <w:jc w:val="center"/>
              <w:rPr>
                <w:snapToGrid w:val="0"/>
                <w:szCs w:val="20"/>
              </w:rPr>
            </w:pPr>
            <w:r w:rsidRPr="00DA3C6E">
              <w:rPr>
                <w:snapToGrid w:val="0"/>
                <w:szCs w:val="20"/>
              </w:rPr>
              <w:fldChar w:fldCharType="begin"/>
            </w:r>
            <w:r w:rsidRPr="00DA3C6E">
              <w:rPr>
                <w:snapToGrid w:val="0"/>
                <w:szCs w:val="20"/>
              </w:rPr>
              <w:instrText xml:space="preserve"> ADDIN EN.CITE &lt;EndNote&gt;&lt;Cite&gt;&lt;Author&gt;Rizk&lt;/Author&gt;&lt;Year&gt;2001&lt;/Year&gt;&lt;RecNum&gt;58&lt;/RecNum&gt;&lt;DisplayText&gt;(43)&lt;/DisplayText&gt;&lt;record&gt;&lt;rec-number&gt;58&lt;/rec-number&gt;&lt;foreign-keys&gt;&lt;key app="EN" db-id="0992p2ztn5fez9e2wvnpw2xstd20f9w2dezz" timestamp="1586818281"&gt;58&lt;/key&gt;&lt;/foreign-keys&gt;&lt;ref-type name="Journal Article"&gt;17&lt;/ref-type&gt;&lt;contributors&gt;&lt;authors&gt;&lt;author&gt;Rizk, A.&lt;/author&gt;&lt;author&gt;Gorson, K. C.&lt;/author&gt;&lt;author&gt;Kenney, L.&lt;/author&gt;&lt;author&gt;Weinstein, R.&lt;/author&gt;&lt;/authors&gt;&lt;/contributors&gt;&lt;auth-address&gt;Section of Hematology and Transfusion Medicine, Division of Hematology/Oncology, St. Elizabeth&amp;apos;s Medical Center of Boston, MA, USA.&lt;/auth-address&gt;&lt;titles&gt;&lt;title&gt;Transfusion-related acute lung injury after the infusion of IVIG&lt;/title&gt;&lt;secondary-title&gt;Transfusion&lt;/secondary-title&gt;&lt;/titles&gt;&lt;periodical&gt;&lt;full-title&gt;Transfusion&lt;/full-title&gt;&lt;/periodical&gt;&lt;pages&gt;264-8&lt;/pages&gt;&lt;volume&gt;41&lt;/volume&gt;&lt;number&gt;2&lt;/number&gt;&lt;keywords&gt;&lt;keyword&gt;Adult&lt;/keyword&gt;&lt;keyword&gt;Autoimmune Diseases/drug therapy&lt;/keyword&gt;&lt;keyword&gt;Humans&lt;/keyword&gt;&lt;keyword&gt;Immunoglobulins, Intravenous/ administration &amp;amp; dosage&lt;/keyword&gt;&lt;keyword&gt;Infusions, Intravenous&lt;/keyword&gt;&lt;keyword&gt;Male&lt;/keyword&gt;&lt;keyword&gt;Motor Neuron Disease/drug therapy/immunology&lt;/keyword&gt;&lt;keyword&gt;Respiratory Distress Syndrome, Adult/ etiology&lt;/keyword&gt;&lt;keyword&gt;Transfusion Reaction&lt;/keyword&gt;&lt;/keywords&gt;&lt;dates&gt;&lt;year&gt;2001&lt;/year&gt;&lt;pub-dates&gt;&lt;date&gt;Feb&lt;/date&gt;&lt;/pub-dates&gt;&lt;/dates&gt;&lt;accession-num&gt;11239233&lt;/accession-num&gt;&lt;urls&gt;&lt;related-urls&gt;&lt;url&gt;https://onlinelibrary.wiley.com/doi/abs/10.1046/j.1537-2995.2001.41020264.x?sid=nlm%3Apubmed&lt;/url&gt;&lt;/related-urls&gt;&lt;/urls&gt;&lt;research-notes&gt;j. safety case study&lt;/research-notes&gt;&lt;/record&gt;&lt;/Cite&gt;&lt;/EndNote&gt;</w:instrText>
            </w:r>
            <w:r w:rsidRPr="00DA3C6E">
              <w:rPr>
                <w:snapToGrid w:val="0"/>
                <w:szCs w:val="20"/>
              </w:rPr>
              <w:fldChar w:fldCharType="separate"/>
            </w:r>
            <w:r w:rsidRPr="00DA3C6E">
              <w:rPr>
                <w:noProof/>
                <w:snapToGrid w:val="0"/>
                <w:szCs w:val="20"/>
              </w:rPr>
              <w:t>(</w:t>
            </w:r>
            <w:hyperlink w:anchor="_ENREF_43" w:tooltip="Rizk, 2001 #58" w:history="1">
              <w:r w:rsidR="00C04BCE" w:rsidRPr="00DA3C6E">
                <w:rPr>
                  <w:noProof/>
                  <w:snapToGrid w:val="0"/>
                  <w:szCs w:val="20"/>
                </w:rPr>
                <w:t>43</w:t>
              </w:r>
            </w:hyperlink>
            <w:r w:rsidRPr="00DA3C6E">
              <w:rPr>
                <w:noProof/>
                <w:snapToGrid w:val="0"/>
                <w:szCs w:val="20"/>
              </w:rPr>
              <w:t>)</w:t>
            </w:r>
            <w:r w:rsidRPr="00DA3C6E">
              <w:rPr>
                <w:snapToGrid w:val="0"/>
                <w:szCs w:val="20"/>
              </w:rPr>
              <w:fldChar w:fldCharType="end"/>
            </w:r>
          </w:p>
        </w:tc>
      </w:tr>
      <w:tr w:rsidR="00C04BCE" w:rsidRPr="00DA3C6E" w14:paraId="7AE1971E" w14:textId="77777777" w:rsidTr="00881C6C">
        <w:trPr>
          <w:trHeight w:val="2755"/>
        </w:trPr>
        <w:tc>
          <w:tcPr>
            <w:tcW w:w="1810" w:type="dxa"/>
            <w:vMerge w:val="restart"/>
            <w:shd w:val="clear" w:color="auto" w:fill="auto"/>
            <w:vAlign w:val="center"/>
          </w:tcPr>
          <w:p w14:paraId="334511D2" w14:textId="18DE6465" w:rsidR="00881C6C" w:rsidRPr="00DA3C6E" w:rsidRDefault="00881C6C" w:rsidP="00C535CA">
            <w:pPr>
              <w:spacing w:after="0" w:line="240" w:lineRule="auto"/>
              <w:jc w:val="left"/>
              <w:rPr>
                <w:rFonts w:ascii="Arial Narrow" w:hAnsi="Arial Narrow"/>
                <w:snapToGrid w:val="0"/>
                <w:sz w:val="20"/>
                <w:szCs w:val="20"/>
                <w:vertAlign w:val="superscript"/>
              </w:rPr>
            </w:pPr>
            <w:r w:rsidRPr="00DA3C6E">
              <w:rPr>
                <w:rFonts w:ascii="Arial Narrow" w:hAnsi="Arial Narrow"/>
                <w:snapToGrid w:val="0"/>
                <w:sz w:val="20"/>
                <w:szCs w:val="20"/>
              </w:rPr>
              <w:t>Abbas et al. 2018</w:t>
            </w:r>
            <w:r w:rsidR="00BE7F1B" w:rsidRPr="00DA3C6E">
              <w:rPr>
                <w:rFonts w:ascii="Arial Narrow" w:hAnsi="Arial Narrow"/>
                <w:snapToGrid w:val="0"/>
                <w:sz w:val="20"/>
                <w:szCs w:val="20"/>
                <w:vertAlign w:val="superscript"/>
              </w:rPr>
              <w:t>3</w:t>
            </w:r>
          </w:p>
        </w:tc>
        <w:tc>
          <w:tcPr>
            <w:tcW w:w="851" w:type="dxa"/>
            <w:vMerge w:val="restart"/>
            <w:vAlign w:val="center"/>
          </w:tcPr>
          <w:p w14:paraId="7BC9722A" w14:textId="3B624BDD" w:rsidR="00881C6C" w:rsidRPr="00DA3C6E" w:rsidRDefault="00881C6C" w:rsidP="006D0966">
            <w:pPr>
              <w:pStyle w:val="TableText0"/>
              <w:spacing w:after="0"/>
              <w:ind w:left="16" w:right="117"/>
              <w:jc w:val="center"/>
              <w:rPr>
                <w:snapToGrid w:val="0"/>
                <w:szCs w:val="20"/>
              </w:rPr>
            </w:pPr>
            <w:r w:rsidRPr="00DA3C6E">
              <w:rPr>
                <w:snapToGrid w:val="0"/>
                <w:szCs w:val="20"/>
              </w:rPr>
              <w:t>NA</w:t>
            </w:r>
          </w:p>
        </w:tc>
        <w:tc>
          <w:tcPr>
            <w:tcW w:w="5670" w:type="dxa"/>
            <w:vAlign w:val="center"/>
          </w:tcPr>
          <w:p w14:paraId="1E1414EC" w14:textId="1B07DF7A" w:rsidR="00881C6C" w:rsidRPr="00DA3C6E" w:rsidRDefault="00881C6C" w:rsidP="001626D1">
            <w:pPr>
              <w:pStyle w:val="TableText0"/>
              <w:ind w:right="117"/>
              <w:jc w:val="left"/>
              <w:rPr>
                <w:b/>
                <w:bCs/>
                <w:color w:val="000000"/>
                <w:szCs w:val="20"/>
              </w:rPr>
            </w:pPr>
            <w:r w:rsidRPr="00DA3C6E">
              <w:rPr>
                <w:b/>
                <w:bCs/>
                <w:color w:val="000000"/>
                <w:szCs w:val="20"/>
              </w:rPr>
              <w:t>Early AE:</w:t>
            </w:r>
          </w:p>
          <w:p w14:paraId="18151C65" w14:textId="77777777" w:rsidR="00881C6C" w:rsidRPr="00DA3C6E" w:rsidRDefault="00881C6C" w:rsidP="001626D1">
            <w:pPr>
              <w:pStyle w:val="TableText0"/>
              <w:ind w:right="117"/>
              <w:jc w:val="left"/>
              <w:rPr>
                <w:color w:val="000000"/>
                <w:szCs w:val="20"/>
              </w:rPr>
            </w:pPr>
          </w:p>
          <w:p w14:paraId="6042E60A" w14:textId="77777777" w:rsidR="00881C6C" w:rsidRPr="00DA3C6E" w:rsidRDefault="00881C6C" w:rsidP="001626D1">
            <w:pPr>
              <w:pStyle w:val="TableText0"/>
              <w:ind w:right="117"/>
              <w:jc w:val="left"/>
              <w:rPr>
                <w:color w:val="000000"/>
                <w:szCs w:val="20"/>
              </w:rPr>
            </w:pPr>
            <w:r w:rsidRPr="00DA3C6E">
              <w:rPr>
                <w:b/>
                <w:bCs/>
                <w:color w:val="000000"/>
                <w:szCs w:val="20"/>
              </w:rPr>
              <w:t>Mild</w:t>
            </w:r>
            <w:r w:rsidRPr="00DA3C6E">
              <w:rPr>
                <w:color w:val="000000"/>
                <w:szCs w:val="20"/>
              </w:rPr>
              <w:t>:</w:t>
            </w:r>
          </w:p>
          <w:p w14:paraId="5DBB3972" w14:textId="4FAE4951" w:rsidR="00881C6C" w:rsidRPr="00DA3C6E" w:rsidRDefault="00881C6C" w:rsidP="001626D1">
            <w:pPr>
              <w:pStyle w:val="TableText0"/>
              <w:ind w:right="117"/>
              <w:jc w:val="left"/>
              <w:rPr>
                <w:color w:val="000000"/>
                <w:szCs w:val="20"/>
              </w:rPr>
            </w:pPr>
            <w:r w:rsidRPr="00DA3C6E">
              <w:rPr>
                <w:color w:val="000000"/>
                <w:szCs w:val="20"/>
              </w:rPr>
              <w:t xml:space="preserve">1. Local Infusion Site Reactions (rare &lt;1%; mild) </w:t>
            </w:r>
          </w:p>
          <w:p w14:paraId="402A404D" w14:textId="77777777" w:rsidR="00881C6C" w:rsidRPr="00DA3C6E" w:rsidRDefault="00881C6C" w:rsidP="001626D1">
            <w:pPr>
              <w:pStyle w:val="TableText0"/>
              <w:ind w:right="117"/>
              <w:jc w:val="left"/>
              <w:rPr>
                <w:color w:val="000000"/>
                <w:szCs w:val="20"/>
              </w:rPr>
            </w:pPr>
            <w:r w:rsidRPr="00DA3C6E">
              <w:rPr>
                <w:color w:val="000000"/>
                <w:szCs w:val="20"/>
              </w:rPr>
              <w:t>- Swelling, bruising, bleeding, pain.</w:t>
            </w:r>
          </w:p>
          <w:p w14:paraId="6517A95E" w14:textId="7FF913D4" w:rsidR="00881C6C" w:rsidRPr="00DA3C6E" w:rsidRDefault="00881C6C" w:rsidP="001626D1">
            <w:pPr>
              <w:pStyle w:val="TableText0"/>
              <w:ind w:right="117"/>
              <w:jc w:val="left"/>
              <w:rPr>
                <w:color w:val="000000"/>
                <w:szCs w:val="20"/>
              </w:rPr>
            </w:pPr>
            <w:r w:rsidRPr="00DA3C6E">
              <w:rPr>
                <w:color w:val="000000"/>
                <w:szCs w:val="20"/>
              </w:rPr>
              <w:t xml:space="preserve">2. Constitutional Flu-Like Symptoms (common ~15%; mild) </w:t>
            </w:r>
          </w:p>
          <w:p w14:paraId="0C4A6682" w14:textId="77777777" w:rsidR="00881C6C" w:rsidRPr="00DA3C6E" w:rsidRDefault="00881C6C" w:rsidP="001626D1">
            <w:pPr>
              <w:pStyle w:val="TableText0"/>
              <w:ind w:right="117"/>
              <w:jc w:val="left"/>
              <w:rPr>
                <w:color w:val="000000"/>
                <w:szCs w:val="20"/>
              </w:rPr>
            </w:pPr>
            <w:r w:rsidRPr="00DA3C6E">
              <w:rPr>
                <w:color w:val="000000"/>
                <w:szCs w:val="20"/>
              </w:rPr>
              <w:t>- Tension-type headache, fever, nausea, arthralgia, myalgia, malaise, chills, dizziness, mild hypertension.</w:t>
            </w:r>
          </w:p>
          <w:p w14:paraId="6D641488" w14:textId="733BA69D" w:rsidR="00881C6C" w:rsidRPr="00DA3C6E" w:rsidRDefault="00881C6C" w:rsidP="001626D1">
            <w:pPr>
              <w:pStyle w:val="TableText0"/>
              <w:ind w:right="117"/>
              <w:jc w:val="left"/>
              <w:rPr>
                <w:color w:val="000000"/>
                <w:szCs w:val="20"/>
              </w:rPr>
            </w:pPr>
            <w:r w:rsidRPr="00DA3C6E">
              <w:rPr>
                <w:color w:val="000000"/>
                <w:szCs w:val="20"/>
              </w:rPr>
              <w:t xml:space="preserve">3. Dermatological Reactions (common ~6%; mild-moderate) </w:t>
            </w:r>
          </w:p>
          <w:p w14:paraId="1905B142" w14:textId="77777777" w:rsidR="00881C6C" w:rsidRPr="00DA3C6E" w:rsidRDefault="00881C6C" w:rsidP="001626D1">
            <w:pPr>
              <w:pStyle w:val="TableText0"/>
              <w:ind w:right="117"/>
              <w:jc w:val="left"/>
              <w:rPr>
                <w:color w:val="000000"/>
                <w:szCs w:val="20"/>
              </w:rPr>
            </w:pPr>
            <w:r w:rsidRPr="00DA3C6E">
              <w:rPr>
                <w:color w:val="000000"/>
                <w:szCs w:val="20"/>
              </w:rPr>
              <w:t xml:space="preserve">- Urticaria, pruritis. Less commonly delayed reactions include alopecia, erythema multiforme or very rarely a severe eczematous rash. </w:t>
            </w:r>
          </w:p>
          <w:p w14:paraId="35971FAA" w14:textId="77777777" w:rsidR="00881C6C" w:rsidRPr="00DA3C6E" w:rsidRDefault="00881C6C" w:rsidP="001626D1">
            <w:pPr>
              <w:pStyle w:val="TableText0"/>
              <w:ind w:right="117"/>
              <w:jc w:val="left"/>
              <w:rPr>
                <w:color w:val="000000"/>
                <w:szCs w:val="20"/>
              </w:rPr>
            </w:pPr>
          </w:p>
          <w:p w14:paraId="70310EA3" w14:textId="77777777" w:rsidR="00881C6C" w:rsidRPr="00DA3C6E" w:rsidRDefault="00881C6C" w:rsidP="001626D1">
            <w:pPr>
              <w:pStyle w:val="TableText0"/>
              <w:ind w:right="117"/>
              <w:jc w:val="left"/>
              <w:rPr>
                <w:color w:val="000000"/>
                <w:szCs w:val="20"/>
              </w:rPr>
            </w:pPr>
            <w:r w:rsidRPr="00DA3C6E">
              <w:rPr>
                <w:b/>
                <w:bCs/>
                <w:color w:val="000000"/>
                <w:szCs w:val="20"/>
              </w:rPr>
              <w:t>Severe</w:t>
            </w:r>
            <w:r w:rsidRPr="00DA3C6E">
              <w:rPr>
                <w:color w:val="000000"/>
                <w:szCs w:val="20"/>
              </w:rPr>
              <w:t xml:space="preserve">: </w:t>
            </w:r>
          </w:p>
          <w:p w14:paraId="44E0270A" w14:textId="29881F24" w:rsidR="00881C6C" w:rsidRPr="00DA3C6E" w:rsidRDefault="00881C6C" w:rsidP="001626D1">
            <w:pPr>
              <w:pStyle w:val="TableText0"/>
              <w:ind w:right="117"/>
              <w:jc w:val="left"/>
              <w:rPr>
                <w:color w:val="000000"/>
                <w:szCs w:val="20"/>
              </w:rPr>
            </w:pPr>
            <w:r w:rsidRPr="00DA3C6E">
              <w:rPr>
                <w:color w:val="000000"/>
                <w:szCs w:val="20"/>
              </w:rPr>
              <w:t xml:space="preserve">1. Anaphylaxis (very rare &lt;0.01%) </w:t>
            </w:r>
          </w:p>
          <w:p w14:paraId="1CC8DC1B" w14:textId="77777777" w:rsidR="00881C6C" w:rsidRPr="00DA3C6E" w:rsidRDefault="00881C6C" w:rsidP="001626D1">
            <w:pPr>
              <w:pStyle w:val="TableText0"/>
              <w:ind w:right="117"/>
              <w:jc w:val="left"/>
              <w:rPr>
                <w:color w:val="000000"/>
                <w:szCs w:val="20"/>
              </w:rPr>
            </w:pPr>
            <w:r w:rsidRPr="00DA3C6E">
              <w:rPr>
                <w:color w:val="000000"/>
                <w:szCs w:val="20"/>
              </w:rPr>
              <w:t xml:space="preserve">2. Transfusion-Related Acute Lung Injury (very rare &lt;0.01%) </w:t>
            </w:r>
          </w:p>
          <w:p w14:paraId="3BAAF83D" w14:textId="630D9487" w:rsidR="00881C6C" w:rsidRPr="00DA3C6E" w:rsidRDefault="00881C6C" w:rsidP="001626D1">
            <w:pPr>
              <w:pStyle w:val="TableText0"/>
              <w:ind w:right="117"/>
              <w:jc w:val="left"/>
              <w:rPr>
                <w:color w:val="000000"/>
                <w:szCs w:val="20"/>
              </w:rPr>
            </w:pPr>
            <w:r w:rsidRPr="00DA3C6E">
              <w:rPr>
                <w:color w:val="000000"/>
                <w:szCs w:val="20"/>
              </w:rPr>
              <w:t>3. Transfusion-Associated Circulatory Overload (very rare &lt;0.01%)</w:t>
            </w:r>
          </w:p>
          <w:p w14:paraId="7A2DAB6B" w14:textId="15B8A3DC" w:rsidR="00881C6C" w:rsidRPr="00DA3C6E" w:rsidRDefault="00881C6C" w:rsidP="001626D1">
            <w:pPr>
              <w:pStyle w:val="TableText0"/>
              <w:ind w:right="117"/>
              <w:jc w:val="left"/>
              <w:rPr>
                <w:snapToGrid w:val="0"/>
                <w:szCs w:val="20"/>
              </w:rPr>
            </w:pPr>
          </w:p>
        </w:tc>
        <w:tc>
          <w:tcPr>
            <w:tcW w:w="657" w:type="dxa"/>
            <w:vMerge w:val="restart"/>
            <w:vAlign w:val="center"/>
          </w:tcPr>
          <w:p w14:paraId="451612F2" w14:textId="2C7ED957" w:rsidR="00881C6C" w:rsidRPr="00DA3C6E" w:rsidRDefault="00C04BCE" w:rsidP="00C04BCE">
            <w:pPr>
              <w:pStyle w:val="TableText0"/>
              <w:ind w:right="117"/>
              <w:jc w:val="center"/>
              <w:rPr>
                <w:snapToGrid w:val="0"/>
                <w:szCs w:val="20"/>
              </w:rPr>
            </w:pPr>
            <w:r>
              <w:rPr>
                <w:snapToGrid w:val="0"/>
                <w:szCs w:val="20"/>
              </w:rPr>
              <w:fldChar w:fldCharType="begin">
                <w:fldData xml:space="preserve">PEVuZE5vdGU+PENpdGU+PEF1dGhvcj5BYmJhczwvQXV0aG9yPjxZZWFyPjIwMTk8L1llYXI+PFJl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</w:fldData>
              </w:fldChar>
            </w:r>
            <w:r>
              <w:rPr>
                <w:snapToGrid w:val="0"/>
                <w:szCs w:val="20"/>
              </w:rPr>
              <w:instrText xml:space="preserve"> ADDIN EN.CITE </w:instrText>
            </w:r>
            <w:r>
              <w:rPr>
                <w:snapToGrid w:val="0"/>
                <w:szCs w:val="20"/>
              </w:rPr>
              <w:fldChar w:fldCharType="begin">
                <w:fldData xml:space="preserve">PEVuZE5vdGU+PENpdGU+PEF1dGhvcj5BYmJhczwvQXV0aG9yPjxZZWFyPjIwMTk8L1llYXI+PFJl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</w:fldData>
              </w:fldChar>
            </w:r>
            <w:r>
              <w:rPr>
                <w:snapToGrid w:val="0"/>
                <w:szCs w:val="20"/>
              </w:rPr>
              <w:instrText xml:space="preserve"> ADDIN EN.CITE.DATA </w:instrText>
            </w:r>
            <w:r>
              <w:rPr>
                <w:snapToGrid w:val="0"/>
                <w:szCs w:val="20"/>
              </w:rPr>
            </w:r>
            <w:r>
              <w:rPr>
                <w:snapToGrid w:val="0"/>
                <w:szCs w:val="20"/>
              </w:rPr>
              <w:fldChar w:fldCharType="end"/>
            </w:r>
            <w:r>
              <w:rPr>
                <w:snapToGrid w:val="0"/>
                <w:szCs w:val="20"/>
              </w:rPr>
            </w:r>
            <w:r>
              <w:rPr>
                <w:snapToGrid w:val="0"/>
                <w:szCs w:val="20"/>
              </w:rPr>
              <w:fldChar w:fldCharType="separate"/>
            </w:r>
            <w:r>
              <w:rPr>
                <w:noProof/>
                <w:snapToGrid w:val="0"/>
                <w:szCs w:val="20"/>
              </w:rPr>
              <w:t>(</w:t>
            </w:r>
            <w:hyperlink w:anchor="_ENREF_44" w:tooltip="Abbas, 2019 #76" w:history="1">
              <w:r>
                <w:rPr>
                  <w:noProof/>
                  <w:snapToGrid w:val="0"/>
                  <w:szCs w:val="20"/>
                </w:rPr>
                <w:t>44</w:t>
              </w:r>
            </w:hyperlink>
            <w:r>
              <w:rPr>
                <w:noProof/>
                <w:snapToGrid w:val="0"/>
                <w:szCs w:val="20"/>
              </w:rPr>
              <w:t>)</w:t>
            </w:r>
            <w:r>
              <w:rPr>
                <w:snapToGrid w:val="0"/>
                <w:szCs w:val="20"/>
              </w:rPr>
              <w:fldChar w:fldCharType="end"/>
            </w:r>
          </w:p>
        </w:tc>
      </w:tr>
      <w:tr w:rsidR="00C04BCE" w:rsidRPr="00DA3C6E" w14:paraId="3595B136" w14:textId="77777777" w:rsidTr="006D0966">
        <w:trPr>
          <w:trHeight w:val="2755"/>
        </w:trPr>
        <w:tc>
          <w:tcPr>
            <w:tcW w:w="1810" w:type="dxa"/>
            <w:vMerge/>
            <w:shd w:val="clear" w:color="auto" w:fill="auto"/>
            <w:vAlign w:val="center"/>
          </w:tcPr>
          <w:p w14:paraId="0162931A" w14:textId="77777777" w:rsidR="00881C6C" w:rsidRPr="00DA3C6E" w:rsidRDefault="00881C6C" w:rsidP="006D0966">
            <w:pPr>
              <w:spacing w:after="0" w:line="240" w:lineRule="auto"/>
              <w:jc w:val="left"/>
              <w:rPr>
                <w:rFonts w:ascii="Arial Narrow" w:hAnsi="Arial Narrow"/>
                <w:snapToGrid w:val="0"/>
                <w:sz w:val="20"/>
                <w:szCs w:val="20"/>
              </w:rPr>
            </w:pPr>
          </w:p>
        </w:tc>
        <w:tc>
          <w:tcPr>
            <w:tcW w:w="851" w:type="dxa"/>
            <w:vMerge/>
            <w:vAlign w:val="center"/>
          </w:tcPr>
          <w:p w14:paraId="3DB1FD99" w14:textId="77777777" w:rsidR="00881C6C" w:rsidRPr="00DA3C6E" w:rsidRDefault="00881C6C" w:rsidP="006D0966">
            <w:pPr>
              <w:pStyle w:val="TableText0"/>
              <w:spacing w:after="0"/>
              <w:ind w:left="16" w:right="117"/>
              <w:jc w:val="center"/>
              <w:rPr>
                <w:snapToGrid w:val="0"/>
                <w:szCs w:val="20"/>
              </w:rPr>
            </w:pPr>
          </w:p>
        </w:tc>
        <w:tc>
          <w:tcPr>
            <w:tcW w:w="5670" w:type="dxa"/>
            <w:vAlign w:val="center"/>
          </w:tcPr>
          <w:p w14:paraId="5B26BF72" w14:textId="7CEF16B2" w:rsidR="00881C6C" w:rsidRPr="00DA3C6E" w:rsidRDefault="00881C6C" w:rsidP="00881C6C">
            <w:pPr>
              <w:pStyle w:val="TableText0"/>
              <w:ind w:right="117"/>
              <w:jc w:val="left"/>
              <w:rPr>
                <w:b/>
                <w:bCs/>
                <w:color w:val="000000"/>
                <w:szCs w:val="20"/>
              </w:rPr>
            </w:pPr>
            <w:r w:rsidRPr="00DA3C6E">
              <w:rPr>
                <w:b/>
                <w:bCs/>
                <w:color w:val="000000"/>
                <w:szCs w:val="20"/>
              </w:rPr>
              <w:t xml:space="preserve">Delayed AE </w:t>
            </w:r>
          </w:p>
          <w:p w14:paraId="7B4699DB" w14:textId="77777777" w:rsidR="00881C6C" w:rsidRPr="00DA3C6E" w:rsidRDefault="00881C6C" w:rsidP="00881C6C">
            <w:pPr>
              <w:pStyle w:val="TableText0"/>
              <w:ind w:right="117"/>
              <w:jc w:val="left"/>
              <w:rPr>
                <w:color w:val="000000"/>
                <w:szCs w:val="20"/>
              </w:rPr>
            </w:pPr>
          </w:p>
          <w:p w14:paraId="3E8687AA" w14:textId="77777777" w:rsidR="00881C6C" w:rsidRPr="00DA3C6E" w:rsidRDefault="00881C6C" w:rsidP="00881C6C">
            <w:pPr>
              <w:pStyle w:val="TableText0"/>
              <w:ind w:right="117"/>
              <w:jc w:val="left"/>
              <w:rPr>
                <w:b/>
                <w:bCs/>
                <w:color w:val="000000"/>
                <w:szCs w:val="20"/>
              </w:rPr>
            </w:pPr>
            <w:r w:rsidRPr="00DA3C6E">
              <w:rPr>
                <w:b/>
                <w:bCs/>
                <w:color w:val="000000"/>
                <w:szCs w:val="20"/>
              </w:rPr>
              <w:t xml:space="preserve">Severe </w:t>
            </w:r>
          </w:p>
          <w:p w14:paraId="4B78FC12" w14:textId="445DC3C7" w:rsidR="00881C6C" w:rsidRPr="00DA3C6E" w:rsidRDefault="00881C6C" w:rsidP="00881C6C">
            <w:pPr>
              <w:pStyle w:val="TableText0"/>
              <w:ind w:right="117"/>
              <w:jc w:val="left"/>
              <w:rPr>
                <w:color w:val="000000"/>
                <w:szCs w:val="20"/>
              </w:rPr>
            </w:pPr>
            <w:r w:rsidRPr="00DA3C6E">
              <w:rPr>
                <w:color w:val="000000"/>
                <w:szCs w:val="20"/>
              </w:rPr>
              <w:t>1. Thromboembolic Events (rare ~1%, higher if risk factors; severe)</w:t>
            </w:r>
          </w:p>
          <w:p w14:paraId="142BD3E2" w14:textId="311E8C3C" w:rsidR="00881C6C" w:rsidRPr="00DA3C6E" w:rsidRDefault="00881C6C" w:rsidP="00881C6C">
            <w:pPr>
              <w:pStyle w:val="TableText0"/>
              <w:ind w:right="117"/>
              <w:jc w:val="left"/>
              <w:rPr>
                <w:color w:val="000000"/>
                <w:szCs w:val="20"/>
              </w:rPr>
            </w:pPr>
            <w:r w:rsidRPr="00DA3C6E">
              <w:rPr>
                <w:color w:val="000000"/>
                <w:szCs w:val="20"/>
              </w:rPr>
              <w:t>- Stroke, myocardial infarction, deep vein thrombosis, pulmonary embolism 2. Acute Kidney Injury (rare &lt;1%, higher if risk factors; mild-to-severe)</w:t>
            </w:r>
          </w:p>
          <w:p w14:paraId="2C1ECD89" w14:textId="77777777" w:rsidR="00881C6C" w:rsidRPr="00DA3C6E" w:rsidRDefault="00881C6C" w:rsidP="00881C6C">
            <w:pPr>
              <w:pStyle w:val="TableText0"/>
              <w:ind w:right="117"/>
              <w:jc w:val="left"/>
              <w:rPr>
                <w:color w:val="000000"/>
                <w:szCs w:val="20"/>
              </w:rPr>
            </w:pPr>
            <w:r w:rsidRPr="00DA3C6E">
              <w:rPr>
                <w:color w:val="000000"/>
                <w:szCs w:val="20"/>
              </w:rPr>
              <w:t>- Ranging from subclinical biochemical derangements to severe, fatal renal failure.</w:t>
            </w:r>
          </w:p>
          <w:p w14:paraId="3B331262" w14:textId="4046F028" w:rsidR="00881C6C" w:rsidRPr="00DA3C6E" w:rsidRDefault="00881C6C" w:rsidP="00881C6C">
            <w:pPr>
              <w:pStyle w:val="TableText0"/>
              <w:ind w:right="117"/>
              <w:jc w:val="left"/>
              <w:rPr>
                <w:color w:val="000000"/>
                <w:szCs w:val="20"/>
              </w:rPr>
            </w:pPr>
            <w:r w:rsidRPr="00DA3C6E">
              <w:rPr>
                <w:color w:val="000000"/>
                <w:szCs w:val="20"/>
              </w:rPr>
              <w:t xml:space="preserve">3. Aseptic meningitis (rare ~1%; moderate-to-severe) </w:t>
            </w:r>
          </w:p>
          <w:p w14:paraId="292AD877" w14:textId="77777777" w:rsidR="00881C6C" w:rsidRPr="00DA3C6E" w:rsidRDefault="00881C6C" w:rsidP="00881C6C">
            <w:pPr>
              <w:pStyle w:val="TableText0"/>
              <w:ind w:right="117"/>
              <w:jc w:val="left"/>
              <w:rPr>
                <w:color w:val="000000"/>
                <w:szCs w:val="20"/>
              </w:rPr>
            </w:pPr>
          </w:p>
          <w:p w14:paraId="1B56DCBC" w14:textId="77777777" w:rsidR="00881C6C" w:rsidRPr="00DA3C6E" w:rsidRDefault="00881C6C" w:rsidP="00881C6C">
            <w:pPr>
              <w:pStyle w:val="TableText0"/>
              <w:ind w:right="117"/>
              <w:jc w:val="left"/>
              <w:rPr>
                <w:color w:val="000000"/>
                <w:szCs w:val="20"/>
              </w:rPr>
            </w:pPr>
            <w:r w:rsidRPr="00DA3C6E">
              <w:rPr>
                <w:b/>
                <w:bCs/>
                <w:color w:val="000000"/>
                <w:szCs w:val="20"/>
              </w:rPr>
              <w:t>Mild to severe</w:t>
            </w:r>
            <w:r w:rsidRPr="00DA3C6E">
              <w:rPr>
                <w:color w:val="000000"/>
                <w:szCs w:val="20"/>
              </w:rPr>
              <w:t xml:space="preserve"> </w:t>
            </w:r>
          </w:p>
          <w:p w14:paraId="4A5C8752" w14:textId="7DD267DC" w:rsidR="00881C6C" w:rsidRPr="00DA3C6E" w:rsidRDefault="00881C6C" w:rsidP="00881C6C">
            <w:pPr>
              <w:pStyle w:val="TableText0"/>
              <w:ind w:right="117"/>
              <w:jc w:val="left"/>
              <w:rPr>
                <w:color w:val="000000"/>
                <w:szCs w:val="20"/>
              </w:rPr>
            </w:pPr>
            <w:r w:rsidRPr="00DA3C6E">
              <w:rPr>
                <w:color w:val="000000"/>
                <w:szCs w:val="20"/>
              </w:rPr>
              <w:t xml:space="preserve">1. Laboratory Derangements (rare &lt;1%) </w:t>
            </w:r>
          </w:p>
          <w:p w14:paraId="1842B9C0" w14:textId="77777777" w:rsidR="00881C6C" w:rsidRPr="00DA3C6E" w:rsidRDefault="00881C6C" w:rsidP="00881C6C">
            <w:pPr>
              <w:pStyle w:val="TableText0"/>
              <w:ind w:right="117"/>
              <w:jc w:val="left"/>
              <w:rPr>
                <w:color w:val="000000"/>
                <w:szCs w:val="20"/>
              </w:rPr>
            </w:pPr>
            <w:r w:rsidRPr="00DA3C6E">
              <w:rPr>
                <w:color w:val="000000"/>
                <w:szCs w:val="20"/>
              </w:rPr>
              <w:t xml:space="preserve">- Haemolysis (mild-to-severe) </w:t>
            </w:r>
          </w:p>
          <w:p w14:paraId="7A84512A" w14:textId="77777777" w:rsidR="00881C6C" w:rsidRPr="00DA3C6E" w:rsidRDefault="00881C6C" w:rsidP="00881C6C">
            <w:pPr>
              <w:pStyle w:val="TableText0"/>
              <w:ind w:right="117"/>
              <w:jc w:val="left"/>
              <w:rPr>
                <w:color w:val="000000"/>
                <w:szCs w:val="20"/>
              </w:rPr>
            </w:pPr>
            <w:r w:rsidRPr="00DA3C6E">
              <w:rPr>
                <w:color w:val="000000"/>
                <w:szCs w:val="20"/>
              </w:rPr>
              <w:t xml:space="preserve">- Neutropenia (mild) </w:t>
            </w:r>
          </w:p>
          <w:p w14:paraId="1F9FD0DB" w14:textId="77777777" w:rsidR="00881C6C" w:rsidRPr="00DA3C6E" w:rsidRDefault="00881C6C" w:rsidP="00881C6C">
            <w:pPr>
              <w:pStyle w:val="TableText0"/>
              <w:ind w:right="117"/>
              <w:jc w:val="left"/>
              <w:rPr>
                <w:color w:val="000000"/>
                <w:szCs w:val="20"/>
              </w:rPr>
            </w:pPr>
            <w:r w:rsidRPr="00DA3C6E">
              <w:rPr>
                <w:color w:val="000000"/>
                <w:szCs w:val="20"/>
              </w:rPr>
              <w:t xml:space="preserve">- Pseudohyponatraemia and hyponatraemia (mild) </w:t>
            </w:r>
          </w:p>
          <w:p w14:paraId="418A3BF6" w14:textId="5331DDE6" w:rsidR="00881C6C" w:rsidRPr="00DA3C6E" w:rsidRDefault="00881C6C" w:rsidP="00881C6C">
            <w:pPr>
              <w:pStyle w:val="TableText0"/>
              <w:ind w:right="117"/>
              <w:jc w:val="left"/>
              <w:rPr>
                <w:color w:val="000000"/>
                <w:szCs w:val="20"/>
              </w:rPr>
            </w:pPr>
            <w:r w:rsidRPr="00DA3C6E">
              <w:rPr>
                <w:color w:val="000000"/>
                <w:szCs w:val="20"/>
              </w:rPr>
              <w:t xml:space="preserve">2. Blood-Borne Infection (very rare &lt;0.01%) </w:t>
            </w:r>
          </w:p>
          <w:p w14:paraId="662BE800" w14:textId="77777777" w:rsidR="00881C6C" w:rsidRPr="00DA3C6E" w:rsidRDefault="00881C6C" w:rsidP="00881C6C">
            <w:pPr>
              <w:pStyle w:val="TableText0"/>
              <w:ind w:right="117"/>
              <w:jc w:val="left"/>
              <w:rPr>
                <w:color w:val="000000"/>
                <w:szCs w:val="20"/>
              </w:rPr>
            </w:pPr>
            <w:r w:rsidRPr="00DA3C6E">
              <w:rPr>
                <w:color w:val="000000"/>
                <w:szCs w:val="20"/>
              </w:rPr>
              <w:t xml:space="preserve">- Historical reports of hepatitis C transmission. </w:t>
            </w:r>
          </w:p>
          <w:p w14:paraId="705AB66A" w14:textId="6F2B2B60" w:rsidR="00881C6C" w:rsidRPr="00DA3C6E" w:rsidRDefault="00881C6C" w:rsidP="00881C6C">
            <w:pPr>
              <w:pStyle w:val="TableText0"/>
              <w:ind w:right="117"/>
              <w:jc w:val="left"/>
              <w:rPr>
                <w:color w:val="000000"/>
                <w:szCs w:val="20"/>
              </w:rPr>
            </w:pPr>
            <w:r w:rsidRPr="00DA3C6E">
              <w:rPr>
                <w:color w:val="000000"/>
                <w:szCs w:val="20"/>
              </w:rPr>
              <w:t>- Theoretical risk of prion transmission is possible</w:t>
            </w:r>
          </w:p>
        </w:tc>
        <w:tc>
          <w:tcPr>
            <w:tcW w:w="657" w:type="dxa"/>
            <w:vMerge/>
            <w:vAlign w:val="center"/>
          </w:tcPr>
          <w:p w14:paraId="6314F206" w14:textId="77777777" w:rsidR="00881C6C" w:rsidRPr="00DA3C6E" w:rsidRDefault="00881C6C" w:rsidP="00F53139">
            <w:pPr>
              <w:pStyle w:val="TableText0"/>
              <w:ind w:right="117"/>
              <w:jc w:val="center"/>
              <w:rPr>
                <w:snapToGrid w:val="0"/>
                <w:szCs w:val="20"/>
              </w:rPr>
            </w:pPr>
          </w:p>
        </w:tc>
      </w:tr>
    </w:tbl>
    <w:p w14:paraId="438AB17C" w14:textId="515384C7" w:rsidR="002D6035" w:rsidRPr="00DA3C6E" w:rsidRDefault="002D6035" w:rsidP="00303403">
      <w:pPr>
        <w:spacing w:line="240" w:lineRule="auto"/>
        <w:jc w:val="left"/>
        <w:rPr>
          <w:rFonts w:ascii="Arial Narrow" w:hAnsi="Arial Narrow"/>
          <w:sz w:val="18"/>
          <w:szCs w:val="18"/>
        </w:rPr>
      </w:pPr>
      <w:r w:rsidRPr="00DA3C6E">
        <w:rPr>
          <w:rFonts w:ascii="Arial Narrow" w:hAnsi="Arial Narrow"/>
          <w:sz w:val="18"/>
          <w:szCs w:val="18"/>
        </w:rPr>
        <w:t>Abbreviations: ADR = adverse drug reaction; AEs = adverse events; CI = confidence interval; ID=identification Ig = immunoglobulin; N= number; SAE = serious adverse event; TRALI = transfusion-related acute lung injury.</w:t>
      </w:r>
      <w:r w:rsidRPr="00DA3C6E">
        <w:rPr>
          <w:rFonts w:ascii="Arial Narrow" w:hAnsi="Arial Narrow"/>
          <w:sz w:val="18"/>
          <w:szCs w:val="18"/>
        </w:rPr>
        <w:br/>
        <w:t xml:space="preserve">Notes: </w:t>
      </w:r>
      <w:r w:rsidRPr="00DA3C6E">
        <w:rPr>
          <w:rFonts w:ascii="Arial Narrow" w:hAnsi="Arial Narrow"/>
          <w:sz w:val="18"/>
          <w:szCs w:val="18"/>
          <w:vertAlign w:val="superscript"/>
        </w:rPr>
        <w:t>1</w:t>
      </w:r>
      <w:r w:rsidRPr="00DA3C6E">
        <w:rPr>
          <w:rFonts w:ascii="Arial Narrow" w:hAnsi="Arial Narrow"/>
          <w:sz w:val="18"/>
          <w:szCs w:val="18"/>
        </w:rPr>
        <w:t xml:space="preserve">Studies providing information about safety excluded from the literature review; </w:t>
      </w:r>
      <w:r w:rsidRPr="00DA3C6E">
        <w:rPr>
          <w:rFonts w:ascii="Arial Narrow" w:hAnsi="Arial Narrow"/>
          <w:sz w:val="18"/>
          <w:szCs w:val="18"/>
          <w:vertAlign w:val="superscript"/>
        </w:rPr>
        <w:t>2</w:t>
      </w:r>
      <w:r w:rsidRPr="00DA3C6E">
        <w:rPr>
          <w:rFonts w:ascii="Arial Narrow" w:hAnsi="Arial Narrow"/>
          <w:sz w:val="18"/>
          <w:szCs w:val="18"/>
        </w:rPr>
        <w:t xml:space="preserve">The study reported safety of </w:t>
      </w:r>
      <w:r w:rsidR="00E40EC1" w:rsidRPr="00DA3C6E">
        <w:rPr>
          <w:rFonts w:ascii="Arial Narrow" w:hAnsi="Arial Narrow"/>
          <w:sz w:val="18"/>
          <w:szCs w:val="18"/>
        </w:rPr>
        <w:t>i</w:t>
      </w:r>
      <w:r w:rsidRPr="00DA3C6E">
        <w:rPr>
          <w:rFonts w:ascii="Arial Narrow" w:hAnsi="Arial Narrow"/>
          <w:sz w:val="18"/>
          <w:szCs w:val="18"/>
        </w:rPr>
        <w:t>ntravenous Ig for patients with demyelinating polyneuropathy; only 4 out of 30 patients had MMN</w:t>
      </w:r>
      <w:r w:rsidR="00CD472E" w:rsidRPr="00DA3C6E">
        <w:rPr>
          <w:rFonts w:ascii="Arial Narrow" w:hAnsi="Arial Narrow"/>
          <w:sz w:val="18"/>
          <w:szCs w:val="18"/>
        </w:rPr>
        <w:t xml:space="preserve">; </w:t>
      </w:r>
      <w:r w:rsidR="00CD472E" w:rsidRPr="00DA3C6E">
        <w:rPr>
          <w:rFonts w:ascii="Arial Narrow" w:hAnsi="Arial Narrow"/>
          <w:sz w:val="18"/>
          <w:szCs w:val="18"/>
          <w:vertAlign w:val="superscript"/>
        </w:rPr>
        <w:t xml:space="preserve">3 </w:t>
      </w:r>
      <w:r w:rsidR="00CD472E" w:rsidRPr="00DA3C6E">
        <w:rPr>
          <w:rFonts w:ascii="Arial Narrow" w:hAnsi="Arial Narrow"/>
          <w:sz w:val="18"/>
          <w:szCs w:val="18"/>
        </w:rPr>
        <w:t xml:space="preserve">Study is a systematic literature review of early and delayed complications observed in patients with CIDP (not MMN). </w:t>
      </w:r>
    </w:p>
    <w:p w14:paraId="3AC7AF73" w14:textId="77777777" w:rsidR="002D6035" w:rsidRPr="00DA3C6E" w:rsidRDefault="002D6035">
      <w:pPr>
        <w:spacing w:after="0" w:line="240" w:lineRule="auto"/>
        <w:jc w:val="left"/>
        <w:rPr>
          <w:b/>
          <w:smallCaps/>
          <w:sz w:val="28"/>
        </w:rPr>
      </w:pPr>
      <w:r w:rsidRPr="00DA3C6E">
        <w:br w:type="page"/>
      </w:r>
    </w:p>
    <w:p w14:paraId="19A29A9C" w14:textId="77777777" w:rsidR="002D6035" w:rsidRPr="00DA3C6E" w:rsidRDefault="002D6035" w:rsidP="00303403">
      <w:pPr>
        <w:pStyle w:val="Heading3"/>
      </w:pPr>
      <w:bookmarkStart w:id="185" w:name="_Toc379118084"/>
      <w:bookmarkStart w:id="186" w:name="_Toc381796469"/>
      <w:bookmarkStart w:id="187" w:name="_Toc25216051"/>
      <w:bookmarkStart w:id="188" w:name="_Toc37845744"/>
      <w:r w:rsidRPr="00DA3C6E">
        <w:lastRenderedPageBreak/>
        <w:t>Is it effective?</w:t>
      </w:r>
      <w:bookmarkEnd w:id="185"/>
      <w:bookmarkEnd w:id="186"/>
      <w:bookmarkEnd w:id="187"/>
      <w:bookmarkEnd w:id="188"/>
      <w:r w:rsidRPr="00DA3C6E">
        <w:t xml:space="preserve"> </w:t>
      </w:r>
    </w:p>
    <w:p w14:paraId="0E11FF42" w14:textId="77777777" w:rsidR="002D6035" w:rsidRPr="00DA3C6E" w:rsidRDefault="002D6035" w:rsidP="005C061E">
      <w:pPr>
        <w:pStyle w:val="Summaryboxheading"/>
        <w:pBdr>
          <w:top w:val="single" w:sz="4" w:space="1" w:color="auto"/>
          <w:left w:val="single" w:sz="4" w:space="4" w:color="auto"/>
          <w:bottom w:val="single" w:sz="4" w:space="1" w:color="auto"/>
          <w:right w:val="single" w:sz="4" w:space="4" w:color="auto"/>
        </w:pBdr>
      </w:pPr>
      <w:r w:rsidRPr="00DA3C6E">
        <w:t xml:space="preserve">Summary – What is the comparative efficacy of </w:t>
      </w:r>
      <w:r w:rsidR="00E40EC1" w:rsidRPr="00DA3C6E">
        <w:t>i</w:t>
      </w:r>
      <w:r w:rsidRPr="00DA3C6E">
        <w:t>ntravenous Ig versus No Ig</w:t>
      </w:r>
      <w:r w:rsidR="00E40EC1" w:rsidRPr="00DA3C6E">
        <w:t xml:space="preserve"> </w:t>
      </w:r>
      <w:r w:rsidR="00C6638C" w:rsidRPr="00DA3C6E">
        <w:t xml:space="preserve">with </w:t>
      </w:r>
      <w:r w:rsidR="00E40EC1" w:rsidRPr="00DA3C6E">
        <w:t>BSC</w:t>
      </w:r>
      <w:r w:rsidRPr="00DA3C6E">
        <w:t xml:space="preserve"> in the treatment of MMN patients?</w:t>
      </w:r>
    </w:p>
    <w:p w14:paraId="637A3D5F" w14:textId="24DEA643"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The literature search found five randomised trials that assessed the efficacy in terms of improvement in disability and muscle strength of intravenous Ig compared to placebo (No </w:t>
      </w:r>
      <w:r w:rsidR="00AB3A15" w:rsidRPr="00DA3C6E">
        <w:rPr>
          <w:b w:val="0"/>
        </w:rPr>
        <w:t>i</w:t>
      </w:r>
      <w:r w:rsidRPr="00DA3C6E">
        <w:rPr>
          <w:b w:val="0"/>
        </w:rPr>
        <w:t>ntravenous Ig</w:t>
      </w:r>
      <w:r w:rsidR="00074033" w:rsidRPr="00DA3C6E">
        <w:rPr>
          <w:b w:val="0"/>
        </w:rPr>
        <w:t xml:space="preserve"> with BSC</w:t>
      </w:r>
      <w:r w:rsidRPr="00DA3C6E">
        <w:rPr>
          <w:b w:val="0"/>
        </w:rPr>
        <w:t xml:space="preserve">). All five RCTs reported some benefit associated with intravenous Ig, however </w:t>
      </w:r>
      <w:r w:rsidR="009A4E4F" w:rsidRPr="00DA3C6E">
        <w:rPr>
          <w:b w:val="0"/>
        </w:rPr>
        <w:t>the results should be interpreted</w:t>
      </w:r>
      <w:r w:rsidRPr="00DA3C6E">
        <w:rPr>
          <w:b w:val="0"/>
        </w:rPr>
        <w:t xml:space="preserve"> with caution because of the limited number of patients recruited in each study, the limited follow-up and the cross-over study design. </w:t>
      </w:r>
    </w:p>
    <w:p w14:paraId="639160C4" w14:textId="1EF6D8D2"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When assessing the efficacy </w:t>
      </w:r>
      <w:r w:rsidR="009A4E4F" w:rsidRPr="00DA3C6E">
        <w:rPr>
          <w:b w:val="0"/>
        </w:rPr>
        <w:t xml:space="preserve">of </w:t>
      </w:r>
      <w:r w:rsidRPr="00DA3C6E">
        <w:rPr>
          <w:b w:val="0"/>
        </w:rPr>
        <w:t>each clinical effectiveness outcome, mainly</w:t>
      </w:r>
      <w:r w:rsidR="009A4E4F" w:rsidRPr="00DA3C6E">
        <w:rPr>
          <w:b w:val="0"/>
        </w:rPr>
        <w:t xml:space="preserve"> being</w:t>
      </w:r>
      <w:r w:rsidRPr="00DA3C6E">
        <w:rPr>
          <w:b w:val="0"/>
        </w:rPr>
        <w:t xml:space="preserve"> improvement in disability and muscle strength, some difficulties were found in comparing these results because different tools were used to measure the outcome. Only one study (Leger </w:t>
      </w:r>
      <w:r w:rsidR="00074033" w:rsidRPr="00DA3C6E">
        <w:rPr>
          <w:b w:val="0"/>
        </w:rPr>
        <w:t xml:space="preserve">et al. </w:t>
      </w:r>
      <w:r w:rsidRPr="00DA3C6E">
        <w:rPr>
          <w:b w:val="0"/>
        </w:rPr>
        <w:t>2001</w:t>
      </w:r>
      <w:r w:rsidR="00DB568A" w:rsidRPr="00DA3C6E">
        <w:rPr>
          <w:b w:val="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b w:val="0"/>
        </w:rPr>
        <w:instrText xml:space="preserve"> ADDIN EN.CITE </w:instrText>
      </w:r>
      <w:r w:rsidR="00DB568A" w:rsidRPr="00DA3C6E">
        <w:rPr>
          <w:b w:val="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b w:val="0"/>
        </w:rPr>
        <w:instrText xml:space="preserve"> ADDIN EN.CITE.DATA </w:instrText>
      </w:r>
      <w:r w:rsidR="00DB568A" w:rsidRPr="00DA3C6E">
        <w:rPr>
          <w:b w:val="0"/>
        </w:rPr>
      </w:r>
      <w:r w:rsidR="00DB568A" w:rsidRPr="00DA3C6E">
        <w:rPr>
          <w:b w:val="0"/>
        </w:rPr>
        <w:fldChar w:fldCharType="end"/>
      </w:r>
      <w:r w:rsidR="00DB568A" w:rsidRPr="00DA3C6E">
        <w:rPr>
          <w:b w:val="0"/>
        </w:rPr>
      </w:r>
      <w:r w:rsidR="00DB568A" w:rsidRPr="00DA3C6E">
        <w:rPr>
          <w:b w:val="0"/>
        </w:rPr>
        <w:fldChar w:fldCharType="separate"/>
      </w:r>
      <w:r w:rsidR="00DB568A" w:rsidRPr="00DA3C6E">
        <w:rPr>
          <w:b w:val="0"/>
          <w:noProof/>
        </w:rPr>
        <w:t>(</w:t>
      </w:r>
      <w:hyperlink w:anchor="_ENREF_27" w:tooltip="Leger, 2001 #39" w:history="1">
        <w:r w:rsidR="00C04BCE" w:rsidRPr="00DA3C6E">
          <w:rPr>
            <w:b w:val="0"/>
            <w:noProof/>
          </w:rPr>
          <w:t>27</w:t>
        </w:r>
      </w:hyperlink>
      <w:r w:rsidR="00DB568A" w:rsidRPr="00DA3C6E">
        <w:rPr>
          <w:b w:val="0"/>
          <w:noProof/>
        </w:rPr>
        <w:t>)</w:t>
      </w:r>
      <w:r w:rsidR="00DB568A" w:rsidRPr="00DA3C6E">
        <w:rPr>
          <w:b w:val="0"/>
        </w:rPr>
        <w:fldChar w:fldCharType="end"/>
      </w:r>
      <w:r w:rsidRPr="00DA3C6E">
        <w:rPr>
          <w:b w:val="0"/>
        </w:rPr>
        <w:t>) reported overall response to Ig treatment as an effectiveness measure.</w:t>
      </w:r>
    </w:p>
    <w:p w14:paraId="5B3A37B0" w14:textId="2458D223"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Three of the five studies reported improvement in disability as an outcome measure, but of these only the study by Hahn et al</w:t>
      </w:r>
      <w:r w:rsidR="00074033" w:rsidRPr="00DA3C6E">
        <w:rPr>
          <w:b w:val="0"/>
        </w:rPr>
        <w:t>. 2013</w: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 </w:instrTex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EN.CITE.DATA </w:instrText>
      </w:r>
      <w:r w:rsidR="00DB568A" w:rsidRPr="00DA3C6E">
        <w:rPr>
          <w:b w:val="0"/>
        </w:rPr>
      </w:r>
      <w:r w:rsidR="00DB568A" w:rsidRPr="00DA3C6E">
        <w:rPr>
          <w:b w:val="0"/>
        </w:rPr>
        <w:fldChar w:fldCharType="end"/>
      </w:r>
      <w:r w:rsidR="00DB568A" w:rsidRPr="00DA3C6E">
        <w:rPr>
          <w:b w:val="0"/>
        </w:rPr>
      </w:r>
      <w:r w:rsidR="00DB568A" w:rsidRPr="00DA3C6E">
        <w:rPr>
          <w:b w:val="0"/>
        </w:rPr>
        <w:fldChar w:fldCharType="separate"/>
      </w:r>
      <w:r w:rsidR="00DB568A" w:rsidRPr="00DA3C6E">
        <w:rPr>
          <w:b w:val="0"/>
          <w:noProof/>
        </w:rPr>
        <w:t>(</w:t>
      </w:r>
      <w:hyperlink w:anchor="_ENREF_28" w:tooltip="Hahn, 2013 #26" w:history="1">
        <w:r w:rsidR="00C04BCE" w:rsidRPr="00DA3C6E">
          <w:rPr>
            <w:b w:val="0"/>
            <w:noProof/>
          </w:rPr>
          <w:t>28</w:t>
        </w:r>
      </w:hyperlink>
      <w:r w:rsidR="00DB568A" w:rsidRPr="00DA3C6E">
        <w:rPr>
          <w:b w:val="0"/>
          <w:noProof/>
        </w:rPr>
        <w:t>)</w:t>
      </w:r>
      <w:r w:rsidR="00DB568A" w:rsidRPr="00DA3C6E">
        <w:rPr>
          <w:b w:val="0"/>
        </w:rPr>
        <w:fldChar w:fldCharType="end"/>
      </w:r>
      <w:r w:rsidRPr="00DA3C6E">
        <w:rPr>
          <w:b w:val="0"/>
        </w:rPr>
        <w:t xml:space="preserve"> found statistically significant differences (RR = 1.3</w:t>
      </w:r>
      <w:r w:rsidR="000922E7" w:rsidRPr="00DA3C6E">
        <w:rPr>
          <w:b w:val="0"/>
        </w:rPr>
        <w:t>7</w:t>
      </w:r>
      <w:r w:rsidRPr="00DA3C6E">
        <w:rPr>
          <w:b w:val="0"/>
        </w:rPr>
        <w:t>; 95% CI 1.0</w:t>
      </w:r>
      <w:r w:rsidR="000922E7" w:rsidRPr="00DA3C6E">
        <w:rPr>
          <w:b w:val="0"/>
        </w:rPr>
        <w:t>7</w:t>
      </w:r>
      <w:r w:rsidRPr="00DA3C6E">
        <w:rPr>
          <w:b w:val="0"/>
        </w:rPr>
        <w:t>, 1.</w:t>
      </w:r>
      <w:r w:rsidR="000922E7" w:rsidRPr="00DA3C6E">
        <w:rPr>
          <w:b w:val="0"/>
        </w:rPr>
        <w:t>76</w:t>
      </w:r>
      <w:r w:rsidRPr="00DA3C6E">
        <w:rPr>
          <w:b w:val="0"/>
        </w:rPr>
        <w:t xml:space="preserve">). The pooled treatment effect reported in Hahn et al </w:t>
      </w:r>
      <w:r w:rsidR="001B6963" w:rsidRPr="00DA3C6E">
        <w:rPr>
          <w:b w:val="0"/>
        </w:rPr>
        <w:t xml:space="preserve">2013 </w:t>
      </w:r>
      <w:r w:rsidRPr="00DA3C6E">
        <w:rPr>
          <w:b w:val="0"/>
        </w:rPr>
        <w:t xml:space="preserve">and Leger et al </w:t>
      </w:r>
      <w:r w:rsidR="001B6963" w:rsidRPr="00DA3C6E">
        <w:rPr>
          <w:b w:val="0"/>
        </w:rPr>
        <w:t>2001</w:t>
      </w:r>
      <w:r w:rsidR="00DB568A" w:rsidRPr="00DA3C6E">
        <w:rPr>
          <w:b w:val="0"/>
        </w:rPr>
        <w:fldChar w:fldCharType="begin">
          <w:fldData xml:space="preserve">PEVuZE5vdGU+PENpdGU+PEF1dGhvcj5IYWhuPC9BdXRob3I+PFllYXI+MjAxMzwvWWVhcj48UmVj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==
</w:fldData>
        </w:fldChar>
      </w:r>
      <w:r w:rsidR="00DB568A" w:rsidRPr="00DA3C6E">
        <w:rPr>
          <w:b w:val="0"/>
        </w:rPr>
        <w:instrText xml:space="preserve"> ADDIN EN.CITE </w:instrText>
      </w:r>
      <w:r w:rsidR="00DB568A" w:rsidRPr="00DA3C6E">
        <w:rPr>
          <w:b w:val="0"/>
        </w:rPr>
        <w:fldChar w:fldCharType="begin">
          <w:fldData xml:space="preserve">PEVuZE5vdGU+PENpdGU+PEF1dGhvcj5IYWhuPC9BdXRob3I+PFllYXI+MjAxMzwvWWVhcj48UmVj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==
</w:fldData>
        </w:fldChar>
      </w:r>
      <w:r w:rsidR="00DB568A" w:rsidRPr="00DA3C6E">
        <w:rPr>
          <w:b w:val="0"/>
        </w:rPr>
        <w:instrText xml:space="preserve"> ADDIN EN.CITE.DATA </w:instrText>
      </w:r>
      <w:r w:rsidR="00DB568A" w:rsidRPr="00DA3C6E">
        <w:rPr>
          <w:b w:val="0"/>
        </w:rPr>
      </w:r>
      <w:r w:rsidR="00DB568A" w:rsidRPr="00DA3C6E">
        <w:rPr>
          <w:b w:val="0"/>
        </w:rPr>
        <w:fldChar w:fldCharType="end"/>
      </w:r>
      <w:r w:rsidR="00DB568A" w:rsidRPr="00DA3C6E">
        <w:rPr>
          <w:b w:val="0"/>
        </w:rPr>
      </w:r>
      <w:r w:rsidR="00DB568A" w:rsidRPr="00DA3C6E">
        <w:rPr>
          <w:b w:val="0"/>
        </w:rPr>
        <w:fldChar w:fldCharType="separate"/>
      </w:r>
      <w:r w:rsidR="00DB568A" w:rsidRPr="00DA3C6E">
        <w:rPr>
          <w:b w:val="0"/>
          <w:noProof/>
        </w:rPr>
        <w:t>(</w:t>
      </w:r>
      <w:hyperlink w:anchor="_ENREF_27" w:tooltip="Leger, 2001 #39" w:history="1">
        <w:r w:rsidR="00C04BCE" w:rsidRPr="00DA3C6E">
          <w:rPr>
            <w:b w:val="0"/>
            <w:noProof/>
          </w:rPr>
          <w:t>27</w:t>
        </w:r>
      </w:hyperlink>
      <w:r w:rsidR="00DB568A" w:rsidRPr="00DA3C6E">
        <w:rPr>
          <w:b w:val="0"/>
          <w:noProof/>
        </w:rPr>
        <w:t xml:space="preserve">, </w:t>
      </w:r>
      <w:hyperlink w:anchor="_ENREF_28" w:tooltip="Hahn, 2013 #26" w:history="1">
        <w:r w:rsidR="00C04BCE" w:rsidRPr="00DA3C6E">
          <w:rPr>
            <w:b w:val="0"/>
            <w:noProof/>
          </w:rPr>
          <w:t>28</w:t>
        </w:r>
      </w:hyperlink>
      <w:r w:rsidR="00DB568A" w:rsidRPr="00DA3C6E">
        <w:rPr>
          <w:b w:val="0"/>
          <w:noProof/>
        </w:rPr>
        <w:t>)</w:t>
      </w:r>
      <w:r w:rsidR="00DB568A" w:rsidRPr="00DA3C6E">
        <w:rPr>
          <w:b w:val="0"/>
        </w:rPr>
        <w:fldChar w:fldCharType="end"/>
      </w:r>
      <w:r w:rsidRPr="00DA3C6E">
        <w:rPr>
          <w:b w:val="0"/>
        </w:rPr>
        <w:t xml:space="preserve"> was of RR 1.</w:t>
      </w:r>
      <w:r w:rsidR="000922E7" w:rsidRPr="00DA3C6E">
        <w:rPr>
          <w:b w:val="0"/>
        </w:rPr>
        <w:t>81</w:t>
      </w:r>
      <w:r w:rsidRPr="00DA3C6E">
        <w:rPr>
          <w:b w:val="0"/>
        </w:rPr>
        <w:t xml:space="preserve"> (95% CI </w:t>
      </w:r>
      <w:r w:rsidR="000922E7" w:rsidRPr="00DA3C6E">
        <w:rPr>
          <w:b w:val="0"/>
        </w:rPr>
        <w:t>0.74</w:t>
      </w:r>
      <w:r w:rsidRPr="00DA3C6E">
        <w:rPr>
          <w:b w:val="0"/>
        </w:rPr>
        <w:t xml:space="preserve">, </w:t>
      </w:r>
      <w:r w:rsidR="00322BA2" w:rsidRPr="00DA3C6E">
        <w:rPr>
          <w:b w:val="0"/>
        </w:rPr>
        <w:t>4.45</w:t>
      </w:r>
      <w:r w:rsidRPr="00DA3C6E">
        <w:rPr>
          <w:b w:val="0"/>
        </w:rPr>
        <w:t xml:space="preserve">), which means that </w:t>
      </w:r>
      <w:r w:rsidR="001B6963" w:rsidRPr="00DA3C6E">
        <w:rPr>
          <w:b w:val="0"/>
        </w:rPr>
        <w:t>i</w:t>
      </w:r>
      <w:r w:rsidRPr="00DA3C6E">
        <w:rPr>
          <w:b w:val="0"/>
        </w:rPr>
        <w:t>ntravenous Ig is superior to placebo</w:t>
      </w:r>
      <w:r w:rsidR="00322BA2" w:rsidRPr="00DA3C6E">
        <w:rPr>
          <w:b w:val="0"/>
        </w:rPr>
        <w:t xml:space="preserve">, however no statistical differences were found </w:t>
      </w:r>
      <w:r w:rsidRPr="00DA3C6E">
        <w:rPr>
          <w:b w:val="0"/>
        </w:rPr>
        <w:t>(p=0.</w:t>
      </w:r>
      <w:r w:rsidR="00322BA2" w:rsidRPr="00DA3C6E">
        <w:rPr>
          <w:b w:val="0"/>
        </w:rPr>
        <w:t>19</w:t>
      </w:r>
      <w:r w:rsidRPr="00DA3C6E">
        <w:rPr>
          <w:b w:val="0"/>
        </w:rPr>
        <w:t>).</w:t>
      </w:r>
      <w:r w:rsidR="00FD4237" w:rsidRPr="00DA3C6E">
        <w:rPr>
          <w:b w:val="0"/>
        </w:rPr>
        <w:t xml:space="preserve"> </w:t>
      </w:r>
      <w:r w:rsidRPr="00DA3C6E">
        <w:rPr>
          <w:b w:val="0"/>
        </w:rPr>
        <w:t xml:space="preserve">These results were </w:t>
      </w:r>
      <w:r w:rsidR="00074033" w:rsidRPr="00DA3C6E">
        <w:rPr>
          <w:b w:val="0"/>
        </w:rPr>
        <w:t xml:space="preserve">estimated </w:t>
      </w:r>
      <w:r w:rsidRPr="00DA3C6E">
        <w:rPr>
          <w:b w:val="0"/>
        </w:rPr>
        <w:t xml:space="preserve">under the assumption that the improvement was independent of the tools used to measure the outcome. Similarly, all five RCTs showed that </w:t>
      </w:r>
      <w:r w:rsidR="001B6963" w:rsidRPr="00DA3C6E">
        <w:rPr>
          <w:b w:val="0"/>
        </w:rPr>
        <w:t>i</w:t>
      </w:r>
      <w:r w:rsidRPr="00DA3C6E">
        <w:rPr>
          <w:b w:val="0"/>
        </w:rPr>
        <w:t>ntravenous Ig compared to placebo, resulted in an improvement in muscle strength but only found to be statistically significant in the study conducted by Hahn et al</w:t>
      </w:r>
      <w:r w:rsidR="00074033" w:rsidRPr="00DA3C6E">
        <w:rPr>
          <w:b w:val="0"/>
        </w:rPr>
        <w:t>.</w:t>
      </w:r>
      <w:r w:rsidRPr="00DA3C6E">
        <w:rPr>
          <w:b w:val="0"/>
        </w:rPr>
        <w:t xml:space="preserve"> 2013</w: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 </w:instrText>
      </w:r>
      <w:r w:rsidR="00DB568A" w:rsidRPr="00DA3C6E">
        <w:rPr>
          <w:b w:val="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b w:val="0"/>
        </w:rPr>
        <w:instrText xml:space="preserve"> ADDIN EN.CITE.DATA </w:instrText>
      </w:r>
      <w:r w:rsidR="00DB568A" w:rsidRPr="00DA3C6E">
        <w:rPr>
          <w:b w:val="0"/>
        </w:rPr>
      </w:r>
      <w:r w:rsidR="00DB568A" w:rsidRPr="00DA3C6E">
        <w:rPr>
          <w:b w:val="0"/>
        </w:rPr>
        <w:fldChar w:fldCharType="end"/>
      </w:r>
      <w:r w:rsidR="00DB568A" w:rsidRPr="00DA3C6E">
        <w:rPr>
          <w:b w:val="0"/>
        </w:rPr>
      </w:r>
      <w:r w:rsidR="00DB568A" w:rsidRPr="00DA3C6E">
        <w:rPr>
          <w:b w:val="0"/>
        </w:rPr>
        <w:fldChar w:fldCharType="separate"/>
      </w:r>
      <w:r w:rsidR="00DB568A" w:rsidRPr="00DA3C6E">
        <w:rPr>
          <w:b w:val="0"/>
          <w:noProof/>
        </w:rPr>
        <w:t>(</w:t>
      </w:r>
      <w:hyperlink w:anchor="_ENREF_28" w:tooltip="Hahn, 2013 #26" w:history="1">
        <w:r w:rsidR="00C04BCE" w:rsidRPr="00DA3C6E">
          <w:rPr>
            <w:b w:val="0"/>
            <w:noProof/>
          </w:rPr>
          <w:t>28</w:t>
        </w:r>
      </w:hyperlink>
      <w:r w:rsidR="00DB568A" w:rsidRPr="00DA3C6E">
        <w:rPr>
          <w:b w:val="0"/>
          <w:noProof/>
        </w:rPr>
        <w:t>)</w:t>
      </w:r>
      <w:r w:rsidR="00DB568A" w:rsidRPr="00DA3C6E">
        <w:rPr>
          <w:b w:val="0"/>
        </w:rPr>
        <w:fldChar w:fldCharType="end"/>
      </w:r>
      <w:r w:rsidRPr="00DA3C6E">
        <w:rPr>
          <w:b w:val="0"/>
        </w:rPr>
        <w:t xml:space="preserve"> (RR = 1.67; 95% CI 1.27, 2.18). The pooled treatment effect of RR </w:t>
      </w:r>
      <w:r w:rsidR="00322BA2" w:rsidRPr="00DA3C6E">
        <w:rPr>
          <w:b w:val="0"/>
        </w:rPr>
        <w:t>3.51</w:t>
      </w:r>
      <w:r w:rsidRPr="00DA3C6E">
        <w:rPr>
          <w:b w:val="0"/>
        </w:rPr>
        <w:t xml:space="preserve"> (95% CI 1.</w:t>
      </w:r>
      <w:r w:rsidR="00322BA2" w:rsidRPr="00DA3C6E">
        <w:rPr>
          <w:b w:val="0"/>
        </w:rPr>
        <w:t>12</w:t>
      </w:r>
      <w:r w:rsidRPr="00DA3C6E">
        <w:rPr>
          <w:b w:val="0"/>
        </w:rPr>
        <w:t xml:space="preserve">, </w:t>
      </w:r>
      <w:r w:rsidR="00322BA2" w:rsidRPr="00DA3C6E">
        <w:rPr>
          <w:b w:val="0"/>
        </w:rPr>
        <w:t>11.05</w:t>
      </w:r>
      <w:r w:rsidRPr="00DA3C6E">
        <w:rPr>
          <w:b w:val="0"/>
        </w:rPr>
        <w:t>) reflects intravenous Ig being superior to placebo for improvement in muscle strength (p&lt;0.0</w:t>
      </w:r>
      <w:r w:rsidR="00322BA2" w:rsidRPr="00DA3C6E">
        <w:rPr>
          <w:b w:val="0"/>
        </w:rPr>
        <w:t>3</w:t>
      </w:r>
      <w:r w:rsidRPr="00DA3C6E">
        <w:rPr>
          <w:b w:val="0"/>
        </w:rPr>
        <w:t>).</w:t>
      </w:r>
    </w:p>
    <w:p w14:paraId="637737C6" w14:textId="77777777"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The literature search showed that there are a number of single arm studies that provided relevant data on treatment effect. Overall, these studies were low level evidence consisting primarily of case series with generally small numbers of patients</w:t>
      </w:r>
      <w:r w:rsidR="001B6963" w:rsidRPr="00DA3C6E">
        <w:rPr>
          <w:b w:val="0"/>
        </w:rPr>
        <w:t>. These studies provide a before and after treatment effect which indirectly supports the clinical claim of superiority as suggested by the RCTs.</w:t>
      </w:r>
    </w:p>
    <w:p w14:paraId="6FA382CA" w14:textId="77777777"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Most of the studies referred to above, fail to capture how these outcomes, disability and muscle strength, reflect an improvement in the quality of life (QoL) of patients with MMN. In fact, QoL was not measured in the </w:t>
      </w:r>
      <w:r w:rsidR="00074033" w:rsidRPr="00DA3C6E">
        <w:rPr>
          <w:b w:val="0"/>
        </w:rPr>
        <w:t>RCTs</w:t>
      </w:r>
      <w:r w:rsidRPr="00DA3C6E">
        <w:rPr>
          <w:b w:val="0"/>
        </w:rPr>
        <w:t xml:space="preserve">. From the available single arm studies that reported QoL, it was observed that they all failed to report the baseline pre-treatment and after treatment QoL. The results from the available evidence show wide variability when comparing the mean absolute scores but they were generally consistent in the fact that QoL in patients with MMN was reduced with time, especially in the physical domains. </w:t>
      </w:r>
    </w:p>
    <w:p w14:paraId="6EDD73BE" w14:textId="77777777" w:rsidR="002D6035" w:rsidRPr="00DA3C6E" w:rsidRDefault="002D6035" w:rsidP="00740643">
      <w:pPr>
        <w:pStyle w:val="Summaryboxheading"/>
        <w:pBdr>
          <w:top w:val="single" w:sz="4" w:space="1" w:color="auto"/>
          <w:left w:val="single" w:sz="4" w:space="4" w:color="auto"/>
          <w:bottom w:val="single" w:sz="4" w:space="1" w:color="auto"/>
          <w:right w:val="single" w:sz="4" w:space="4" w:color="auto"/>
        </w:pBdr>
        <w:rPr>
          <w:b w:val="0"/>
        </w:rPr>
      </w:pPr>
      <w:r w:rsidRPr="00DA3C6E">
        <w:rPr>
          <w:b w:val="0"/>
        </w:rPr>
        <w:t xml:space="preserve">Overall, on the basis of the clinical evidence, intravenous Ig was superior to </w:t>
      </w:r>
      <w:r w:rsidR="00074033" w:rsidRPr="00DA3C6E">
        <w:rPr>
          <w:b w:val="0"/>
        </w:rPr>
        <w:t xml:space="preserve">No Ig with BSC </w:t>
      </w:r>
      <w:r w:rsidRPr="00DA3C6E">
        <w:rPr>
          <w:b w:val="0"/>
        </w:rPr>
        <w:t xml:space="preserve">in terms of improvements in </w:t>
      </w:r>
      <w:r w:rsidR="00FB64A3" w:rsidRPr="00DA3C6E">
        <w:rPr>
          <w:b w:val="0"/>
        </w:rPr>
        <w:t xml:space="preserve">muscle strength and </w:t>
      </w:r>
      <w:r w:rsidRPr="00DA3C6E">
        <w:rPr>
          <w:b w:val="0"/>
        </w:rPr>
        <w:t>disability</w:t>
      </w:r>
      <w:r w:rsidR="00FB64A3" w:rsidRPr="00DA3C6E">
        <w:rPr>
          <w:b w:val="0"/>
        </w:rPr>
        <w:t xml:space="preserve">. </w:t>
      </w:r>
      <w:r w:rsidRPr="00DA3C6E">
        <w:rPr>
          <w:b w:val="0"/>
        </w:rPr>
        <w:t xml:space="preserve"> </w:t>
      </w:r>
    </w:p>
    <w:p w14:paraId="40AE43AC" w14:textId="77777777" w:rsidR="002D6035" w:rsidRPr="00DA3C6E" w:rsidRDefault="002D6035" w:rsidP="00C836F2">
      <w:r w:rsidRPr="00DA3C6E">
        <w:t xml:space="preserve">A pooled analysis of all five RCTs was conducted in a meta-analysis for both outcome measures on effectiveness, disability and improvement in muscle strength/grip. </w:t>
      </w:r>
      <w:r w:rsidR="00927676" w:rsidRPr="00DA3C6E">
        <w:t>As these o</w:t>
      </w:r>
      <w:r w:rsidRPr="00DA3C6E">
        <w:t xml:space="preserve">utcomes were measured </w:t>
      </w:r>
      <w:r w:rsidR="00927676" w:rsidRPr="00DA3C6E">
        <w:t xml:space="preserve">inconsistently across </w:t>
      </w:r>
      <w:r w:rsidRPr="00DA3C6E">
        <w:t xml:space="preserve">the different trials (mainly disability) a number of assumptions were made for </w:t>
      </w:r>
      <w:r w:rsidRPr="00DA3C6E">
        <w:lastRenderedPageBreak/>
        <w:t xml:space="preserve">the meta-analysis. Therefore, this HTA did not use the pooled effect from the meta-analysis for the </w:t>
      </w:r>
      <w:r w:rsidR="00074033" w:rsidRPr="00DA3C6E">
        <w:t xml:space="preserve">base case in the </w:t>
      </w:r>
      <w:r w:rsidRPr="00DA3C6E">
        <w:t xml:space="preserve">economic evaluation due to these inconsistencies and other reasons discussed </w:t>
      </w:r>
      <w:r w:rsidR="00074033" w:rsidRPr="00DA3C6E">
        <w:t xml:space="preserve">further </w:t>
      </w:r>
      <w:r w:rsidRPr="00DA3C6E">
        <w:t xml:space="preserve">in Section B.4 and Section C. The software Revman 5 was used to conduct the meta-analysis using random and fixed effect models. </w:t>
      </w:r>
      <w:r w:rsidR="008A5F97" w:rsidRPr="00DA3C6E">
        <w:t>Because the measure of statistical heterogeneity was similar between both models, the results for the random effect model are presented below</w:t>
      </w:r>
      <w:r w:rsidR="00FB64A3" w:rsidRPr="00DA3C6E">
        <w:t xml:space="preserve"> (the </w:t>
      </w:r>
      <w:r w:rsidRPr="00DA3C6E">
        <w:t xml:space="preserve">results from the </w:t>
      </w:r>
      <w:r w:rsidR="008A5F97" w:rsidRPr="00DA3C6E">
        <w:t xml:space="preserve">fixed </w:t>
      </w:r>
      <w:r w:rsidRPr="00DA3C6E">
        <w:t>effect model are presented in Appendix F</w:t>
      </w:r>
      <w:r w:rsidR="00FB64A3" w:rsidRPr="00DA3C6E">
        <w:t>)</w:t>
      </w:r>
      <w:r w:rsidRPr="00DA3C6E">
        <w:t xml:space="preserve">. </w:t>
      </w:r>
    </w:p>
    <w:p w14:paraId="7866FCDD" w14:textId="77777777" w:rsidR="002D6035" w:rsidRPr="00DA3C6E" w:rsidRDefault="002D6035" w:rsidP="00C836F2">
      <w:r w:rsidRPr="00DA3C6E">
        <w:t>Several qualitative aspects need to be considered to assess the poolability of the studies:</w:t>
      </w:r>
    </w:p>
    <w:p w14:paraId="21FFB342" w14:textId="77777777" w:rsidR="00B34F0C" w:rsidRPr="00DA3C6E" w:rsidRDefault="00B34F0C" w:rsidP="00B34F0C">
      <w:pPr>
        <w:pStyle w:val="ListParagraph"/>
        <w:numPr>
          <w:ilvl w:val="0"/>
          <w:numId w:val="38"/>
        </w:numPr>
      </w:pPr>
      <w:r w:rsidRPr="00DA3C6E">
        <w:t xml:space="preserve">The mean age at diagnosis was consistent for all studies as well as the male/female ratio. In addition, all studies enrolled patients who presented with some degree of CB. Overall, patient’s characteristics were considered similar and hence poolable. </w:t>
      </w:r>
    </w:p>
    <w:p w14:paraId="698C9FF3" w14:textId="6D16EBD1" w:rsidR="00B34F0C" w:rsidRPr="00DA3C6E" w:rsidRDefault="00B34F0C" w:rsidP="00B34F0C">
      <w:pPr>
        <w:pStyle w:val="ListParagraph"/>
        <w:numPr>
          <w:ilvl w:val="0"/>
          <w:numId w:val="38"/>
        </w:numPr>
      </w:pPr>
      <w:r w:rsidRPr="00DA3C6E">
        <w:t>Most studies enrolled patients who were treatment naïve and previously treated (this information was not provided for Azulay et al</w:t>
      </w:r>
      <w:r w:rsidR="009E6EFB" w:rsidRPr="00DA3C6E">
        <w:t>.</w:t>
      </w:r>
      <w:r w:rsidRPr="00DA3C6E">
        <w:t xml:space="preserve"> 1994 and Van den Berg et al</w:t>
      </w:r>
      <w:r w:rsidR="009E6EFB" w:rsidRPr="00DA3C6E">
        <w:t>.</w:t>
      </w:r>
      <w:r w:rsidRPr="00DA3C6E">
        <w:t xml:space="preserve"> 1995</w:t>
      </w:r>
      <w:r w:rsidR="00DB568A" w:rsidRPr="00DA3C6E">
        <w:fldChar w:fldCharType="begin">
          <w:fldData xml:space="preserve">PEVuZE5vdGU+PENpdGU+PEF1dGhvcj5BenVsYXk8L0F1dGhvcj48WWVhcj4xOTk0PC9ZZWFyPjxS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ZWNOdW0+NDwvUmVjTnVtPjxEaXNwbGF5VGV4dD4oMjQsIDI1KTwvRGlzcGxheVRleHQ+PHJlY29y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 xml:space="preserve">, </w:t>
      </w:r>
      <w:hyperlink w:anchor="_ENREF_25" w:tooltip="Van den Berg, 1995 #77" w:history="1">
        <w:r w:rsidR="00C04BCE" w:rsidRPr="00DA3C6E">
          <w:rPr>
            <w:noProof/>
          </w:rPr>
          <w:t>25</w:t>
        </w:r>
      </w:hyperlink>
      <w:r w:rsidR="00DB568A" w:rsidRPr="00DA3C6E">
        <w:rPr>
          <w:noProof/>
        </w:rPr>
        <w:t>)</w:t>
      </w:r>
      <w:r w:rsidR="00DB568A" w:rsidRPr="00DA3C6E">
        <w:fldChar w:fldCharType="end"/>
      </w:r>
      <w:r w:rsidRPr="00DA3C6E">
        <w:t xml:space="preserve">). </w:t>
      </w:r>
    </w:p>
    <w:p w14:paraId="52E1173A" w14:textId="7F0BF5C5" w:rsidR="002D6035" w:rsidRPr="00DA3C6E" w:rsidRDefault="002D6035" w:rsidP="0073359F">
      <w:pPr>
        <w:pStyle w:val="ListParagraph"/>
        <w:numPr>
          <w:ilvl w:val="0"/>
          <w:numId w:val="38"/>
        </w:numPr>
      </w:pPr>
      <w:r w:rsidRPr="00DA3C6E">
        <w:t>The time point at which the outcomes were assessed was not consistent across the studies. For instance, the disability assessment was 28 days after the last treatment for three studies (Azulay</w:t>
      </w:r>
      <w:r w:rsidR="00532427" w:rsidRPr="00DA3C6E">
        <w:t xml:space="preserve"> </w:t>
      </w:r>
      <w:r w:rsidR="009E6EFB" w:rsidRPr="00DA3C6E">
        <w:t xml:space="preserve">et al. </w:t>
      </w:r>
      <w:r w:rsidRPr="00DA3C6E">
        <w:t xml:space="preserve"> 1994, Federico</w:t>
      </w:r>
      <w:r w:rsidR="009E6EFB" w:rsidRPr="00DA3C6E">
        <w:t xml:space="preserve"> et al.</w:t>
      </w:r>
      <w:r w:rsidRPr="00DA3C6E">
        <w:t xml:space="preserve"> 2000 and Leger</w:t>
      </w:r>
      <w:r w:rsidR="009E6EFB" w:rsidRPr="00DA3C6E">
        <w:t xml:space="preserve"> et al.</w:t>
      </w:r>
      <w:r w:rsidRPr="00DA3C6E">
        <w:t xml:space="preserve"> 2001</w:t>
      </w:r>
      <w:r w:rsidR="00DB568A" w:rsidRPr="00DA3C6E">
        <w:fldChar w:fldCharType="begin">
          <w:fldData xml:space="preserve">PEVuZE5vdGU+PENpdGU+PEF1dGhvcj5BenVsYXk8L0F1dGhvcj48WWVhcj4xOTk0PC9ZZWFyPjxS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ZWNOdW0+NDwvUmVjTnVtPjxEaXNwbGF5VGV4dD4oMjQsIDI2LCAyNyk8L0Rpc3BsYXlUZXh0Pjxy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 xml:space="preserve">, </w:t>
      </w:r>
      <w:hyperlink w:anchor="_ENREF_26" w:tooltip="Federico, 2000 #20" w:history="1">
        <w:r w:rsidR="00C04BCE" w:rsidRPr="00DA3C6E">
          <w:rPr>
            <w:noProof/>
          </w:rPr>
          <w:t>26</w:t>
        </w:r>
      </w:hyperlink>
      <w:r w:rsidR="00DB568A" w:rsidRPr="00DA3C6E">
        <w:rPr>
          <w:noProof/>
        </w:rPr>
        <w:t xml:space="preserve">, </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between 2-6 weeks in another study (</w:t>
      </w:r>
      <w:r w:rsidR="009E6EFB" w:rsidRPr="00DA3C6E">
        <w:t>V</w:t>
      </w:r>
      <w:r w:rsidRPr="00DA3C6E">
        <w:t>an den Berg</w:t>
      </w:r>
      <w:r w:rsidR="009E6EFB" w:rsidRPr="00DA3C6E">
        <w:t xml:space="preserve"> et al.</w:t>
      </w:r>
      <w:r w:rsidRPr="00DA3C6E">
        <w:t xml:space="preserve"> 1995) and day 8 (±1 day) for a 2-week treatment interval and day 15 (±2 days) for a 3 or 4-week treatment interval in the last study (Hahn</w:t>
      </w:r>
      <w:r w:rsidR="009E6EFB" w:rsidRPr="00DA3C6E">
        <w:t xml:space="preserve"> et al.</w:t>
      </w:r>
      <w:r w:rsidRPr="00DA3C6E">
        <w:t xml:space="preserve">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w:t>
      </w:r>
    </w:p>
    <w:p w14:paraId="2044DFC4" w14:textId="1C903842" w:rsidR="002D6035" w:rsidRPr="00DA3C6E" w:rsidRDefault="002D6035" w:rsidP="0073359F">
      <w:pPr>
        <w:pStyle w:val="ListParagraph"/>
        <w:numPr>
          <w:ilvl w:val="0"/>
          <w:numId w:val="38"/>
        </w:numPr>
      </w:pPr>
      <w:r w:rsidRPr="00DA3C6E">
        <w:t xml:space="preserve">The overall treatment effects </w:t>
      </w:r>
      <w:r w:rsidR="006F69C6" w:rsidRPr="00DA3C6E">
        <w:t xml:space="preserve">were </w:t>
      </w:r>
      <w:r w:rsidRPr="00DA3C6E">
        <w:t>reported for different follow-up periods: 28 days after last treatment in three studies (Azulay</w:t>
      </w:r>
      <w:r w:rsidR="00C6638C" w:rsidRPr="00DA3C6E">
        <w:t xml:space="preserve"> et al</w:t>
      </w:r>
      <w:r w:rsidR="009E6EFB" w:rsidRPr="00DA3C6E">
        <w:t>.</w:t>
      </w:r>
      <w:r w:rsidRPr="00DA3C6E">
        <w:t xml:space="preserve"> 1994, Federico </w:t>
      </w:r>
      <w:r w:rsidR="00C6638C" w:rsidRPr="00DA3C6E">
        <w:t>et al</w:t>
      </w:r>
      <w:r w:rsidR="009E6EFB" w:rsidRPr="00DA3C6E">
        <w:t>.</w:t>
      </w:r>
      <w:r w:rsidR="00C6638C" w:rsidRPr="00DA3C6E">
        <w:t xml:space="preserve"> </w:t>
      </w:r>
      <w:r w:rsidRPr="00DA3C6E">
        <w:t>2000 and Leger</w:t>
      </w:r>
      <w:r w:rsidR="00C6638C" w:rsidRPr="00DA3C6E">
        <w:t xml:space="preserve"> et al</w:t>
      </w:r>
      <w:r w:rsidR="009E6EFB" w:rsidRPr="00DA3C6E">
        <w:t>.</w:t>
      </w:r>
      <w:r w:rsidRPr="00DA3C6E">
        <w:t xml:space="preserve"> 2001</w:t>
      </w:r>
      <w:r w:rsidR="00DB568A" w:rsidRPr="00DA3C6E">
        <w:fldChar w:fldCharType="begin">
          <w:fldData xml:space="preserve">PEVuZE5vdGU+PENpdGU+PEF1dGhvcj5BenVsYXk8L0F1dGhvcj48WWVhcj4xOTk0PC9ZZWFyPjxS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ZWNOdW0+NDwvUmVjTnVtPjxEaXNwbGF5VGV4dD4oMjQsIDI2LCAyNyk8L0Rpc3BsYXlUZXh0Pjxy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 xml:space="preserve">, </w:t>
      </w:r>
      <w:hyperlink w:anchor="_ENREF_26" w:tooltip="Federico, 2000 #20" w:history="1">
        <w:r w:rsidR="00C04BCE" w:rsidRPr="00DA3C6E">
          <w:rPr>
            <w:noProof/>
          </w:rPr>
          <w:t>26</w:t>
        </w:r>
      </w:hyperlink>
      <w:r w:rsidR="00DB568A" w:rsidRPr="00DA3C6E">
        <w:rPr>
          <w:noProof/>
        </w:rPr>
        <w:t xml:space="preserve">, </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1 month to 26 months (1 month for 3 patients, 3 months for 2 patients and 26 months for 1 patient) in one study (Van den Berg </w:t>
      </w:r>
      <w:r w:rsidR="00C6638C" w:rsidRPr="00DA3C6E">
        <w:t>et al</w:t>
      </w:r>
      <w:r w:rsidR="009E6EFB" w:rsidRPr="00DA3C6E">
        <w:t>.</w:t>
      </w:r>
      <w:r w:rsidR="00C6638C" w:rsidRPr="00DA3C6E">
        <w:t xml:space="preserve"> </w:t>
      </w:r>
      <w:r w:rsidRPr="00DA3C6E">
        <w:t>1995</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r w:rsidRPr="00DA3C6E">
        <w:t xml:space="preserve">) and approximately 48 weeks (11.05 months) after initial treatment in the </w:t>
      </w:r>
      <w:r w:rsidR="00C6638C" w:rsidRPr="00DA3C6E">
        <w:t xml:space="preserve">most recent </w:t>
      </w:r>
      <w:r w:rsidRPr="00DA3C6E">
        <w:t xml:space="preserve">study (Hahn </w:t>
      </w:r>
      <w:r w:rsidR="00C6638C" w:rsidRPr="00DA3C6E">
        <w:t>et al</w:t>
      </w:r>
      <w:r w:rsidR="009E6EFB" w:rsidRPr="00DA3C6E">
        <w:t>.</w:t>
      </w:r>
      <w:r w:rsidR="00C6638C" w:rsidRPr="00DA3C6E">
        <w:t xml:space="preserve"> </w:t>
      </w:r>
      <w:r w:rsidRPr="00DA3C6E">
        <w:t>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w:t>
      </w:r>
    </w:p>
    <w:p w14:paraId="0D4937ED" w14:textId="25451BBD" w:rsidR="002D6035" w:rsidRPr="00DA3C6E" w:rsidRDefault="002D6035" w:rsidP="0073359F">
      <w:pPr>
        <w:pStyle w:val="ListParagraph"/>
        <w:numPr>
          <w:ilvl w:val="0"/>
          <w:numId w:val="38"/>
        </w:numPr>
      </w:pPr>
      <w:r w:rsidRPr="00DA3C6E">
        <w:t xml:space="preserve">All five studies used different tools to measure the outcomes (disability and muscle strength). </w:t>
      </w:r>
      <w:r w:rsidR="009666E8" w:rsidRPr="00DA3C6E">
        <w:t>Overall, t</w:t>
      </w:r>
      <w:r w:rsidRPr="00DA3C6E">
        <w:t xml:space="preserve">hese tools </w:t>
      </w:r>
      <w:r w:rsidR="009E6EFB" w:rsidRPr="00DA3C6E">
        <w:t xml:space="preserve">were considered </w:t>
      </w:r>
      <w:r w:rsidRPr="00DA3C6E">
        <w:t>not comparable</w:t>
      </w:r>
      <w:r w:rsidR="009666E8" w:rsidRPr="00DA3C6E">
        <w:t>. While</w:t>
      </w:r>
      <w:r w:rsidRPr="00DA3C6E">
        <w:t xml:space="preserve"> some </w:t>
      </w:r>
      <w:r w:rsidR="009666E8" w:rsidRPr="00DA3C6E">
        <w:t xml:space="preserve">studies </w:t>
      </w:r>
      <w:r w:rsidRPr="00DA3C6E">
        <w:t>used a disability specific tool such as the ODSS and NDS, others used self-assessment checklists. For muscle strength, some studies used MRC and others used either a digital/hand-held dynamometer or a computer analyser.</w:t>
      </w:r>
      <w:r w:rsidR="009666E8" w:rsidRPr="00DA3C6E">
        <w:t xml:space="preserve"> A further discussion on the comparability of the tools and how this may impact the overall interpretation of the results, is presented in </w:t>
      </w:r>
      <w:r w:rsidR="009666E8" w:rsidRPr="00DA3C6E">
        <w:fldChar w:fldCharType="begin"/>
      </w:r>
      <w:r w:rsidR="009666E8" w:rsidRPr="00DA3C6E">
        <w:instrText xml:space="preserve"> REF _Ref27405787 \h </w:instrText>
      </w:r>
      <w:r w:rsidR="00E8759F" w:rsidRPr="00DA3C6E">
        <w:instrText xml:space="preserve"> \* MERGEFORMAT </w:instrText>
      </w:r>
      <w:r w:rsidR="009666E8" w:rsidRPr="00DA3C6E">
        <w:fldChar w:fldCharType="separate"/>
      </w:r>
      <w:r w:rsidR="00EA5DC1" w:rsidRPr="00DA3C6E">
        <w:t xml:space="preserve">Table </w:t>
      </w:r>
      <w:r w:rsidR="00EA5DC1">
        <w:rPr>
          <w:noProof/>
        </w:rPr>
        <w:t>23</w:t>
      </w:r>
      <w:r w:rsidR="009666E8" w:rsidRPr="00DA3C6E">
        <w:fldChar w:fldCharType="end"/>
      </w:r>
      <w:r w:rsidR="009666E8" w:rsidRPr="00DA3C6E">
        <w:t>, Section C.2.4.</w:t>
      </w:r>
    </w:p>
    <w:p w14:paraId="4CF32AC8" w14:textId="77777777" w:rsidR="002D6035" w:rsidRPr="00DA3C6E" w:rsidRDefault="002D6035" w:rsidP="00740643">
      <w:pPr>
        <w:pStyle w:val="Heading3"/>
      </w:pPr>
      <w:bookmarkStart w:id="189" w:name="_Toc37845745"/>
      <w:r w:rsidRPr="00DA3C6E">
        <w:t>Effectiveness on disability</w:t>
      </w:r>
      <w:bookmarkEnd w:id="189"/>
      <w:r w:rsidRPr="00DA3C6E">
        <w:t xml:space="preserve"> </w:t>
      </w:r>
    </w:p>
    <w:p w14:paraId="27BD1087" w14:textId="2B15A714" w:rsidR="002D6035" w:rsidRPr="00DA3C6E" w:rsidRDefault="002D6035" w:rsidP="00740643">
      <w:r w:rsidRPr="00DA3C6E">
        <w:t xml:space="preserve">The five RCTs used different tools to measure disability: the Norris scale, the modified Rankin scale (mRS), the Neurological Disability score (NDS) the Guy’s Neurological disability scale (GNDS) and self-evaluation scales. Three of the five studies reported improvement in disability as an outcome measure, but of these only the study by Hahn </w:t>
      </w:r>
      <w:r w:rsidR="009E6EFB" w:rsidRPr="00DA3C6E">
        <w:t xml:space="preserve">et al. </w:t>
      </w:r>
      <w:r w:rsidRPr="00DA3C6E">
        <w:t>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found statistically significant differences </w:t>
      </w:r>
      <w:r w:rsidRPr="00DA3C6E">
        <w:lastRenderedPageBreak/>
        <w:t>(RR = 1.34; 95% CI 1.08, 1.67) (</w:t>
      </w:r>
      <w:r w:rsidRPr="00DA3C6E">
        <w:fldChar w:fldCharType="begin"/>
      </w:r>
      <w:r w:rsidRPr="00DA3C6E">
        <w:instrText xml:space="preserve"> REF _Ref29371365 \h </w:instrText>
      </w:r>
      <w:r w:rsidR="00E8759F" w:rsidRPr="00DA3C6E">
        <w:instrText xml:space="preserve"> \* MERGEFORMAT </w:instrText>
      </w:r>
      <w:r w:rsidRPr="00DA3C6E">
        <w:fldChar w:fldCharType="separate"/>
      </w:r>
      <w:r w:rsidR="00EA5DC1" w:rsidRPr="00DA3C6E">
        <w:t xml:space="preserve">Table </w:t>
      </w:r>
      <w:r w:rsidR="00EA5DC1">
        <w:rPr>
          <w:noProof/>
        </w:rPr>
        <w:t>16</w:t>
      </w:r>
      <w:r w:rsidRPr="00DA3C6E">
        <w:fldChar w:fldCharType="end"/>
      </w:r>
      <w:r w:rsidRPr="00DA3C6E">
        <w:t xml:space="preserve">) between </w:t>
      </w:r>
      <w:r w:rsidR="00927676" w:rsidRPr="00DA3C6E">
        <w:t xml:space="preserve">patients receiving </w:t>
      </w:r>
      <w:r w:rsidRPr="00DA3C6E">
        <w:t xml:space="preserve">intravenous Ig and placebo. Leger </w:t>
      </w:r>
      <w:r w:rsidR="00176331" w:rsidRPr="00DA3C6E">
        <w:t>e</w:t>
      </w:r>
      <w:r w:rsidRPr="00DA3C6E">
        <w:t>t al.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was the only study that reported as an outcome measure the overall response to intravenous Ig treatment. This response is a composite of both a self-evaluation scale that captured improvement in activities of daily living (ADL) (disability) and muscle strength using the MRC score. Because improvement in disability (as measured by the self-evaluation scores) and improvement in muscle strength were not reported independently in the trial, it was assumed that the same number of patients who achieved the overall response also achieved improvement in the self-evaluation scale and muscle strength. Leger et al</w:t>
      </w:r>
      <w:r w:rsidR="00EF2D51" w:rsidRPr="00DA3C6E">
        <w:t>.</w:t>
      </w:r>
      <w:r w:rsidRPr="00DA3C6E">
        <w:t xml:space="preserve"> 2001 also reported as an outcome measure the change (between baseline and month 4) in MRC score and self-evaluation score</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w:t>
      </w:r>
    </w:p>
    <w:p w14:paraId="1B2FC4AA" w14:textId="77DA77B8" w:rsidR="002D6035" w:rsidRPr="00DA3C6E" w:rsidRDefault="002D6035" w:rsidP="00A618A0">
      <w:pPr>
        <w:pStyle w:val="Caption"/>
        <w:keepNext/>
        <w:keepLines/>
      </w:pPr>
      <w:bookmarkStart w:id="190" w:name="_Ref29371365"/>
      <w:bookmarkStart w:id="191" w:name="_Toc30497463"/>
      <w:bookmarkStart w:id="192" w:name="_Toc30687744"/>
      <w:bookmarkStart w:id="193" w:name="_Toc37845819"/>
      <w:r w:rsidRPr="00DA3C6E">
        <w:t xml:space="preserve">Table </w:t>
      </w:r>
      <w:r w:rsidR="00515153">
        <w:fldChar w:fldCharType="begin"/>
      </w:r>
      <w:r w:rsidR="00515153">
        <w:instrText xml:space="preserve"> SEQ Table \* ARABIC </w:instrText>
      </w:r>
      <w:r w:rsidR="00515153">
        <w:fldChar w:fldCharType="separate"/>
      </w:r>
      <w:r w:rsidR="00EA5DC1">
        <w:rPr>
          <w:noProof/>
        </w:rPr>
        <w:t>16</w:t>
      </w:r>
      <w:r w:rsidR="00515153">
        <w:rPr>
          <w:noProof/>
        </w:rPr>
        <w:fldChar w:fldCharType="end"/>
      </w:r>
      <w:bookmarkEnd w:id="190"/>
      <w:r w:rsidRPr="00DA3C6E">
        <w:t xml:space="preserve">. </w:t>
      </w:r>
      <w:r w:rsidRPr="00DA3C6E">
        <w:rPr>
          <w:rFonts w:cs="Arial"/>
          <w:snapToGrid w:val="0"/>
          <w:szCs w:val="16"/>
          <w:lang w:eastAsia="en-US"/>
        </w:rPr>
        <w:t>Results of disability across randomised controlled trials</w:t>
      </w:r>
      <w:bookmarkEnd w:id="191"/>
      <w:bookmarkEnd w:id="192"/>
      <w:bookmarkEnd w:id="193"/>
    </w:p>
    <w:tbl>
      <w:tblPr>
        <w:tblW w:w="4917"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4"/>
        <w:gridCol w:w="1417"/>
        <w:gridCol w:w="1459"/>
        <w:gridCol w:w="1559"/>
        <w:gridCol w:w="1419"/>
        <w:gridCol w:w="1528"/>
      </w:tblGrid>
      <w:tr w:rsidR="007C7E04" w:rsidRPr="00DA3C6E" w14:paraId="540AF41B" w14:textId="77777777" w:rsidTr="0071543D">
        <w:trPr>
          <w:tblHeader/>
        </w:trPr>
        <w:tc>
          <w:tcPr>
            <w:tcW w:w="837" w:type="pct"/>
            <w:shd w:val="clear" w:color="auto" w:fill="auto"/>
            <w:vAlign w:val="center"/>
          </w:tcPr>
          <w:p w14:paraId="12987B63" w14:textId="77777777" w:rsidR="002D6035" w:rsidRPr="00DA3C6E" w:rsidRDefault="002D6035" w:rsidP="0071543D">
            <w:pPr>
              <w:pStyle w:val="TableHeading"/>
              <w:jc w:val="left"/>
              <w:rPr>
                <w:snapToGrid w:val="0"/>
                <w:lang w:eastAsia="en-US"/>
              </w:rPr>
            </w:pPr>
            <w:r w:rsidRPr="00DA3C6E">
              <w:rPr>
                <w:snapToGrid w:val="0"/>
                <w:lang w:eastAsia="en-US"/>
              </w:rPr>
              <w:t>Study ID</w:t>
            </w:r>
          </w:p>
        </w:tc>
        <w:tc>
          <w:tcPr>
            <w:tcW w:w="799" w:type="pct"/>
            <w:shd w:val="clear" w:color="auto" w:fill="auto"/>
            <w:vAlign w:val="center"/>
          </w:tcPr>
          <w:p w14:paraId="7EC23F55" w14:textId="77777777" w:rsidR="002D6035" w:rsidRPr="00DA3C6E" w:rsidRDefault="002D6035" w:rsidP="0071543D">
            <w:pPr>
              <w:pStyle w:val="TableHeading"/>
              <w:ind w:left="16" w:right="117"/>
              <w:jc w:val="left"/>
              <w:rPr>
                <w:snapToGrid w:val="0"/>
                <w:lang w:eastAsia="en-US"/>
              </w:rPr>
            </w:pPr>
            <w:r w:rsidRPr="00DA3C6E">
              <w:rPr>
                <w:snapToGrid w:val="0"/>
                <w:lang w:eastAsia="en-US"/>
              </w:rPr>
              <w:t>Risk of bias</w:t>
            </w:r>
          </w:p>
        </w:tc>
        <w:tc>
          <w:tcPr>
            <w:tcW w:w="823" w:type="pct"/>
            <w:shd w:val="clear" w:color="auto" w:fill="auto"/>
            <w:vAlign w:val="center"/>
          </w:tcPr>
          <w:p w14:paraId="7D048CD2" w14:textId="77777777" w:rsidR="002D6035" w:rsidRPr="00DA3C6E" w:rsidRDefault="002D6035" w:rsidP="0071543D">
            <w:pPr>
              <w:spacing w:after="0" w:line="240" w:lineRule="auto"/>
              <w:jc w:val="left"/>
              <w:rPr>
                <w:rFonts w:ascii="Arial Narrow" w:hAnsi="Arial Narrow"/>
                <w:b/>
                <w:sz w:val="20"/>
                <w:szCs w:val="20"/>
              </w:rPr>
            </w:pPr>
            <w:r w:rsidRPr="00DA3C6E">
              <w:rPr>
                <w:rFonts w:ascii="Arial Narrow" w:hAnsi="Arial Narrow"/>
                <w:b/>
                <w:sz w:val="20"/>
                <w:szCs w:val="20"/>
              </w:rPr>
              <w:t>Intravenous Ig treatment</w:t>
            </w:r>
          </w:p>
          <w:p w14:paraId="329B58B0" w14:textId="77777777" w:rsidR="002D6035" w:rsidRPr="00DA3C6E" w:rsidRDefault="002D6035" w:rsidP="00313180">
            <w:pPr>
              <w:pStyle w:val="TableHeading"/>
              <w:ind w:right="117"/>
              <w:jc w:val="left"/>
              <w:rPr>
                <w:snapToGrid w:val="0"/>
                <w:lang w:eastAsia="en-US"/>
              </w:rPr>
            </w:pPr>
            <w:r w:rsidRPr="00DA3C6E">
              <w:rPr>
                <w:b w:val="0"/>
              </w:rPr>
              <w:t>Mean/median (SD/SEM)</w:t>
            </w:r>
          </w:p>
        </w:tc>
        <w:tc>
          <w:tcPr>
            <w:tcW w:w="879" w:type="pct"/>
            <w:shd w:val="clear" w:color="auto" w:fill="auto"/>
            <w:vAlign w:val="center"/>
          </w:tcPr>
          <w:p w14:paraId="0CA63048" w14:textId="77777777" w:rsidR="002D6035" w:rsidRPr="00DA3C6E" w:rsidRDefault="002D6035" w:rsidP="0071543D">
            <w:pPr>
              <w:spacing w:after="0" w:line="240" w:lineRule="auto"/>
              <w:jc w:val="left"/>
              <w:rPr>
                <w:rFonts w:ascii="Arial Narrow" w:hAnsi="Arial Narrow"/>
                <w:b/>
                <w:sz w:val="20"/>
                <w:szCs w:val="20"/>
              </w:rPr>
            </w:pPr>
            <w:r w:rsidRPr="00DA3C6E">
              <w:rPr>
                <w:rFonts w:ascii="Arial Narrow" w:hAnsi="Arial Narrow"/>
                <w:b/>
                <w:sz w:val="20"/>
                <w:szCs w:val="20"/>
              </w:rPr>
              <w:t>Placebo treatment</w:t>
            </w:r>
          </w:p>
          <w:p w14:paraId="5E96F38D" w14:textId="77777777" w:rsidR="002D6035" w:rsidRPr="00DA3C6E" w:rsidRDefault="002D6035" w:rsidP="00313180">
            <w:pPr>
              <w:pStyle w:val="TableHeading"/>
              <w:ind w:right="117"/>
              <w:jc w:val="left"/>
              <w:rPr>
                <w:snapToGrid w:val="0"/>
                <w:lang w:eastAsia="en-US"/>
              </w:rPr>
            </w:pPr>
            <w:r w:rsidRPr="00DA3C6E">
              <w:rPr>
                <w:b w:val="0"/>
              </w:rPr>
              <w:t>Mean/median (SD/SEM)</w:t>
            </w:r>
          </w:p>
        </w:tc>
        <w:tc>
          <w:tcPr>
            <w:tcW w:w="800" w:type="pct"/>
            <w:shd w:val="clear" w:color="auto" w:fill="auto"/>
            <w:vAlign w:val="center"/>
          </w:tcPr>
          <w:p w14:paraId="600A474E" w14:textId="77777777" w:rsidR="002D6035" w:rsidRPr="00DA3C6E" w:rsidRDefault="002D6035" w:rsidP="0071543D">
            <w:pPr>
              <w:pStyle w:val="TableHeading"/>
              <w:ind w:left="41" w:right="117"/>
              <w:jc w:val="left"/>
              <w:rPr>
                <w:snapToGrid w:val="0"/>
                <w:lang w:eastAsia="en-US"/>
              </w:rPr>
            </w:pPr>
            <w:r w:rsidRPr="00DA3C6E">
              <w:t>Relative risk (95% CI)</w:t>
            </w:r>
          </w:p>
        </w:tc>
        <w:tc>
          <w:tcPr>
            <w:tcW w:w="862" w:type="pct"/>
            <w:shd w:val="clear" w:color="auto" w:fill="auto"/>
            <w:vAlign w:val="center"/>
          </w:tcPr>
          <w:p w14:paraId="055E686F" w14:textId="77777777" w:rsidR="002D6035" w:rsidRPr="00DA3C6E" w:rsidRDefault="002D6035" w:rsidP="0071543D">
            <w:pPr>
              <w:pStyle w:val="TableHeading"/>
              <w:ind w:right="117"/>
              <w:jc w:val="left"/>
              <w:rPr>
                <w:snapToGrid w:val="0"/>
                <w:lang w:eastAsia="en-US"/>
              </w:rPr>
            </w:pPr>
            <w:r w:rsidRPr="00DA3C6E">
              <w:rPr>
                <w:snapToGrid w:val="0"/>
                <w:lang w:eastAsia="en-US"/>
              </w:rPr>
              <w:t>Relative difference</w:t>
            </w:r>
          </w:p>
          <w:p w14:paraId="11D92FC9" w14:textId="77777777" w:rsidR="002D6035" w:rsidRPr="00DA3C6E" w:rsidRDefault="00EF2D51" w:rsidP="0071543D">
            <w:pPr>
              <w:pStyle w:val="TableHeading"/>
              <w:ind w:right="117"/>
              <w:jc w:val="left"/>
              <w:rPr>
                <w:snapToGrid w:val="0"/>
                <w:lang w:eastAsia="en-US"/>
              </w:rPr>
            </w:pPr>
            <w:r w:rsidRPr="00DA3C6E">
              <w:rPr>
                <w:snapToGrid w:val="0"/>
                <w:lang w:eastAsia="en-US"/>
              </w:rPr>
              <w:t>(</w:t>
            </w:r>
            <w:r w:rsidR="002D6035" w:rsidRPr="00DA3C6E">
              <w:rPr>
                <w:snapToGrid w:val="0"/>
                <w:lang w:eastAsia="en-US"/>
              </w:rPr>
              <w:t>95% CI</w:t>
            </w:r>
            <w:r w:rsidRPr="00DA3C6E">
              <w:rPr>
                <w:snapToGrid w:val="0"/>
                <w:lang w:eastAsia="en-US"/>
              </w:rPr>
              <w:t>)</w:t>
            </w:r>
          </w:p>
        </w:tc>
      </w:tr>
      <w:tr w:rsidR="002D6035" w:rsidRPr="00DA3C6E" w14:paraId="12352945" w14:textId="77777777" w:rsidTr="0071543D">
        <w:tc>
          <w:tcPr>
            <w:tcW w:w="5000" w:type="pct"/>
            <w:gridSpan w:val="6"/>
            <w:shd w:val="clear" w:color="auto" w:fill="auto"/>
            <w:vAlign w:val="center"/>
          </w:tcPr>
          <w:p w14:paraId="43439197" w14:textId="77777777" w:rsidR="002D6035" w:rsidRPr="00DA3C6E" w:rsidRDefault="002D6035" w:rsidP="0071543D">
            <w:pPr>
              <w:pStyle w:val="TableText0"/>
              <w:ind w:right="117"/>
              <w:jc w:val="left"/>
              <w:rPr>
                <w:b/>
                <w:snapToGrid w:val="0"/>
              </w:rPr>
            </w:pPr>
            <w:r w:rsidRPr="00DA3C6E">
              <w:rPr>
                <w:b/>
                <w:snapToGrid w:val="0"/>
              </w:rPr>
              <w:t>Improvement in disability</w:t>
            </w:r>
          </w:p>
        </w:tc>
      </w:tr>
      <w:tr w:rsidR="007C7E04" w:rsidRPr="00DA3C6E" w14:paraId="42D86C43" w14:textId="77777777" w:rsidTr="0071543D">
        <w:tc>
          <w:tcPr>
            <w:tcW w:w="837" w:type="pct"/>
            <w:shd w:val="clear" w:color="auto" w:fill="auto"/>
            <w:vAlign w:val="center"/>
          </w:tcPr>
          <w:p w14:paraId="1C7D069F" w14:textId="3EEE3AD2" w:rsidR="002D6035" w:rsidRPr="00DA3C6E" w:rsidRDefault="002D6035" w:rsidP="00C04BCE">
            <w:pPr>
              <w:pStyle w:val="TableText0"/>
              <w:jc w:val="left"/>
              <w:rPr>
                <w:snapToGrid w:val="0"/>
              </w:rPr>
            </w:pPr>
            <w:r w:rsidRPr="00DA3C6E">
              <w:t>Azulay et al. 1994</w:t>
            </w:r>
            <w:r w:rsidR="00BE7F1B">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p>
        </w:tc>
        <w:tc>
          <w:tcPr>
            <w:tcW w:w="799" w:type="pct"/>
            <w:vAlign w:val="center"/>
          </w:tcPr>
          <w:p w14:paraId="0373D157" w14:textId="77777777" w:rsidR="002D6035" w:rsidRPr="00DA3C6E" w:rsidRDefault="002D6035" w:rsidP="0071543D">
            <w:pPr>
              <w:pStyle w:val="TableText0"/>
              <w:ind w:left="16" w:right="117"/>
              <w:jc w:val="left"/>
              <w:rPr>
                <w:snapToGrid w:val="0"/>
              </w:rPr>
            </w:pPr>
            <w:r w:rsidRPr="00DA3C6E">
              <w:rPr>
                <w:snapToGrid w:val="0"/>
              </w:rPr>
              <w:t>Some concern</w:t>
            </w:r>
          </w:p>
        </w:tc>
        <w:tc>
          <w:tcPr>
            <w:tcW w:w="823" w:type="pct"/>
            <w:shd w:val="clear" w:color="auto" w:fill="auto"/>
            <w:vAlign w:val="center"/>
          </w:tcPr>
          <w:p w14:paraId="0D32A657" w14:textId="77777777" w:rsidR="002D6035" w:rsidRPr="00DA3C6E" w:rsidRDefault="002D6035" w:rsidP="0071543D">
            <w:pPr>
              <w:pStyle w:val="TableText0"/>
              <w:ind w:left="111" w:right="117"/>
              <w:jc w:val="left"/>
              <w:rPr>
                <w:snapToGrid w:val="0"/>
              </w:rPr>
            </w:pPr>
            <w:r w:rsidRPr="00DA3C6E">
              <w:rPr>
                <w:szCs w:val="20"/>
              </w:rPr>
              <w:t>0/5</w:t>
            </w:r>
          </w:p>
        </w:tc>
        <w:tc>
          <w:tcPr>
            <w:tcW w:w="879" w:type="pct"/>
            <w:shd w:val="clear" w:color="auto" w:fill="auto"/>
            <w:vAlign w:val="center"/>
          </w:tcPr>
          <w:p w14:paraId="6B23FFC4" w14:textId="77777777" w:rsidR="002D6035" w:rsidRPr="00DA3C6E" w:rsidRDefault="002D6035" w:rsidP="0071543D">
            <w:pPr>
              <w:pStyle w:val="TableText0"/>
              <w:ind w:left="77" w:right="117"/>
              <w:jc w:val="left"/>
              <w:rPr>
                <w:snapToGrid w:val="0"/>
              </w:rPr>
            </w:pPr>
            <w:r w:rsidRPr="00DA3C6E">
              <w:rPr>
                <w:szCs w:val="20"/>
              </w:rPr>
              <w:t>0/5</w:t>
            </w:r>
          </w:p>
        </w:tc>
        <w:tc>
          <w:tcPr>
            <w:tcW w:w="800" w:type="pct"/>
            <w:shd w:val="clear" w:color="auto" w:fill="auto"/>
            <w:vAlign w:val="center"/>
          </w:tcPr>
          <w:p w14:paraId="5F17E9D4" w14:textId="77777777" w:rsidR="002D6035" w:rsidRPr="00DA3C6E" w:rsidRDefault="002D6035" w:rsidP="0071543D">
            <w:pPr>
              <w:pStyle w:val="TableText0"/>
              <w:ind w:left="41" w:right="117"/>
              <w:jc w:val="left"/>
              <w:rPr>
                <w:i/>
                <w:snapToGrid w:val="0"/>
              </w:rPr>
            </w:pPr>
            <w:r w:rsidRPr="00DA3C6E">
              <w:rPr>
                <w:snapToGrid w:val="0"/>
              </w:rPr>
              <w:t>NE</w:t>
            </w:r>
          </w:p>
        </w:tc>
        <w:tc>
          <w:tcPr>
            <w:tcW w:w="862" w:type="pct"/>
            <w:shd w:val="clear" w:color="auto" w:fill="auto"/>
            <w:vAlign w:val="center"/>
          </w:tcPr>
          <w:p w14:paraId="33724BF3" w14:textId="77777777" w:rsidR="002D6035" w:rsidRPr="00DA3C6E" w:rsidRDefault="002D6035" w:rsidP="0071543D">
            <w:pPr>
              <w:pStyle w:val="TableText0"/>
              <w:ind w:right="117"/>
              <w:jc w:val="left"/>
              <w:rPr>
                <w:i/>
                <w:snapToGrid w:val="0"/>
              </w:rPr>
            </w:pPr>
            <w:r w:rsidRPr="00DA3C6E">
              <w:rPr>
                <w:snapToGrid w:val="0"/>
              </w:rPr>
              <w:t>NE</w:t>
            </w:r>
          </w:p>
        </w:tc>
      </w:tr>
      <w:tr w:rsidR="007C7E04" w:rsidRPr="00DA3C6E" w14:paraId="157C2B53" w14:textId="77777777" w:rsidTr="0071543D">
        <w:tc>
          <w:tcPr>
            <w:tcW w:w="837" w:type="pct"/>
            <w:shd w:val="clear" w:color="auto" w:fill="auto"/>
            <w:vAlign w:val="center"/>
          </w:tcPr>
          <w:p w14:paraId="03BE2F05" w14:textId="55D1DFFB" w:rsidR="002D6035" w:rsidRPr="00DA3C6E" w:rsidRDefault="002D6035" w:rsidP="00C04BCE">
            <w:pPr>
              <w:pStyle w:val="TableText0"/>
              <w:jc w:val="left"/>
              <w:rPr>
                <w:snapToGrid w:val="0"/>
              </w:rPr>
            </w:pPr>
            <w:r w:rsidRPr="00DA3C6E">
              <w:rPr>
                <w:lang w:val="es-CL"/>
              </w:rPr>
              <w:t xml:space="preserve">Van den Berg et al.  </w:t>
            </w:r>
            <w:r w:rsidRPr="00DA3C6E">
              <w:t>1995</w:t>
            </w:r>
            <w:r w:rsidR="00BE7F1B">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p>
        </w:tc>
        <w:tc>
          <w:tcPr>
            <w:tcW w:w="799" w:type="pct"/>
            <w:vAlign w:val="center"/>
          </w:tcPr>
          <w:p w14:paraId="321E7CC7" w14:textId="77777777" w:rsidR="002D6035" w:rsidRPr="00DA3C6E" w:rsidRDefault="002D6035" w:rsidP="0071543D">
            <w:pPr>
              <w:pStyle w:val="TableText0"/>
              <w:ind w:left="16" w:right="117"/>
              <w:jc w:val="left"/>
              <w:rPr>
                <w:snapToGrid w:val="0"/>
              </w:rPr>
            </w:pPr>
            <w:r w:rsidRPr="00DA3C6E">
              <w:rPr>
                <w:snapToGrid w:val="0"/>
              </w:rPr>
              <w:t xml:space="preserve">Low </w:t>
            </w:r>
          </w:p>
        </w:tc>
        <w:tc>
          <w:tcPr>
            <w:tcW w:w="823" w:type="pct"/>
            <w:shd w:val="clear" w:color="auto" w:fill="auto"/>
            <w:vAlign w:val="center"/>
          </w:tcPr>
          <w:p w14:paraId="56A5AD57" w14:textId="77777777" w:rsidR="002D6035" w:rsidRPr="00DA3C6E" w:rsidRDefault="002D6035" w:rsidP="0071543D">
            <w:pPr>
              <w:pStyle w:val="TableText0"/>
              <w:ind w:left="111" w:right="117"/>
              <w:jc w:val="left"/>
              <w:rPr>
                <w:snapToGrid w:val="0"/>
              </w:rPr>
            </w:pPr>
            <w:r w:rsidRPr="00DA3C6E">
              <w:rPr>
                <w:szCs w:val="20"/>
              </w:rPr>
              <w:t>NR</w:t>
            </w:r>
          </w:p>
        </w:tc>
        <w:tc>
          <w:tcPr>
            <w:tcW w:w="879" w:type="pct"/>
            <w:shd w:val="clear" w:color="auto" w:fill="auto"/>
            <w:vAlign w:val="center"/>
          </w:tcPr>
          <w:p w14:paraId="2CF7D4A6" w14:textId="77777777" w:rsidR="002D6035" w:rsidRPr="00DA3C6E" w:rsidRDefault="002D6035" w:rsidP="0071543D">
            <w:pPr>
              <w:pStyle w:val="TableText0"/>
              <w:ind w:left="77" w:right="117"/>
              <w:jc w:val="left"/>
              <w:rPr>
                <w:snapToGrid w:val="0"/>
              </w:rPr>
            </w:pPr>
            <w:r w:rsidRPr="00DA3C6E">
              <w:rPr>
                <w:szCs w:val="20"/>
              </w:rPr>
              <w:t>NR</w:t>
            </w:r>
          </w:p>
        </w:tc>
        <w:tc>
          <w:tcPr>
            <w:tcW w:w="800" w:type="pct"/>
            <w:shd w:val="clear" w:color="auto" w:fill="auto"/>
            <w:vAlign w:val="center"/>
          </w:tcPr>
          <w:p w14:paraId="3AA5A950" w14:textId="77777777" w:rsidR="002D6035" w:rsidRPr="00DA3C6E" w:rsidRDefault="002D6035" w:rsidP="0071543D">
            <w:pPr>
              <w:pStyle w:val="TableText0"/>
              <w:ind w:left="41" w:right="117"/>
              <w:jc w:val="left"/>
              <w:rPr>
                <w:snapToGrid w:val="0"/>
              </w:rPr>
            </w:pPr>
            <w:r w:rsidRPr="00DA3C6E">
              <w:rPr>
                <w:snapToGrid w:val="0"/>
              </w:rPr>
              <w:t>NR</w:t>
            </w:r>
          </w:p>
        </w:tc>
        <w:tc>
          <w:tcPr>
            <w:tcW w:w="862" w:type="pct"/>
            <w:shd w:val="clear" w:color="auto" w:fill="auto"/>
            <w:vAlign w:val="center"/>
          </w:tcPr>
          <w:p w14:paraId="005D4712" w14:textId="77777777" w:rsidR="002D6035" w:rsidRPr="00DA3C6E" w:rsidRDefault="002D6035" w:rsidP="0071543D">
            <w:pPr>
              <w:pStyle w:val="TableText0"/>
              <w:ind w:right="117"/>
              <w:jc w:val="left"/>
              <w:rPr>
                <w:snapToGrid w:val="0"/>
              </w:rPr>
            </w:pPr>
            <w:r w:rsidRPr="00DA3C6E">
              <w:rPr>
                <w:snapToGrid w:val="0"/>
              </w:rPr>
              <w:t>NR</w:t>
            </w:r>
          </w:p>
        </w:tc>
      </w:tr>
      <w:tr w:rsidR="007C7E04" w:rsidRPr="00DA3C6E" w14:paraId="09D9EBBC" w14:textId="77777777" w:rsidTr="0071543D">
        <w:tc>
          <w:tcPr>
            <w:tcW w:w="837" w:type="pct"/>
            <w:tcBorders>
              <w:bottom w:val="single" w:sz="4" w:space="0" w:color="auto"/>
            </w:tcBorders>
            <w:shd w:val="clear" w:color="auto" w:fill="auto"/>
            <w:vAlign w:val="center"/>
          </w:tcPr>
          <w:p w14:paraId="5796C1F4" w14:textId="11F4E94D" w:rsidR="002D6035" w:rsidRPr="00DA3C6E" w:rsidRDefault="002D6035" w:rsidP="00C04BCE">
            <w:pPr>
              <w:pStyle w:val="TableText0"/>
              <w:jc w:val="left"/>
              <w:rPr>
                <w:snapToGrid w:val="0"/>
              </w:rPr>
            </w:pPr>
            <w:r w:rsidRPr="00DA3C6E">
              <w:t>Federico et al. 2000</w:t>
            </w:r>
            <w:r w:rsidR="00BE7F1B">
              <w:t xml:space="preserve"> </w: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w:t>
            </w:r>
            <w:r w:rsidR="00DB568A" w:rsidRPr="00DA3C6E">
              <w:fldChar w:fldCharType="end"/>
            </w:r>
          </w:p>
        </w:tc>
        <w:tc>
          <w:tcPr>
            <w:tcW w:w="799" w:type="pct"/>
            <w:tcBorders>
              <w:bottom w:val="single" w:sz="4" w:space="0" w:color="auto"/>
            </w:tcBorders>
            <w:vAlign w:val="center"/>
          </w:tcPr>
          <w:p w14:paraId="4D9B9BB1" w14:textId="77777777" w:rsidR="002D6035" w:rsidRPr="00DA3C6E" w:rsidRDefault="002D6035" w:rsidP="0071543D">
            <w:pPr>
              <w:pStyle w:val="TableText0"/>
              <w:ind w:left="16" w:right="117"/>
              <w:jc w:val="left"/>
              <w:rPr>
                <w:snapToGrid w:val="0"/>
                <w:color w:val="FFFFFF" w:themeColor="background1"/>
              </w:rPr>
            </w:pPr>
            <w:r w:rsidRPr="00DA3C6E">
              <w:rPr>
                <w:snapToGrid w:val="0"/>
              </w:rPr>
              <w:t>Low</w:t>
            </w:r>
          </w:p>
        </w:tc>
        <w:tc>
          <w:tcPr>
            <w:tcW w:w="823" w:type="pct"/>
            <w:tcBorders>
              <w:bottom w:val="single" w:sz="4" w:space="0" w:color="auto"/>
            </w:tcBorders>
            <w:shd w:val="clear" w:color="auto" w:fill="auto"/>
            <w:vAlign w:val="center"/>
          </w:tcPr>
          <w:p w14:paraId="65B0B07D" w14:textId="77777777" w:rsidR="002D6035" w:rsidRPr="00DA3C6E" w:rsidRDefault="002D6035" w:rsidP="0071543D">
            <w:pPr>
              <w:pStyle w:val="TableText0"/>
              <w:ind w:left="111" w:right="117"/>
              <w:jc w:val="left"/>
              <w:rPr>
                <w:snapToGrid w:val="0"/>
                <w:color w:val="FFFFFF" w:themeColor="background1"/>
              </w:rPr>
            </w:pPr>
            <w:r w:rsidRPr="00DA3C6E">
              <w:rPr>
                <w:szCs w:val="20"/>
              </w:rPr>
              <w:t>NR</w:t>
            </w:r>
          </w:p>
        </w:tc>
        <w:tc>
          <w:tcPr>
            <w:tcW w:w="879" w:type="pct"/>
            <w:tcBorders>
              <w:bottom w:val="single" w:sz="4" w:space="0" w:color="auto"/>
            </w:tcBorders>
            <w:shd w:val="clear" w:color="auto" w:fill="auto"/>
            <w:vAlign w:val="center"/>
          </w:tcPr>
          <w:p w14:paraId="466F876C" w14:textId="77777777" w:rsidR="002D6035" w:rsidRPr="00DA3C6E" w:rsidRDefault="002D6035" w:rsidP="0071543D">
            <w:pPr>
              <w:pStyle w:val="TableText0"/>
              <w:ind w:left="77" w:right="117"/>
              <w:jc w:val="left"/>
              <w:rPr>
                <w:snapToGrid w:val="0"/>
                <w:color w:val="FFFFFF" w:themeColor="background1"/>
              </w:rPr>
            </w:pPr>
            <w:r w:rsidRPr="00DA3C6E">
              <w:rPr>
                <w:szCs w:val="20"/>
              </w:rPr>
              <w:t>NR</w:t>
            </w:r>
          </w:p>
        </w:tc>
        <w:tc>
          <w:tcPr>
            <w:tcW w:w="800" w:type="pct"/>
            <w:tcBorders>
              <w:bottom w:val="single" w:sz="4" w:space="0" w:color="auto"/>
            </w:tcBorders>
            <w:shd w:val="clear" w:color="auto" w:fill="auto"/>
            <w:vAlign w:val="center"/>
          </w:tcPr>
          <w:p w14:paraId="3FAB162C" w14:textId="77777777" w:rsidR="002D6035" w:rsidRPr="00DA3C6E" w:rsidRDefault="002D6035" w:rsidP="0071543D">
            <w:pPr>
              <w:pStyle w:val="TableText0"/>
              <w:ind w:left="41" w:right="117"/>
              <w:jc w:val="left"/>
              <w:rPr>
                <w:snapToGrid w:val="0"/>
              </w:rPr>
            </w:pPr>
            <w:r w:rsidRPr="00DA3C6E">
              <w:rPr>
                <w:snapToGrid w:val="0"/>
              </w:rPr>
              <w:t>NR</w:t>
            </w:r>
          </w:p>
        </w:tc>
        <w:tc>
          <w:tcPr>
            <w:tcW w:w="862" w:type="pct"/>
            <w:tcBorders>
              <w:bottom w:val="single" w:sz="4" w:space="0" w:color="auto"/>
            </w:tcBorders>
            <w:shd w:val="clear" w:color="auto" w:fill="auto"/>
            <w:vAlign w:val="center"/>
          </w:tcPr>
          <w:p w14:paraId="217E6AF5" w14:textId="77777777" w:rsidR="002D6035" w:rsidRPr="00DA3C6E" w:rsidRDefault="002D6035" w:rsidP="0071543D">
            <w:pPr>
              <w:pStyle w:val="TableText0"/>
              <w:ind w:right="117"/>
              <w:jc w:val="left"/>
              <w:rPr>
                <w:snapToGrid w:val="0"/>
              </w:rPr>
            </w:pPr>
            <w:r w:rsidRPr="00DA3C6E">
              <w:rPr>
                <w:snapToGrid w:val="0"/>
              </w:rPr>
              <w:t>NR</w:t>
            </w:r>
          </w:p>
        </w:tc>
      </w:tr>
      <w:tr w:rsidR="007C7E04" w:rsidRPr="00DA3C6E" w14:paraId="714C2769" w14:textId="77777777" w:rsidTr="0071543D">
        <w:tc>
          <w:tcPr>
            <w:tcW w:w="837" w:type="pct"/>
            <w:tcBorders>
              <w:bottom w:val="single" w:sz="4" w:space="0" w:color="auto"/>
            </w:tcBorders>
            <w:shd w:val="clear" w:color="auto" w:fill="auto"/>
            <w:vAlign w:val="center"/>
          </w:tcPr>
          <w:p w14:paraId="08353DA7" w14:textId="0F7F3478" w:rsidR="002D6035" w:rsidRPr="00DA3C6E" w:rsidRDefault="002D6035" w:rsidP="00C04BCE">
            <w:pPr>
              <w:pStyle w:val="TableText0"/>
              <w:jc w:val="left"/>
              <w:rPr>
                <w:snapToGrid w:val="0"/>
              </w:rPr>
            </w:pPr>
            <w:r w:rsidRPr="00DA3C6E">
              <w:t>Leger et al. 2001</w:t>
            </w:r>
            <w:r w:rsidR="00BE7F1B">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p>
        </w:tc>
        <w:tc>
          <w:tcPr>
            <w:tcW w:w="799" w:type="pct"/>
            <w:tcBorders>
              <w:bottom w:val="single" w:sz="4" w:space="0" w:color="auto"/>
            </w:tcBorders>
            <w:vAlign w:val="center"/>
          </w:tcPr>
          <w:p w14:paraId="7D8AE58A" w14:textId="77777777" w:rsidR="002D6035" w:rsidRPr="00DA3C6E" w:rsidRDefault="002D6035" w:rsidP="0071543D">
            <w:pPr>
              <w:pStyle w:val="TableText0"/>
              <w:ind w:left="16" w:right="117"/>
              <w:jc w:val="left"/>
              <w:rPr>
                <w:snapToGrid w:val="0"/>
                <w:color w:val="FFFFFF" w:themeColor="background1"/>
              </w:rPr>
            </w:pPr>
          </w:p>
        </w:tc>
        <w:tc>
          <w:tcPr>
            <w:tcW w:w="823" w:type="pct"/>
            <w:tcBorders>
              <w:bottom w:val="single" w:sz="4" w:space="0" w:color="auto"/>
            </w:tcBorders>
            <w:shd w:val="clear" w:color="auto" w:fill="auto"/>
            <w:vAlign w:val="center"/>
          </w:tcPr>
          <w:p w14:paraId="5494CFF9" w14:textId="77777777" w:rsidR="002D6035" w:rsidRPr="00DA3C6E" w:rsidRDefault="002D6035" w:rsidP="0071543D">
            <w:pPr>
              <w:pStyle w:val="TableText0"/>
              <w:ind w:left="111" w:right="117"/>
              <w:jc w:val="left"/>
              <w:rPr>
                <w:snapToGrid w:val="0"/>
                <w:color w:val="FFFFFF" w:themeColor="background1"/>
              </w:rPr>
            </w:pPr>
          </w:p>
        </w:tc>
        <w:tc>
          <w:tcPr>
            <w:tcW w:w="879" w:type="pct"/>
            <w:tcBorders>
              <w:bottom w:val="single" w:sz="4" w:space="0" w:color="auto"/>
            </w:tcBorders>
            <w:shd w:val="clear" w:color="auto" w:fill="auto"/>
            <w:vAlign w:val="center"/>
          </w:tcPr>
          <w:p w14:paraId="6BFB7293" w14:textId="77777777" w:rsidR="002D6035" w:rsidRPr="00DA3C6E" w:rsidRDefault="002D6035" w:rsidP="0071543D">
            <w:pPr>
              <w:pStyle w:val="TableText0"/>
              <w:ind w:left="77" w:right="117"/>
              <w:jc w:val="left"/>
              <w:rPr>
                <w:snapToGrid w:val="0"/>
                <w:color w:val="FFFFFF" w:themeColor="background1"/>
              </w:rPr>
            </w:pPr>
          </w:p>
        </w:tc>
        <w:tc>
          <w:tcPr>
            <w:tcW w:w="800" w:type="pct"/>
            <w:tcBorders>
              <w:bottom w:val="single" w:sz="4" w:space="0" w:color="auto"/>
            </w:tcBorders>
            <w:shd w:val="clear" w:color="auto" w:fill="auto"/>
            <w:vAlign w:val="center"/>
          </w:tcPr>
          <w:p w14:paraId="2867598E" w14:textId="77777777" w:rsidR="002D6035" w:rsidRPr="00DA3C6E" w:rsidRDefault="002D6035" w:rsidP="0071543D">
            <w:pPr>
              <w:pStyle w:val="TableText0"/>
              <w:ind w:left="41" w:right="117"/>
              <w:jc w:val="left"/>
              <w:rPr>
                <w:i/>
                <w:snapToGrid w:val="0"/>
              </w:rPr>
            </w:pPr>
          </w:p>
        </w:tc>
        <w:tc>
          <w:tcPr>
            <w:tcW w:w="862" w:type="pct"/>
            <w:tcBorders>
              <w:bottom w:val="single" w:sz="4" w:space="0" w:color="auto"/>
            </w:tcBorders>
            <w:shd w:val="clear" w:color="auto" w:fill="auto"/>
            <w:vAlign w:val="center"/>
          </w:tcPr>
          <w:p w14:paraId="1FE362A5" w14:textId="77777777" w:rsidR="002D6035" w:rsidRPr="00DA3C6E" w:rsidRDefault="002D6035" w:rsidP="0071543D">
            <w:pPr>
              <w:pStyle w:val="TableText0"/>
              <w:ind w:right="117"/>
              <w:jc w:val="left"/>
              <w:rPr>
                <w:i/>
                <w:snapToGrid w:val="0"/>
              </w:rPr>
            </w:pPr>
          </w:p>
        </w:tc>
      </w:tr>
      <w:tr w:rsidR="007C7E04" w:rsidRPr="00DA3C6E" w14:paraId="6F827F41" w14:textId="77777777" w:rsidTr="009666E8">
        <w:tc>
          <w:tcPr>
            <w:tcW w:w="837" w:type="pct"/>
            <w:tcBorders>
              <w:bottom w:val="single" w:sz="4" w:space="0" w:color="auto"/>
            </w:tcBorders>
            <w:shd w:val="clear" w:color="auto" w:fill="auto"/>
            <w:vAlign w:val="center"/>
          </w:tcPr>
          <w:p w14:paraId="1190CE53" w14:textId="77777777" w:rsidR="009666E8" w:rsidRPr="00DA3C6E" w:rsidRDefault="009666E8" w:rsidP="002D6035">
            <w:pPr>
              <w:pStyle w:val="TableText0"/>
              <w:jc w:val="left"/>
            </w:pPr>
            <w:r w:rsidRPr="00DA3C6E">
              <w:t>Total patients</w:t>
            </w:r>
          </w:p>
        </w:tc>
        <w:tc>
          <w:tcPr>
            <w:tcW w:w="799" w:type="pct"/>
            <w:vMerge w:val="restart"/>
            <w:vAlign w:val="center"/>
          </w:tcPr>
          <w:p w14:paraId="7B47FE45" w14:textId="77777777" w:rsidR="009666E8" w:rsidRPr="00DA3C6E" w:rsidRDefault="009666E8" w:rsidP="002D6035">
            <w:pPr>
              <w:pStyle w:val="TableText0"/>
              <w:ind w:left="16" w:right="117"/>
              <w:jc w:val="left"/>
              <w:rPr>
                <w:snapToGrid w:val="0"/>
              </w:rPr>
            </w:pPr>
            <w:r w:rsidRPr="00DA3C6E">
              <w:rPr>
                <w:snapToGrid w:val="0"/>
              </w:rPr>
              <w:t>Low</w:t>
            </w:r>
          </w:p>
        </w:tc>
        <w:tc>
          <w:tcPr>
            <w:tcW w:w="823" w:type="pct"/>
            <w:tcBorders>
              <w:bottom w:val="single" w:sz="4" w:space="0" w:color="auto"/>
            </w:tcBorders>
            <w:shd w:val="clear" w:color="auto" w:fill="auto"/>
            <w:vAlign w:val="center"/>
          </w:tcPr>
          <w:p w14:paraId="13F29F25" w14:textId="77777777" w:rsidR="009666E8" w:rsidRPr="00DA3C6E" w:rsidRDefault="009666E8" w:rsidP="002D6035">
            <w:pPr>
              <w:pStyle w:val="TableText0"/>
              <w:ind w:left="111" w:right="117"/>
              <w:jc w:val="left"/>
              <w:rPr>
                <w:szCs w:val="20"/>
              </w:rPr>
            </w:pPr>
            <w:r w:rsidRPr="00DA3C6E">
              <w:rPr>
                <w:szCs w:val="20"/>
              </w:rPr>
              <w:t>7/9 (77.8)</w:t>
            </w:r>
            <w:r w:rsidRPr="00DA3C6E">
              <w:rPr>
                <w:szCs w:val="20"/>
                <w:vertAlign w:val="superscript"/>
              </w:rPr>
              <w:t>a</w:t>
            </w:r>
          </w:p>
        </w:tc>
        <w:tc>
          <w:tcPr>
            <w:tcW w:w="879" w:type="pct"/>
            <w:tcBorders>
              <w:bottom w:val="single" w:sz="4" w:space="0" w:color="auto"/>
            </w:tcBorders>
            <w:shd w:val="clear" w:color="auto" w:fill="auto"/>
            <w:vAlign w:val="center"/>
          </w:tcPr>
          <w:p w14:paraId="5DD00E81" w14:textId="77777777" w:rsidR="009666E8" w:rsidRPr="00DA3C6E" w:rsidRDefault="009666E8" w:rsidP="002D6035">
            <w:pPr>
              <w:pStyle w:val="TableText0"/>
              <w:ind w:left="77" w:right="117"/>
              <w:jc w:val="left"/>
              <w:rPr>
                <w:szCs w:val="20"/>
              </w:rPr>
            </w:pPr>
            <w:r w:rsidRPr="00DA3C6E">
              <w:rPr>
                <w:szCs w:val="20"/>
              </w:rPr>
              <w:t>2/9(22.2)</w:t>
            </w:r>
            <w:r w:rsidRPr="00DA3C6E">
              <w:rPr>
                <w:szCs w:val="20"/>
                <w:vertAlign w:val="superscript"/>
              </w:rPr>
              <w:t>a</w:t>
            </w:r>
          </w:p>
        </w:tc>
        <w:tc>
          <w:tcPr>
            <w:tcW w:w="800" w:type="pct"/>
            <w:tcBorders>
              <w:bottom w:val="single" w:sz="4" w:space="0" w:color="auto"/>
            </w:tcBorders>
            <w:shd w:val="clear" w:color="auto" w:fill="auto"/>
            <w:vAlign w:val="center"/>
          </w:tcPr>
          <w:p w14:paraId="11C95052" w14:textId="77777777" w:rsidR="009666E8" w:rsidRPr="00DA3C6E" w:rsidRDefault="009666E8" w:rsidP="002D6035">
            <w:pPr>
              <w:pStyle w:val="TableText0"/>
              <w:ind w:left="41" w:right="117"/>
              <w:jc w:val="left"/>
              <w:rPr>
                <w:i/>
                <w:snapToGrid w:val="0"/>
              </w:rPr>
            </w:pPr>
            <w:r w:rsidRPr="00DA3C6E">
              <w:rPr>
                <w:i/>
                <w:snapToGrid w:val="0"/>
              </w:rPr>
              <w:t>3.5 (0.98, 12.48)</w:t>
            </w:r>
          </w:p>
        </w:tc>
        <w:tc>
          <w:tcPr>
            <w:tcW w:w="862" w:type="pct"/>
            <w:tcBorders>
              <w:bottom w:val="single" w:sz="4" w:space="0" w:color="auto"/>
            </w:tcBorders>
            <w:shd w:val="clear" w:color="auto" w:fill="auto"/>
            <w:vAlign w:val="center"/>
          </w:tcPr>
          <w:p w14:paraId="731B0B04" w14:textId="77777777" w:rsidR="009666E8" w:rsidRPr="00DA3C6E" w:rsidRDefault="009666E8" w:rsidP="002D6035">
            <w:pPr>
              <w:pStyle w:val="TableText0"/>
              <w:ind w:right="117"/>
              <w:jc w:val="left"/>
              <w:rPr>
                <w:i/>
                <w:snapToGrid w:val="0"/>
              </w:rPr>
            </w:pPr>
            <w:r w:rsidRPr="00DA3C6E">
              <w:rPr>
                <w:i/>
                <w:snapToGrid w:val="0"/>
              </w:rPr>
              <w:t>0.56 (0.17, 0.94)</w:t>
            </w:r>
          </w:p>
        </w:tc>
      </w:tr>
      <w:tr w:rsidR="007C7E04" w:rsidRPr="00DA3C6E" w14:paraId="7553F8CE" w14:textId="77777777" w:rsidTr="009666E8">
        <w:tc>
          <w:tcPr>
            <w:tcW w:w="837" w:type="pct"/>
            <w:tcBorders>
              <w:bottom w:val="single" w:sz="4" w:space="0" w:color="auto"/>
            </w:tcBorders>
            <w:shd w:val="clear" w:color="auto" w:fill="auto"/>
            <w:vAlign w:val="center"/>
          </w:tcPr>
          <w:p w14:paraId="7C58C28B" w14:textId="77777777" w:rsidR="009666E8" w:rsidRPr="00DA3C6E" w:rsidRDefault="009666E8" w:rsidP="002D6035">
            <w:pPr>
              <w:pStyle w:val="TableText0"/>
              <w:jc w:val="left"/>
            </w:pPr>
            <w:r w:rsidRPr="00DA3C6E">
              <w:t>Treatment naïve patients</w:t>
            </w:r>
          </w:p>
        </w:tc>
        <w:tc>
          <w:tcPr>
            <w:tcW w:w="799" w:type="pct"/>
            <w:vMerge/>
            <w:vAlign w:val="center"/>
          </w:tcPr>
          <w:p w14:paraId="742C37EB" w14:textId="77777777" w:rsidR="009666E8" w:rsidRPr="00DA3C6E" w:rsidRDefault="009666E8" w:rsidP="002D6035">
            <w:pPr>
              <w:pStyle w:val="TableText0"/>
              <w:ind w:left="16" w:right="117"/>
              <w:jc w:val="left"/>
              <w:rPr>
                <w:snapToGrid w:val="0"/>
              </w:rPr>
            </w:pPr>
          </w:p>
        </w:tc>
        <w:tc>
          <w:tcPr>
            <w:tcW w:w="823" w:type="pct"/>
            <w:tcBorders>
              <w:bottom w:val="single" w:sz="4" w:space="0" w:color="auto"/>
            </w:tcBorders>
            <w:shd w:val="clear" w:color="auto" w:fill="auto"/>
            <w:vAlign w:val="center"/>
          </w:tcPr>
          <w:p w14:paraId="5F6A2216" w14:textId="77777777" w:rsidR="009666E8" w:rsidRPr="00DA3C6E" w:rsidRDefault="009666E8" w:rsidP="002D6035">
            <w:pPr>
              <w:pStyle w:val="TableText0"/>
              <w:ind w:left="111" w:right="117"/>
              <w:jc w:val="left"/>
              <w:rPr>
                <w:snapToGrid w:val="0"/>
                <w:color w:val="FFFFFF" w:themeColor="background1"/>
              </w:rPr>
            </w:pPr>
            <w:r w:rsidRPr="00DA3C6E">
              <w:rPr>
                <w:szCs w:val="20"/>
              </w:rPr>
              <w:t>2/4 (50)</w:t>
            </w:r>
            <w:r w:rsidRPr="00DA3C6E">
              <w:rPr>
                <w:szCs w:val="20"/>
                <w:vertAlign w:val="superscript"/>
              </w:rPr>
              <w:t>b</w:t>
            </w:r>
          </w:p>
        </w:tc>
        <w:tc>
          <w:tcPr>
            <w:tcW w:w="879" w:type="pct"/>
            <w:tcBorders>
              <w:bottom w:val="single" w:sz="4" w:space="0" w:color="auto"/>
            </w:tcBorders>
            <w:shd w:val="clear" w:color="auto" w:fill="auto"/>
            <w:vAlign w:val="center"/>
          </w:tcPr>
          <w:p w14:paraId="05AA9F9B" w14:textId="77777777" w:rsidR="009666E8" w:rsidRPr="00DA3C6E" w:rsidRDefault="009666E8" w:rsidP="002D6035">
            <w:pPr>
              <w:pStyle w:val="TableText0"/>
              <w:ind w:left="77" w:right="117"/>
              <w:jc w:val="left"/>
              <w:rPr>
                <w:snapToGrid w:val="0"/>
                <w:color w:val="FFFFFF" w:themeColor="background1"/>
              </w:rPr>
            </w:pPr>
            <w:r w:rsidRPr="00DA3C6E">
              <w:rPr>
                <w:szCs w:val="20"/>
              </w:rPr>
              <w:t>2/5(40)</w:t>
            </w:r>
            <w:r w:rsidRPr="00DA3C6E">
              <w:rPr>
                <w:szCs w:val="20"/>
                <w:vertAlign w:val="superscript"/>
              </w:rPr>
              <w:t>b</w:t>
            </w:r>
          </w:p>
        </w:tc>
        <w:tc>
          <w:tcPr>
            <w:tcW w:w="800" w:type="pct"/>
            <w:tcBorders>
              <w:bottom w:val="single" w:sz="4" w:space="0" w:color="auto"/>
            </w:tcBorders>
            <w:shd w:val="clear" w:color="auto" w:fill="auto"/>
            <w:vAlign w:val="center"/>
          </w:tcPr>
          <w:p w14:paraId="7DB9A937" w14:textId="77777777" w:rsidR="009666E8" w:rsidRPr="00DA3C6E" w:rsidRDefault="009666E8" w:rsidP="002D6035">
            <w:pPr>
              <w:pStyle w:val="TableText0"/>
              <w:ind w:left="41" w:right="117"/>
              <w:jc w:val="left"/>
              <w:rPr>
                <w:i/>
                <w:snapToGrid w:val="0"/>
              </w:rPr>
            </w:pPr>
            <w:r w:rsidRPr="00DA3C6E">
              <w:rPr>
                <w:i/>
                <w:snapToGrid w:val="0"/>
              </w:rPr>
              <w:t>1.25 (0.29, 5.34)</w:t>
            </w:r>
          </w:p>
        </w:tc>
        <w:tc>
          <w:tcPr>
            <w:tcW w:w="862" w:type="pct"/>
            <w:tcBorders>
              <w:bottom w:val="single" w:sz="4" w:space="0" w:color="auto"/>
            </w:tcBorders>
            <w:shd w:val="clear" w:color="auto" w:fill="auto"/>
            <w:vAlign w:val="center"/>
          </w:tcPr>
          <w:p w14:paraId="569D8DC1" w14:textId="77777777" w:rsidR="009666E8" w:rsidRPr="00DA3C6E" w:rsidRDefault="009666E8" w:rsidP="002D6035">
            <w:pPr>
              <w:pStyle w:val="TableText0"/>
              <w:ind w:right="117"/>
              <w:jc w:val="left"/>
              <w:rPr>
                <w:i/>
                <w:snapToGrid w:val="0"/>
              </w:rPr>
            </w:pPr>
            <w:r w:rsidRPr="00DA3C6E">
              <w:rPr>
                <w:i/>
                <w:snapToGrid w:val="0"/>
              </w:rPr>
              <w:t>0.10 (-0.55, 0.75)</w:t>
            </w:r>
          </w:p>
        </w:tc>
      </w:tr>
      <w:tr w:rsidR="007C7E04" w:rsidRPr="00DA3C6E" w14:paraId="687BFFBA" w14:textId="77777777" w:rsidTr="0071543D">
        <w:tc>
          <w:tcPr>
            <w:tcW w:w="837" w:type="pct"/>
            <w:tcBorders>
              <w:bottom w:val="single" w:sz="4" w:space="0" w:color="auto"/>
            </w:tcBorders>
            <w:shd w:val="clear" w:color="auto" w:fill="auto"/>
            <w:vAlign w:val="center"/>
          </w:tcPr>
          <w:p w14:paraId="317CF2EB" w14:textId="77777777" w:rsidR="009666E8" w:rsidRPr="00DA3C6E" w:rsidRDefault="009666E8" w:rsidP="002D6035">
            <w:pPr>
              <w:pStyle w:val="TableText0"/>
              <w:jc w:val="left"/>
            </w:pPr>
            <w:r w:rsidRPr="00DA3C6E">
              <w:t>Pre-treated patients</w:t>
            </w:r>
          </w:p>
        </w:tc>
        <w:tc>
          <w:tcPr>
            <w:tcW w:w="799" w:type="pct"/>
            <w:vMerge/>
            <w:tcBorders>
              <w:bottom w:val="single" w:sz="4" w:space="0" w:color="auto"/>
            </w:tcBorders>
            <w:vAlign w:val="center"/>
          </w:tcPr>
          <w:p w14:paraId="217FF36B" w14:textId="77777777" w:rsidR="009666E8" w:rsidRPr="00DA3C6E" w:rsidRDefault="009666E8" w:rsidP="002D6035">
            <w:pPr>
              <w:pStyle w:val="TableText0"/>
              <w:ind w:left="16" w:right="117"/>
              <w:jc w:val="left"/>
              <w:rPr>
                <w:snapToGrid w:val="0"/>
              </w:rPr>
            </w:pPr>
          </w:p>
        </w:tc>
        <w:tc>
          <w:tcPr>
            <w:tcW w:w="823" w:type="pct"/>
            <w:tcBorders>
              <w:bottom w:val="single" w:sz="4" w:space="0" w:color="auto"/>
            </w:tcBorders>
            <w:shd w:val="clear" w:color="auto" w:fill="auto"/>
            <w:vAlign w:val="center"/>
          </w:tcPr>
          <w:p w14:paraId="44AA25BD" w14:textId="77777777" w:rsidR="009666E8" w:rsidRPr="00DA3C6E" w:rsidRDefault="009666E8" w:rsidP="002D6035">
            <w:pPr>
              <w:pStyle w:val="TableText0"/>
              <w:ind w:left="111" w:right="117"/>
              <w:jc w:val="left"/>
              <w:rPr>
                <w:snapToGrid w:val="0"/>
                <w:color w:val="FFFFFF" w:themeColor="background1"/>
              </w:rPr>
            </w:pPr>
            <w:r w:rsidRPr="00DA3C6E">
              <w:rPr>
                <w:szCs w:val="20"/>
              </w:rPr>
              <w:t>5/5 (100)</w:t>
            </w:r>
            <w:r w:rsidRPr="00DA3C6E">
              <w:rPr>
                <w:szCs w:val="20"/>
                <w:vertAlign w:val="superscript"/>
              </w:rPr>
              <w:t>c</w:t>
            </w:r>
          </w:p>
        </w:tc>
        <w:tc>
          <w:tcPr>
            <w:tcW w:w="879" w:type="pct"/>
            <w:tcBorders>
              <w:bottom w:val="single" w:sz="4" w:space="0" w:color="auto"/>
            </w:tcBorders>
            <w:shd w:val="clear" w:color="auto" w:fill="auto"/>
            <w:vAlign w:val="center"/>
          </w:tcPr>
          <w:p w14:paraId="4E76A3A5" w14:textId="77777777" w:rsidR="009666E8" w:rsidRPr="00DA3C6E" w:rsidRDefault="009666E8" w:rsidP="002D6035">
            <w:pPr>
              <w:pStyle w:val="TableText0"/>
              <w:ind w:left="77" w:right="117"/>
              <w:jc w:val="left"/>
              <w:rPr>
                <w:snapToGrid w:val="0"/>
                <w:color w:val="FFFFFF" w:themeColor="background1"/>
              </w:rPr>
            </w:pPr>
            <w:r w:rsidRPr="00DA3C6E">
              <w:rPr>
                <w:szCs w:val="20"/>
              </w:rPr>
              <w:t>0/4 (0)</w:t>
            </w:r>
            <w:r w:rsidRPr="00DA3C6E">
              <w:rPr>
                <w:szCs w:val="20"/>
                <w:vertAlign w:val="superscript"/>
              </w:rPr>
              <w:t>c</w:t>
            </w:r>
          </w:p>
        </w:tc>
        <w:tc>
          <w:tcPr>
            <w:tcW w:w="800" w:type="pct"/>
            <w:tcBorders>
              <w:bottom w:val="single" w:sz="4" w:space="0" w:color="auto"/>
            </w:tcBorders>
            <w:shd w:val="clear" w:color="auto" w:fill="auto"/>
            <w:vAlign w:val="center"/>
          </w:tcPr>
          <w:p w14:paraId="3870BE91" w14:textId="77777777" w:rsidR="009666E8" w:rsidRPr="00DA3C6E" w:rsidRDefault="009666E8" w:rsidP="002D6035">
            <w:pPr>
              <w:pStyle w:val="TableText0"/>
              <w:ind w:left="41" w:right="117"/>
              <w:jc w:val="left"/>
              <w:rPr>
                <w:snapToGrid w:val="0"/>
              </w:rPr>
            </w:pPr>
            <w:r w:rsidRPr="00DA3C6E">
              <w:rPr>
                <w:snapToGrid w:val="0"/>
              </w:rPr>
              <w:t>NE</w:t>
            </w:r>
          </w:p>
        </w:tc>
        <w:tc>
          <w:tcPr>
            <w:tcW w:w="862" w:type="pct"/>
            <w:tcBorders>
              <w:bottom w:val="single" w:sz="4" w:space="0" w:color="auto"/>
            </w:tcBorders>
            <w:shd w:val="clear" w:color="auto" w:fill="auto"/>
            <w:vAlign w:val="center"/>
          </w:tcPr>
          <w:p w14:paraId="584BA168" w14:textId="77777777" w:rsidR="009666E8" w:rsidRPr="00DA3C6E" w:rsidRDefault="009666E8" w:rsidP="002D6035">
            <w:pPr>
              <w:pStyle w:val="TableText0"/>
              <w:ind w:right="117"/>
              <w:jc w:val="left"/>
              <w:rPr>
                <w:i/>
                <w:snapToGrid w:val="0"/>
              </w:rPr>
            </w:pPr>
            <w:r w:rsidRPr="00DA3C6E">
              <w:rPr>
                <w:i/>
                <w:snapToGrid w:val="0"/>
              </w:rPr>
              <w:t>1 (1, 1)</w:t>
            </w:r>
          </w:p>
        </w:tc>
      </w:tr>
      <w:tr w:rsidR="0083201D" w:rsidRPr="00DA3C6E" w14:paraId="11C9BAC6" w14:textId="77777777" w:rsidTr="005E497B">
        <w:tc>
          <w:tcPr>
            <w:tcW w:w="837" w:type="pct"/>
            <w:vMerge w:val="restart"/>
            <w:shd w:val="clear" w:color="auto" w:fill="auto"/>
            <w:vAlign w:val="center"/>
          </w:tcPr>
          <w:p w14:paraId="780E6074" w14:textId="0666DABB" w:rsidR="0083201D" w:rsidRPr="00DA3C6E" w:rsidRDefault="0083201D" w:rsidP="00C04BCE">
            <w:pPr>
              <w:pStyle w:val="TableText0"/>
              <w:jc w:val="left"/>
              <w:rPr>
                <w:snapToGrid w:val="0"/>
              </w:rPr>
            </w:pPr>
            <w:r w:rsidRPr="00DA3C6E">
              <w:t>Hahn et al. 2013</w:t>
            </w:r>
            <w:r>
              <w:t xml:space="preserve"> </w:t>
            </w:r>
            <w:r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Pr="00DA3C6E">
              <w:instrText xml:space="preserve"> ADDIN EN.CITE </w:instrText>
            </w:r>
            <w:r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Pr="00DA3C6E">
              <w:instrText xml:space="preserve"> ADDIN EN.CITE.DATA </w:instrText>
            </w:r>
            <w:r w:rsidRPr="00DA3C6E">
              <w:fldChar w:fldCharType="end"/>
            </w:r>
            <w:r w:rsidRPr="00DA3C6E">
              <w:fldChar w:fldCharType="separate"/>
            </w:r>
            <w:r w:rsidRPr="00DA3C6E">
              <w:rPr>
                <w:noProof/>
              </w:rPr>
              <w:t>(</w:t>
            </w:r>
            <w:hyperlink w:anchor="_ENREF_28" w:tooltip="Hahn, 2013 #26" w:history="1">
              <w:r w:rsidR="00C04BCE" w:rsidRPr="00DA3C6E">
                <w:rPr>
                  <w:noProof/>
                </w:rPr>
                <w:t>28</w:t>
              </w:r>
            </w:hyperlink>
            <w:r w:rsidRPr="00DA3C6E">
              <w:rPr>
                <w:noProof/>
              </w:rPr>
              <w:t>)</w:t>
            </w:r>
            <w:r w:rsidRPr="00DA3C6E">
              <w:fldChar w:fldCharType="end"/>
            </w:r>
          </w:p>
        </w:tc>
        <w:tc>
          <w:tcPr>
            <w:tcW w:w="799" w:type="pct"/>
            <w:vMerge w:val="restart"/>
            <w:vAlign w:val="center"/>
          </w:tcPr>
          <w:p w14:paraId="5A9732D5" w14:textId="77777777" w:rsidR="0083201D" w:rsidRPr="00DA3C6E" w:rsidRDefault="0083201D" w:rsidP="002D6035">
            <w:pPr>
              <w:pStyle w:val="TableText0"/>
              <w:ind w:left="16" w:right="117"/>
              <w:jc w:val="left"/>
              <w:rPr>
                <w:snapToGrid w:val="0"/>
                <w:color w:val="FFFFFF" w:themeColor="background1"/>
              </w:rPr>
            </w:pPr>
            <w:r w:rsidRPr="00DA3C6E">
              <w:rPr>
                <w:snapToGrid w:val="0"/>
              </w:rPr>
              <w:t>Low</w:t>
            </w:r>
          </w:p>
        </w:tc>
        <w:tc>
          <w:tcPr>
            <w:tcW w:w="823" w:type="pct"/>
            <w:tcBorders>
              <w:bottom w:val="single" w:sz="4" w:space="0" w:color="auto"/>
            </w:tcBorders>
            <w:shd w:val="clear" w:color="auto" w:fill="auto"/>
            <w:vAlign w:val="center"/>
          </w:tcPr>
          <w:p w14:paraId="7585F668" w14:textId="77777777" w:rsidR="0083201D" w:rsidRPr="00DA3C6E" w:rsidRDefault="0083201D" w:rsidP="002D6035">
            <w:pPr>
              <w:pStyle w:val="TableText0"/>
              <w:ind w:left="111" w:right="117"/>
              <w:jc w:val="left"/>
              <w:rPr>
                <w:snapToGrid w:val="0"/>
                <w:color w:val="FFFFFF" w:themeColor="background1"/>
              </w:rPr>
            </w:pPr>
            <w:r w:rsidRPr="00DA3C6E">
              <w:rPr>
                <w:szCs w:val="20"/>
              </w:rPr>
              <w:t>37/42 (88.1)</w:t>
            </w:r>
            <w:r w:rsidRPr="00DA3C6E">
              <w:rPr>
                <w:szCs w:val="20"/>
                <w:vertAlign w:val="superscript"/>
              </w:rPr>
              <w:t>e</w:t>
            </w:r>
          </w:p>
        </w:tc>
        <w:tc>
          <w:tcPr>
            <w:tcW w:w="879" w:type="pct"/>
            <w:tcBorders>
              <w:bottom w:val="single" w:sz="4" w:space="0" w:color="auto"/>
            </w:tcBorders>
            <w:shd w:val="clear" w:color="auto" w:fill="auto"/>
            <w:vAlign w:val="center"/>
          </w:tcPr>
          <w:p w14:paraId="2F4AFC9A" w14:textId="77777777" w:rsidR="0083201D" w:rsidRPr="00DA3C6E" w:rsidRDefault="0083201D" w:rsidP="002D6035">
            <w:pPr>
              <w:pStyle w:val="TableText0"/>
              <w:ind w:left="77" w:right="117"/>
              <w:jc w:val="left"/>
              <w:rPr>
                <w:snapToGrid w:val="0"/>
                <w:color w:val="FFFFFF" w:themeColor="background1"/>
              </w:rPr>
            </w:pPr>
            <w:r w:rsidRPr="00DA3C6E">
              <w:rPr>
                <w:szCs w:val="20"/>
              </w:rPr>
              <w:t>27/42 (64.3)</w:t>
            </w:r>
            <w:r w:rsidRPr="00DA3C6E">
              <w:rPr>
                <w:szCs w:val="20"/>
                <w:vertAlign w:val="superscript"/>
              </w:rPr>
              <w:t>e</w:t>
            </w:r>
          </w:p>
        </w:tc>
        <w:tc>
          <w:tcPr>
            <w:tcW w:w="800" w:type="pct"/>
            <w:tcBorders>
              <w:bottom w:val="single" w:sz="4" w:space="0" w:color="auto"/>
            </w:tcBorders>
            <w:shd w:val="clear" w:color="auto" w:fill="auto"/>
            <w:vAlign w:val="center"/>
          </w:tcPr>
          <w:p w14:paraId="6AC96D7E" w14:textId="77777777" w:rsidR="0083201D" w:rsidRPr="00DA3C6E" w:rsidRDefault="0083201D" w:rsidP="002D6035">
            <w:pPr>
              <w:pStyle w:val="TableText0"/>
              <w:ind w:left="41" w:right="117"/>
              <w:jc w:val="left"/>
              <w:rPr>
                <w:b/>
                <w:i/>
                <w:snapToGrid w:val="0"/>
              </w:rPr>
            </w:pPr>
            <w:r w:rsidRPr="00DA3C6E">
              <w:rPr>
                <w:b/>
                <w:i/>
                <w:snapToGrid w:val="0"/>
              </w:rPr>
              <w:t>1.37 (1.07, 1.76)</w:t>
            </w:r>
          </w:p>
        </w:tc>
        <w:tc>
          <w:tcPr>
            <w:tcW w:w="862" w:type="pct"/>
            <w:tcBorders>
              <w:bottom w:val="single" w:sz="4" w:space="0" w:color="auto"/>
            </w:tcBorders>
            <w:shd w:val="clear" w:color="auto" w:fill="auto"/>
            <w:vAlign w:val="center"/>
          </w:tcPr>
          <w:p w14:paraId="4C7A7AE7" w14:textId="77777777" w:rsidR="0083201D" w:rsidRPr="00DA3C6E" w:rsidRDefault="0083201D" w:rsidP="002D6035">
            <w:pPr>
              <w:pStyle w:val="TableText0"/>
              <w:ind w:right="117"/>
              <w:jc w:val="left"/>
              <w:rPr>
                <w:i/>
                <w:snapToGrid w:val="0"/>
              </w:rPr>
            </w:pPr>
            <w:r w:rsidRPr="00DA3C6E">
              <w:rPr>
                <w:i/>
                <w:snapToGrid w:val="0"/>
              </w:rPr>
              <w:t>0.24 (0.06, 0.41)</w:t>
            </w:r>
          </w:p>
        </w:tc>
      </w:tr>
      <w:tr w:rsidR="0083201D" w:rsidRPr="00DA3C6E" w14:paraId="5B57BDE4" w14:textId="77777777" w:rsidTr="0071543D">
        <w:tc>
          <w:tcPr>
            <w:tcW w:w="837" w:type="pct"/>
            <w:vMerge/>
            <w:tcBorders>
              <w:bottom w:val="single" w:sz="4" w:space="0" w:color="auto"/>
            </w:tcBorders>
            <w:shd w:val="clear" w:color="auto" w:fill="auto"/>
            <w:vAlign w:val="center"/>
          </w:tcPr>
          <w:p w14:paraId="030F0305" w14:textId="77777777" w:rsidR="0083201D" w:rsidRPr="00DA3C6E" w:rsidRDefault="0083201D" w:rsidP="002D6035">
            <w:pPr>
              <w:pStyle w:val="TableText0"/>
              <w:jc w:val="left"/>
            </w:pPr>
          </w:p>
        </w:tc>
        <w:tc>
          <w:tcPr>
            <w:tcW w:w="799" w:type="pct"/>
            <w:vMerge/>
            <w:tcBorders>
              <w:bottom w:val="single" w:sz="4" w:space="0" w:color="auto"/>
            </w:tcBorders>
            <w:vAlign w:val="center"/>
          </w:tcPr>
          <w:p w14:paraId="71F3760F" w14:textId="77777777" w:rsidR="0083201D" w:rsidRPr="00DA3C6E" w:rsidRDefault="0083201D" w:rsidP="002D6035">
            <w:pPr>
              <w:pStyle w:val="TableText0"/>
              <w:ind w:left="16" w:right="117"/>
              <w:jc w:val="left"/>
              <w:rPr>
                <w:snapToGrid w:val="0"/>
              </w:rPr>
            </w:pPr>
          </w:p>
        </w:tc>
        <w:tc>
          <w:tcPr>
            <w:tcW w:w="823" w:type="pct"/>
            <w:tcBorders>
              <w:bottom w:val="single" w:sz="4" w:space="0" w:color="auto"/>
            </w:tcBorders>
            <w:shd w:val="clear" w:color="auto" w:fill="auto"/>
            <w:vAlign w:val="center"/>
          </w:tcPr>
          <w:p w14:paraId="240513D7" w14:textId="77777777" w:rsidR="0083201D" w:rsidRPr="00DA3C6E" w:rsidRDefault="0083201D" w:rsidP="002D6035">
            <w:pPr>
              <w:pStyle w:val="TableText0"/>
              <w:ind w:left="111" w:right="117"/>
              <w:jc w:val="left"/>
              <w:rPr>
                <w:snapToGrid w:val="0"/>
                <w:color w:val="FFFFFF" w:themeColor="background1"/>
              </w:rPr>
            </w:pPr>
            <w:r w:rsidRPr="00DA3C6E">
              <w:rPr>
                <w:szCs w:val="20"/>
              </w:rPr>
              <w:t>39/42 (92.9)</w:t>
            </w:r>
            <w:r w:rsidRPr="00DA3C6E">
              <w:rPr>
                <w:szCs w:val="20"/>
                <w:vertAlign w:val="superscript"/>
              </w:rPr>
              <w:t>f</w:t>
            </w:r>
          </w:p>
        </w:tc>
        <w:tc>
          <w:tcPr>
            <w:tcW w:w="879" w:type="pct"/>
            <w:tcBorders>
              <w:bottom w:val="single" w:sz="4" w:space="0" w:color="auto"/>
            </w:tcBorders>
            <w:shd w:val="clear" w:color="auto" w:fill="auto"/>
            <w:vAlign w:val="center"/>
          </w:tcPr>
          <w:p w14:paraId="71D6E95B" w14:textId="77777777" w:rsidR="0083201D" w:rsidRPr="00DA3C6E" w:rsidRDefault="0083201D" w:rsidP="002D6035">
            <w:pPr>
              <w:pStyle w:val="TableText0"/>
              <w:ind w:left="77" w:right="117"/>
              <w:jc w:val="left"/>
              <w:rPr>
                <w:snapToGrid w:val="0"/>
                <w:color w:val="FFFFFF" w:themeColor="background1"/>
              </w:rPr>
            </w:pPr>
            <w:r w:rsidRPr="00DA3C6E">
              <w:rPr>
                <w:szCs w:val="20"/>
              </w:rPr>
              <w:t>29/42 (69)</w:t>
            </w:r>
            <w:r w:rsidRPr="00DA3C6E">
              <w:rPr>
                <w:szCs w:val="20"/>
                <w:vertAlign w:val="superscript"/>
              </w:rPr>
              <w:t>f</w:t>
            </w:r>
          </w:p>
        </w:tc>
        <w:tc>
          <w:tcPr>
            <w:tcW w:w="800" w:type="pct"/>
            <w:tcBorders>
              <w:bottom w:val="single" w:sz="4" w:space="0" w:color="auto"/>
            </w:tcBorders>
            <w:shd w:val="clear" w:color="auto" w:fill="auto"/>
            <w:vAlign w:val="center"/>
          </w:tcPr>
          <w:p w14:paraId="5CC3487C" w14:textId="77777777" w:rsidR="0083201D" w:rsidRPr="00DA3C6E" w:rsidRDefault="0083201D" w:rsidP="002D6035">
            <w:pPr>
              <w:pStyle w:val="TableText0"/>
              <w:ind w:left="41" w:right="117"/>
              <w:jc w:val="left"/>
              <w:rPr>
                <w:b/>
                <w:i/>
                <w:snapToGrid w:val="0"/>
              </w:rPr>
            </w:pPr>
            <w:r w:rsidRPr="00DA3C6E">
              <w:rPr>
                <w:b/>
                <w:i/>
                <w:snapToGrid w:val="0"/>
              </w:rPr>
              <w:t>1.34 (1.08, 1.67)</w:t>
            </w:r>
          </w:p>
        </w:tc>
        <w:tc>
          <w:tcPr>
            <w:tcW w:w="862" w:type="pct"/>
            <w:tcBorders>
              <w:bottom w:val="single" w:sz="4" w:space="0" w:color="auto"/>
            </w:tcBorders>
            <w:shd w:val="clear" w:color="auto" w:fill="auto"/>
            <w:vAlign w:val="center"/>
          </w:tcPr>
          <w:p w14:paraId="4AC0A3C6" w14:textId="77777777" w:rsidR="0083201D" w:rsidRPr="00DA3C6E" w:rsidRDefault="0083201D" w:rsidP="002D6035">
            <w:pPr>
              <w:pStyle w:val="TableText0"/>
              <w:ind w:right="117"/>
              <w:jc w:val="left"/>
              <w:rPr>
                <w:i/>
                <w:snapToGrid w:val="0"/>
              </w:rPr>
            </w:pPr>
            <w:r w:rsidRPr="00DA3C6E">
              <w:rPr>
                <w:i/>
                <w:snapToGrid w:val="0"/>
              </w:rPr>
              <w:t>0.24 (0.08, 0.40)</w:t>
            </w:r>
          </w:p>
        </w:tc>
      </w:tr>
      <w:tr w:rsidR="002D6035" w:rsidRPr="00DA3C6E" w14:paraId="2E35867E" w14:textId="77777777" w:rsidTr="001207B3">
        <w:tc>
          <w:tcPr>
            <w:tcW w:w="837" w:type="pct"/>
            <w:tcBorders>
              <w:bottom w:val="single" w:sz="4" w:space="0" w:color="auto"/>
            </w:tcBorders>
            <w:shd w:val="clear" w:color="auto" w:fill="auto"/>
            <w:vAlign w:val="center"/>
          </w:tcPr>
          <w:p w14:paraId="501CC14C" w14:textId="77777777" w:rsidR="002D6035" w:rsidRPr="00DA3C6E" w:rsidRDefault="002D6035" w:rsidP="002D6035">
            <w:pPr>
              <w:pStyle w:val="TableText0"/>
              <w:jc w:val="left"/>
              <w:rPr>
                <w:snapToGrid w:val="0"/>
              </w:rPr>
            </w:pPr>
            <w:r w:rsidRPr="00DA3C6E">
              <w:rPr>
                <w:snapToGrid w:val="0"/>
              </w:rPr>
              <w:t>Pooled result</w:t>
            </w:r>
          </w:p>
        </w:tc>
        <w:tc>
          <w:tcPr>
            <w:tcW w:w="4163" w:type="pct"/>
            <w:gridSpan w:val="5"/>
            <w:tcBorders>
              <w:bottom w:val="single" w:sz="4" w:space="0" w:color="auto"/>
            </w:tcBorders>
            <w:vAlign w:val="center"/>
          </w:tcPr>
          <w:p w14:paraId="7A3068E8" w14:textId="77777777" w:rsidR="002D6035" w:rsidRPr="00DA3C6E" w:rsidRDefault="001207B3" w:rsidP="001207B3">
            <w:pPr>
              <w:pStyle w:val="TableText0"/>
              <w:ind w:right="117"/>
              <w:jc w:val="center"/>
              <w:rPr>
                <w:i/>
                <w:snapToGrid w:val="0"/>
              </w:rPr>
            </w:pPr>
            <w:r w:rsidRPr="00DA3C6E">
              <w:rPr>
                <w:i/>
                <w:snapToGrid w:val="0"/>
              </w:rPr>
              <w:t>RR = 1.81 (95% CI 0.74, 4.45; p value = 0.19)</w:t>
            </w:r>
          </w:p>
        </w:tc>
      </w:tr>
      <w:tr w:rsidR="002D6035" w:rsidRPr="00DA3C6E" w14:paraId="6D1D2ED9" w14:textId="77777777" w:rsidTr="0071543D">
        <w:tc>
          <w:tcPr>
            <w:tcW w:w="5000" w:type="pct"/>
            <w:gridSpan w:val="6"/>
            <w:shd w:val="clear" w:color="auto" w:fill="auto"/>
            <w:vAlign w:val="center"/>
          </w:tcPr>
          <w:p w14:paraId="56754D23" w14:textId="77777777" w:rsidR="002D6035" w:rsidRPr="00DA3C6E" w:rsidRDefault="002D6035" w:rsidP="002D6035">
            <w:pPr>
              <w:pStyle w:val="TableText0"/>
              <w:ind w:right="117"/>
              <w:jc w:val="left"/>
              <w:rPr>
                <w:b/>
                <w:snapToGrid w:val="0"/>
              </w:rPr>
            </w:pPr>
            <w:r w:rsidRPr="00DA3C6E">
              <w:rPr>
                <w:b/>
                <w:snapToGrid w:val="0"/>
              </w:rPr>
              <w:t>Mean change in disability</w:t>
            </w:r>
          </w:p>
        </w:tc>
      </w:tr>
      <w:tr w:rsidR="007C7E04" w:rsidRPr="00DA3C6E" w14:paraId="3814CFE5" w14:textId="77777777" w:rsidTr="0071543D">
        <w:tc>
          <w:tcPr>
            <w:tcW w:w="837" w:type="pct"/>
            <w:shd w:val="clear" w:color="auto" w:fill="auto"/>
            <w:vAlign w:val="center"/>
          </w:tcPr>
          <w:p w14:paraId="139B33B2" w14:textId="5F946FFD" w:rsidR="002D6035" w:rsidRPr="00DA3C6E" w:rsidRDefault="002D6035" w:rsidP="00C04BCE">
            <w:pPr>
              <w:pStyle w:val="TableText0"/>
              <w:jc w:val="left"/>
              <w:rPr>
                <w:snapToGrid w:val="0"/>
              </w:rPr>
            </w:pPr>
            <w:r w:rsidRPr="00DA3C6E">
              <w:t>Azulay et al. 1994</w:t>
            </w:r>
            <w:r w:rsidR="00BE7F1B">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p>
        </w:tc>
        <w:tc>
          <w:tcPr>
            <w:tcW w:w="799" w:type="pct"/>
            <w:vAlign w:val="center"/>
          </w:tcPr>
          <w:p w14:paraId="441AE6B1" w14:textId="77777777" w:rsidR="002D6035" w:rsidRPr="00DA3C6E" w:rsidRDefault="002D6035" w:rsidP="002D6035">
            <w:pPr>
              <w:pStyle w:val="TableText0"/>
              <w:ind w:left="16" w:right="117"/>
              <w:jc w:val="left"/>
              <w:rPr>
                <w:snapToGrid w:val="0"/>
                <w:color w:val="FFFFFF" w:themeColor="background1"/>
              </w:rPr>
            </w:pPr>
            <w:r w:rsidRPr="00DA3C6E">
              <w:rPr>
                <w:snapToGrid w:val="0"/>
              </w:rPr>
              <w:t>Some concern</w:t>
            </w:r>
          </w:p>
        </w:tc>
        <w:tc>
          <w:tcPr>
            <w:tcW w:w="823" w:type="pct"/>
            <w:shd w:val="clear" w:color="auto" w:fill="auto"/>
            <w:vAlign w:val="center"/>
          </w:tcPr>
          <w:p w14:paraId="5710E286" w14:textId="77777777" w:rsidR="002D6035" w:rsidRPr="00DA3C6E" w:rsidRDefault="002D6035" w:rsidP="002D6035">
            <w:pPr>
              <w:pStyle w:val="TableText0"/>
              <w:ind w:left="111" w:right="117"/>
              <w:jc w:val="left"/>
              <w:rPr>
                <w:snapToGrid w:val="0"/>
                <w:color w:val="FFFFFF" w:themeColor="background1"/>
              </w:rPr>
            </w:pPr>
            <w:r w:rsidRPr="00DA3C6E">
              <w:rPr>
                <w:szCs w:val="20"/>
              </w:rPr>
              <w:t>0/5</w:t>
            </w:r>
          </w:p>
        </w:tc>
        <w:tc>
          <w:tcPr>
            <w:tcW w:w="879" w:type="pct"/>
            <w:shd w:val="clear" w:color="auto" w:fill="auto"/>
            <w:vAlign w:val="center"/>
          </w:tcPr>
          <w:p w14:paraId="3DCF20CC" w14:textId="77777777" w:rsidR="002D6035" w:rsidRPr="00DA3C6E" w:rsidRDefault="002D6035" w:rsidP="002D6035">
            <w:pPr>
              <w:pStyle w:val="TableText0"/>
              <w:ind w:left="77" w:right="117"/>
              <w:jc w:val="left"/>
              <w:rPr>
                <w:snapToGrid w:val="0"/>
                <w:color w:val="FFFFFF" w:themeColor="background1"/>
              </w:rPr>
            </w:pPr>
            <w:r w:rsidRPr="00DA3C6E">
              <w:rPr>
                <w:szCs w:val="20"/>
              </w:rPr>
              <w:t>0/5</w:t>
            </w:r>
          </w:p>
        </w:tc>
        <w:tc>
          <w:tcPr>
            <w:tcW w:w="800" w:type="pct"/>
            <w:shd w:val="clear" w:color="auto" w:fill="auto"/>
            <w:vAlign w:val="center"/>
          </w:tcPr>
          <w:p w14:paraId="4E29FE16" w14:textId="77777777" w:rsidR="002D6035" w:rsidRPr="00DA3C6E" w:rsidRDefault="002D6035" w:rsidP="002D6035">
            <w:pPr>
              <w:pStyle w:val="TableText0"/>
              <w:ind w:left="41" w:right="117"/>
              <w:jc w:val="left"/>
              <w:rPr>
                <w:snapToGrid w:val="0"/>
              </w:rPr>
            </w:pPr>
            <w:r w:rsidRPr="00DA3C6E">
              <w:rPr>
                <w:snapToGrid w:val="0"/>
              </w:rPr>
              <w:t>NE</w:t>
            </w:r>
          </w:p>
        </w:tc>
        <w:tc>
          <w:tcPr>
            <w:tcW w:w="862" w:type="pct"/>
            <w:shd w:val="clear" w:color="auto" w:fill="auto"/>
            <w:vAlign w:val="center"/>
          </w:tcPr>
          <w:p w14:paraId="3C0572E0" w14:textId="77777777" w:rsidR="002D6035" w:rsidRPr="00DA3C6E" w:rsidRDefault="002D6035" w:rsidP="002D6035">
            <w:pPr>
              <w:pStyle w:val="TableText0"/>
              <w:ind w:right="117"/>
              <w:jc w:val="left"/>
              <w:rPr>
                <w:snapToGrid w:val="0"/>
              </w:rPr>
            </w:pPr>
            <w:r w:rsidRPr="00DA3C6E">
              <w:rPr>
                <w:snapToGrid w:val="0"/>
              </w:rPr>
              <w:t>NE</w:t>
            </w:r>
          </w:p>
        </w:tc>
      </w:tr>
      <w:tr w:rsidR="007C7E04" w:rsidRPr="00DA3C6E" w14:paraId="7A98AE60" w14:textId="77777777" w:rsidTr="0071543D">
        <w:tc>
          <w:tcPr>
            <w:tcW w:w="837" w:type="pct"/>
            <w:shd w:val="clear" w:color="auto" w:fill="auto"/>
            <w:vAlign w:val="center"/>
          </w:tcPr>
          <w:p w14:paraId="117859D6" w14:textId="10EEEAD2" w:rsidR="002D6035" w:rsidRPr="00DA3C6E" w:rsidRDefault="002D6035" w:rsidP="00C04BCE">
            <w:pPr>
              <w:pStyle w:val="TableText0"/>
              <w:jc w:val="left"/>
              <w:rPr>
                <w:snapToGrid w:val="0"/>
              </w:rPr>
            </w:pPr>
            <w:r w:rsidRPr="00DA3C6E">
              <w:rPr>
                <w:lang w:val="es-CL"/>
              </w:rPr>
              <w:t xml:space="preserve">Van den Berg et al.  </w:t>
            </w:r>
            <w:r w:rsidRPr="00DA3C6E">
              <w:t>1995</w:t>
            </w:r>
            <w:r w:rsidR="00BE7F1B">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p>
        </w:tc>
        <w:tc>
          <w:tcPr>
            <w:tcW w:w="799" w:type="pct"/>
            <w:vAlign w:val="center"/>
          </w:tcPr>
          <w:p w14:paraId="511B31D2" w14:textId="77777777" w:rsidR="002D6035" w:rsidRPr="00DA3C6E" w:rsidRDefault="002D6035" w:rsidP="002D6035">
            <w:pPr>
              <w:pStyle w:val="TableText0"/>
              <w:ind w:left="16" w:right="117"/>
              <w:jc w:val="left"/>
              <w:rPr>
                <w:snapToGrid w:val="0"/>
                <w:color w:val="FFFFFF" w:themeColor="background1"/>
              </w:rPr>
            </w:pPr>
            <w:r w:rsidRPr="00DA3C6E">
              <w:rPr>
                <w:snapToGrid w:val="0"/>
              </w:rPr>
              <w:t xml:space="preserve">Low </w:t>
            </w:r>
          </w:p>
        </w:tc>
        <w:tc>
          <w:tcPr>
            <w:tcW w:w="823" w:type="pct"/>
            <w:shd w:val="clear" w:color="auto" w:fill="auto"/>
            <w:vAlign w:val="center"/>
          </w:tcPr>
          <w:p w14:paraId="1B531F48" w14:textId="77777777" w:rsidR="002D6035" w:rsidRPr="00DA3C6E" w:rsidRDefault="002D6035" w:rsidP="002D6035">
            <w:pPr>
              <w:pStyle w:val="TableText0"/>
              <w:ind w:left="111" w:right="117"/>
              <w:jc w:val="left"/>
              <w:rPr>
                <w:snapToGrid w:val="0"/>
                <w:color w:val="FFFFFF" w:themeColor="background1"/>
              </w:rPr>
            </w:pPr>
            <w:r w:rsidRPr="00DA3C6E">
              <w:rPr>
                <w:szCs w:val="20"/>
              </w:rPr>
              <w:t>NR</w:t>
            </w:r>
          </w:p>
        </w:tc>
        <w:tc>
          <w:tcPr>
            <w:tcW w:w="879" w:type="pct"/>
            <w:shd w:val="clear" w:color="auto" w:fill="auto"/>
            <w:vAlign w:val="center"/>
          </w:tcPr>
          <w:p w14:paraId="5EE3C666" w14:textId="77777777" w:rsidR="002D6035" w:rsidRPr="00DA3C6E" w:rsidRDefault="002D6035" w:rsidP="002D6035">
            <w:pPr>
              <w:pStyle w:val="TableText0"/>
              <w:ind w:left="77" w:right="117"/>
              <w:jc w:val="left"/>
              <w:rPr>
                <w:snapToGrid w:val="0"/>
                <w:color w:val="FFFFFF" w:themeColor="background1"/>
              </w:rPr>
            </w:pPr>
            <w:r w:rsidRPr="00DA3C6E">
              <w:rPr>
                <w:szCs w:val="20"/>
              </w:rPr>
              <w:t>NR</w:t>
            </w:r>
          </w:p>
        </w:tc>
        <w:tc>
          <w:tcPr>
            <w:tcW w:w="800" w:type="pct"/>
            <w:shd w:val="clear" w:color="auto" w:fill="auto"/>
            <w:vAlign w:val="center"/>
          </w:tcPr>
          <w:p w14:paraId="633F2E90" w14:textId="77777777" w:rsidR="002D6035" w:rsidRPr="00DA3C6E" w:rsidRDefault="002D6035" w:rsidP="002D6035">
            <w:pPr>
              <w:pStyle w:val="TableText0"/>
              <w:ind w:left="41" w:right="117"/>
              <w:jc w:val="left"/>
              <w:rPr>
                <w:snapToGrid w:val="0"/>
              </w:rPr>
            </w:pPr>
            <w:r w:rsidRPr="00DA3C6E">
              <w:rPr>
                <w:snapToGrid w:val="0"/>
              </w:rPr>
              <w:t>NR</w:t>
            </w:r>
          </w:p>
        </w:tc>
        <w:tc>
          <w:tcPr>
            <w:tcW w:w="862" w:type="pct"/>
            <w:shd w:val="clear" w:color="auto" w:fill="auto"/>
            <w:vAlign w:val="center"/>
          </w:tcPr>
          <w:p w14:paraId="09EA3FA7" w14:textId="77777777" w:rsidR="002D6035" w:rsidRPr="00DA3C6E" w:rsidRDefault="002D6035" w:rsidP="002D6035">
            <w:pPr>
              <w:pStyle w:val="TableText0"/>
              <w:ind w:right="117"/>
              <w:jc w:val="left"/>
              <w:rPr>
                <w:snapToGrid w:val="0"/>
              </w:rPr>
            </w:pPr>
            <w:r w:rsidRPr="00DA3C6E">
              <w:rPr>
                <w:snapToGrid w:val="0"/>
              </w:rPr>
              <w:t>NR</w:t>
            </w:r>
          </w:p>
        </w:tc>
      </w:tr>
      <w:tr w:rsidR="007C7E04" w:rsidRPr="00DA3C6E" w14:paraId="7088D8C1" w14:textId="77777777" w:rsidTr="0071543D">
        <w:tc>
          <w:tcPr>
            <w:tcW w:w="837" w:type="pct"/>
            <w:shd w:val="clear" w:color="auto" w:fill="auto"/>
            <w:vAlign w:val="center"/>
          </w:tcPr>
          <w:p w14:paraId="4E66885E" w14:textId="34F1FAA2" w:rsidR="002D6035" w:rsidRPr="00DA3C6E" w:rsidRDefault="002D6035" w:rsidP="00C04BCE">
            <w:pPr>
              <w:pStyle w:val="TableText0"/>
              <w:jc w:val="left"/>
              <w:rPr>
                <w:snapToGrid w:val="0"/>
              </w:rPr>
            </w:pPr>
            <w:r w:rsidRPr="00DA3C6E">
              <w:t>Federico et al. 2000</w:t>
            </w:r>
            <w:r w:rsidR="00BE7F1B">
              <w:t xml:space="preserve"> </w: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w:t>
            </w:r>
            <w:r w:rsidR="00DB568A" w:rsidRPr="00DA3C6E">
              <w:fldChar w:fldCharType="end"/>
            </w:r>
          </w:p>
        </w:tc>
        <w:tc>
          <w:tcPr>
            <w:tcW w:w="799" w:type="pct"/>
            <w:vAlign w:val="center"/>
          </w:tcPr>
          <w:p w14:paraId="4E8A62C7" w14:textId="77777777" w:rsidR="002D6035" w:rsidRPr="00DA3C6E" w:rsidRDefault="002D6035" w:rsidP="002D6035">
            <w:pPr>
              <w:pStyle w:val="TableText0"/>
              <w:ind w:left="16" w:right="117"/>
              <w:jc w:val="left"/>
              <w:rPr>
                <w:snapToGrid w:val="0"/>
                <w:color w:val="FFFFFF" w:themeColor="background1"/>
              </w:rPr>
            </w:pPr>
            <w:r w:rsidRPr="00DA3C6E">
              <w:rPr>
                <w:snapToGrid w:val="0"/>
              </w:rPr>
              <w:t>Low</w:t>
            </w:r>
          </w:p>
        </w:tc>
        <w:tc>
          <w:tcPr>
            <w:tcW w:w="823" w:type="pct"/>
            <w:shd w:val="clear" w:color="auto" w:fill="auto"/>
            <w:vAlign w:val="center"/>
          </w:tcPr>
          <w:p w14:paraId="2DFC43F6" w14:textId="77777777" w:rsidR="002D6035" w:rsidRPr="00DA3C6E" w:rsidRDefault="002D6035" w:rsidP="002D6035">
            <w:pPr>
              <w:pStyle w:val="TableText0"/>
              <w:ind w:left="111" w:right="117"/>
              <w:jc w:val="left"/>
              <w:rPr>
                <w:snapToGrid w:val="0"/>
                <w:color w:val="FFFFFF" w:themeColor="background1"/>
              </w:rPr>
            </w:pPr>
            <w:r w:rsidRPr="00DA3C6E">
              <w:rPr>
                <w:szCs w:val="20"/>
              </w:rPr>
              <w:t>- 6.7 (3.3)</w:t>
            </w:r>
          </w:p>
        </w:tc>
        <w:tc>
          <w:tcPr>
            <w:tcW w:w="879" w:type="pct"/>
            <w:shd w:val="clear" w:color="auto" w:fill="auto"/>
            <w:vAlign w:val="center"/>
          </w:tcPr>
          <w:p w14:paraId="41C7FBC6" w14:textId="77777777" w:rsidR="002D6035" w:rsidRPr="00DA3C6E" w:rsidRDefault="002D6035" w:rsidP="002D6035">
            <w:pPr>
              <w:pStyle w:val="TableText0"/>
              <w:ind w:left="77" w:right="117"/>
              <w:jc w:val="left"/>
              <w:rPr>
                <w:snapToGrid w:val="0"/>
                <w:color w:val="FFFFFF" w:themeColor="background1"/>
              </w:rPr>
            </w:pPr>
            <w:r w:rsidRPr="00DA3C6E">
              <w:rPr>
                <w:szCs w:val="20"/>
              </w:rPr>
              <w:t>2.1 (3)</w:t>
            </w:r>
          </w:p>
        </w:tc>
        <w:tc>
          <w:tcPr>
            <w:tcW w:w="800" w:type="pct"/>
            <w:shd w:val="clear" w:color="auto" w:fill="auto"/>
            <w:vAlign w:val="center"/>
          </w:tcPr>
          <w:p w14:paraId="3012B8BE" w14:textId="77777777" w:rsidR="002D6035" w:rsidRPr="00DA3C6E" w:rsidRDefault="002D6035" w:rsidP="002D6035">
            <w:pPr>
              <w:pStyle w:val="TableText0"/>
              <w:ind w:left="41" w:right="117"/>
              <w:jc w:val="left"/>
              <w:rPr>
                <w:snapToGrid w:val="0"/>
              </w:rPr>
            </w:pPr>
            <w:r w:rsidRPr="00DA3C6E">
              <w:rPr>
                <w:snapToGrid w:val="0"/>
              </w:rPr>
              <w:t>NE</w:t>
            </w:r>
          </w:p>
        </w:tc>
        <w:tc>
          <w:tcPr>
            <w:tcW w:w="862" w:type="pct"/>
            <w:shd w:val="clear" w:color="auto" w:fill="auto"/>
            <w:vAlign w:val="center"/>
          </w:tcPr>
          <w:p w14:paraId="59461462" w14:textId="77777777" w:rsidR="002D6035" w:rsidRPr="00DA3C6E" w:rsidRDefault="002D6035" w:rsidP="002D6035">
            <w:pPr>
              <w:pStyle w:val="TableText0"/>
              <w:ind w:right="117"/>
              <w:jc w:val="left"/>
              <w:rPr>
                <w:snapToGrid w:val="0"/>
              </w:rPr>
            </w:pPr>
            <w:r w:rsidRPr="00DA3C6E">
              <w:rPr>
                <w:snapToGrid w:val="0"/>
              </w:rPr>
              <w:t>NE</w:t>
            </w:r>
          </w:p>
        </w:tc>
      </w:tr>
      <w:tr w:rsidR="007C7E04" w:rsidRPr="00DA3C6E" w14:paraId="1AFA92DD" w14:textId="77777777" w:rsidTr="0071543D">
        <w:tc>
          <w:tcPr>
            <w:tcW w:w="837" w:type="pct"/>
            <w:shd w:val="clear" w:color="auto" w:fill="auto"/>
            <w:vAlign w:val="center"/>
          </w:tcPr>
          <w:p w14:paraId="4CF04632" w14:textId="5C71CBA2" w:rsidR="002D6035" w:rsidRPr="00DA3C6E" w:rsidRDefault="002D6035" w:rsidP="00C04BCE">
            <w:pPr>
              <w:pStyle w:val="TableText0"/>
              <w:jc w:val="left"/>
              <w:rPr>
                <w:snapToGrid w:val="0"/>
              </w:rPr>
            </w:pPr>
            <w:r w:rsidRPr="00DA3C6E">
              <w:t>Leger et al. 2001</w:t>
            </w:r>
            <w:r w:rsidR="00BE7F1B">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p>
        </w:tc>
        <w:tc>
          <w:tcPr>
            <w:tcW w:w="799" w:type="pct"/>
            <w:vAlign w:val="center"/>
          </w:tcPr>
          <w:p w14:paraId="38C1BD2A" w14:textId="77777777" w:rsidR="002D6035" w:rsidRPr="00DA3C6E" w:rsidRDefault="002D6035" w:rsidP="002D6035">
            <w:pPr>
              <w:pStyle w:val="TableText0"/>
              <w:ind w:left="16" w:right="117"/>
              <w:jc w:val="left"/>
              <w:rPr>
                <w:snapToGrid w:val="0"/>
                <w:color w:val="FFFFFF" w:themeColor="background1"/>
              </w:rPr>
            </w:pPr>
            <w:r w:rsidRPr="00DA3C6E">
              <w:rPr>
                <w:snapToGrid w:val="0"/>
              </w:rPr>
              <w:t>Low</w:t>
            </w:r>
          </w:p>
        </w:tc>
        <w:tc>
          <w:tcPr>
            <w:tcW w:w="823" w:type="pct"/>
            <w:shd w:val="clear" w:color="auto" w:fill="auto"/>
            <w:vAlign w:val="center"/>
          </w:tcPr>
          <w:p w14:paraId="7B82B54B" w14:textId="77777777" w:rsidR="002D6035" w:rsidRPr="00DA3C6E" w:rsidRDefault="002D6035" w:rsidP="002D6035">
            <w:pPr>
              <w:pStyle w:val="TableText0"/>
              <w:ind w:left="111" w:right="117"/>
              <w:jc w:val="left"/>
              <w:rPr>
                <w:snapToGrid w:val="0"/>
                <w:color w:val="FFFFFF" w:themeColor="background1"/>
                <w:vertAlign w:val="superscript"/>
              </w:rPr>
            </w:pPr>
            <w:r w:rsidRPr="00DA3C6E">
              <w:rPr>
                <w:szCs w:val="20"/>
              </w:rPr>
              <w:t>-7</w:t>
            </w:r>
            <w:r w:rsidRPr="00DA3C6E">
              <w:rPr>
                <w:szCs w:val="20"/>
                <w:vertAlign w:val="superscript"/>
              </w:rPr>
              <w:t>g</w:t>
            </w:r>
          </w:p>
        </w:tc>
        <w:tc>
          <w:tcPr>
            <w:tcW w:w="879" w:type="pct"/>
            <w:shd w:val="clear" w:color="auto" w:fill="auto"/>
            <w:vAlign w:val="center"/>
          </w:tcPr>
          <w:p w14:paraId="6071F18F" w14:textId="77777777" w:rsidR="002D6035" w:rsidRPr="00DA3C6E" w:rsidRDefault="002D6035" w:rsidP="002D6035">
            <w:pPr>
              <w:pStyle w:val="TableText0"/>
              <w:ind w:left="77" w:right="117"/>
              <w:jc w:val="left"/>
              <w:rPr>
                <w:snapToGrid w:val="0"/>
                <w:color w:val="FFFFFF" w:themeColor="background1"/>
                <w:vertAlign w:val="superscript"/>
              </w:rPr>
            </w:pPr>
            <w:r w:rsidRPr="00DA3C6E">
              <w:rPr>
                <w:szCs w:val="20"/>
              </w:rPr>
              <w:t>0</w:t>
            </w:r>
            <w:r w:rsidRPr="00DA3C6E">
              <w:rPr>
                <w:szCs w:val="20"/>
                <w:vertAlign w:val="superscript"/>
              </w:rPr>
              <w:t>g</w:t>
            </w:r>
          </w:p>
        </w:tc>
        <w:tc>
          <w:tcPr>
            <w:tcW w:w="800" w:type="pct"/>
            <w:shd w:val="clear" w:color="auto" w:fill="auto"/>
            <w:vAlign w:val="center"/>
          </w:tcPr>
          <w:p w14:paraId="0E4CE9C6" w14:textId="77777777" w:rsidR="002D6035" w:rsidRPr="00DA3C6E" w:rsidRDefault="002D6035" w:rsidP="002D6035">
            <w:pPr>
              <w:pStyle w:val="TableText0"/>
              <w:ind w:left="41" w:right="117"/>
              <w:jc w:val="left"/>
              <w:rPr>
                <w:snapToGrid w:val="0"/>
              </w:rPr>
            </w:pPr>
            <w:r w:rsidRPr="00DA3C6E">
              <w:rPr>
                <w:snapToGrid w:val="0"/>
              </w:rPr>
              <w:t>NE</w:t>
            </w:r>
          </w:p>
        </w:tc>
        <w:tc>
          <w:tcPr>
            <w:tcW w:w="862" w:type="pct"/>
            <w:shd w:val="clear" w:color="auto" w:fill="auto"/>
            <w:vAlign w:val="center"/>
          </w:tcPr>
          <w:p w14:paraId="37B0F6D8" w14:textId="77777777" w:rsidR="002D6035" w:rsidRPr="00DA3C6E" w:rsidRDefault="002D6035" w:rsidP="002D6035">
            <w:pPr>
              <w:pStyle w:val="TableText0"/>
              <w:ind w:right="117"/>
              <w:jc w:val="left"/>
              <w:rPr>
                <w:snapToGrid w:val="0"/>
              </w:rPr>
            </w:pPr>
            <w:r w:rsidRPr="00DA3C6E">
              <w:rPr>
                <w:snapToGrid w:val="0"/>
              </w:rPr>
              <w:t>NE</w:t>
            </w:r>
          </w:p>
        </w:tc>
      </w:tr>
      <w:tr w:rsidR="007C7E04" w:rsidRPr="00DA3C6E" w14:paraId="368FD06D" w14:textId="77777777" w:rsidTr="0071543D">
        <w:tc>
          <w:tcPr>
            <w:tcW w:w="837" w:type="pct"/>
            <w:shd w:val="clear" w:color="auto" w:fill="auto"/>
            <w:vAlign w:val="center"/>
          </w:tcPr>
          <w:p w14:paraId="19E0EC53" w14:textId="078FF263" w:rsidR="002D6035" w:rsidRPr="00DA3C6E" w:rsidRDefault="002D6035" w:rsidP="00C04BCE">
            <w:pPr>
              <w:pStyle w:val="TableText0"/>
              <w:jc w:val="left"/>
              <w:rPr>
                <w:snapToGrid w:val="0"/>
              </w:rPr>
            </w:pPr>
            <w:r w:rsidRPr="00DA3C6E">
              <w:t>Hahn et al. 2013</w:t>
            </w:r>
            <w:r w:rsidR="00BE7F1B">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p>
        </w:tc>
        <w:tc>
          <w:tcPr>
            <w:tcW w:w="799" w:type="pct"/>
            <w:vAlign w:val="center"/>
          </w:tcPr>
          <w:p w14:paraId="64D6DCEE" w14:textId="77777777" w:rsidR="002D6035" w:rsidRPr="00DA3C6E" w:rsidRDefault="002D6035" w:rsidP="002D6035">
            <w:pPr>
              <w:pStyle w:val="TableText0"/>
              <w:ind w:left="16" w:right="117"/>
              <w:jc w:val="left"/>
              <w:rPr>
                <w:snapToGrid w:val="0"/>
                <w:color w:val="FFFFFF" w:themeColor="background1"/>
              </w:rPr>
            </w:pPr>
            <w:r w:rsidRPr="00DA3C6E">
              <w:rPr>
                <w:snapToGrid w:val="0"/>
              </w:rPr>
              <w:t>Low</w:t>
            </w:r>
          </w:p>
        </w:tc>
        <w:tc>
          <w:tcPr>
            <w:tcW w:w="823" w:type="pct"/>
            <w:shd w:val="clear" w:color="auto" w:fill="auto"/>
            <w:vAlign w:val="center"/>
          </w:tcPr>
          <w:p w14:paraId="21E679D1" w14:textId="77777777" w:rsidR="002D6035" w:rsidRPr="00DA3C6E" w:rsidRDefault="002D6035" w:rsidP="002D6035">
            <w:pPr>
              <w:pStyle w:val="TableText0"/>
              <w:ind w:left="111" w:right="117"/>
              <w:jc w:val="left"/>
              <w:rPr>
                <w:snapToGrid w:val="0"/>
                <w:color w:val="FFFFFF" w:themeColor="background1"/>
              </w:rPr>
            </w:pPr>
            <w:r w:rsidRPr="00DA3C6E">
              <w:rPr>
                <w:szCs w:val="20"/>
              </w:rPr>
              <w:t>4.09 (0.95)</w:t>
            </w:r>
            <w:r w:rsidRPr="00DA3C6E">
              <w:rPr>
                <w:vertAlign w:val="superscript"/>
              </w:rPr>
              <w:t>h</w:t>
            </w:r>
          </w:p>
        </w:tc>
        <w:tc>
          <w:tcPr>
            <w:tcW w:w="879" w:type="pct"/>
            <w:shd w:val="clear" w:color="auto" w:fill="auto"/>
            <w:vAlign w:val="center"/>
          </w:tcPr>
          <w:p w14:paraId="21DC1B39" w14:textId="77777777" w:rsidR="002D6035" w:rsidRPr="00DA3C6E" w:rsidRDefault="002D6035" w:rsidP="002D6035">
            <w:pPr>
              <w:pStyle w:val="TableText0"/>
              <w:ind w:left="77" w:right="117"/>
              <w:jc w:val="left"/>
              <w:rPr>
                <w:snapToGrid w:val="0"/>
                <w:color w:val="FFFFFF" w:themeColor="background1"/>
              </w:rPr>
            </w:pPr>
            <w:r w:rsidRPr="00DA3C6E">
              <w:rPr>
                <w:szCs w:val="20"/>
              </w:rPr>
              <w:t>5.56 (0.84)</w:t>
            </w:r>
            <w:r w:rsidRPr="00DA3C6E">
              <w:rPr>
                <w:vertAlign w:val="superscript"/>
              </w:rPr>
              <w:t>h</w:t>
            </w:r>
          </w:p>
        </w:tc>
        <w:tc>
          <w:tcPr>
            <w:tcW w:w="800" w:type="pct"/>
            <w:shd w:val="clear" w:color="auto" w:fill="auto"/>
            <w:vAlign w:val="center"/>
          </w:tcPr>
          <w:p w14:paraId="140D1A73" w14:textId="77777777" w:rsidR="002D6035" w:rsidRPr="00DA3C6E" w:rsidRDefault="002D6035" w:rsidP="002D6035">
            <w:pPr>
              <w:pStyle w:val="TableText0"/>
              <w:ind w:left="41" w:right="117"/>
              <w:jc w:val="left"/>
              <w:rPr>
                <w:snapToGrid w:val="0"/>
              </w:rPr>
            </w:pPr>
            <w:r w:rsidRPr="00DA3C6E">
              <w:rPr>
                <w:snapToGrid w:val="0"/>
              </w:rPr>
              <w:t>NE</w:t>
            </w:r>
          </w:p>
        </w:tc>
        <w:tc>
          <w:tcPr>
            <w:tcW w:w="862" w:type="pct"/>
            <w:shd w:val="clear" w:color="auto" w:fill="auto"/>
            <w:vAlign w:val="center"/>
          </w:tcPr>
          <w:p w14:paraId="55BC5EDB" w14:textId="77777777" w:rsidR="002D6035" w:rsidRPr="00DA3C6E" w:rsidRDefault="002D6035" w:rsidP="002D6035">
            <w:pPr>
              <w:pStyle w:val="TableText0"/>
              <w:ind w:right="117"/>
              <w:jc w:val="left"/>
              <w:rPr>
                <w:snapToGrid w:val="0"/>
              </w:rPr>
            </w:pPr>
            <w:r w:rsidRPr="00DA3C6E">
              <w:rPr>
                <w:snapToGrid w:val="0"/>
              </w:rPr>
              <w:t>NE</w:t>
            </w:r>
          </w:p>
        </w:tc>
      </w:tr>
      <w:tr w:rsidR="007C7E04" w:rsidRPr="00DA3C6E" w14:paraId="6021C6DD" w14:textId="77777777" w:rsidTr="0071543D">
        <w:tc>
          <w:tcPr>
            <w:tcW w:w="837" w:type="pct"/>
            <w:shd w:val="clear" w:color="auto" w:fill="auto"/>
            <w:vAlign w:val="center"/>
          </w:tcPr>
          <w:p w14:paraId="463BA968" w14:textId="77777777" w:rsidR="002D6035" w:rsidRPr="00DA3C6E" w:rsidRDefault="002D6035" w:rsidP="002D6035">
            <w:pPr>
              <w:pStyle w:val="TableText0"/>
              <w:jc w:val="left"/>
            </w:pPr>
          </w:p>
        </w:tc>
        <w:tc>
          <w:tcPr>
            <w:tcW w:w="799" w:type="pct"/>
            <w:vAlign w:val="center"/>
          </w:tcPr>
          <w:p w14:paraId="79DEE361" w14:textId="77777777" w:rsidR="002D6035" w:rsidRPr="00DA3C6E" w:rsidRDefault="002D6035" w:rsidP="002D6035">
            <w:pPr>
              <w:pStyle w:val="TableText0"/>
              <w:ind w:left="16" w:right="117"/>
              <w:jc w:val="left"/>
              <w:rPr>
                <w:snapToGrid w:val="0"/>
              </w:rPr>
            </w:pPr>
          </w:p>
        </w:tc>
        <w:tc>
          <w:tcPr>
            <w:tcW w:w="823" w:type="pct"/>
            <w:shd w:val="clear" w:color="auto" w:fill="auto"/>
            <w:vAlign w:val="center"/>
          </w:tcPr>
          <w:p w14:paraId="76C5EFF4" w14:textId="77777777" w:rsidR="002D6035" w:rsidRPr="00DA3C6E" w:rsidRDefault="002D6035" w:rsidP="002D6035">
            <w:pPr>
              <w:pStyle w:val="TableText0"/>
              <w:ind w:left="111" w:right="117"/>
              <w:jc w:val="left"/>
              <w:rPr>
                <w:snapToGrid w:val="0"/>
                <w:color w:val="FFFFFF" w:themeColor="background1"/>
              </w:rPr>
            </w:pPr>
            <w:r w:rsidRPr="00DA3C6E">
              <w:rPr>
                <w:szCs w:val="20"/>
              </w:rPr>
              <w:t>73.33 (94.60)</w:t>
            </w:r>
            <w:r w:rsidRPr="00DA3C6E">
              <w:rPr>
                <w:szCs w:val="20"/>
                <w:vertAlign w:val="superscript"/>
              </w:rPr>
              <w:t>i</w:t>
            </w:r>
          </w:p>
        </w:tc>
        <w:tc>
          <w:tcPr>
            <w:tcW w:w="879" w:type="pct"/>
            <w:shd w:val="clear" w:color="auto" w:fill="auto"/>
            <w:vAlign w:val="center"/>
          </w:tcPr>
          <w:p w14:paraId="22935D40" w14:textId="77777777" w:rsidR="002D6035" w:rsidRPr="00DA3C6E" w:rsidRDefault="002D6035" w:rsidP="002D6035">
            <w:pPr>
              <w:pStyle w:val="TableText0"/>
              <w:ind w:left="77" w:right="117"/>
              <w:jc w:val="left"/>
              <w:rPr>
                <w:snapToGrid w:val="0"/>
                <w:color w:val="FFFFFF" w:themeColor="background1"/>
              </w:rPr>
            </w:pPr>
            <w:r w:rsidRPr="00DA3C6E">
              <w:rPr>
                <w:szCs w:val="20"/>
              </w:rPr>
              <w:t>289.93 (96.99)</w:t>
            </w:r>
            <w:r w:rsidRPr="00DA3C6E">
              <w:rPr>
                <w:szCs w:val="20"/>
                <w:vertAlign w:val="superscript"/>
              </w:rPr>
              <w:t>i</w:t>
            </w:r>
          </w:p>
        </w:tc>
        <w:tc>
          <w:tcPr>
            <w:tcW w:w="800" w:type="pct"/>
            <w:shd w:val="clear" w:color="auto" w:fill="auto"/>
            <w:vAlign w:val="center"/>
          </w:tcPr>
          <w:p w14:paraId="0A6D329A" w14:textId="77777777" w:rsidR="002D6035" w:rsidRPr="00DA3C6E" w:rsidRDefault="002D6035" w:rsidP="002D6035">
            <w:pPr>
              <w:pStyle w:val="TableText0"/>
              <w:ind w:left="41" w:right="117"/>
              <w:jc w:val="left"/>
              <w:rPr>
                <w:snapToGrid w:val="0"/>
              </w:rPr>
            </w:pPr>
            <w:r w:rsidRPr="00DA3C6E">
              <w:rPr>
                <w:snapToGrid w:val="0"/>
              </w:rPr>
              <w:t>NE</w:t>
            </w:r>
          </w:p>
        </w:tc>
        <w:tc>
          <w:tcPr>
            <w:tcW w:w="862" w:type="pct"/>
            <w:shd w:val="clear" w:color="auto" w:fill="auto"/>
            <w:vAlign w:val="center"/>
          </w:tcPr>
          <w:p w14:paraId="1A3AE2F6" w14:textId="77777777" w:rsidR="002D6035" w:rsidRPr="00DA3C6E" w:rsidRDefault="002D6035" w:rsidP="002D6035">
            <w:pPr>
              <w:pStyle w:val="TableText0"/>
              <w:ind w:right="117"/>
              <w:jc w:val="left"/>
              <w:rPr>
                <w:snapToGrid w:val="0"/>
              </w:rPr>
            </w:pPr>
            <w:r w:rsidRPr="00DA3C6E">
              <w:rPr>
                <w:snapToGrid w:val="0"/>
              </w:rPr>
              <w:t>NE</w:t>
            </w:r>
          </w:p>
        </w:tc>
      </w:tr>
      <w:tr w:rsidR="002D6035" w:rsidRPr="00DA3C6E" w14:paraId="45D37DA7" w14:textId="77777777" w:rsidTr="001207B3">
        <w:tc>
          <w:tcPr>
            <w:tcW w:w="837" w:type="pct"/>
            <w:shd w:val="clear" w:color="auto" w:fill="auto"/>
            <w:vAlign w:val="center"/>
          </w:tcPr>
          <w:p w14:paraId="0AD701C7" w14:textId="77777777" w:rsidR="002D6035" w:rsidRPr="00DA3C6E" w:rsidRDefault="002D6035" w:rsidP="002D6035">
            <w:pPr>
              <w:pStyle w:val="TableText0"/>
              <w:jc w:val="left"/>
              <w:rPr>
                <w:snapToGrid w:val="0"/>
              </w:rPr>
            </w:pPr>
            <w:r w:rsidRPr="00DA3C6E">
              <w:rPr>
                <w:snapToGrid w:val="0"/>
              </w:rPr>
              <w:t>Pooled result</w:t>
            </w:r>
          </w:p>
        </w:tc>
        <w:tc>
          <w:tcPr>
            <w:tcW w:w="4163" w:type="pct"/>
            <w:gridSpan w:val="5"/>
            <w:vAlign w:val="center"/>
          </w:tcPr>
          <w:p w14:paraId="756BDB93" w14:textId="77777777" w:rsidR="002D6035" w:rsidRPr="00DA3C6E" w:rsidRDefault="001207B3" w:rsidP="001207B3">
            <w:pPr>
              <w:pStyle w:val="TableText0"/>
              <w:ind w:right="117"/>
              <w:jc w:val="center"/>
              <w:rPr>
                <w:i/>
                <w:snapToGrid w:val="0"/>
              </w:rPr>
            </w:pPr>
            <w:r w:rsidRPr="00DA3C6E">
              <w:rPr>
                <w:i/>
                <w:snapToGrid w:val="0"/>
              </w:rPr>
              <w:t>RR = -5.04 (95% CI -12.22, 2.14; p value = 0.17)</w:t>
            </w:r>
          </w:p>
        </w:tc>
      </w:tr>
    </w:tbl>
    <w:p w14:paraId="5D885532" w14:textId="77777777" w:rsidR="002D6035" w:rsidRPr="00DA3C6E" w:rsidRDefault="002D6035" w:rsidP="00740643">
      <w:pPr>
        <w:widowControl w:val="0"/>
        <w:spacing w:after="0" w:line="240" w:lineRule="auto"/>
        <w:rPr>
          <w:rFonts w:ascii="Arial Narrow" w:hAnsi="Arial Narrow" w:cs="Arial"/>
          <w:snapToGrid w:val="0"/>
          <w:sz w:val="18"/>
          <w:szCs w:val="20"/>
          <w:lang w:eastAsia="en-US"/>
        </w:rPr>
      </w:pPr>
      <w:r w:rsidRPr="00DA3C6E">
        <w:rPr>
          <w:rFonts w:ascii="Arial Narrow" w:hAnsi="Arial Narrow" w:cs="Arial"/>
          <w:snapToGrid w:val="0"/>
          <w:sz w:val="18"/>
          <w:szCs w:val="20"/>
          <w:lang w:eastAsia="en-US"/>
        </w:rPr>
        <w:t xml:space="preserve">Abbreviations: CI = confidence interval; NE = not estimable; NR = not reported; </w:t>
      </w:r>
      <w:r w:rsidR="00313180" w:rsidRPr="00DA3C6E">
        <w:rPr>
          <w:rFonts w:ascii="Arial Narrow" w:hAnsi="Arial Narrow" w:cs="Arial"/>
          <w:snapToGrid w:val="0"/>
          <w:sz w:val="18"/>
          <w:szCs w:val="20"/>
          <w:lang w:eastAsia="en-US"/>
        </w:rPr>
        <w:t xml:space="preserve">RR = risk ratio; </w:t>
      </w:r>
      <w:r w:rsidRPr="00DA3C6E">
        <w:rPr>
          <w:rFonts w:ascii="Arial Narrow" w:hAnsi="Arial Narrow" w:cs="Arial"/>
          <w:snapToGrid w:val="0"/>
          <w:sz w:val="18"/>
          <w:szCs w:val="20"/>
          <w:lang w:eastAsia="en-US"/>
        </w:rPr>
        <w:t>SD = standard deviation; SEM = standard error of mean</w:t>
      </w:r>
      <w:r w:rsidR="00EF2D51" w:rsidRPr="00DA3C6E">
        <w:rPr>
          <w:rFonts w:ascii="Arial Narrow" w:hAnsi="Arial Narrow" w:cs="Arial"/>
          <w:snapToGrid w:val="0"/>
          <w:sz w:val="18"/>
          <w:szCs w:val="20"/>
          <w:lang w:eastAsia="en-US"/>
        </w:rPr>
        <w:t>.</w:t>
      </w:r>
    </w:p>
    <w:p w14:paraId="52393DB9"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cs="Arial"/>
          <w:snapToGrid w:val="0"/>
          <w:sz w:val="18"/>
          <w:szCs w:val="20"/>
          <w:lang w:eastAsia="en-US"/>
        </w:rPr>
        <w:lastRenderedPageBreak/>
        <w:t>Notes: Relative risk</w:t>
      </w:r>
      <w:r w:rsidR="00313180" w:rsidRPr="00DA3C6E">
        <w:rPr>
          <w:rFonts w:ascii="Arial Narrow" w:hAnsi="Arial Narrow" w:cs="Arial"/>
          <w:snapToGrid w:val="0"/>
          <w:sz w:val="18"/>
          <w:szCs w:val="20"/>
          <w:lang w:eastAsia="en-US"/>
        </w:rPr>
        <w:t xml:space="preserve">, </w:t>
      </w:r>
      <w:r w:rsidRPr="00DA3C6E">
        <w:rPr>
          <w:rFonts w:ascii="Arial Narrow" w:hAnsi="Arial Narrow" w:cs="Arial"/>
          <w:snapToGrid w:val="0"/>
          <w:sz w:val="18"/>
          <w:szCs w:val="20"/>
          <w:lang w:eastAsia="en-US"/>
        </w:rPr>
        <w:t xml:space="preserve">risk difference </w:t>
      </w:r>
      <w:r w:rsidR="00313180" w:rsidRPr="00DA3C6E">
        <w:rPr>
          <w:rFonts w:ascii="Arial Narrow" w:hAnsi="Arial Narrow" w:cs="Arial"/>
          <w:snapToGrid w:val="0"/>
          <w:sz w:val="18"/>
          <w:szCs w:val="20"/>
          <w:lang w:eastAsia="en-US"/>
        </w:rPr>
        <w:t xml:space="preserve">and pooled risk ratios </w:t>
      </w:r>
      <w:r w:rsidRPr="00DA3C6E">
        <w:rPr>
          <w:rFonts w:ascii="Arial Narrow" w:hAnsi="Arial Narrow" w:cs="Arial"/>
          <w:snapToGrid w:val="0"/>
          <w:sz w:val="18"/>
          <w:szCs w:val="20"/>
          <w:lang w:eastAsia="en-US"/>
        </w:rPr>
        <w:t>were calculated during the evaluation (italics); bold text indicates statistically significant differences.</w:t>
      </w:r>
      <w:r w:rsidRPr="00DA3C6E">
        <w:rPr>
          <w:rFonts w:ascii="Arial Narrow" w:hAnsi="Arial Narrow"/>
          <w:sz w:val="18"/>
          <w:szCs w:val="20"/>
        </w:rPr>
        <w:t xml:space="preserve"> </w:t>
      </w:r>
    </w:p>
    <w:p w14:paraId="7901C4E2"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a = all patients in the trial. One patient in the Intravenous Ig treatment at was lost to follow-up before the evaluation period. This patient was treatment naïve;</w:t>
      </w:r>
    </w:p>
    <w:p w14:paraId="53EB1AC5"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b = treatment naïve patients; </w:t>
      </w:r>
    </w:p>
    <w:p w14:paraId="7D6EDD64"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c = pre-treatment patients; </w:t>
      </w:r>
    </w:p>
    <w:p w14:paraId="21303FC3"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d = represent the number of patients who remained stable or improved; </w:t>
      </w:r>
    </w:p>
    <w:p w14:paraId="530AEE2F"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e = using GNDS disability scale; </w:t>
      </w:r>
    </w:p>
    <w:p w14:paraId="656072D0"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f = using ODSS disability scale; </w:t>
      </w:r>
    </w:p>
    <w:p w14:paraId="40218B6D"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rPr>
        <w:t xml:space="preserve">g = self-evaluation score reported for five motor activities of daily living. This was assumed to be synonymous to/represent a disability score. The estimate reported is a change (in median) in score between baseline and 4 months; </w:t>
      </w:r>
    </w:p>
    <w:p w14:paraId="61EEA3B8" w14:textId="77777777" w:rsidR="002D6035" w:rsidRPr="00DA3C6E" w:rsidRDefault="002D6035" w:rsidP="00F109F6">
      <w:pPr>
        <w:spacing w:line="240" w:lineRule="auto"/>
        <w:rPr>
          <w:rFonts w:ascii="Arial Narrow" w:hAnsi="Arial Narrow"/>
          <w:sz w:val="18"/>
          <w:szCs w:val="20"/>
        </w:rPr>
      </w:pPr>
      <w:r w:rsidRPr="00DA3C6E">
        <w:rPr>
          <w:rFonts w:ascii="Arial Narrow" w:hAnsi="Arial Narrow"/>
          <w:sz w:val="18"/>
          <w:szCs w:val="20"/>
        </w:rPr>
        <w:t xml:space="preserve">h = Mean estimate for patient global impression of change scores that represent perceived deterioration since the last efficacy assessment; i = score on visual analogue scale: higher scores represent more severe disability. </w:t>
      </w:r>
    </w:p>
    <w:p w14:paraId="1B0BC2DB" w14:textId="77777777" w:rsidR="002D6035" w:rsidRPr="00DA3C6E" w:rsidRDefault="002D6035" w:rsidP="00740643">
      <w:pPr>
        <w:rPr>
          <w:b/>
        </w:rPr>
      </w:pPr>
      <w:r w:rsidRPr="00DA3C6E">
        <w:rPr>
          <w:b/>
        </w:rPr>
        <w:t>Results from the meta-analysis</w:t>
      </w:r>
    </w:p>
    <w:p w14:paraId="2D3F0C73" w14:textId="76FBFB48" w:rsidR="002D6035" w:rsidRPr="00DA3C6E" w:rsidRDefault="002D6035" w:rsidP="00EF2D51">
      <w:r w:rsidRPr="00DA3C6E">
        <w:t>Results from the meta-analyses of the RCTs are presented as forest plots for improvement in disability and mean change in disability (</w:t>
      </w:r>
      <w:r w:rsidRPr="00DA3C6E">
        <w:fldChar w:fldCharType="begin"/>
      </w:r>
      <w:r w:rsidRPr="00DA3C6E">
        <w:instrText xml:space="preserve"> REF _Ref25761810 \h </w:instrText>
      </w:r>
      <w:r w:rsidR="00EF2D51" w:rsidRPr="00DA3C6E">
        <w:instrText xml:space="preserve"> \* MERGEFORMAT </w:instrText>
      </w:r>
      <w:r w:rsidRPr="00DA3C6E">
        <w:fldChar w:fldCharType="separate"/>
      </w:r>
      <w:r w:rsidR="00EA5DC1" w:rsidRPr="00DA3C6E">
        <w:t xml:space="preserve">Figure </w:t>
      </w:r>
      <w:r w:rsidR="00EA5DC1">
        <w:rPr>
          <w:noProof/>
        </w:rPr>
        <w:t>8</w:t>
      </w:r>
      <w:r w:rsidRPr="00DA3C6E">
        <w:fldChar w:fldCharType="end"/>
      </w:r>
      <w:r w:rsidRPr="00DA3C6E">
        <w:t xml:space="preserve"> and </w:t>
      </w:r>
      <w:r w:rsidRPr="00DA3C6E">
        <w:fldChar w:fldCharType="begin"/>
      </w:r>
      <w:r w:rsidRPr="00DA3C6E">
        <w:instrText xml:space="preserve"> REF _Ref25920112 \h </w:instrText>
      </w:r>
      <w:r w:rsidR="00EF2D51" w:rsidRPr="00DA3C6E">
        <w:instrText xml:space="preserve"> \* MERGEFORMAT </w:instrText>
      </w:r>
      <w:r w:rsidRPr="00DA3C6E">
        <w:fldChar w:fldCharType="separate"/>
      </w:r>
      <w:r w:rsidR="00EA5DC1" w:rsidRPr="00DA3C6E">
        <w:t xml:space="preserve">Figure </w:t>
      </w:r>
      <w:r w:rsidR="00EA5DC1">
        <w:rPr>
          <w:noProof/>
        </w:rPr>
        <w:t>9</w:t>
      </w:r>
      <w:r w:rsidRPr="00DA3C6E">
        <w:fldChar w:fldCharType="end"/>
      </w:r>
      <w:r w:rsidRPr="00DA3C6E">
        <w:t xml:space="preserve">). </w:t>
      </w:r>
      <w:r w:rsidR="009666E8" w:rsidRPr="00DA3C6E">
        <w:t xml:space="preserve">Previous systematic literature reviews on the </w:t>
      </w:r>
      <w:r w:rsidR="00B34F0C" w:rsidRPr="00DA3C6E">
        <w:t>use of intravenous Ig for the treatment of MMN</w:t>
      </w:r>
      <w:r w:rsidR="009666E8" w:rsidRPr="00DA3C6E">
        <w:t xml:space="preserve"> </w:t>
      </w:r>
      <w:r w:rsidR="00E77C31" w:rsidRPr="00DA3C6E">
        <w:t xml:space="preserve">considered reasonable to pool results from all available RCTs at the time of the analysis </w:t>
      </w:r>
      <w:r w:rsidR="00DB568A" w:rsidRPr="00DA3C6E">
        <w:fldChar w:fldCharType="begin"/>
      </w:r>
      <w:r w:rsidR="00DB568A" w:rsidRPr="00DA3C6E">
        <w:instrText xml:space="preserve"> ADDIN EN.CITE &lt;EndNote&gt;&lt;Cite&gt;&lt;Author&gt;Umapathi&lt;/Author&gt;&lt;Year&gt;2015&lt;/Year&gt;&lt;RecNum&gt;63&lt;/RecNum&gt;&lt;DisplayText&gt;(1)&lt;/DisplayText&gt;&lt;record&gt;&lt;rec-number&gt;63&lt;/rec-number&gt;&lt;foreign-keys&gt;&lt;key app="EN" db-id="0992p2ztn5fez9e2wvnpw2xstd20f9w2dezz" timestamp="1586818281"&gt;63&lt;/key&gt;&lt;/foreign-keys&gt;&lt;ref-type name="Journal Article"&gt;17&lt;/ref-type&gt;&lt;contributors&gt;&lt;authors&gt;&lt;author&gt;Umapathi, T.&lt;/author&gt;&lt;author&gt;Hughes, R. A.&lt;/author&gt;&lt;author&gt;Nobile-Orazio, E.&lt;/author&gt;&lt;author&gt;Leger, J. M.&lt;/author&gt;&lt;/authors&gt;&lt;/contributors&gt;&lt;auth-address&gt;Department of Neurology, National Neuroscience Institute, 11 Jalan Tan, Tock Seng, Singapore, Singapore, 308433.&lt;/auth-address&gt;&lt;titles&gt;&lt;title&gt;Immunosuppressant and immunomodulatory treatments for multifocal motor neuropathy&lt;/title&gt;&lt;secondary-title&gt;Cochrane Database Syst Rev&lt;/secondary-title&gt;&lt;/titles&gt;&lt;periodical&gt;&lt;full-title&gt;Cochrane Database Syst Rev&lt;/full-title&gt;&lt;/periodical&gt;&lt;pages&gt;CD003217&lt;/pages&gt;&lt;number&gt;3&lt;/number&gt;&lt;keywords&gt;&lt;keyword&gt;Drug Therapy, Combination&lt;/keyword&gt;&lt;keyword&gt;Humans&lt;/keyword&gt;&lt;keyword&gt;Immunoglobulins, Intravenous/ therapeutic use&lt;/keyword&gt;&lt;keyword&gt;Immunologic Factors/ therapeutic use&lt;/keyword&gt;&lt;keyword&gt;Immunosuppressive Agents/ therapeutic use&lt;/keyword&gt;&lt;keyword&gt;Motor Neuron Disease/ drug therapy&lt;/keyword&gt;&lt;keyword&gt;Muscle Strength/drug effects&lt;/keyword&gt;&lt;keyword&gt;Mycophenolic Acid/ analogs &amp;amp; derivatives/therapeutic use&lt;/keyword&gt;&lt;keyword&gt;Polyneuropathies/ drug therapy&lt;/keyword&gt;&lt;keyword&gt;Randomized Controlled Trials as Topic&lt;/keyword&gt;&lt;/keywords&gt;&lt;dates&gt;&lt;year&gt;2015&lt;/year&gt;&lt;pub-dates&gt;&lt;date&gt;Mar 4&lt;/date&gt;&lt;/pub-dates&gt;&lt;/dates&gt;&lt;accession-num&gt;25739040&lt;/accession-num&gt;&lt;urls&gt;&lt;/urls&gt;&lt;research-notes&gt;h. SLR&lt;/research-notes&gt;&lt;/record&gt;&lt;/Cite&gt;&lt;/EndNote&gt;</w:instrText>
      </w:r>
      <w:r w:rsidR="00DB568A" w:rsidRPr="00DA3C6E">
        <w:fldChar w:fldCharType="separate"/>
      </w:r>
      <w:r w:rsidR="00DB568A" w:rsidRPr="00DA3C6E">
        <w:rPr>
          <w:noProof/>
        </w:rPr>
        <w:t>(</w:t>
      </w:r>
      <w:hyperlink w:anchor="_ENREF_1" w:tooltip="Umapathi, 2015 #63" w:history="1">
        <w:r w:rsidR="00C04BCE" w:rsidRPr="00DA3C6E">
          <w:rPr>
            <w:noProof/>
          </w:rPr>
          <w:t>1</w:t>
        </w:r>
      </w:hyperlink>
      <w:r w:rsidR="00DB568A" w:rsidRPr="00DA3C6E">
        <w:rPr>
          <w:noProof/>
        </w:rPr>
        <w:t>)</w:t>
      </w:r>
      <w:r w:rsidR="00DB568A" w:rsidRPr="00DA3C6E">
        <w:fldChar w:fldCharType="end"/>
      </w:r>
      <w:r w:rsidRPr="00DA3C6E">
        <w:t xml:space="preserve">, </w:t>
      </w:r>
      <w:r w:rsidR="00E77C31" w:rsidRPr="00DA3C6E">
        <w:t xml:space="preserve">which included the study by </w:t>
      </w:r>
      <w:r w:rsidRPr="00DA3C6E">
        <w:t>Azulay et al</w:t>
      </w:r>
      <w:r w:rsidR="00EF2D51" w:rsidRPr="00DA3C6E">
        <w:t>.</w:t>
      </w:r>
      <w:r w:rsidRPr="00DA3C6E">
        <w:t xml:space="preserve"> 1994</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00E77C31" w:rsidRPr="00DA3C6E">
        <w:t xml:space="preserve">. Based on the arguments provided above, but mainly because the diagnosis criteria </w:t>
      </w:r>
      <w:r w:rsidR="009E24E8" w:rsidRPr="00DA3C6E">
        <w:t xml:space="preserve">are </w:t>
      </w:r>
      <w:r w:rsidR="00E77C31" w:rsidRPr="00DA3C6E">
        <w:t xml:space="preserve">not reflective of current practice, this study </w:t>
      </w:r>
      <w:r w:rsidRPr="00DA3C6E">
        <w:t>was excluded from the meta-analysis</w:t>
      </w:r>
      <w:r w:rsidR="008A5F97" w:rsidRPr="00DA3C6E">
        <w:t xml:space="preserve">. </w:t>
      </w:r>
      <w:r w:rsidRPr="00DA3C6E">
        <w:t xml:space="preserve"> </w:t>
      </w:r>
    </w:p>
    <w:p w14:paraId="66CD56CA" w14:textId="0BB50E61" w:rsidR="002D6035" w:rsidRPr="00DA3C6E" w:rsidRDefault="008A5F97" w:rsidP="0073359F">
      <w:pPr>
        <w:pStyle w:val="ListParagraph"/>
        <w:numPr>
          <w:ilvl w:val="0"/>
          <w:numId w:val="36"/>
        </w:numPr>
      </w:pPr>
      <w:r w:rsidRPr="00DA3C6E">
        <w:t>T</w:t>
      </w:r>
      <w:r w:rsidR="002D6035" w:rsidRPr="00DA3C6E">
        <w:t xml:space="preserve">he pooled treatment effect </w:t>
      </w:r>
      <w:r w:rsidRPr="00DA3C6E">
        <w:t xml:space="preserve">for the outcome improvement in disability was </w:t>
      </w:r>
      <w:r w:rsidR="002D6035" w:rsidRPr="00DA3C6E">
        <w:t>1.</w:t>
      </w:r>
      <w:r w:rsidRPr="00DA3C6E">
        <w:t>81</w:t>
      </w:r>
      <w:r w:rsidR="002D6035" w:rsidRPr="00DA3C6E">
        <w:t xml:space="preserve"> (95% CI </w:t>
      </w:r>
      <w:r w:rsidRPr="00DA3C6E">
        <w:t>0.74</w:t>
      </w:r>
      <w:r w:rsidR="002D6035" w:rsidRPr="00DA3C6E">
        <w:t xml:space="preserve">, </w:t>
      </w:r>
      <w:r w:rsidRPr="00DA3C6E">
        <w:t>4.45</w:t>
      </w:r>
      <w:r w:rsidR="002D6035" w:rsidRPr="00DA3C6E">
        <w:t>)</w:t>
      </w:r>
      <w:r w:rsidR="001B3D6A" w:rsidRPr="00DA3C6E">
        <w:t xml:space="preserve">, however </w:t>
      </w:r>
      <w:r w:rsidR="009E24E8" w:rsidRPr="00DA3C6E">
        <w:t xml:space="preserve">it </w:t>
      </w:r>
      <w:r w:rsidR="001B3D6A" w:rsidRPr="00DA3C6E">
        <w:t>did not show</w:t>
      </w:r>
      <w:r w:rsidRPr="00DA3C6E">
        <w:t xml:space="preserve"> </w:t>
      </w:r>
      <w:r w:rsidR="001B3D6A" w:rsidRPr="00DA3C6E">
        <w:t xml:space="preserve">a </w:t>
      </w:r>
      <w:r w:rsidRPr="00DA3C6E">
        <w:t>statistical difference</w:t>
      </w:r>
      <w:r w:rsidR="002D6035" w:rsidRPr="00DA3C6E">
        <w:t xml:space="preserve"> (p=0.</w:t>
      </w:r>
      <w:r w:rsidRPr="00DA3C6E">
        <w:t>19</w:t>
      </w:r>
      <w:r w:rsidR="002D6035" w:rsidRPr="00DA3C6E">
        <w:t>).</w:t>
      </w:r>
    </w:p>
    <w:p w14:paraId="6E877A5E" w14:textId="5F4BE2DA" w:rsidR="002D6035" w:rsidRPr="00DA3C6E" w:rsidRDefault="002D6035" w:rsidP="0073359F">
      <w:pPr>
        <w:pStyle w:val="ListParagraph"/>
        <w:numPr>
          <w:ilvl w:val="0"/>
          <w:numId w:val="36"/>
        </w:numPr>
      </w:pPr>
      <w:r w:rsidRPr="00DA3C6E">
        <w:t xml:space="preserve">The I² statistic </w:t>
      </w:r>
      <w:r w:rsidR="00426648" w:rsidRPr="00DA3C6E">
        <w:t xml:space="preserve">for the improvement in disability outcome represents moderate heterogeneity </w:t>
      </w:r>
      <w:r w:rsidR="00DB568A" w:rsidRPr="00DA3C6E">
        <w:fldChar w:fldCharType="begin"/>
      </w:r>
      <w:r w:rsidR="00DB568A" w:rsidRPr="00DA3C6E">
        <w:instrText xml:space="preserve"> ADDIN EN.CITE &lt;EndNote&gt;&lt;Cite&gt;&lt;Author&gt;Higgins&lt;/Author&gt;&lt;Year&gt;2003&lt;/Year&gt;&lt;RecNum&gt;29&lt;/RecNum&gt;&lt;DisplayText&gt;(45)&lt;/DisplayText&gt;&lt;record&gt;&lt;rec-number&gt;29&lt;/rec-number&gt;&lt;foreign-keys&gt;&lt;key app="EN" db-id="0992p2ztn5fez9e2wvnpw2xstd20f9w2dezz" timestamp="1586818281"&gt;29&lt;/key&gt;&lt;/foreign-keys&gt;&lt;ref-type name="Journal Article"&gt;17&lt;/ref-type&gt;&lt;contributors&gt;&lt;authors&gt;&lt;author&gt;Higgins, Julian P. T.&lt;/author&gt;&lt;author&gt;Thompson, Simon G.&lt;/author&gt;&lt;author&gt;Deeks, Jonathan J.&lt;/author&gt;&lt;author&gt;Altman, Douglas G.&lt;/author&gt;&lt;/authors&gt;&lt;/contributors&gt;&lt;titles&gt;&lt;title&gt;Measuring inconsistency in meta-analyses&lt;/title&gt;&lt;secondary-title&gt;BMJ (Clinical research ed.)&lt;/secondary-title&gt;&lt;alt-title&gt;BMJ&lt;/alt-title&gt;&lt;/titles&gt;&lt;periodical&gt;&lt;full-title&gt;BMJ (Clinical research ed.)&lt;/full-title&gt;&lt;abbr-1&gt;BMJ&lt;/abbr-1&gt;&lt;/periodical&gt;&lt;alt-periodical&gt;&lt;full-title&gt;BMJ (Clinical research ed.)&lt;/full-title&gt;&lt;abbr-1&gt;BMJ&lt;/abbr-1&gt;&lt;/alt-periodical&gt;&lt;pages&gt;557-560&lt;/pages&gt;&lt;volume&gt;327&lt;/volume&gt;&lt;number&gt;7414&lt;/number&gt;&lt;keywords&gt;&lt;keyword&gt;Data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Specificity&lt;/keyword&gt;&lt;/keywords&gt;&lt;dates&gt;&lt;year&gt;2003&lt;/year&gt;&lt;/dates&gt;&lt;publisher&gt;BMJ Publishing Group Ltd.&lt;/publisher&gt;&lt;isbn&gt;1756-1833&amp;#xD;0959-8138&lt;/isbn&gt;&lt;accession-num&gt;12958120&lt;/accession-num&gt;&lt;urls&gt;&lt;related-urls&gt;&lt;url&gt;https://www.ncbi.nlm.nih.gov/pubmed/12958120&lt;/url&gt;&lt;url&gt;https://www.ncbi.nlm.nih.gov/pmc/articles/PMC192859/&lt;/url&gt;&lt;/related-urls&gt;&lt;/urls&gt;&lt;electronic-resource-num&gt;10.1136/bmj.327.7414.557&lt;/electronic-resource-num&gt;&lt;remote-database-name&gt;PubMed&lt;/remote-database-name&gt;&lt;language&gt;eng&lt;/language&gt;&lt;/record&gt;&lt;/Cite&gt;&lt;/EndNote&gt;</w:instrText>
      </w:r>
      <w:r w:rsidR="00DB568A" w:rsidRPr="00DA3C6E">
        <w:fldChar w:fldCharType="separate"/>
      </w:r>
      <w:r w:rsidR="00DB568A" w:rsidRPr="00DA3C6E">
        <w:rPr>
          <w:noProof/>
        </w:rPr>
        <w:t>(</w:t>
      </w:r>
      <w:hyperlink w:anchor="_ENREF_45" w:tooltip="Higgins, 2003 #29" w:history="1">
        <w:r w:rsidR="00C04BCE" w:rsidRPr="00DA3C6E">
          <w:rPr>
            <w:noProof/>
          </w:rPr>
          <w:t>45</w:t>
        </w:r>
      </w:hyperlink>
      <w:r w:rsidR="00DB568A" w:rsidRPr="00DA3C6E">
        <w:rPr>
          <w:noProof/>
        </w:rPr>
        <w:t>)</w:t>
      </w:r>
      <w:r w:rsidR="00DB568A" w:rsidRPr="00DA3C6E">
        <w:fldChar w:fldCharType="end"/>
      </w:r>
      <w:r w:rsidR="00426648" w:rsidRPr="00DA3C6E">
        <w:t xml:space="preserve">. </w:t>
      </w:r>
      <w:r w:rsidRPr="00DA3C6E">
        <w:t>This index represents the percentage of total variation in study estimates that is due to statistical heterogeneity</w:t>
      </w:r>
      <w:r w:rsidR="00267C5F" w:rsidRPr="00DA3C6E">
        <w:t xml:space="preserve"> and </w:t>
      </w:r>
      <w:r w:rsidR="007940D6" w:rsidRPr="00DA3C6E">
        <w:t>reflects</w:t>
      </w:r>
      <w:r w:rsidR="00267C5F" w:rsidRPr="00DA3C6E">
        <w:t xml:space="preserve"> the fact that there is some variability in the data</w:t>
      </w:r>
      <w:r w:rsidRPr="00DA3C6E">
        <w:t>.</w:t>
      </w:r>
    </w:p>
    <w:p w14:paraId="5E6E5312" w14:textId="77777777" w:rsidR="002D6035" w:rsidRPr="00DA3C6E" w:rsidRDefault="002D6035" w:rsidP="0073359F">
      <w:pPr>
        <w:pStyle w:val="ListParagraph"/>
        <w:keepNext/>
        <w:keepLines/>
        <w:numPr>
          <w:ilvl w:val="0"/>
          <w:numId w:val="33"/>
        </w:numPr>
        <w:rPr>
          <w:b/>
        </w:rPr>
      </w:pPr>
      <w:r w:rsidRPr="00DA3C6E">
        <w:rPr>
          <w:b/>
        </w:rPr>
        <w:t>Improvement in disability</w:t>
      </w:r>
    </w:p>
    <w:p w14:paraId="4975BB2C" w14:textId="25A8FFD5" w:rsidR="002D6035" w:rsidRPr="00DA3C6E" w:rsidRDefault="002D6035" w:rsidP="00136334">
      <w:pPr>
        <w:pStyle w:val="Caption"/>
      </w:pPr>
      <w:bookmarkStart w:id="194" w:name="_Ref25761810"/>
      <w:bookmarkStart w:id="195" w:name="_Toc37845868"/>
      <w:bookmarkStart w:id="196" w:name="_Toc30497514"/>
      <w:bookmarkStart w:id="197" w:name="_Toc30687795"/>
      <w:r w:rsidRPr="00DA3C6E">
        <w:t xml:space="preserve">Figure </w:t>
      </w:r>
      <w:r w:rsidR="00515153">
        <w:fldChar w:fldCharType="begin"/>
      </w:r>
      <w:r w:rsidR="00515153">
        <w:instrText xml:space="preserve"> SEQ Figure \* ARABIC </w:instrText>
      </w:r>
      <w:r w:rsidR="00515153">
        <w:fldChar w:fldCharType="separate"/>
      </w:r>
      <w:r w:rsidR="00EA5DC1">
        <w:rPr>
          <w:noProof/>
        </w:rPr>
        <w:t>8</w:t>
      </w:r>
      <w:r w:rsidR="00515153">
        <w:rPr>
          <w:noProof/>
        </w:rPr>
        <w:fldChar w:fldCharType="end"/>
      </w:r>
      <w:bookmarkEnd w:id="194"/>
      <w:r w:rsidRPr="00DA3C6E">
        <w:t>. Forrest plot for the outcome improvement in disability</w:t>
      </w:r>
      <w:r w:rsidR="008A5F97" w:rsidRPr="00DA3C6E">
        <w:t xml:space="preserve"> using the random effect model</w:t>
      </w:r>
      <w:r w:rsidRPr="00DA3C6E">
        <w:t>.</w:t>
      </w:r>
      <w:bookmarkEnd w:id="195"/>
      <w:r w:rsidRPr="00DA3C6E">
        <w:t xml:space="preserve"> </w:t>
      </w:r>
      <w:bookmarkEnd w:id="196"/>
      <w:bookmarkEnd w:id="197"/>
    </w:p>
    <w:p w14:paraId="449A5476" w14:textId="77777777" w:rsidR="002D6035" w:rsidRPr="00DA3C6E" w:rsidRDefault="008A5F97" w:rsidP="001207B3">
      <w:pPr>
        <w:spacing w:after="0"/>
      </w:pPr>
      <w:r w:rsidRPr="00DA3C6E">
        <w:rPr>
          <w:noProof/>
        </w:rPr>
        <w:drawing>
          <wp:inline distT="0" distB="0" distL="0" distR="0" wp14:anchorId="41B48C6C" wp14:editId="1F19BBE0">
            <wp:extent cx="5731510" cy="1113155"/>
            <wp:effectExtent l="0" t="0" r="2540" b="0"/>
            <wp:docPr id="27" name="Picture 27" title="Figure 8. Forrest plot for the outcome improvement in disability using the random effec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113155"/>
                    </a:xfrm>
                    <a:prstGeom prst="rect">
                      <a:avLst/>
                    </a:prstGeom>
                  </pic:spPr>
                </pic:pic>
              </a:graphicData>
            </a:graphic>
          </wp:inline>
        </w:drawing>
      </w:r>
    </w:p>
    <w:p w14:paraId="6FA705A9" w14:textId="77777777" w:rsidR="002D6035" w:rsidRPr="00DA3C6E" w:rsidRDefault="002D6035" w:rsidP="001207B3">
      <w:pPr>
        <w:rPr>
          <w:rFonts w:ascii="Arial Narrow" w:hAnsi="Arial Narrow"/>
          <w:sz w:val="18"/>
          <w:szCs w:val="18"/>
        </w:rPr>
      </w:pPr>
      <w:r w:rsidRPr="00DA3C6E">
        <w:rPr>
          <w:rFonts w:ascii="Arial Narrow" w:hAnsi="Arial Narrow"/>
          <w:sz w:val="18"/>
          <w:szCs w:val="18"/>
        </w:rPr>
        <w:t>Abbreviations: CI = confidence interval; Ig = immunoglobulin; M-H = Mantel-Haenszel</w:t>
      </w:r>
      <w:r w:rsidR="00FB64A3" w:rsidRPr="00DA3C6E">
        <w:rPr>
          <w:rFonts w:ascii="Arial Narrow" w:hAnsi="Arial Narrow"/>
          <w:sz w:val="18"/>
          <w:szCs w:val="18"/>
        </w:rPr>
        <w:t>.</w:t>
      </w:r>
    </w:p>
    <w:p w14:paraId="75911994" w14:textId="77777777" w:rsidR="002D6035" w:rsidRPr="00DA3C6E" w:rsidRDefault="002D6035" w:rsidP="0073359F">
      <w:pPr>
        <w:pStyle w:val="ListParagraph"/>
        <w:numPr>
          <w:ilvl w:val="0"/>
          <w:numId w:val="33"/>
        </w:numPr>
        <w:rPr>
          <w:b/>
        </w:rPr>
      </w:pPr>
      <w:r w:rsidRPr="00DA3C6E">
        <w:rPr>
          <w:b/>
        </w:rPr>
        <w:t>Mean change in disability</w:t>
      </w:r>
    </w:p>
    <w:p w14:paraId="5A8F4643" w14:textId="79F4C56C" w:rsidR="002D6035" w:rsidRPr="00DA3C6E" w:rsidRDefault="00832852" w:rsidP="00740643">
      <w:r w:rsidRPr="00DA3C6E">
        <w:t>Leger et al</w:t>
      </w:r>
      <w:r w:rsidR="00EF2D51" w:rsidRPr="00DA3C6E">
        <w:t>.</w:t>
      </w:r>
      <w:r w:rsidRPr="00DA3C6E">
        <w:t xml:space="preserve"> 2001 and Hahn et al 2013 were the only studies that directly measured mean change in disability</w:t>
      </w:r>
      <w:r w:rsidR="009E24E8" w:rsidRPr="00DA3C6E">
        <w:t xml:space="preserve"> </w:t>
      </w:r>
      <w:r w:rsidR="00DB568A" w:rsidRPr="00DA3C6E">
        <w:fldChar w:fldCharType="begin">
          <w:fldData xml:space="preserve">PEVuZE5vdGU+PENpdGU+PEF1dGhvcj5MZWdlcjwvQXV0aG9yPjxZZWFyPjIwMDE8L1llYXI+PFJl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==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Y051bT4zOTwvUmVjTnVtPjxEaXNwbGF5VGV4dD4oMjcsIDI4KTwvRGlzcGxheVRleHQ+PHJlY29y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==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 xml:space="preserve">, </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however both using different tools to measure disability</w:t>
      </w:r>
      <w:r w:rsidR="00CA7130" w:rsidRPr="00DA3C6E">
        <w:t xml:space="preserve"> (</w:t>
      </w:r>
      <w:r w:rsidR="00CA7130" w:rsidRPr="00DA3C6E">
        <w:fldChar w:fldCharType="begin"/>
      </w:r>
      <w:r w:rsidR="00CA7130" w:rsidRPr="00DA3C6E">
        <w:instrText xml:space="preserve"> REF _Ref29371365 \h </w:instrText>
      </w:r>
      <w:r w:rsidR="00E8759F" w:rsidRPr="00DA3C6E">
        <w:instrText xml:space="preserve"> \* MERGEFORMAT </w:instrText>
      </w:r>
      <w:r w:rsidR="00CA7130" w:rsidRPr="00DA3C6E">
        <w:fldChar w:fldCharType="separate"/>
      </w:r>
      <w:r w:rsidR="00EA5DC1" w:rsidRPr="00DA3C6E">
        <w:t xml:space="preserve">Table </w:t>
      </w:r>
      <w:r w:rsidR="00EA5DC1">
        <w:rPr>
          <w:noProof/>
        </w:rPr>
        <w:t>16</w:t>
      </w:r>
      <w:r w:rsidR="00CA7130" w:rsidRPr="00DA3C6E">
        <w:fldChar w:fldCharType="end"/>
      </w:r>
      <w:r w:rsidR="00CA7130" w:rsidRPr="00DA3C6E">
        <w:t>)</w:t>
      </w:r>
      <w:r w:rsidRPr="00DA3C6E">
        <w:t xml:space="preserve">. </w:t>
      </w:r>
      <w:r w:rsidR="00815B7E" w:rsidRPr="00DA3C6E">
        <w:t>Additionally</w:t>
      </w:r>
      <w:r w:rsidRPr="00DA3C6E">
        <w:t>, it should be noted from Hahn et al</w:t>
      </w:r>
      <w:r w:rsidR="00EF2D51" w:rsidRPr="00DA3C6E">
        <w:t>.</w:t>
      </w:r>
      <w:r w:rsidRPr="00DA3C6E">
        <w:t xml:space="preserve">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that the disability outcomes using the GNDS and ODSS were</w:t>
      </w:r>
      <w:r w:rsidR="0034779C" w:rsidRPr="00DA3C6E">
        <w:t xml:space="preserve"> only</w:t>
      </w:r>
      <w:r w:rsidRPr="00DA3C6E">
        <w:t xml:space="preserve"> analysed as binary variables indicating whether the score of a patient deteriorated from baseline to the last cycle assessment at the end of each blinded period (1 or 2)</w:t>
      </w:r>
      <w:r w:rsidR="0034779C" w:rsidRPr="00DA3C6E">
        <w:t xml:space="preserve"> and not reporting the </w:t>
      </w:r>
      <w:r w:rsidR="0034779C" w:rsidRPr="00DA3C6E">
        <w:lastRenderedPageBreak/>
        <w:t>mean change</w:t>
      </w:r>
      <w:r w:rsidRPr="00DA3C6E">
        <w:t xml:space="preserve">. The study only reported mean change in disability using the self-evaluated patient global impression tool which represents the perceived deterioration since the last efficacy assessment. </w:t>
      </w:r>
      <w:r w:rsidR="00E77C31" w:rsidRPr="00DA3C6E">
        <w:t>This outcome was</w:t>
      </w:r>
      <w:r w:rsidR="002D6035" w:rsidRPr="00DA3C6E">
        <w:t xml:space="preserve"> used as a proxy for the outcome mean change in disability</w:t>
      </w:r>
      <w:r w:rsidR="00E77C31" w:rsidRPr="00DA3C6E">
        <w:t xml:space="preserve"> for the purpose of this analysis. </w:t>
      </w:r>
    </w:p>
    <w:p w14:paraId="45877026" w14:textId="16399102" w:rsidR="00267C5F" w:rsidRPr="00DA3C6E" w:rsidRDefault="00267C5F" w:rsidP="00740643">
      <w:pPr>
        <w:rPr>
          <w:sz w:val="18"/>
        </w:rPr>
      </w:pPr>
      <w:r w:rsidRPr="00DA3C6E">
        <w:t>The</w:t>
      </w:r>
      <w:r w:rsidR="00586E7B" w:rsidRPr="00DA3C6E">
        <w:t xml:space="preserve"> estimated</w:t>
      </w:r>
      <w:r w:rsidRPr="00DA3C6E">
        <w:t xml:space="preserve"> pooled treatment effect </w:t>
      </w:r>
      <w:r w:rsidR="007B7671" w:rsidRPr="00DA3C6E">
        <w:t xml:space="preserve">of </w:t>
      </w:r>
      <w:r w:rsidRPr="00DA3C6E">
        <w:t>-</w:t>
      </w:r>
      <w:r w:rsidR="008B1C70" w:rsidRPr="00DA3C6E">
        <w:t>5.04</w:t>
      </w:r>
      <w:r w:rsidRPr="00DA3C6E">
        <w:t xml:space="preserve"> (95% CI</w:t>
      </w:r>
      <w:r w:rsidR="008B1C70" w:rsidRPr="00DA3C6E">
        <w:t>-12.22, 2</w:t>
      </w:r>
      <w:r w:rsidRPr="00DA3C6E">
        <w:t>.</w:t>
      </w:r>
      <w:r w:rsidR="008B1C70" w:rsidRPr="00DA3C6E">
        <w:t>1</w:t>
      </w:r>
      <w:r w:rsidRPr="00DA3C6E">
        <w:t>4) reflects intravenous Ig being superior to placebo</w:t>
      </w:r>
      <w:r w:rsidR="008B1C70" w:rsidRPr="00DA3C6E">
        <w:t>, however no statistical differences were found (p=0.17)</w:t>
      </w:r>
      <w:r w:rsidRPr="00DA3C6E">
        <w:t xml:space="preserve">. </w:t>
      </w:r>
      <w:r w:rsidR="008B1C70" w:rsidRPr="00DA3C6E">
        <w:t xml:space="preserve">The results from this analysis also showed </w:t>
      </w:r>
      <w:r w:rsidR="00586E7B" w:rsidRPr="00DA3C6E">
        <w:t xml:space="preserve">considerable </w:t>
      </w:r>
      <w:r w:rsidR="008B1C70" w:rsidRPr="00DA3C6E">
        <w:t xml:space="preserve">statistical </w:t>
      </w:r>
      <w:r w:rsidR="00586E7B" w:rsidRPr="00DA3C6E">
        <w:t xml:space="preserve">heterogeneity </w:t>
      </w:r>
      <w:r w:rsidR="00DB568A" w:rsidRPr="00DA3C6E">
        <w:fldChar w:fldCharType="begin"/>
      </w:r>
      <w:r w:rsidR="00DB568A" w:rsidRPr="00DA3C6E">
        <w:instrText xml:space="preserve"> ADDIN EN.CITE &lt;EndNote&gt;&lt;Cite&gt;&lt;Author&gt;Higgins&lt;/Author&gt;&lt;Year&gt;2003&lt;/Year&gt;&lt;RecNum&gt;29&lt;/RecNum&gt;&lt;DisplayText&gt;(45)&lt;/DisplayText&gt;&lt;record&gt;&lt;rec-number&gt;29&lt;/rec-number&gt;&lt;foreign-keys&gt;&lt;key app="EN" db-id="0992p2ztn5fez9e2wvnpw2xstd20f9w2dezz" timestamp="1586818281"&gt;29&lt;/key&gt;&lt;/foreign-keys&gt;&lt;ref-type name="Journal Article"&gt;17&lt;/ref-type&gt;&lt;contributors&gt;&lt;authors&gt;&lt;author&gt;Higgins, Julian P. T.&lt;/author&gt;&lt;author&gt;Thompson, Simon G.&lt;/author&gt;&lt;author&gt;Deeks, Jonathan J.&lt;/author&gt;&lt;author&gt;Altman, Douglas G.&lt;/author&gt;&lt;/authors&gt;&lt;/contributors&gt;&lt;titles&gt;&lt;title&gt;Measuring inconsistency in meta-analyses&lt;/title&gt;&lt;secondary-title&gt;BMJ (Clinical research ed.)&lt;/secondary-title&gt;&lt;alt-title&gt;BMJ&lt;/alt-title&gt;&lt;/titles&gt;&lt;periodical&gt;&lt;full-title&gt;BMJ (Clinical research ed.)&lt;/full-title&gt;&lt;abbr-1&gt;BMJ&lt;/abbr-1&gt;&lt;/periodical&gt;&lt;alt-periodical&gt;&lt;full-title&gt;BMJ (Clinical research ed.)&lt;/full-title&gt;&lt;abbr-1&gt;BMJ&lt;/abbr-1&gt;&lt;/alt-periodical&gt;&lt;pages&gt;557-560&lt;/pages&gt;&lt;volume&gt;327&lt;/volume&gt;&lt;number&gt;7414&lt;/number&gt;&lt;keywords&gt;&lt;keyword&gt;Data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Specificity&lt;/keyword&gt;&lt;/keywords&gt;&lt;dates&gt;&lt;year&gt;2003&lt;/year&gt;&lt;/dates&gt;&lt;publisher&gt;BMJ Publishing Group Ltd.&lt;/publisher&gt;&lt;isbn&gt;1756-1833&amp;#xD;0959-8138&lt;/isbn&gt;&lt;accession-num&gt;12958120&lt;/accession-num&gt;&lt;urls&gt;&lt;related-urls&gt;&lt;url&gt;https://www.ncbi.nlm.nih.gov/pubmed/12958120&lt;/url&gt;&lt;url&gt;https://www.ncbi.nlm.nih.gov/pmc/articles/PMC192859/&lt;/url&gt;&lt;/related-urls&gt;&lt;/urls&gt;&lt;electronic-resource-num&gt;10.1136/bmj.327.7414.557&lt;/electronic-resource-num&gt;&lt;remote-database-name&gt;PubMed&lt;/remote-database-name&gt;&lt;language&gt;eng&lt;/language&gt;&lt;/record&gt;&lt;/Cite&gt;&lt;/EndNote&gt;</w:instrText>
      </w:r>
      <w:r w:rsidR="00DB568A" w:rsidRPr="00DA3C6E">
        <w:fldChar w:fldCharType="separate"/>
      </w:r>
      <w:r w:rsidR="00DB568A" w:rsidRPr="00DA3C6E">
        <w:rPr>
          <w:noProof/>
        </w:rPr>
        <w:t>(</w:t>
      </w:r>
      <w:hyperlink w:anchor="_ENREF_45" w:tooltip="Higgins, 2003 #29" w:history="1">
        <w:r w:rsidR="00C04BCE" w:rsidRPr="00DA3C6E">
          <w:rPr>
            <w:noProof/>
          </w:rPr>
          <w:t>45</w:t>
        </w:r>
      </w:hyperlink>
      <w:r w:rsidR="00DB568A" w:rsidRPr="00DA3C6E">
        <w:rPr>
          <w:noProof/>
        </w:rPr>
        <w:t>)</w:t>
      </w:r>
      <w:r w:rsidR="00DB568A" w:rsidRPr="00DA3C6E">
        <w:fldChar w:fldCharType="end"/>
      </w:r>
      <w:r w:rsidR="008B1C70" w:rsidRPr="00DA3C6E">
        <w:t xml:space="preserve">. The latter may </w:t>
      </w:r>
      <w:r w:rsidR="00815B7E" w:rsidRPr="00DA3C6E">
        <w:t>indicate</w:t>
      </w:r>
      <w:r w:rsidR="008B1C70" w:rsidRPr="00DA3C6E">
        <w:t xml:space="preserve"> that the assumption</w:t>
      </w:r>
      <w:r w:rsidR="00815B7E" w:rsidRPr="00DA3C6E">
        <w:t>s</w:t>
      </w:r>
      <w:r w:rsidR="008B1C70" w:rsidRPr="00DA3C6E">
        <w:t xml:space="preserve"> </w:t>
      </w:r>
      <w:r w:rsidR="007940D6" w:rsidRPr="00DA3C6E">
        <w:t xml:space="preserve">made </w:t>
      </w:r>
      <w:r w:rsidR="00815B7E" w:rsidRPr="00DA3C6E">
        <w:t>to</w:t>
      </w:r>
      <w:r w:rsidR="007940D6" w:rsidRPr="00DA3C6E">
        <w:t xml:space="preserve"> use the self-evaluated patient global impression tool as a proxy to mean change in disability</w:t>
      </w:r>
      <w:r w:rsidR="00815B7E" w:rsidRPr="00DA3C6E">
        <w:t>,</w:t>
      </w:r>
      <w:r w:rsidR="007940D6" w:rsidRPr="00DA3C6E">
        <w:t xml:space="preserve"> as per the </w:t>
      </w:r>
      <w:r w:rsidR="008B1C70" w:rsidRPr="00DA3C6E">
        <w:t xml:space="preserve">self-evaluation scale for five motor ADL </w:t>
      </w:r>
      <w:r w:rsidR="007940D6" w:rsidRPr="00DA3C6E">
        <w:t>used by Leger et al</w:t>
      </w:r>
      <w:r w:rsidR="00EF2D51" w:rsidRPr="00DA3C6E">
        <w:t>.</w:t>
      </w:r>
      <w:r w:rsidR="007940D6" w:rsidRPr="00DA3C6E">
        <w:t xml:space="preserve"> 2001, was inappropriate. </w:t>
      </w:r>
      <w:r w:rsidR="008B1C70" w:rsidRPr="00DA3C6E">
        <w:t xml:space="preserve">Hence, the results </w:t>
      </w:r>
      <w:r w:rsidR="00586E7B" w:rsidRPr="00DA3C6E">
        <w:t xml:space="preserve">for this outcome measure in particular, </w:t>
      </w:r>
      <w:r w:rsidR="008B1C70" w:rsidRPr="00DA3C6E">
        <w:t>may not be poolable</w:t>
      </w:r>
      <w:r w:rsidR="009F5EF2">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8B1C70" w:rsidRPr="00DA3C6E">
        <w:t xml:space="preserve">. </w:t>
      </w:r>
    </w:p>
    <w:p w14:paraId="77E64CA6" w14:textId="09B228EB" w:rsidR="002D6035" w:rsidRPr="00DA3C6E" w:rsidRDefault="002D6035" w:rsidP="00FB64A3">
      <w:pPr>
        <w:pStyle w:val="Caption"/>
        <w:keepNext/>
        <w:keepLines/>
        <w:rPr>
          <w:sz w:val="18"/>
          <w:szCs w:val="20"/>
        </w:rPr>
      </w:pPr>
      <w:bookmarkStart w:id="198" w:name="_Ref25920112"/>
      <w:bookmarkStart w:id="199" w:name="_Toc30497515"/>
      <w:bookmarkStart w:id="200" w:name="_Toc30687796"/>
      <w:bookmarkStart w:id="201" w:name="_Toc37845869"/>
      <w:r w:rsidRPr="00DA3C6E">
        <w:t xml:space="preserve">Figure </w:t>
      </w:r>
      <w:r w:rsidR="00515153">
        <w:fldChar w:fldCharType="begin"/>
      </w:r>
      <w:r w:rsidR="00515153">
        <w:instrText xml:space="preserve"> SEQ Figure \* ARABIC </w:instrText>
      </w:r>
      <w:r w:rsidR="00515153">
        <w:fldChar w:fldCharType="separate"/>
      </w:r>
      <w:r w:rsidR="00EA5DC1">
        <w:rPr>
          <w:noProof/>
        </w:rPr>
        <w:t>9</w:t>
      </w:r>
      <w:r w:rsidR="00515153">
        <w:rPr>
          <w:noProof/>
        </w:rPr>
        <w:fldChar w:fldCharType="end"/>
      </w:r>
      <w:bookmarkEnd w:id="198"/>
      <w:r w:rsidRPr="00DA3C6E">
        <w:t>. Forrest plot for the outcome mean change in disability</w:t>
      </w:r>
      <w:r w:rsidR="008A5F97" w:rsidRPr="00DA3C6E">
        <w:t xml:space="preserve"> using the random effect model</w:t>
      </w:r>
      <w:r w:rsidRPr="00DA3C6E">
        <w:t>.</w:t>
      </w:r>
      <w:bookmarkEnd w:id="199"/>
      <w:bookmarkEnd w:id="200"/>
      <w:bookmarkEnd w:id="201"/>
    </w:p>
    <w:p w14:paraId="59177D41" w14:textId="77777777" w:rsidR="002D6035" w:rsidRPr="00DA3C6E" w:rsidRDefault="002D6035" w:rsidP="00740643">
      <w:pPr>
        <w:spacing w:after="0" w:line="240" w:lineRule="auto"/>
        <w:rPr>
          <w:rFonts w:ascii="Arial Narrow" w:hAnsi="Arial Narrow"/>
          <w:sz w:val="18"/>
          <w:szCs w:val="20"/>
        </w:rPr>
      </w:pPr>
    </w:p>
    <w:p w14:paraId="752D17AD" w14:textId="77777777" w:rsidR="002D6035" w:rsidRPr="00DA3C6E" w:rsidRDefault="008A5F97" w:rsidP="00740643">
      <w:pPr>
        <w:spacing w:after="0" w:line="240" w:lineRule="auto"/>
        <w:rPr>
          <w:rFonts w:ascii="Arial Narrow" w:hAnsi="Arial Narrow"/>
          <w:sz w:val="18"/>
          <w:szCs w:val="20"/>
        </w:rPr>
      </w:pPr>
      <w:r w:rsidRPr="00DA3C6E">
        <w:rPr>
          <w:noProof/>
        </w:rPr>
        <w:drawing>
          <wp:inline distT="0" distB="0" distL="0" distR="0" wp14:anchorId="1C23A3A7" wp14:editId="1B37FB65">
            <wp:extent cx="5731510" cy="965200"/>
            <wp:effectExtent l="0" t="0" r="2540" b="6350"/>
            <wp:docPr id="29" name="Picture 29" title="Figure 9. Forrest plot for the outcome mean change in disability using the random effe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965200"/>
                    </a:xfrm>
                    <a:prstGeom prst="rect">
                      <a:avLst/>
                    </a:prstGeom>
                  </pic:spPr>
                </pic:pic>
              </a:graphicData>
            </a:graphic>
          </wp:inline>
        </w:drawing>
      </w:r>
    </w:p>
    <w:p w14:paraId="5DF24BB8" w14:textId="77777777" w:rsidR="002D6035" w:rsidRPr="00DA3C6E" w:rsidRDefault="002D6035" w:rsidP="007B6537">
      <w:pPr>
        <w:pStyle w:val="Tablenotes0"/>
        <w:spacing w:after="0"/>
      </w:pPr>
      <w:r w:rsidRPr="00DA3C6E">
        <w:t>Abbreviations: CI = confidence interval; Ig = immunoglobulin; SD = standard deviation</w:t>
      </w:r>
    </w:p>
    <w:p w14:paraId="334FC60F" w14:textId="77777777" w:rsidR="002D6035" w:rsidRPr="00DA3C6E" w:rsidRDefault="002D6035" w:rsidP="007B6537">
      <w:pPr>
        <w:pStyle w:val="Tablenotes0"/>
        <w:spacing w:after="240"/>
      </w:pPr>
      <w:r w:rsidRPr="00DA3C6E">
        <w:t>Note: Leger et al. 2001 was excluded because their results were presented as median and not mean difference</w:t>
      </w:r>
      <w:r w:rsidR="0034779C" w:rsidRPr="00DA3C6E">
        <w:t>.</w:t>
      </w:r>
    </w:p>
    <w:p w14:paraId="166DFCBA" w14:textId="77777777" w:rsidR="002D6035" w:rsidRPr="00DA3C6E" w:rsidRDefault="002D6035" w:rsidP="00D01057">
      <w:pPr>
        <w:pStyle w:val="Heading3"/>
      </w:pPr>
      <w:bookmarkStart w:id="202" w:name="_Toc37845746"/>
      <w:r w:rsidRPr="00DA3C6E">
        <w:t>Effectiveness measured as improvement in muscle strength</w:t>
      </w:r>
      <w:bookmarkEnd w:id="202"/>
      <w:r w:rsidRPr="00DA3C6E">
        <w:t xml:space="preserve"> </w:t>
      </w:r>
    </w:p>
    <w:p w14:paraId="148525CB" w14:textId="79B2584E" w:rsidR="002D6035" w:rsidRPr="00DA3C6E" w:rsidRDefault="002D6035" w:rsidP="008651E8">
      <w:r w:rsidRPr="00DA3C6E">
        <w:t xml:space="preserve">All five RCTs showed that intravenous Ig compared to placebo resulted in an improvement in muscle strength (see </w:t>
      </w:r>
      <w:r w:rsidRPr="00DA3C6E">
        <w:fldChar w:fldCharType="begin"/>
      </w:r>
      <w:r w:rsidRPr="00DA3C6E">
        <w:instrText xml:space="preserve"> REF _Ref29303314 \h </w:instrText>
      </w:r>
      <w:r w:rsidR="00E8759F" w:rsidRPr="00DA3C6E">
        <w:instrText xml:space="preserve"> \* MERGEFORMAT </w:instrText>
      </w:r>
      <w:r w:rsidRPr="00DA3C6E">
        <w:fldChar w:fldCharType="separate"/>
      </w:r>
      <w:r w:rsidR="00EA5DC1" w:rsidRPr="00DA3C6E">
        <w:t xml:space="preserve">Table </w:t>
      </w:r>
      <w:r w:rsidR="00EA5DC1">
        <w:rPr>
          <w:noProof/>
        </w:rPr>
        <w:t>17</w:t>
      </w:r>
      <w:r w:rsidRPr="00DA3C6E">
        <w:fldChar w:fldCharType="end"/>
      </w:r>
      <w:r w:rsidRPr="00DA3C6E">
        <w:t>), although the improvement was only statistically significant in the study conducted by Hahn et al</w:t>
      </w:r>
      <w:r w:rsidR="00EF2D51" w:rsidRPr="00DA3C6E">
        <w:t>.</w:t>
      </w:r>
      <w:r w:rsidRPr="00DA3C6E">
        <w:t xml:space="preserve">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(RR = 1.67; 95% CI 1.27, 2.18).   </w:t>
      </w:r>
    </w:p>
    <w:p w14:paraId="53079564" w14:textId="1D113F34" w:rsidR="002D6035" w:rsidRPr="00DA3C6E" w:rsidRDefault="002D6035" w:rsidP="00C60BE0">
      <w:pPr>
        <w:pStyle w:val="Caption"/>
        <w:keepNext/>
        <w:keepLines/>
      </w:pPr>
      <w:bookmarkStart w:id="203" w:name="_Ref29303314"/>
      <w:bookmarkStart w:id="204" w:name="_Toc30497464"/>
      <w:bookmarkStart w:id="205" w:name="_Toc30687745"/>
      <w:bookmarkStart w:id="206" w:name="_Toc37845820"/>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17</w:t>
      </w:r>
      <w:r w:rsidR="00515153">
        <w:rPr>
          <w:noProof/>
        </w:rPr>
        <w:fldChar w:fldCharType="end"/>
      </w:r>
      <w:bookmarkEnd w:id="203"/>
      <w:r w:rsidRPr="00DA3C6E">
        <w:t xml:space="preserve">. </w:t>
      </w:r>
      <w:r w:rsidRPr="00DA3C6E">
        <w:rPr>
          <w:rFonts w:cs="Arial"/>
          <w:snapToGrid w:val="0"/>
          <w:szCs w:val="16"/>
          <w:lang w:eastAsia="en-US"/>
        </w:rPr>
        <w:t>Results of improvement and change in muscle strength across RCTs</w:t>
      </w:r>
      <w:bookmarkEnd w:id="204"/>
      <w:bookmarkEnd w:id="205"/>
      <w:bookmarkEnd w:id="206"/>
    </w:p>
    <w:tbl>
      <w:tblPr>
        <w:tblW w:w="4917"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8"/>
        <w:gridCol w:w="1372"/>
        <w:gridCol w:w="1358"/>
        <w:gridCol w:w="16"/>
        <w:gridCol w:w="1344"/>
        <w:gridCol w:w="1436"/>
        <w:gridCol w:w="1952"/>
      </w:tblGrid>
      <w:tr w:rsidR="007C7E04" w:rsidRPr="00DA3C6E" w14:paraId="0D303B94" w14:textId="77777777" w:rsidTr="001207B3">
        <w:tc>
          <w:tcPr>
            <w:tcW w:w="782" w:type="pct"/>
            <w:shd w:val="clear" w:color="auto" w:fill="auto"/>
            <w:vAlign w:val="center"/>
          </w:tcPr>
          <w:p w14:paraId="64FB0374" w14:textId="77777777" w:rsidR="002D6035" w:rsidRPr="00DA3C6E" w:rsidRDefault="002D6035" w:rsidP="00740643">
            <w:pPr>
              <w:pStyle w:val="TableText0"/>
              <w:ind w:right="117"/>
              <w:rPr>
                <w:b/>
                <w:snapToGrid w:val="0"/>
              </w:rPr>
            </w:pPr>
            <w:r w:rsidRPr="00DA3C6E">
              <w:rPr>
                <w:b/>
                <w:snapToGrid w:val="0"/>
              </w:rPr>
              <w:t>Study ID</w:t>
            </w:r>
          </w:p>
        </w:tc>
        <w:tc>
          <w:tcPr>
            <w:tcW w:w="774" w:type="pct"/>
            <w:shd w:val="clear" w:color="auto" w:fill="auto"/>
            <w:vAlign w:val="center"/>
          </w:tcPr>
          <w:p w14:paraId="0CC06916" w14:textId="77777777" w:rsidR="002D6035" w:rsidRPr="00DA3C6E" w:rsidRDefault="002D6035" w:rsidP="00740643">
            <w:pPr>
              <w:pStyle w:val="TableText0"/>
              <w:ind w:right="117"/>
              <w:rPr>
                <w:b/>
                <w:snapToGrid w:val="0"/>
              </w:rPr>
            </w:pPr>
            <w:r w:rsidRPr="00DA3C6E">
              <w:rPr>
                <w:b/>
                <w:snapToGrid w:val="0"/>
              </w:rPr>
              <w:t>Risk of bias</w:t>
            </w:r>
          </w:p>
        </w:tc>
        <w:tc>
          <w:tcPr>
            <w:tcW w:w="775" w:type="pct"/>
            <w:gridSpan w:val="2"/>
            <w:shd w:val="clear" w:color="auto" w:fill="auto"/>
            <w:vAlign w:val="center"/>
          </w:tcPr>
          <w:p w14:paraId="4C8C32B4" w14:textId="77777777" w:rsidR="002D6035" w:rsidRPr="00DA3C6E" w:rsidRDefault="002D6035" w:rsidP="00740643">
            <w:pPr>
              <w:spacing w:after="0" w:line="240" w:lineRule="auto"/>
              <w:jc w:val="left"/>
              <w:rPr>
                <w:rFonts w:ascii="Arial Narrow" w:hAnsi="Arial Narrow"/>
                <w:b/>
                <w:sz w:val="20"/>
                <w:szCs w:val="20"/>
              </w:rPr>
            </w:pPr>
            <w:r w:rsidRPr="00DA3C6E">
              <w:rPr>
                <w:rFonts w:ascii="Arial Narrow" w:hAnsi="Arial Narrow"/>
                <w:b/>
                <w:sz w:val="20"/>
                <w:szCs w:val="20"/>
              </w:rPr>
              <w:t>Intravenous Ig treatment</w:t>
            </w:r>
          </w:p>
          <w:p w14:paraId="398208B2" w14:textId="77777777" w:rsidR="002D6035" w:rsidRPr="00DA3C6E" w:rsidRDefault="002D6035" w:rsidP="00740643">
            <w:pPr>
              <w:pStyle w:val="TableText0"/>
              <w:ind w:right="117"/>
              <w:rPr>
                <w:b/>
                <w:snapToGrid w:val="0"/>
              </w:rPr>
            </w:pPr>
            <w:r w:rsidRPr="00DA3C6E">
              <w:rPr>
                <w:b/>
              </w:rPr>
              <w:t>Mean/median (SD/SEM)</w:t>
            </w:r>
          </w:p>
        </w:tc>
        <w:tc>
          <w:tcPr>
            <w:tcW w:w="758" w:type="pct"/>
            <w:shd w:val="clear" w:color="auto" w:fill="auto"/>
            <w:vAlign w:val="center"/>
          </w:tcPr>
          <w:p w14:paraId="4C945E51" w14:textId="77777777" w:rsidR="002D6035" w:rsidRPr="00DA3C6E" w:rsidRDefault="002D6035" w:rsidP="00740643">
            <w:pPr>
              <w:spacing w:after="0" w:line="240" w:lineRule="auto"/>
              <w:jc w:val="left"/>
              <w:rPr>
                <w:rFonts w:ascii="Arial Narrow" w:hAnsi="Arial Narrow"/>
                <w:b/>
                <w:sz w:val="20"/>
                <w:szCs w:val="20"/>
              </w:rPr>
            </w:pPr>
            <w:r w:rsidRPr="00DA3C6E">
              <w:rPr>
                <w:rFonts w:ascii="Arial Narrow" w:hAnsi="Arial Narrow"/>
                <w:b/>
                <w:sz w:val="20"/>
                <w:szCs w:val="20"/>
              </w:rPr>
              <w:t>Placebo treatment</w:t>
            </w:r>
          </w:p>
          <w:p w14:paraId="72F33877" w14:textId="77777777" w:rsidR="002D6035" w:rsidRPr="00DA3C6E" w:rsidRDefault="002D6035" w:rsidP="00740643">
            <w:pPr>
              <w:pStyle w:val="TableText0"/>
              <w:ind w:right="117"/>
              <w:rPr>
                <w:b/>
                <w:snapToGrid w:val="0"/>
              </w:rPr>
            </w:pPr>
            <w:r w:rsidRPr="00DA3C6E">
              <w:rPr>
                <w:b/>
              </w:rPr>
              <w:t>Mean/median (SD/SEM)</w:t>
            </w:r>
          </w:p>
        </w:tc>
        <w:tc>
          <w:tcPr>
            <w:tcW w:w="810" w:type="pct"/>
            <w:shd w:val="clear" w:color="auto" w:fill="auto"/>
            <w:vAlign w:val="center"/>
          </w:tcPr>
          <w:p w14:paraId="77CA34C6" w14:textId="77777777" w:rsidR="002D6035" w:rsidRPr="00DA3C6E" w:rsidRDefault="002D6035" w:rsidP="00740643">
            <w:pPr>
              <w:pStyle w:val="TableText0"/>
              <w:ind w:right="117"/>
              <w:rPr>
                <w:b/>
              </w:rPr>
            </w:pPr>
            <w:r w:rsidRPr="00DA3C6E">
              <w:rPr>
                <w:b/>
              </w:rPr>
              <w:t>Relative risk</w:t>
            </w:r>
          </w:p>
          <w:p w14:paraId="23578066" w14:textId="77777777" w:rsidR="00EF2D51" w:rsidRPr="00DA3C6E" w:rsidRDefault="00EF2D51" w:rsidP="00740643">
            <w:pPr>
              <w:pStyle w:val="TableText0"/>
              <w:ind w:right="117"/>
              <w:rPr>
                <w:b/>
                <w:snapToGrid w:val="0"/>
              </w:rPr>
            </w:pPr>
            <w:r w:rsidRPr="00DA3C6E">
              <w:rPr>
                <w:snapToGrid w:val="0"/>
              </w:rPr>
              <w:t>(95% CI)</w:t>
            </w:r>
          </w:p>
        </w:tc>
        <w:tc>
          <w:tcPr>
            <w:tcW w:w="1101" w:type="pct"/>
            <w:shd w:val="clear" w:color="auto" w:fill="auto"/>
            <w:vAlign w:val="center"/>
          </w:tcPr>
          <w:p w14:paraId="6EE59541" w14:textId="77777777" w:rsidR="002D6035" w:rsidRPr="00DA3C6E" w:rsidRDefault="002D6035" w:rsidP="00740643">
            <w:pPr>
              <w:pStyle w:val="TableHeading"/>
              <w:ind w:right="117"/>
              <w:jc w:val="left"/>
              <w:rPr>
                <w:snapToGrid w:val="0"/>
                <w:lang w:eastAsia="en-US"/>
              </w:rPr>
            </w:pPr>
            <w:r w:rsidRPr="00DA3C6E">
              <w:rPr>
                <w:snapToGrid w:val="0"/>
                <w:lang w:eastAsia="en-US"/>
              </w:rPr>
              <w:t>Risk difference</w:t>
            </w:r>
          </w:p>
          <w:p w14:paraId="789BD466" w14:textId="77777777" w:rsidR="002D6035" w:rsidRPr="00DA3C6E" w:rsidRDefault="002D6035" w:rsidP="00C60BE0">
            <w:pPr>
              <w:pStyle w:val="TableHeading"/>
              <w:ind w:right="117"/>
              <w:jc w:val="left"/>
              <w:rPr>
                <w:snapToGrid w:val="0"/>
              </w:rPr>
            </w:pPr>
            <w:r w:rsidRPr="00DA3C6E">
              <w:rPr>
                <w:snapToGrid w:val="0"/>
                <w:lang w:eastAsia="en-US"/>
              </w:rPr>
              <w:t xml:space="preserve">(95% CI) </w:t>
            </w:r>
          </w:p>
        </w:tc>
      </w:tr>
      <w:tr w:rsidR="002D6035" w:rsidRPr="00DA3C6E" w14:paraId="1F22315F" w14:textId="77777777" w:rsidTr="00740643">
        <w:tc>
          <w:tcPr>
            <w:tcW w:w="5000" w:type="pct"/>
            <w:gridSpan w:val="7"/>
            <w:shd w:val="clear" w:color="auto" w:fill="auto"/>
            <w:vAlign w:val="center"/>
          </w:tcPr>
          <w:p w14:paraId="0E6A4D3F" w14:textId="77777777" w:rsidR="002D6035" w:rsidRPr="00DA3C6E" w:rsidRDefault="002D6035" w:rsidP="00740643">
            <w:pPr>
              <w:pStyle w:val="TableText0"/>
              <w:ind w:right="117"/>
              <w:rPr>
                <w:b/>
                <w:snapToGrid w:val="0"/>
              </w:rPr>
            </w:pPr>
            <w:r w:rsidRPr="00DA3C6E">
              <w:rPr>
                <w:b/>
                <w:snapToGrid w:val="0"/>
              </w:rPr>
              <w:t>Improvement in muscle strength/grip</w:t>
            </w:r>
          </w:p>
        </w:tc>
      </w:tr>
      <w:tr w:rsidR="007C7E04" w:rsidRPr="00DA3C6E" w14:paraId="4BA5A381" w14:textId="77777777" w:rsidTr="001207B3">
        <w:tc>
          <w:tcPr>
            <w:tcW w:w="782" w:type="pct"/>
            <w:shd w:val="clear" w:color="auto" w:fill="auto"/>
          </w:tcPr>
          <w:p w14:paraId="7DCCC7EC" w14:textId="4E5D0174" w:rsidR="002D6035" w:rsidRPr="00DA3C6E" w:rsidRDefault="002D6035" w:rsidP="00C04BCE">
            <w:pPr>
              <w:pStyle w:val="TableText0"/>
              <w:rPr>
                <w:snapToGrid w:val="0"/>
              </w:rPr>
            </w:pPr>
            <w:r w:rsidRPr="00DA3C6E">
              <w:t>Azulay et al. 1994</w:t>
            </w:r>
            <w:r w:rsidR="00BE7F1B">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p>
        </w:tc>
        <w:tc>
          <w:tcPr>
            <w:tcW w:w="774" w:type="pct"/>
            <w:vAlign w:val="center"/>
          </w:tcPr>
          <w:p w14:paraId="341EB4B4" w14:textId="77777777" w:rsidR="002D6035" w:rsidRPr="00DA3C6E" w:rsidRDefault="002D6035" w:rsidP="00740643">
            <w:pPr>
              <w:pStyle w:val="TableText0"/>
              <w:ind w:left="16" w:right="117"/>
              <w:jc w:val="center"/>
              <w:rPr>
                <w:snapToGrid w:val="0"/>
                <w:color w:val="FFFFFF" w:themeColor="background1"/>
              </w:rPr>
            </w:pPr>
            <w:r w:rsidRPr="00DA3C6E">
              <w:rPr>
                <w:snapToGrid w:val="0"/>
              </w:rPr>
              <w:t>Some concern</w:t>
            </w:r>
          </w:p>
        </w:tc>
        <w:tc>
          <w:tcPr>
            <w:tcW w:w="766" w:type="pct"/>
            <w:shd w:val="clear" w:color="auto" w:fill="auto"/>
          </w:tcPr>
          <w:p w14:paraId="19071C8F" w14:textId="77777777" w:rsidR="002D6035" w:rsidRPr="00DA3C6E" w:rsidRDefault="002D6035" w:rsidP="00740643">
            <w:pPr>
              <w:pStyle w:val="TableText0"/>
              <w:ind w:left="111" w:right="117"/>
              <w:jc w:val="center"/>
              <w:rPr>
                <w:snapToGrid w:val="0"/>
                <w:color w:val="FFFFFF" w:themeColor="background1"/>
              </w:rPr>
            </w:pPr>
            <w:r w:rsidRPr="00DA3C6E">
              <w:rPr>
                <w:szCs w:val="20"/>
              </w:rPr>
              <w:t>5/5 (100)</w:t>
            </w:r>
          </w:p>
        </w:tc>
        <w:tc>
          <w:tcPr>
            <w:tcW w:w="767" w:type="pct"/>
            <w:gridSpan w:val="2"/>
            <w:shd w:val="clear" w:color="auto" w:fill="auto"/>
          </w:tcPr>
          <w:p w14:paraId="40DF5225" w14:textId="77777777" w:rsidR="002D6035" w:rsidRPr="00DA3C6E" w:rsidRDefault="002D6035" w:rsidP="00740643">
            <w:pPr>
              <w:pStyle w:val="TableText0"/>
              <w:ind w:left="77" w:right="117"/>
              <w:jc w:val="center"/>
              <w:rPr>
                <w:snapToGrid w:val="0"/>
                <w:color w:val="FFFFFF" w:themeColor="background1"/>
              </w:rPr>
            </w:pPr>
            <w:r w:rsidRPr="00DA3C6E">
              <w:rPr>
                <w:szCs w:val="20"/>
              </w:rPr>
              <w:t>0/5 (0)</w:t>
            </w:r>
          </w:p>
        </w:tc>
        <w:tc>
          <w:tcPr>
            <w:tcW w:w="810" w:type="pct"/>
            <w:shd w:val="clear" w:color="auto" w:fill="auto"/>
            <w:vAlign w:val="center"/>
          </w:tcPr>
          <w:p w14:paraId="525F381F" w14:textId="77777777" w:rsidR="002D6035" w:rsidRPr="00DA3C6E" w:rsidRDefault="002D6035" w:rsidP="00740643">
            <w:pPr>
              <w:pStyle w:val="TableText0"/>
              <w:ind w:left="41" w:right="117"/>
              <w:jc w:val="center"/>
              <w:rPr>
                <w:i/>
                <w:snapToGrid w:val="0"/>
              </w:rPr>
            </w:pPr>
            <w:r w:rsidRPr="00DA3C6E">
              <w:rPr>
                <w:i/>
                <w:snapToGrid w:val="0"/>
              </w:rPr>
              <w:t>NE</w:t>
            </w:r>
          </w:p>
        </w:tc>
        <w:tc>
          <w:tcPr>
            <w:tcW w:w="1101" w:type="pct"/>
            <w:shd w:val="clear" w:color="auto" w:fill="auto"/>
            <w:vAlign w:val="center"/>
          </w:tcPr>
          <w:p w14:paraId="29F8DF92" w14:textId="77777777" w:rsidR="002D6035" w:rsidRPr="00DA3C6E" w:rsidRDefault="002D6035" w:rsidP="00740643">
            <w:pPr>
              <w:pStyle w:val="TableText0"/>
              <w:ind w:right="117"/>
              <w:jc w:val="center"/>
              <w:rPr>
                <w:i/>
                <w:snapToGrid w:val="0"/>
              </w:rPr>
            </w:pPr>
            <w:r w:rsidRPr="00DA3C6E">
              <w:rPr>
                <w:i/>
                <w:snapToGrid w:val="0"/>
              </w:rPr>
              <w:t>1 (1, 1)</w:t>
            </w:r>
          </w:p>
        </w:tc>
      </w:tr>
      <w:tr w:rsidR="007C7E04" w:rsidRPr="00DA3C6E" w14:paraId="78136AED" w14:textId="77777777" w:rsidTr="001207B3">
        <w:tc>
          <w:tcPr>
            <w:tcW w:w="782" w:type="pct"/>
            <w:shd w:val="clear" w:color="auto" w:fill="auto"/>
          </w:tcPr>
          <w:p w14:paraId="2C7E5FEF" w14:textId="304EE491" w:rsidR="002D6035" w:rsidRPr="00DA3C6E" w:rsidRDefault="002D6035" w:rsidP="00C04BCE">
            <w:pPr>
              <w:pStyle w:val="TableText0"/>
              <w:rPr>
                <w:snapToGrid w:val="0"/>
              </w:rPr>
            </w:pPr>
            <w:r w:rsidRPr="00DA3C6E">
              <w:rPr>
                <w:lang w:val="es-CL"/>
              </w:rPr>
              <w:t xml:space="preserve">Van den Berg et al.  </w:t>
            </w:r>
            <w:r w:rsidRPr="00DA3C6E">
              <w:t>1995</w:t>
            </w:r>
            <w:r w:rsidR="00BE7F1B">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p>
        </w:tc>
        <w:tc>
          <w:tcPr>
            <w:tcW w:w="774" w:type="pct"/>
            <w:vAlign w:val="center"/>
          </w:tcPr>
          <w:p w14:paraId="07332606" w14:textId="77777777" w:rsidR="002D6035" w:rsidRPr="00DA3C6E" w:rsidRDefault="002D6035" w:rsidP="00740643">
            <w:pPr>
              <w:pStyle w:val="TableText0"/>
              <w:ind w:left="16" w:right="117"/>
              <w:jc w:val="center"/>
              <w:rPr>
                <w:snapToGrid w:val="0"/>
                <w:color w:val="FFFFFF" w:themeColor="background1"/>
              </w:rPr>
            </w:pPr>
            <w:r w:rsidRPr="00DA3C6E">
              <w:rPr>
                <w:snapToGrid w:val="0"/>
              </w:rPr>
              <w:t xml:space="preserve">Low </w:t>
            </w:r>
          </w:p>
        </w:tc>
        <w:tc>
          <w:tcPr>
            <w:tcW w:w="766" w:type="pct"/>
            <w:shd w:val="clear" w:color="auto" w:fill="auto"/>
          </w:tcPr>
          <w:p w14:paraId="5046719F" w14:textId="77777777" w:rsidR="002D6035" w:rsidRPr="00DA3C6E" w:rsidRDefault="002D6035" w:rsidP="00740643">
            <w:pPr>
              <w:pStyle w:val="TableText0"/>
              <w:ind w:left="111" w:right="117"/>
              <w:jc w:val="center"/>
              <w:rPr>
                <w:snapToGrid w:val="0"/>
                <w:color w:val="FFFFFF" w:themeColor="background1"/>
              </w:rPr>
            </w:pPr>
            <w:r w:rsidRPr="00DA3C6E">
              <w:rPr>
                <w:szCs w:val="20"/>
              </w:rPr>
              <w:t>5/6 (83)</w:t>
            </w:r>
          </w:p>
        </w:tc>
        <w:tc>
          <w:tcPr>
            <w:tcW w:w="767" w:type="pct"/>
            <w:gridSpan w:val="2"/>
            <w:shd w:val="clear" w:color="auto" w:fill="auto"/>
          </w:tcPr>
          <w:p w14:paraId="3981B881" w14:textId="77777777" w:rsidR="002D6035" w:rsidRPr="00DA3C6E" w:rsidRDefault="002D6035" w:rsidP="00740643">
            <w:pPr>
              <w:pStyle w:val="TableText0"/>
              <w:ind w:left="77" w:right="117"/>
              <w:jc w:val="center"/>
              <w:rPr>
                <w:snapToGrid w:val="0"/>
                <w:color w:val="FFFFFF" w:themeColor="background1"/>
              </w:rPr>
            </w:pPr>
            <w:r w:rsidRPr="00DA3C6E">
              <w:rPr>
                <w:szCs w:val="20"/>
              </w:rPr>
              <w:t>1/6 (16.7)</w:t>
            </w:r>
          </w:p>
        </w:tc>
        <w:tc>
          <w:tcPr>
            <w:tcW w:w="810" w:type="pct"/>
            <w:shd w:val="clear" w:color="auto" w:fill="auto"/>
            <w:vAlign w:val="center"/>
          </w:tcPr>
          <w:p w14:paraId="408FFB3D" w14:textId="77777777" w:rsidR="002D6035" w:rsidRPr="00DA3C6E" w:rsidRDefault="002D6035" w:rsidP="00740643">
            <w:pPr>
              <w:pStyle w:val="TableText0"/>
              <w:ind w:left="41" w:right="117"/>
              <w:jc w:val="center"/>
              <w:rPr>
                <w:i/>
                <w:snapToGrid w:val="0"/>
              </w:rPr>
            </w:pPr>
            <w:r w:rsidRPr="00DA3C6E">
              <w:rPr>
                <w:i/>
                <w:snapToGrid w:val="0"/>
              </w:rPr>
              <w:t>5 (0.81, 31.00)</w:t>
            </w:r>
          </w:p>
        </w:tc>
        <w:tc>
          <w:tcPr>
            <w:tcW w:w="1101" w:type="pct"/>
            <w:shd w:val="clear" w:color="auto" w:fill="auto"/>
            <w:vAlign w:val="center"/>
          </w:tcPr>
          <w:p w14:paraId="6EA62CD9" w14:textId="77777777" w:rsidR="002D6035" w:rsidRPr="00DA3C6E" w:rsidRDefault="002D6035" w:rsidP="00740643">
            <w:pPr>
              <w:pStyle w:val="TableText0"/>
              <w:ind w:right="117"/>
              <w:jc w:val="center"/>
              <w:rPr>
                <w:i/>
                <w:snapToGrid w:val="0"/>
              </w:rPr>
            </w:pPr>
            <w:r w:rsidRPr="00DA3C6E">
              <w:rPr>
                <w:i/>
                <w:snapToGrid w:val="0"/>
              </w:rPr>
              <w:t>0.67 (0.25, 1.09)</w:t>
            </w:r>
          </w:p>
        </w:tc>
      </w:tr>
      <w:tr w:rsidR="007C7E04" w:rsidRPr="00DA3C6E" w14:paraId="773188CF" w14:textId="77777777" w:rsidTr="001207B3">
        <w:tc>
          <w:tcPr>
            <w:tcW w:w="782" w:type="pct"/>
            <w:shd w:val="clear" w:color="auto" w:fill="auto"/>
          </w:tcPr>
          <w:p w14:paraId="1BFA0E18" w14:textId="49211AC4" w:rsidR="002D6035" w:rsidRPr="00DA3C6E" w:rsidRDefault="002D6035" w:rsidP="00C04BCE">
            <w:pPr>
              <w:pStyle w:val="TableText0"/>
              <w:rPr>
                <w:snapToGrid w:val="0"/>
              </w:rPr>
            </w:pPr>
            <w:r w:rsidRPr="00DA3C6E">
              <w:t>Federico et al. 2000</w:t>
            </w:r>
            <w:r w:rsidR="00BE7F1B">
              <w:t xml:space="preserve"> </w: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w:t>
            </w:r>
            <w:r w:rsidR="00DB568A" w:rsidRPr="00DA3C6E">
              <w:fldChar w:fldCharType="end"/>
            </w:r>
          </w:p>
        </w:tc>
        <w:tc>
          <w:tcPr>
            <w:tcW w:w="774" w:type="pct"/>
            <w:vAlign w:val="center"/>
          </w:tcPr>
          <w:p w14:paraId="62FB7C45" w14:textId="77777777" w:rsidR="002D6035" w:rsidRPr="00DA3C6E" w:rsidRDefault="002D6035" w:rsidP="00740643">
            <w:pPr>
              <w:pStyle w:val="TableText0"/>
              <w:ind w:left="16" w:right="117"/>
              <w:jc w:val="center"/>
              <w:rPr>
                <w:snapToGrid w:val="0"/>
                <w:color w:val="FFFFFF" w:themeColor="background1"/>
              </w:rPr>
            </w:pPr>
            <w:r w:rsidRPr="00DA3C6E">
              <w:rPr>
                <w:snapToGrid w:val="0"/>
              </w:rPr>
              <w:t>Low</w:t>
            </w:r>
          </w:p>
        </w:tc>
        <w:tc>
          <w:tcPr>
            <w:tcW w:w="766" w:type="pct"/>
            <w:shd w:val="clear" w:color="auto" w:fill="auto"/>
          </w:tcPr>
          <w:p w14:paraId="64DB3CD4" w14:textId="77777777" w:rsidR="002D6035" w:rsidRPr="00DA3C6E" w:rsidRDefault="002D6035" w:rsidP="00740643">
            <w:pPr>
              <w:pStyle w:val="TableText0"/>
              <w:ind w:left="111" w:right="117"/>
              <w:jc w:val="center"/>
              <w:rPr>
                <w:snapToGrid w:val="0"/>
                <w:color w:val="FFFFFF" w:themeColor="background1"/>
              </w:rPr>
            </w:pPr>
            <w:r w:rsidRPr="00DA3C6E">
              <w:rPr>
                <w:szCs w:val="20"/>
              </w:rPr>
              <w:t>11/16 (68.8)</w:t>
            </w:r>
            <w:r w:rsidRPr="00DA3C6E">
              <w:rPr>
                <w:szCs w:val="20"/>
                <w:vertAlign w:val="superscript"/>
              </w:rPr>
              <w:t>a</w:t>
            </w:r>
          </w:p>
        </w:tc>
        <w:tc>
          <w:tcPr>
            <w:tcW w:w="767" w:type="pct"/>
            <w:gridSpan w:val="2"/>
            <w:shd w:val="clear" w:color="auto" w:fill="auto"/>
          </w:tcPr>
          <w:p w14:paraId="49B98215" w14:textId="77777777" w:rsidR="002D6035" w:rsidRPr="00DA3C6E" w:rsidRDefault="002D6035" w:rsidP="00740643">
            <w:pPr>
              <w:pStyle w:val="TableText0"/>
              <w:ind w:left="77" w:right="117"/>
              <w:jc w:val="center"/>
              <w:rPr>
                <w:snapToGrid w:val="0"/>
                <w:color w:val="FFFFFF" w:themeColor="background1"/>
              </w:rPr>
            </w:pPr>
            <w:r w:rsidRPr="00DA3C6E">
              <w:rPr>
                <w:szCs w:val="20"/>
              </w:rPr>
              <w:t>0/16 (0)</w:t>
            </w:r>
            <w:r w:rsidRPr="00DA3C6E">
              <w:rPr>
                <w:szCs w:val="20"/>
                <w:vertAlign w:val="superscript"/>
              </w:rPr>
              <w:t>a</w:t>
            </w:r>
          </w:p>
        </w:tc>
        <w:tc>
          <w:tcPr>
            <w:tcW w:w="810" w:type="pct"/>
            <w:shd w:val="clear" w:color="auto" w:fill="auto"/>
            <w:vAlign w:val="center"/>
          </w:tcPr>
          <w:p w14:paraId="6CC03D23" w14:textId="77777777" w:rsidR="002D6035" w:rsidRPr="00DA3C6E" w:rsidRDefault="002D6035" w:rsidP="00740643">
            <w:pPr>
              <w:pStyle w:val="TableText0"/>
              <w:ind w:left="41" w:right="117"/>
              <w:jc w:val="center"/>
              <w:rPr>
                <w:i/>
                <w:snapToGrid w:val="0"/>
              </w:rPr>
            </w:pPr>
            <w:r w:rsidRPr="00DA3C6E">
              <w:rPr>
                <w:i/>
                <w:snapToGrid w:val="0"/>
              </w:rPr>
              <w:t>NE</w:t>
            </w:r>
          </w:p>
        </w:tc>
        <w:tc>
          <w:tcPr>
            <w:tcW w:w="1101" w:type="pct"/>
            <w:shd w:val="clear" w:color="auto" w:fill="auto"/>
            <w:vAlign w:val="center"/>
          </w:tcPr>
          <w:p w14:paraId="25F65BEE" w14:textId="77777777" w:rsidR="002D6035" w:rsidRPr="00DA3C6E" w:rsidRDefault="002D6035" w:rsidP="00740643">
            <w:pPr>
              <w:pStyle w:val="TableText0"/>
              <w:ind w:right="117"/>
              <w:jc w:val="center"/>
              <w:rPr>
                <w:i/>
                <w:snapToGrid w:val="0"/>
              </w:rPr>
            </w:pPr>
            <w:r w:rsidRPr="00DA3C6E">
              <w:rPr>
                <w:i/>
                <w:snapToGrid w:val="0"/>
              </w:rPr>
              <w:t>0.67 (0.46, 0.92)</w:t>
            </w:r>
          </w:p>
        </w:tc>
      </w:tr>
      <w:tr w:rsidR="007C7E04" w:rsidRPr="00DA3C6E" w14:paraId="6D2FFA4C" w14:textId="77777777" w:rsidTr="001207B3">
        <w:tc>
          <w:tcPr>
            <w:tcW w:w="782" w:type="pct"/>
            <w:shd w:val="clear" w:color="auto" w:fill="auto"/>
          </w:tcPr>
          <w:p w14:paraId="425A54C0" w14:textId="4C637F90" w:rsidR="002D6035" w:rsidRPr="00DA3C6E" w:rsidRDefault="002D6035" w:rsidP="00C04BCE">
            <w:pPr>
              <w:pStyle w:val="TableText0"/>
              <w:rPr>
                <w:snapToGrid w:val="0"/>
              </w:rPr>
            </w:pPr>
            <w:r w:rsidRPr="00DA3C6E">
              <w:t>Leger et al. 2001</w:t>
            </w:r>
            <w:r w:rsidR="00BE7F1B">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p>
        </w:tc>
        <w:tc>
          <w:tcPr>
            <w:tcW w:w="774" w:type="pct"/>
            <w:vAlign w:val="center"/>
          </w:tcPr>
          <w:p w14:paraId="1E7224CA" w14:textId="77777777" w:rsidR="002D6035" w:rsidRPr="00DA3C6E" w:rsidRDefault="002D6035" w:rsidP="00740643">
            <w:pPr>
              <w:pStyle w:val="TableText0"/>
              <w:ind w:left="16" w:right="117"/>
              <w:jc w:val="center"/>
              <w:rPr>
                <w:snapToGrid w:val="0"/>
                <w:color w:val="FFFFFF" w:themeColor="background1"/>
              </w:rPr>
            </w:pPr>
          </w:p>
        </w:tc>
        <w:tc>
          <w:tcPr>
            <w:tcW w:w="766" w:type="pct"/>
            <w:shd w:val="clear" w:color="auto" w:fill="auto"/>
          </w:tcPr>
          <w:p w14:paraId="1BFA2776" w14:textId="77777777" w:rsidR="002D6035" w:rsidRPr="00DA3C6E" w:rsidRDefault="002D6035" w:rsidP="00740643">
            <w:pPr>
              <w:pStyle w:val="TableText0"/>
              <w:ind w:left="111" w:right="117"/>
              <w:jc w:val="center"/>
              <w:rPr>
                <w:snapToGrid w:val="0"/>
                <w:color w:val="FFFFFF" w:themeColor="background1"/>
              </w:rPr>
            </w:pPr>
          </w:p>
        </w:tc>
        <w:tc>
          <w:tcPr>
            <w:tcW w:w="767" w:type="pct"/>
            <w:gridSpan w:val="2"/>
            <w:shd w:val="clear" w:color="auto" w:fill="auto"/>
          </w:tcPr>
          <w:p w14:paraId="66C897AE" w14:textId="77777777" w:rsidR="002D6035" w:rsidRPr="00DA3C6E" w:rsidRDefault="002D6035" w:rsidP="00740643">
            <w:pPr>
              <w:pStyle w:val="TableText0"/>
              <w:ind w:left="77" w:right="117"/>
              <w:jc w:val="center"/>
              <w:rPr>
                <w:snapToGrid w:val="0"/>
                <w:color w:val="FFFFFF" w:themeColor="background1"/>
              </w:rPr>
            </w:pPr>
          </w:p>
        </w:tc>
        <w:tc>
          <w:tcPr>
            <w:tcW w:w="810" w:type="pct"/>
            <w:shd w:val="clear" w:color="auto" w:fill="auto"/>
            <w:vAlign w:val="center"/>
          </w:tcPr>
          <w:p w14:paraId="386FE8CB" w14:textId="77777777" w:rsidR="002D6035" w:rsidRPr="00DA3C6E" w:rsidRDefault="002D6035" w:rsidP="00740643">
            <w:pPr>
              <w:pStyle w:val="TableText0"/>
              <w:ind w:left="41" w:right="117"/>
              <w:jc w:val="center"/>
              <w:rPr>
                <w:i/>
                <w:snapToGrid w:val="0"/>
              </w:rPr>
            </w:pPr>
          </w:p>
        </w:tc>
        <w:tc>
          <w:tcPr>
            <w:tcW w:w="1101" w:type="pct"/>
            <w:shd w:val="clear" w:color="auto" w:fill="auto"/>
            <w:vAlign w:val="center"/>
          </w:tcPr>
          <w:p w14:paraId="384293E1" w14:textId="77777777" w:rsidR="002D6035" w:rsidRPr="00DA3C6E" w:rsidRDefault="002D6035" w:rsidP="00740643">
            <w:pPr>
              <w:pStyle w:val="TableText0"/>
              <w:ind w:right="117"/>
              <w:jc w:val="center"/>
              <w:rPr>
                <w:i/>
                <w:snapToGrid w:val="0"/>
              </w:rPr>
            </w:pPr>
          </w:p>
        </w:tc>
      </w:tr>
      <w:tr w:rsidR="007C7E04" w:rsidRPr="00DA3C6E" w14:paraId="216409B0" w14:textId="77777777" w:rsidTr="001207B3">
        <w:tc>
          <w:tcPr>
            <w:tcW w:w="782" w:type="pct"/>
            <w:shd w:val="clear" w:color="auto" w:fill="auto"/>
          </w:tcPr>
          <w:p w14:paraId="64A23476" w14:textId="77777777" w:rsidR="007B6537" w:rsidRPr="00DA3C6E" w:rsidRDefault="007B6537" w:rsidP="002D6035">
            <w:pPr>
              <w:pStyle w:val="TableText0"/>
            </w:pPr>
            <w:r w:rsidRPr="00DA3C6E">
              <w:t>All patients</w:t>
            </w:r>
          </w:p>
        </w:tc>
        <w:tc>
          <w:tcPr>
            <w:tcW w:w="774" w:type="pct"/>
            <w:vMerge w:val="restart"/>
            <w:vAlign w:val="center"/>
          </w:tcPr>
          <w:p w14:paraId="3DC380A3" w14:textId="77777777" w:rsidR="007B6537" w:rsidRPr="00DA3C6E" w:rsidRDefault="007B6537" w:rsidP="002D6035">
            <w:pPr>
              <w:pStyle w:val="TableText0"/>
              <w:ind w:left="16" w:right="117"/>
              <w:jc w:val="center"/>
              <w:rPr>
                <w:snapToGrid w:val="0"/>
              </w:rPr>
            </w:pPr>
            <w:r w:rsidRPr="00DA3C6E">
              <w:rPr>
                <w:snapToGrid w:val="0"/>
              </w:rPr>
              <w:t>Low</w:t>
            </w:r>
          </w:p>
        </w:tc>
        <w:tc>
          <w:tcPr>
            <w:tcW w:w="766" w:type="pct"/>
            <w:shd w:val="clear" w:color="auto" w:fill="auto"/>
            <w:vAlign w:val="center"/>
          </w:tcPr>
          <w:p w14:paraId="102ACB07" w14:textId="77777777" w:rsidR="007B6537" w:rsidRPr="00DA3C6E" w:rsidRDefault="007B6537" w:rsidP="007B6537">
            <w:pPr>
              <w:pStyle w:val="TableText0"/>
              <w:ind w:left="111" w:right="117"/>
              <w:jc w:val="center"/>
              <w:rPr>
                <w:szCs w:val="20"/>
              </w:rPr>
            </w:pPr>
            <w:r w:rsidRPr="00DA3C6E">
              <w:rPr>
                <w:szCs w:val="20"/>
              </w:rPr>
              <w:t>7/9 (77.8)</w:t>
            </w:r>
            <w:r w:rsidRPr="00DA3C6E">
              <w:rPr>
                <w:szCs w:val="20"/>
                <w:vertAlign w:val="superscript"/>
              </w:rPr>
              <w:t>b</w:t>
            </w:r>
          </w:p>
        </w:tc>
        <w:tc>
          <w:tcPr>
            <w:tcW w:w="767" w:type="pct"/>
            <w:gridSpan w:val="2"/>
            <w:shd w:val="clear" w:color="auto" w:fill="auto"/>
            <w:vAlign w:val="center"/>
          </w:tcPr>
          <w:p w14:paraId="54BB8EE7" w14:textId="77777777" w:rsidR="007B6537" w:rsidRPr="00DA3C6E" w:rsidRDefault="007B6537" w:rsidP="007B6537">
            <w:pPr>
              <w:pStyle w:val="TableText0"/>
              <w:ind w:left="77" w:right="117"/>
              <w:jc w:val="center"/>
              <w:rPr>
                <w:szCs w:val="20"/>
              </w:rPr>
            </w:pPr>
            <w:r w:rsidRPr="00DA3C6E">
              <w:rPr>
                <w:szCs w:val="20"/>
              </w:rPr>
              <w:t>2/9(22.2)</w:t>
            </w:r>
            <w:r w:rsidRPr="00DA3C6E">
              <w:rPr>
                <w:szCs w:val="20"/>
                <w:vertAlign w:val="superscript"/>
              </w:rPr>
              <w:t>b</w:t>
            </w:r>
          </w:p>
        </w:tc>
        <w:tc>
          <w:tcPr>
            <w:tcW w:w="810" w:type="pct"/>
            <w:shd w:val="clear" w:color="auto" w:fill="auto"/>
            <w:vAlign w:val="center"/>
          </w:tcPr>
          <w:p w14:paraId="3A661912" w14:textId="77777777" w:rsidR="007B6537" w:rsidRPr="00DA3C6E" w:rsidRDefault="007B6537" w:rsidP="007B6537">
            <w:pPr>
              <w:pStyle w:val="TableText0"/>
              <w:ind w:left="41" w:right="117"/>
              <w:jc w:val="center"/>
              <w:rPr>
                <w:i/>
                <w:snapToGrid w:val="0"/>
              </w:rPr>
            </w:pPr>
            <w:r w:rsidRPr="00DA3C6E">
              <w:rPr>
                <w:i/>
                <w:snapToGrid w:val="0"/>
              </w:rPr>
              <w:t>3.5 (0.98, 12.48)</w:t>
            </w:r>
          </w:p>
        </w:tc>
        <w:tc>
          <w:tcPr>
            <w:tcW w:w="1101" w:type="pct"/>
            <w:shd w:val="clear" w:color="auto" w:fill="auto"/>
            <w:vAlign w:val="center"/>
          </w:tcPr>
          <w:p w14:paraId="79DCA99E" w14:textId="77777777" w:rsidR="007B6537" w:rsidRPr="00DA3C6E" w:rsidRDefault="007B6537" w:rsidP="007B6537">
            <w:pPr>
              <w:pStyle w:val="TableText0"/>
              <w:ind w:right="117"/>
              <w:jc w:val="center"/>
              <w:rPr>
                <w:i/>
                <w:snapToGrid w:val="0"/>
              </w:rPr>
            </w:pPr>
            <w:r w:rsidRPr="00DA3C6E">
              <w:rPr>
                <w:i/>
                <w:snapToGrid w:val="0"/>
              </w:rPr>
              <w:t>0.56 (0.17, 0.94)</w:t>
            </w:r>
          </w:p>
        </w:tc>
      </w:tr>
      <w:tr w:rsidR="007C7E04" w:rsidRPr="00DA3C6E" w14:paraId="0B99D831" w14:textId="77777777" w:rsidTr="001207B3">
        <w:tc>
          <w:tcPr>
            <w:tcW w:w="782" w:type="pct"/>
            <w:shd w:val="clear" w:color="auto" w:fill="auto"/>
          </w:tcPr>
          <w:p w14:paraId="15D45F03" w14:textId="77777777" w:rsidR="007B6537" w:rsidRPr="00DA3C6E" w:rsidRDefault="007B6537" w:rsidP="002D6035">
            <w:pPr>
              <w:pStyle w:val="TableText0"/>
              <w:jc w:val="left"/>
            </w:pPr>
            <w:r w:rsidRPr="00DA3C6E">
              <w:t>Treatment-naïve patients)</w:t>
            </w:r>
          </w:p>
        </w:tc>
        <w:tc>
          <w:tcPr>
            <w:tcW w:w="774" w:type="pct"/>
            <w:vMerge/>
            <w:vAlign w:val="center"/>
          </w:tcPr>
          <w:p w14:paraId="0F4DA0CD" w14:textId="77777777" w:rsidR="007B6537" w:rsidRPr="00DA3C6E" w:rsidRDefault="007B6537" w:rsidP="002D6035">
            <w:pPr>
              <w:pStyle w:val="TableText0"/>
              <w:ind w:left="16" w:right="117"/>
              <w:jc w:val="center"/>
              <w:rPr>
                <w:snapToGrid w:val="0"/>
              </w:rPr>
            </w:pPr>
          </w:p>
        </w:tc>
        <w:tc>
          <w:tcPr>
            <w:tcW w:w="766" w:type="pct"/>
            <w:shd w:val="clear" w:color="auto" w:fill="auto"/>
            <w:vAlign w:val="center"/>
          </w:tcPr>
          <w:p w14:paraId="301EA07B" w14:textId="77777777" w:rsidR="007B6537" w:rsidRPr="00DA3C6E" w:rsidRDefault="007B6537" w:rsidP="007B6537">
            <w:pPr>
              <w:pStyle w:val="TableText0"/>
              <w:ind w:left="111" w:right="117"/>
              <w:jc w:val="center"/>
              <w:rPr>
                <w:snapToGrid w:val="0"/>
                <w:color w:val="FFFFFF" w:themeColor="background1"/>
              </w:rPr>
            </w:pPr>
            <w:r w:rsidRPr="00DA3C6E">
              <w:rPr>
                <w:szCs w:val="20"/>
              </w:rPr>
              <w:t>2/4 (50)</w:t>
            </w:r>
            <w:r w:rsidRPr="00DA3C6E">
              <w:rPr>
                <w:szCs w:val="20"/>
                <w:vertAlign w:val="superscript"/>
              </w:rPr>
              <w:t>c</w:t>
            </w:r>
          </w:p>
        </w:tc>
        <w:tc>
          <w:tcPr>
            <w:tcW w:w="767" w:type="pct"/>
            <w:gridSpan w:val="2"/>
            <w:shd w:val="clear" w:color="auto" w:fill="auto"/>
            <w:vAlign w:val="center"/>
          </w:tcPr>
          <w:p w14:paraId="21FF5784" w14:textId="77777777" w:rsidR="007B6537" w:rsidRPr="00DA3C6E" w:rsidRDefault="007B6537" w:rsidP="007B6537">
            <w:pPr>
              <w:pStyle w:val="TableText0"/>
              <w:ind w:left="77" w:right="117"/>
              <w:jc w:val="center"/>
              <w:rPr>
                <w:snapToGrid w:val="0"/>
                <w:color w:val="FFFFFF" w:themeColor="background1"/>
              </w:rPr>
            </w:pPr>
            <w:r w:rsidRPr="00DA3C6E">
              <w:rPr>
                <w:szCs w:val="20"/>
              </w:rPr>
              <w:t>2/5(40)</w:t>
            </w:r>
            <w:r w:rsidRPr="00DA3C6E">
              <w:rPr>
                <w:szCs w:val="20"/>
                <w:vertAlign w:val="superscript"/>
              </w:rPr>
              <w:t>c</w:t>
            </w:r>
          </w:p>
        </w:tc>
        <w:tc>
          <w:tcPr>
            <w:tcW w:w="810" w:type="pct"/>
            <w:shd w:val="clear" w:color="auto" w:fill="auto"/>
            <w:vAlign w:val="center"/>
          </w:tcPr>
          <w:p w14:paraId="5BCD2BB5" w14:textId="77777777" w:rsidR="007B6537" w:rsidRPr="00DA3C6E" w:rsidRDefault="007B6537" w:rsidP="007B6537">
            <w:pPr>
              <w:pStyle w:val="TableText0"/>
              <w:ind w:left="41" w:right="117"/>
              <w:jc w:val="center"/>
              <w:rPr>
                <w:i/>
                <w:snapToGrid w:val="0"/>
              </w:rPr>
            </w:pPr>
            <w:r w:rsidRPr="00DA3C6E">
              <w:rPr>
                <w:i/>
                <w:snapToGrid w:val="0"/>
              </w:rPr>
              <w:t>1.25 (0.29, 5.34)</w:t>
            </w:r>
          </w:p>
        </w:tc>
        <w:tc>
          <w:tcPr>
            <w:tcW w:w="1101" w:type="pct"/>
            <w:shd w:val="clear" w:color="auto" w:fill="auto"/>
            <w:vAlign w:val="center"/>
          </w:tcPr>
          <w:p w14:paraId="6912A6E7" w14:textId="77777777" w:rsidR="007B6537" w:rsidRPr="00DA3C6E" w:rsidRDefault="007B6537" w:rsidP="007B6537">
            <w:pPr>
              <w:pStyle w:val="TableText0"/>
              <w:ind w:right="117"/>
              <w:jc w:val="center"/>
              <w:rPr>
                <w:i/>
                <w:snapToGrid w:val="0"/>
              </w:rPr>
            </w:pPr>
            <w:r w:rsidRPr="00DA3C6E">
              <w:rPr>
                <w:i/>
                <w:snapToGrid w:val="0"/>
              </w:rPr>
              <w:t>0.10 (-0.55, 0.75)</w:t>
            </w:r>
          </w:p>
        </w:tc>
      </w:tr>
      <w:tr w:rsidR="007C7E04" w:rsidRPr="00DA3C6E" w14:paraId="43EAD94B" w14:textId="77777777" w:rsidTr="001207B3">
        <w:tc>
          <w:tcPr>
            <w:tcW w:w="782" w:type="pct"/>
            <w:shd w:val="clear" w:color="auto" w:fill="auto"/>
          </w:tcPr>
          <w:p w14:paraId="28079556" w14:textId="77777777" w:rsidR="007B6537" w:rsidRPr="00DA3C6E" w:rsidRDefault="007B6537" w:rsidP="002D6035">
            <w:pPr>
              <w:pStyle w:val="TableText0"/>
              <w:jc w:val="left"/>
            </w:pPr>
            <w:r w:rsidRPr="00DA3C6E">
              <w:t>Pre-treated patients)</w:t>
            </w:r>
          </w:p>
        </w:tc>
        <w:tc>
          <w:tcPr>
            <w:tcW w:w="774" w:type="pct"/>
            <w:vMerge/>
            <w:vAlign w:val="center"/>
          </w:tcPr>
          <w:p w14:paraId="45F8CD4C" w14:textId="77777777" w:rsidR="007B6537" w:rsidRPr="00DA3C6E" w:rsidRDefault="007B6537" w:rsidP="002D6035">
            <w:pPr>
              <w:pStyle w:val="TableText0"/>
              <w:ind w:left="16" w:right="117"/>
              <w:jc w:val="center"/>
              <w:rPr>
                <w:snapToGrid w:val="0"/>
              </w:rPr>
            </w:pPr>
          </w:p>
        </w:tc>
        <w:tc>
          <w:tcPr>
            <w:tcW w:w="766" w:type="pct"/>
            <w:shd w:val="clear" w:color="auto" w:fill="auto"/>
            <w:vAlign w:val="center"/>
          </w:tcPr>
          <w:p w14:paraId="74E8BA44" w14:textId="77777777" w:rsidR="007B6537" w:rsidRPr="00DA3C6E" w:rsidRDefault="007B6537" w:rsidP="007B6537">
            <w:pPr>
              <w:pStyle w:val="TableText0"/>
              <w:ind w:left="111" w:right="117"/>
              <w:jc w:val="center"/>
              <w:rPr>
                <w:snapToGrid w:val="0"/>
                <w:color w:val="FFFFFF" w:themeColor="background1"/>
              </w:rPr>
            </w:pPr>
            <w:r w:rsidRPr="00DA3C6E">
              <w:rPr>
                <w:szCs w:val="20"/>
              </w:rPr>
              <w:t>5/5 (100)</w:t>
            </w:r>
            <w:r w:rsidRPr="00DA3C6E">
              <w:rPr>
                <w:szCs w:val="20"/>
                <w:vertAlign w:val="superscript"/>
              </w:rPr>
              <w:t>d</w:t>
            </w:r>
          </w:p>
        </w:tc>
        <w:tc>
          <w:tcPr>
            <w:tcW w:w="767" w:type="pct"/>
            <w:gridSpan w:val="2"/>
            <w:shd w:val="clear" w:color="auto" w:fill="auto"/>
            <w:vAlign w:val="center"/>
          </w:tcPr>
          <w:p w14:paraId="1F3EC4DB" w14:textId="77777777" w:rsidR="007B6537" w:rsidRPr="00DA3C6E" w:rsidRDefault="007B6537" w:rsidP="007B6537">
            <w:pPr>
              <w:pStyle w:val="TableText0"/>
              <w:ind w:left="77" w:right="117"/>
              <w:jc w:val="center"/>
              <w:rPr>
                <w:snapToGrid w:val="0"/>
                <w:color w:val="FFFFFF" w:themeColor="background1"/>
              </w:rPr>
            </w:pPr>
            <w:r w:rsidRPr="00DA3C6E">
              <w:rPr>
                <w:szCs w:val="20"/>
              </w:rPr>
              <w:t>0/4 (0)</w:t>
            </w:r>
            <w:r w:rsidRPr="00DA3C6E">
              <w:rPr>
                <w:szCs w:val="20"/>
                <w:vertAlign w:val="superscript"/>
              </w:rPr>
              <w:t>d</w:t>
            </w:r>
          </w:p>
        </w:tc>
        <w:tc>
          <w:tcPr>
            <w:tcW w:w="810" w:type="pct"/>
            <w:shd w:val="clear" w:color="auto" w:fill="auto"/>
            <w:vAlign w:val="center"/>
          </w:tcPr>
          <w:p w14:paraId="4612CCAA" w14:textId="77777777" w:rsidR="007B6537" w:rsidRPr="00DA3C6E" w:rsidRDefault="007B6537" w:rsidP="007B6537">
            <w:pPr>
              <w:pStyle w:val="TableText0"/>
              <w:ind w:left="41" w:right="117"/>
              <w:jc w:val="center"/>
              <w:rPr>
                <w:i/>
                <w:snapToGrid w:val="0"/>
              </w:rPr>
            </w:pPr>
            <w:r w:rsidRPr="00DA3C6E">
              <w:rPr>
                <w:i/>
                <w:snapToGrid w:val="0"/>
              </w:rPr>
              <w:t>NE</w:t>
            </w:r>
          </w:p>
        </w:tc>
        <w:tc>
          <w:tcPr>
            <w:tcW w:w="1101" w:type="pct"/>
            <w:shd w:val="clear" w:color="auto" w:fill="auto"/>
            <w:vAlign w:val="center"/>
          </w:tcPr>
          <w:p w14:paraId="5A427E0F" w14:textId="77777777" w:rsidR="007B6537" w:rsidRPr="00DA3C6E" w:rsidRDefault="007B6537" w:rsidP="007B6537">
            <w:pPr>
              <w:pStyle w:val="TableText0"/>
              <w:ind w:right="117"/>
              <w:jc w:val="center"/>
              <w:rPr>
                <w:i/>
                <w:snapToGrid w:val="0"/>
              </w:rPr>
            </w:pPr>
            <w:r w:rsidRPr="00DA3C6E">
              <w:rPr>
                <w:i/>
                <w:snapToGrid w:val="0"/>
              </w:rPr>
              <w:t>1 (1, 1)</w:t>
            </w:r>
          </w:p>
        </w:tc>
      </w:tr>
      <w:tr w:rsidR="007C7E04" w:rsidRPr="00DA3C6E" w14:paraId="713C0A5E" w14:textId="77777777" w:rsidTr="001207B3">
        <w:tc>
          <w:tcPr>
            <w:tcW w:w="782" w:type="pct"/>
            <w:shd w:val="clear" w:color="auto" w:fill="auto"/>
            <w:vAlign w:val="center"/>
          </w:tcPr>
          <w:p w14:paraId="239EF5E7" w14:textId="175FEF0A" w:rsidR="002D6035" w:rsidRPr="00DA3C6E" w:rsidRDefault="002D6035" w:rsidP="00C04BCE">
            <w:pPr>
              <w:pStyle w:val="TableText0"/>
              <w:rPr>
                <w:snapToGrid w:val="0"/>
              </w:rPr>
            </w:pPr>
            <w:r w:rsidRPr="00DA3C6E">
              <w:t>Hahn et al. 2013</w:t>
            </w:r>
            <w:r w:rsidR="00BE7F1B">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p>
        </w:tc>
        <w:tc>
          <w:tcPr>
            <w:tcW w:w="774" w:type="pct"/>
            <w:vAlign w:val="center"/>
          </w:tcPr>
          <w:p w14:paraId="244C68B9" w14:textId="77777777" w:rsidR="002D6035" w:rsidRPr="00DA3C6E" w:rsidRDefault="002D6035" w:rsidP="002D6035">
            <w:pPr>
              <w:pStyle w:val="TableText0"/>
              <w:ind w:left="16" w:right="117"/>
              <w:jc w:val="center"/>
              <w:rPr>
                <w:snapToGrid w:val="0"/>
                <w:color w:val="FFFFFF" w:themeColor="background1"/>
              </w:rPr>
            </w:pPr>
            <w:r w:rsidRPr="00DA3C6E">
              <w:rPr>
                <w:snapToGrid w:val="0"/>
              </w:rPr>
              <w:t>Low</w:t>
            </w:r>
          </w:p>
        </w:tc>
        <w:tc>
          <w:tcPr>
            <w:tcW w:w="766" w:type="pct"/>
            <w:shd w:val="clear" w:color="auto" w:fill="auto"/>
          </w:tcPr>
          <w:p w14:paraId="225A57D4" w14:textId="77777777" w:rsidR="002D6035" w:rsidRPr="00DA3C6E" w:rsidRDefault="002D6035" w:rsidP="002D6035">
            <w:pPr>
              <w:pStyle w:val="TableText0"/>
              <w:ind w:left="111" w:right="117"/>
              <w:jc w:val="center"/>
              <w:rPr>
                <w:snapToGrid w:val="0"/>
                <w:color w:val="FFFFFF" w:themeColor="background1"/>
                <w:vertAlign w:val="superscript"/>
              </w:rPr>
            </w:pPr>
            <w:r w:rsidRPr="00DA3C6E">
              <w:rPr>
                <w:szCs w:val="20"/>
              </w:rPr>
              <w:t>40/42 (95.2)</w:t>
            </w:r>
            <w:r w:rsidRPr="00DA3C6E">
              <w:rPr>
                <w:szCs w:val="20"/>
                <w:vertAlign w:val="superscript"/>
              </w:rPr>
              <w:t>e</w:t>
            </w:r>
          </w:p>
        </w:tc>
        <w:tc>
          <w:tcPr>
            <w:tcW w:w="767" w:type="pct"/>
            <w:gridSpan w:val="2"/>
            <w:shd w:val="clear" w:color="auto" w:fill="auto"/>
          </w:tcPr>
          <w:p w14:paraId="7EE81297" w14:textId="77777777" w:rsidR="002D6035" w:rsidRPr="00DA3C6E" w:rsidRDefault="002D6035" w:rsidP="002D6035">
            <w:pPr>
              <w:pStyle w:val="TableText0"/>
              <w:ind w:left="77" w:right="117"/>
              <w:jc w:val="center"/>
              <w:rPr>
                <w:snapToGrid w:val="0"/>
                <w:color w:val="FFFFFF" w:themeColor="background1"/>
                <w:vertAlign w:val="superscript"/>
              </w:rPr>
            </w:pPr>
            <w:r w:rsidRPr="00DA3C6E">
              <w:rPr>
                <w:szCs w:val="20"/>
              </w:rPr>
              <w:t>24/42 (57.1)</w:t>
            </w:r>
            <w:r w:rsidRPr="00DA3C6E">
              <w:rPr>
                <w:szCs w:val="20"/>
                <w:vertAlign w:val="superscript"/>
              </w:rPr>
              <w:t>e</w:t>
            </w:r>
          </w:p>
        </w:tc>
        <w:tc>
          <w:tcPr>
            <w:tcW w:w="810" w:type="pct"/>
            <w:shd w:val="clear" w:color="auto" w:fill="auto"/>
            <w:vAlign w:val="center"/>
          </w:tcPr>
          <w:p w14:paraId="281E1C00" w14:textId="77777777" w:rsidR="002D6035" w:rsidRPr="00DA3C6E" w:rsidRDefault="002D6035" w:rsidP="002D6035">
            <w:pPr>
              <w:pStyle w:val="TableText0"/>
              <w:ind w:left="41" w:right="117"/>
              <w:jc w:val="center"/>
              <w:rPr>
                <w:b/>
                <w:i/>
                <w:snapToGrid w:val="0"/>
              </w:rPr>
            </w:pPr>
            <w:r w:rsidRPr="00DA3C6E">
              <w:rPr>
                <w:b/>
                <w:i/>
                <w:snapToGrid w:val="0"/>
              </w:rPr>
              <w:t>1.67 (1.27, 2.18)</w:t>
            </w:r>
          </w:p>
        </w:tc>
        <w:tc>
          <w:tcPr>
            <w:tcW w:w="1101" w:type="pct"/>
            <w:shd w:val="clear" w:color="auto" w:fill="auto"/>
            <w:vAlign w:val="center"/>
          </w:tcPr>
          <w:p w14:paraId="2624EA44" w14:textId="77777777" w:rsidR="002D6035" w:rsidRPr="00DA3C6E" w:rsidRDefault="002D6035" w:rsidP="002D6035">
            <w:pPr>
              <w:pStyle w:val="TableText0"/>
              <w:ind w:right="117"/>
              <w:jc w:val="center"/>
              <w:rPr>
                <w:i/>
                <w:snapToGrid w:val="0"/>
              </w:rPr>
            </w:pPr>
            <w:r w:rsidRPr="00DA3C6E">
              <w:rPr>
                <w:i/>
                <w:snapToGrid w:val="0"/>
              </w:rPr>
              <w:t>0.38 (0.22, 0.54)</w:t>
            </w:r>
          </w:p>
        </w:tc>
      </w:tr>
      <w:tr w:rsidR="002D6035" w:rsidRPr="00DA3C6E" w14:paraId="7114DC4E" w14:textId="77777777" w:rsidTr="001207B3">
        <w:tc>
          <w:tcPr>
            <w:tcW w:w="782" w:type="pct"/>
            <w:shd w:val="clear" w:color="auto" w:fill="auto"/>
            <w:vAlign w:val="center"/>
          </w:tcPr>
          <w:p w14:paraId="2766A5EC" w14:textId="77777777" w:rsidR="002D6035" w:rsidRPr="00DA3C6E" w:rsidRDefault="002D6035" w:rsidP="002D6035">
            <w:pPr>
              <w:pStyle w:val="TableText0"/>
              <w:rPr>
                <w:snapToGrid w:val="0"/>
              </w:rPr>
            </w:pPr>
            <w:r w:rsidRPr="00DA3C6E">
              <w:rPr>
                <w:snapToGrid w:val="0"/>
              </w:rPr>
              <w:t>Pooled result</w:t>
            </w:r>
          </w:p>
        </w:tc>
        <w:tc>
          <w:tcPr>
            <w:tcW w:w="4218" w:type="pct"/>
            <w:gridSpan w:val="6"/>
            <w:vAlign w:val="center"/>
          </w:tcPr>
          <w:p w14:paraId="27F80642" w14:textId="77777777" w:rsidR="002D6035" w:rsidRPr="00DA3C6E" w:rsidRDefault="00FB64A3" w:rsidP="001207B3">
            <w:pPr>
              <w:pStyle w:val="TableText0"/>
              <w:ind w:right="117"/>
              <w:jc w:val="center"/>
              <w:rPr>
                <w:b/>
                <w:i/>
                <w:snapToGrid w:val="0"/>
              </w:rPr>
            </w:pPr>
            <w:r w:rsidRPr="00DA3C6E">
              <w:rPr>
                <w:b/>
                <w:i/>
                <w:snapToGrid w:val="0"/>
              </w:rPr>
              <w:t>RR = 3.51 (95% CI 1.12, 11.05: p value = 0.03)</w:t>
            </w:r>
          </w:p>
        </w:tc>
      </w:tr>
      <w:tr w:rsidR="002D6035" w:rsidRPr="00DA3C6E" w14:paraId="6C5A61AD" w14:textId="77777777" w:rsidTr="00740643">
        <w:tc>
          <w:tcPr>
            <w:tcW w:w="5000" w:type="pct"/>
            <w:gridSpan w:val="7"/>
            <w:shd w:val="clear" w:color="auto" w:fill="auto"/>
            <w:vAlign w:val="center"/>
          </w:tcPr>
          <w:p w14:paraId="48547D5E" w14:textId="77777777" w:rsidR="002D6035" w:rsidRPr="00DA3C6E" w:rsidRDefault="002D6035" w:rsidP="002D6035">
            <w:pPr>
              <w:pStyle w:val="TableText0"/>
              <w:ind w:right="117"/>
              <w:rPr>
                <w:b/>
                <w:snapToGrid w:val="0"/>
              </w:rPr>
            </w:pPr>
            <w:r w:rsidRPr="00DA3C6E">
              <w:rPr>
                <w:b/>
                <w:snapToGrid w:val="0"/>
              </w:rPr>
              <w:t>Mean change in muscle strength or grip</w:t>
            </w:r>
          </w:p>
        </w:tc>
      </w:tr>
      <w:tr w:rsidR="007C7E04" w:rsidRPr="00DA3C6E" w14:paraId="36366E0E" w14:textId="77777777" w:rsidTr="001207B3">
        <w:tc>
          <w:tcPr>
            <w:tcW w:w="782" w:type="pct"/>
            <w:shd w:val="clear" w:color="auto" w:fill="auto"/>
          </w:tcPr>
          <w:p w14:paraId="62622494" w14:textId="4359DF2E" w:rsidR="002D6035" w:rsidRPr="00DA3C6E" w:rsidRDefault="002D6035" w:rsidP="00C04BCE">
            <w:pPr>
              <w:pStyle w:val="TableText0"/>
              <w:rPr>
                <w:snapToGrid w:val="0"/>
              </w:rPr>
            </w:pPr>
            <w:r w:rsidRPr="00DA3C6E">
              <w:t>Azulay et al. 1994</w:t>
            </w:r>
            <w:r w:rsidR="00BE7F1B">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p>
        </w:tc>
        <w:tc>
          <w:tcPr>
            <w:tcW w:w="774" w:type="pct"/>
            <w:vAlign w:val="center"/>
          </w:tcPr>
          <w:p w14:paraId="6A222FFC" w14:textId="77777777" w:rsidR="002D6035" w:rsidRPr="00DA3C6E" w:rsidRDefault="002D6035" w:rsidP="002D6035">
            <w:pPr>
              <w:pStyle w:val="TableText0"/>
              <w:ind w:left="16" w:right="117"/>
              <w:jc w:val="center"/>
              <w:rPr>
                <w:snapToGrid w:val="0"/>
                <w:color w:val="FFFFFF" w:themeColor="background1"/>
              </w:rPr>
            </w:pPr>
            <w:r w:rsidRPr="00DA3C6E">
              <w:rPr>
                <w:snapToGrid w:val="0"/>
              </w:rPr>
              <w:t>Some concern</w:t>
            </w:r>
          </w:p>
        </w:tc>
        <w:tc>
          <w:tcPr>
            <w:tcW w:w="766" w:type="pct"/>
            <w:shd w:val="clear" w:color="auto" w:fill="auto"/>
          </w:tcPr>
          <w:p w14:paraId="3C97B7CE" w14:textId="77777777" w:rsidR="002D6035" w:rsidRPr="00DA3C6E" w:rsidRDefault="002D6035" w:rsidP="002D6035">
            <w:pPr>
              <w:pStyle w:val="TableText0"/>
              <w:ind w:left="111" w:right="117"/>
              <w:jc w:val="center"/>
              <w:rPr>
                <w:snapToGrid w:val="0"/>
                <w:color w:val="FFFFFF" w:themeColor="background1"/>
                <w:vertAlign w:val="superscript"/>
              </w:rPr>
            </w:pPr>
            <w:r w:rsidRPr="00DA3C6E">
              <w:rPr>
                <w:szCs w:val="20"/>
              </w:rPr>
              <w:t>103.2</w:t>
            </w:r>
            <w:r w:rsidRPr="00DA3C6E">
              <w:rPr>
                <w:szCs w:val="20"/>
                <w:vertAlign w:val="superscript"/>
              </w:rPr>
              <w:t>f</w:t>
            </w:r>
          </w:p>
        </w:tc>
        <w:tc>
          <w:tcPr>
            <w:tcW w:w="767" w:type="pct"/>
            <w:gridSpan w:val="2"/>
            <w:shd w:val="clear" w:color="auto" w:fill="auto"/>
          </w:tcPr>
          <w:p w14:paraId="23732AD6" w14:textId="77777777" w:rsidR="002D6035" w:rsidRPr="00DA3C6E" w:rsidRDefault="002D6035" w:rsidP="002D6035">
            <w:pPr>
              <w:pStyle w:val="TableText0"/>
              <w:ind w:left="77" w:right="117"/>
              <w:jc w:val="center"/>
              <w:rPr>
                <w:snapToGrid w:val="0"/>
                <w:color w:val="FFFFFF" w:themeColor="background1"/>
                <w:vertAlign w:val="superscript"/>
              </w:rPr>
            </w:pPr>
            <w:r w:rsidRPr="00DA3C6E">
              <w:rPr>
                <w:szCs w:val="20"/>
              </w:rPr>
              <w:t>-1.6</w:t>
            </w:r>
            <w:r w:rsidRPr="00DA3C6E">
              <w:rPr>
                <w:szCs w:val="20"/>
                <w:vertAlign w:val="superscript"/>
              </w:rPr>
              <w:t>f</w:t>
            </w:r>
          </w:p>
        </w:tc>
        <w:tc>
          <w:tcPr>
            <w:tcW w:w="810" w:type="pct"/>
            <w:shd w:val="clear" w:color="auto" w:fill="auto"/>
          </w:tcPr>
          <w:p w14:paraId="143F14C8" w14:textId="77777777" w:rsidR="002D6035" w:rsidRPr="00DA3C6E" w:rsidRDefault="002D6035" w:rsidP="002D6035">
            <w:pPr>
              <w:pStyle w:val="TableText0"/>
              <w:ind w:left="41" w:right="117"/>
              <w:jc w:val="center"/>
              <w:rPr>
                <w:snapToGrid w:val="0"/>
              </w:rPr>
            </w:pPr>
            <w:r w:rsidRPr="00DA3C6E">
              <w:rPr>
                <w:snapToGrid w:val="0"/>
              </w:rPr>
              <w:t>NE</w:t>
            </w:r>
          </w:p>
        </w:tc>
        <w:tc>
          <w:tcPr>
            <w:tcW w:w="1101" w:type="pct"/>
            <w:shd w:val="clear" w:color="auto" w:fill="auto"/>
          </w:tcPr>
          <w:p w14:paraId="530D099B" w14:textId="77777777" w:rsidR="002D6035" w:rsidRPr="00DA3C6E" w:rsidRDefault="002D6035" w:rsidP="002D6035">
            <w:pPr>
              <w:pStyle w:val="TableText0"/>
              <w:ind w:right="117"/>
              <w:jc w:val="center"/>
              <w:rPr>
                <w:snapToGrid w:val="0"/>
              </w:rPr>
            </w:pPr>
            <w:r w:rsidRPr="00DA3C6E">
              <w:rPr>
                <w:snapToGrid w:val="0"/>
              </w:rPr>
              <w:t>NE</w:t>
            </w:r>
          </w:p>
        </w:tc>
      </w:tr>
      <w:tr w:rsidR="007C7E04" w:rsidRPr="00DA3C6E" w14:paraId="0C49FD46" w14:textId="77777777" w:rsidTr="001207B3">
        <w:tc>
          <w:tcPr>
            <w:tcW w:w="782" w:type="pct"/>
            <w:shd w:val="clear" w:color="auto" w:fill="auto"/>
          </w:tcPr>
          <w:p w14:paraId="6128D465" w14:textId="07848983" w:rsidR="002D6035" w:rsidRPr="00DA3C6E" w:rsidRDefault="002D6035" w:rsidP="00C04BCE">
            <w:pPr>
              <w:pStyle w:val="TableText0"/>
              <w:rPr>
                <w:snapToGrid w:val="0"/>
              </w:rPr>
            </w:pPr>
            <w:r w:rsidRPr="00DA3C6E">
              <w:rPr>
                <w:lang w:val="es-CL"/>
              </w:rPr>
              <w:t xml:space="preserve">Van den Berg et al.  </w:t>
            </w:r>
            <w:r w:rsidRPr="00DA3C6E">
              <w:t>1995</w:t>
            </w:r>
            <w:r w:rsidR="00BE7F1B">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p>
        </w:tc>
        <w:tc>
          <w:tcPr>
            <w:tcW w:w="774" w:type="pct"/>
            <w:vAlign w:val="center"/>
          </w:tcPr>
          <w:p w14:paraId="76690134" w14:textId="77777777" w:rsidR="002D6035" w:rsidRPr="00DA3C6E" w:rsidRDefault="002D6035" w:rsidP="002D6035">
            <w:pPr>
              <w:pStyle w:val="TableText0"/>
              <w:ind w:left="16" w:right="117"/>
              <w:jc w:val="center"/>
              <w:rPr>
                <w:snapToGrid w:val="0"/>
                <w:color w:val="FFFFFF" w:themeColor="background1"/>
              </w:rPr>
            </w:pPr>
            <w:r w:rsidRPr="00DA3C6E">
              <w:rPr>
                <w:snapToGrid w:val="0"/>
              </w:rPr>
              <w:t>Low</w:t>
            </w:r>
          </w:p>
        </w:tc>
        <w:tc>
          <w:tcPr>
            <w:tcW w:w="766" w:type="pct"/>
            <w:shd w:val="clear" w:color="auto" w:fill="auto"/>
            <w:vAlign w:val="center"/>
          </w:tcPr>
          <w:p w14:paraId="356011EA" w14:textId="77777777" w:rsidR="002D6035" w:rsidRPr="00DA3C6E" w:rsidRDefault="002D6035" w:rsidP="002D6035">
            <w:pPr>
              <w:pStyle w:val="TableText0"/>
              <w:ind w:left="111" w:right="117"/>
              <w:jc w:val="center"/>
              <w:rPr>
                <w:snapToGrid w:val="0"/>
                <w:color w:val="FFFFFF" w:themeColor="background1"/>
              </w:rPr>
            </w:pPr>
            <w:r w:rsidRPr="00DA3C6E">
              <w:rPr>
                <w:szCs w:val="20"/>
              </w:rPr>
              <w:t>NR</w:t>
            </w:r>
          </w:p>
        </w:tc>
        <w:tc>
          <w:tcPr>
            <w:tcW w:w="767" w:type="pct"/>
            <w:gridSpan w:val="2"/>
            <w:shd w:val="clear" w:color="auto" w:fill="auto"/>
            <w:vAlign w:val="center"/>
          </w:tcPr>
          <w:p w14:paraId="419C18BF" w14:textId="77777777" w:rsidR="002D6035" w:rsidRPr="00DA3C6E" w:rsidRDefault="002D6035" w:rsidP="002D6035">
            <w:pPr>
              <w:pStyle w:val="TableText0"/>
              <w:ind w:left="77" w:right="117"/>
              <w:jc w:val="center"/>
              <w:rPr>
                <w:snapToGrid w:val="0"/>
                <w:color w:val="FFFFFF" w:themeColor="background1"/>
              </w:rPr>
            </w:pPr>
            <w:r w:rsidRPr="00DA3C6E">
              <w:rPr>
                <w:szCs w:val="20"/>
              </w:rPr>
              <w:t>NR</w:t>
            </w:r>
          </w:p>
        </w:tc>
        <w:tc>
          <w:tcPr>
            <w:tcW w:w="810" w:type="pct"/>
            <w:shd w:val="clear" w:color="auto" w:fill="auto"/>
            <w:vAlign w:val="center"/>
          </w:tcPr>
          <w:p w14:paraId="1C6E2FF4" w14:textId="77777777" w:rsidR="002D6035" w:rsidRPr="00DA3C6E" w:rsidRDefault="002D6035" w:rsidP="002D6035">
            <w:pPr>
              <w:pStyle w:val="TableText0"/>
              <w:ind w:left="41" w:right="117"/>
              <w:jc w:val="center"/>
              <w:rPr>
                <w:snapToGrid w:val="0"/>
              </w:rPr>
            </w:pPr>
            <w:r w:rsidRPr="00DA3C6E">
              <w:rPr>
                <w:snapToGrid w:val="0"/>
              </w:rPr>
              <w:t>NE</w:t>
            </w:r>
          </w:p>
        </w:tc>
        <w:tc>
          <w:tcPr>
            <w:tcW w:w="1101" w:type="pct"/>
            <w:shd w:val="clear" w:color="auto" w:fill="auto"/>
            <w:vAlign w:val="center"/>
          </w:tcPr>
          <w:p w14:paraId="4A3271F1" w14:textId="77777777" w:rsidR="002D6035" w:rsidRPr="00DA3C6E" w:rsidRDefault="002D6035" w:rsidP="002D6035">
            <w:pPr>
              <w:pStyle w:val="TableText0"/>
              <w:ind w:right="117"/>
              <w:jc w:val="center"/>
              <w:rPr>
                <w:snapToGrid w:val="0"/>
              </w:rPr>
            </w:pPr>
            <w:r w:rsidRPr="00DA3C6E">
              <w:rPr>
                <w:snapToGrid w:val="0"/>
              </w:rPr>
              <w:t>NE</w:t>
            </w:r>
          </w:p>
        </w:tc>
      </w:tr>
      <w:tr w:rsidR="007C7E04" w:rsidRPr="00DA3C6E" w14:paraId="001EF403" w14:textId="77777777" w:rsidTr="001207B3">
        <w:tc>
          <w:tcPr>
            <w:tcW w:w="782" w:type="pct"/>
            <w:shd w:val="clear" w:color="auto" w:fill="auto"/>
          </w:tcPr>
          <w:p w14:paraId="0D862E4A" w14:textId="4D6CFB65" w:rsidR="002D6035" w:rsidRPr="00DA3C6E" w:rsidRDefault="002D6035" w:rsidP="00C04BCE">
            <w:pPr>
              <w:pStyle w:val="TableText0"/>
              <w:rPr>
                <w:snapToGrid w:val="0"/>
              </w:rPr>
            </w:pPr>
            <w:r w:rsidRPr="00DA3C6E">
              <w:t>Federico et al. 2000</w:t>
            </w:r>
            <w:r w:rsidR="00BE7F1B">
              <w:t xml:space="preserve"> </w: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w:t>
            </w:r>
            <w:r w:rsidR="00DB568A" w:rsidRPr="00DA3C6E">
              <w:fldChar w:fldCharType="end"/>
            </w:r>
          </w:p>
        </w:tc>
        <w:tc>
          <w:tcPr>
            <w:tcW w:w="774" w:type="pct"/>
            <w:vAlign w:val="center"/>
          </w:tcPr>
          <w:p w14:paraId="6FAA87C6" w14:textId="77777777" w:rsidR="002D6035" w:rsidRPr="00DA3C6E" w:rsidRDefault="002D6035" w:rsidP="002D6035">
            <w:pPr>
              <w:pStyle w:val="TableText0"/>
              <w:ind w:left="16" w:right="117"/>
              <w:jc w:val="center"/>
              <w:rPr>
                <w:snapToGrid w:val="0"/>
                <w:color w:val="FFFFFF" w:themeColor="background1"/>
              </w:rPr>
            </w:pPr>
            <w:r w:rsidRPr="00DA3C6E">
              <w:rPr>
                <w:snapToGrid w:val="0"/>
              </w:rPr>
              <w:t>Low</w:t>
            </w:r>
          </w:p>
        </w:tc>
        <w:tc>
          <w:tcPr>
            <w:tcW w:w="766" w:type="pct"/>
            <w:shd w:val="clear" w:color="auto" w:fill="auto"/>
          </w:tcPr>
          <w:p w14:paraId="7C27AE4A" w14:textId="77777777" w:rsidR="002D6035" w:rsidRPr="00DA3C6E" w:rsidRDefault="002D6035" w:rsidP="002D6035">
            <w:pPr>
              <w:pStyle w:val="TableText0"/>
              <w:ind w:left="111" w:right="117"/>
              <w:jc w:val="center"/>
              <w:rPr>
                <w:snapToGrid w:val="0"/>
                <w:color w:val="FFFFFF" w:themeColor="background1"/>
                <w:vertAlign w:val="superscript"/>
              </w:rPr>
            </w:pPr>
            <w:r w:rsidRPr="00DA3C6E">
              <w:rPr>
                <w:szCs w:val="20"/>
              </w:rPr>
              <w:t>6.4 (1.9)</w:t>
            </w:r>
          </w:p>
        </w:tc>
        <w:tc>
          <w:tcPr>
            <w:tcW w:w="767" w:type="pct"/>
            <w:gridSpan w:val="2"/>
            <w:shd w:val="clear" w:color="auto" w:fill="auto"/>
          </w:tcPr>
          <w:p w14:paraId="1956345D" w14:textId="77777777" w:rsidR="002D6035" w:rsidRPr="00DA3C6E" w:rsidRDefault="002D6035" w:rsidP="002D6035">
            <w:pPr>
              <w:pStyle w:val="TableText0"/>
              <w:ind w:left="77" w:right="117"/>
              <w:jc w:val="center"/>
              <w:rPr>
                <w:snapToGrid w:val="0"/>
                <w:color w:val="FFFFFF" w:themeColor="background1"/>
              </w:rPr>
            </w:pPr>
            <w:r w:rsidRPr="00DA3C6E">
              <w:rPr>
                <w:szCs w:val="20"/>
              </w:rPr>
              <w:t>-1 (0.8)</w:t>
            </w:r>
          </w:p>
        </w:tc>
        <w:tc>
          <w:tcPr>
            <w:tcW w:w="810" w:type="pct"/>
            <w:shd w:val="clear" w:color="auto" w:fill="auto"/>
          </w:tcPr>
          <w:p w14:paraId="1B23816B" w14:textId="77777777" w:rsidR="002D6035" w:rsidRPr="00DA3C6E" w:rsidRDefault="002D6035" w:rsidP="002D6035">
            <w:pPr>
              <w:pStyle w:val="TableText0"/>
              <w:ind w:left="41" w:right="117"/>
              <w:jc w:val="center"/>
              <w:rPr>
                <w:snapToGrid w:val="0"/>
              </w:rPr>
            </w:pPr>
            <w:r w:rsidRPr="00DA3C6E">
              <w:rPr>
                <w:snapToGrid w:val="0"/>
              </w:rPr>
              <w:t>NE</w:t>
            </w:r>
          </w:p>
        </w:tc>
        <w:tc>
          <w:tcPr>
            <w:tcW w:w="1101" w:type="pct"/>
            <w:shd w:val="clear" w:color="auto" w:fill="auto"/>
          </w:tcPr>
          <w:p w14:paraId="3C28B11A" w14:textId="77777777" w:rsidR="002D6035" w:rsidRPr="00DA3C6E" w:rsidRDefault="002D6035" w:rsidP="002D6035">
            <w:pPr>
              <w:pStyle w:val="TableText0"/>
              <w:ind w:right="117"/>
              <w:jc w:val="center"/>
              <w:rPr>
                <w:snapToGrid w:val="0"/>
              </w:rPr>
            </w:pPr>
            <w:r w:rsidRPr="00DA3C6E">
              <w:rPr>
                <w:snapToGrid w:val="0"/>
              </w:rPr>
              <w:t>NE</w:t>
            </w:r>
          </w:p>
        </w:tc>
      </w:tr>
      <w:tr w:rsidR="007C7E04" w:rsidRPr="00DA3C6E" w14:paraId="2DD7CC0C" w14:textId="77777777" w:rsidTr="001207B3">
        <w:tc>
          <w:tcPr>
            <w:tcW w:w="782" w:type="pct"/>
            <w:shd w:val="clear" w:color="auto" w:fill="auto"/>
          </w:tcPr>
          <w:p w14:paraId="3E83C818" w14:textId="3AFF2A01" w:rsidR="002D6035" w:rsidRPr="00DA3C6E" w:rsidRDefault="002D6035" w:rsidP="00C04BCE">
            <w:pPr>
              <w:pStyle w:val="TableText0"/>
              <w:rPr>
                <w:snapToGrid w:val="0"/>
              </w:rPr>
            </w:pPr>
            <w:r w:rsidRPr="00DA3C6E">
              <w:t>Leger et al. 2001</w:t>
            </w:r>
            <w:r w:rsidR="00BE7F1B">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p>
        </w:tc>
        <w:tc>
          <w:tcPr>
            <w:tcW w:w="774" w:type="pct"/>
            <w:vAlign w:val="center"/>
          </w:tcPr>
          <w:p w14:paraId="60A0129D" w14:textId="77777777" w:rsidR="002D6035" w:rsidRPr="00DA3C6E" w:rsidRDefault="002D6035" w:rsidP="002D6035">
            <w:pPr>
              <w:pStyle w:val="TableText0"/>
              <w:ind w:left="16" w:right="117"/>
              <w:jc w:val="center"/>
              <w:rPr>
                <w:snapToGrid w:val="0"/>
                <w:color w:val="FFFFFF" w:themeColor="background1"/>
              </w:rPr>
            </w:pPr>
            <w:r w:rsidRPr="00DA3C6E">
              <w:rPr>
                <w:snapToGrid w:val="0"/>
              </w:rPr>
              <w:t>Low</w:t>
            </w:r>
          </w:p>
        </w:tc>
        <w:tc>
          <w:tcPr>
            <w:tcW w:w="766" w:type="pct"/>
            <w:shd w:val="clear" w:color="auto" w:fill="auto"/>
          </w:tcPr>
          <w:p w14:paraId="77F70DB6" w14:textId="77777777" w:rsidR="002D6035" w:rsidRPr="00DA3C6E" w:rsidRDefault="002D6035" w:rsidP="002D6035">
            <w:pPr>
              <w:pStyle w:val="TableText0"/>
              <w:ind w:left="111" w:right="117"/>
              <w:jc w:val="center"/>
              <w:rPr>
                <w:snapToGrid w:val="0"/>
                <w:color w:val="FFFFFF" w:themeColor="background1"/>
                <w:vertAlign w:val="superscript"/>
              </w:rPr>
            </w:pPr>
            <w:r w:rsidRPr="00DA3C6E">
              <w:rPr>
                <w:szCs w:val="20"/>
              </w:rPr>
              <w:t>3</w:t>
            </w:r>
            <w:r w:rsidRPr="00DA3C6E">
              <w:rPr>
                <w:szCs w:val="20"/>
                <w:vertAlign w:val="superscript"/>
              </w:rPr>
              <w:t>g</w:t>
            </w:r>
          </w:p>
        </w:tc>
        <w:tc>
          <w:tcPr>
            <w:tcW w:w="767" w:type="pct"/>
            <w:gridSpan w:val="2"/>
            <w:shd w:val="clear" w:color="auto" w:fill="auto"/>
          </w:tcPr>
          <w:p w14:paraId="5BD608E9" w14:textId="77777777" w:rsidR="002D6035" w:rsidRPr="00DA3C6E" w:rsidRDefault="002D6035" w:rsidP="002D6035">
            <w:pPr>
              <w:pStyle w:val="TableText0"/>
              <w:ind w:left="77" w:right="117"/>
              <w:jc w:val="center"/>
              <w:rPr>
                <w:snapToGrid w:val="0"/>
                <w:color w:val="FFFFFF" w:themeColor="background1"/>
              </w:rPr>
            </w:pPr>
            <w:r w:rsidRPr="00DA3C6E">
              <w:rPr>
                <w:i/>
                <w:szCs w:val="20"/>
              </w:rPr>
              <w:t>3</w:t>
            </w:r>
            <w:r w:rsidRPr="00DA3C6E">
              <w:rPr>
                <w:i/>
                <w:szCs w:val="20"/>
                <w:vertAlign w:val="superscript"/>
              </w:rPr>
              <w:t xml:space="preserve">h </w:t>
            </w:r>
          </w:p>
        </w:tc>
        <w:tc>
          <w:tcPr>
            <w:tcW w:w="810" w:type="pct"/>
            <w:shd w:val="clear" w:color="auto" w:fill="auto"/>
          </w:tcPr>
          <w:p w14:paraId="3D20ADFC" w14:textId="77777777" w:rsidR="002D6035" w:rsidRPr="00DA3C6E" w:rsidRDefault="002D6035" w:rsidP="002D6035">
            <w:pPr>
              <w:pStyle w:val="TableText0"/>
              <w:ind w:left="41" w:right="117"/>
              <w:jc w:val="center"/>
              <w:rPr>
                <w:snapToGrid w:val="0"/>
              </w:rPr>
            </w:pPr>
            <w:r w:rsidRPr="00DA3C6E">
              <w:rPr>
                <w:snapToGrid w:val="0"/>
              </w:rPr>
              <w:t>NE</w:t>
            </w:r>
          </w:p>
        </w:tc>
        <w:tc>
          <w:tcPr>
            <w:tcW w:w="1101" w:type="pct"/>
            <w:shd w:val="clear" w:color="auto" w:fill="auto"/>
          </w:tcPr>
          <w:p w14:paraId="29BF6022" w14:textId="77777777" w:rsidR="002D6035" w:rsidRPr="00DA3C6E" w:rsidRDefault="002D6035" w:rsidP="002D6035">
            <w:pPr>
              <w:pStyle w:val="TableText0"/>
              <w:ind w:right="117"/>
              <w:jc w:val="center"/>
              <w:rPr>
                <w:snapToGrid w:val="0"/>
              </w:rPr>
            </w:pPr>
            <w:r w:rsidRPr="00DA3C6E">
              <w:rPr>
                <w:snapToGrid w:val="0"/>
              </w:rPr>
              <w:t>NE</w:t>
            </w:r>
          </w:p>
        </w:tc>
      </w:tr>
      <w:tr w:rsidR="007C7E04" w:rsidRPr="00DA3C6E" w14:paraId="1CFC26BC" w14:textId="77777777" w:rsidTr="001207B3">
        <w:tc>
          <w:tcPr>
            <w:tcW w:w="782" w:type="pct"/>
            <w:tcBorders>
              <w:bottom w:val="single" w:sz="4" w:space="0" w:color="auto"/>
            </w:tcBorders>
            <w:shd w:val="clear" w:color="auto" w:fill="auto"/>
            <w:vAlign w:val="center"/>
          </w:tcPr>
          <w:p w14:paraId="4ABBBE14" w14:textId="1AD4475B" w:rsidR="002D6035" w:rsidRPr="00DA3C6E" w:rsidRDefault="002D6035" w:rsidP="00C04BCE">
            <w:pPr>
              <w:pStyle w:val="TableText0"/>
              <w:rPr>
                <w:snapToGrid w:val="0"/>
              </w:rPr>
            </w:pPr>
            <w:r w:rsidRPr="00DA3C6E">
              <w:t>Hahn et al. 2013</w:t>
            </w:r>
            <w:r w:rsidR="00BE7F1B">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p>
        </w:tc>
        <w:tc>
          <w:tcPr>
            <w:tcW w:w="774" w:type="pct"/>
            <w:tcBorders>
              <w:bottom w:val="single" w:sz="4" w:space="0" w:color="auto"/>
            </w:tcBorders>
            <w:vAlign w:val="center"/>
          </w:tcPr>
          <w:p w14:paraId="1F77D750" w14:textId="77777777" w:rsidR="002D6035" w:rsidRPr="00DA3C6E" w:rsidRDefault="002D6035" w:rsidP="002D6035">
            <w:pPr>
              <w:pStyle w:val="TableText0"/>
              <w:ind w:left="16" w:right="117"/>
              <w:jc w:val="center"/>
              <w:rPr>
                <w:snapToGrid w:val="0"/>
                <w:color w:val="FFFFFF" w:themeColor="background1"/>
              </w:rPr>
            </w:pPr>
            <w:r w:rsidRPr="00DA3C6E">
              <w:rPr>
                <w:snapToGrid w:val="0"/>
              </w:rPr>
              <w:t>Low</w:t>
            </w:r>
          </w:p>
        </w:tc>
        <w:tc>
          <w:tcPr>
            <w:tcW w:w="766" w:type="pct"/>
            <w:tcBorders>
              <w:bottom w:val="single" w:sz="4" w:space="0" w:color="auto"/>
            </w:tcBorders>
            <w:shd w:val="clear" w:color="auto" w:fill="auto"/>
          </w:tcPr>
          <w:p w14:paraId="538BEDEE" w14:textId="77777777" w:rsidR="002D6035" w:rsidRPr="00DA3C6E" w:rsidRDefault="002D6035" w:rsidP="002D6035">
            <w:pPr>
              <w:pStyle w:val="TableText0"/>
              <w:ind w:left="111" w:right="117"/>
              <w:jc w:val="center"/>
              <w:rPr>
                <w:snapToGrid w:val="0"/>
                <w:color w:val="FFFFFF" w:themeColor="background1"/>
              </w:rPr>
            </w:pPr>
            <w:r w:rsidRPr="00DA3C6E">
              <w:rPr>
                <w:szCs w:val="20"/>
              </w:rPr>
              <w:t>3.75 (9.09)</w:t>
            </w:r>
          </w:p>
        </w:tc>
        <w:tc>
          <w:tcPr>
            <w:tcW w:w="767" w:type="pct"/>
            <w:gridSpan w:val="2"/>
            <w:tcBorders>
              <w:bottom w:val="single" w:sz="4" w:space="0" w:color="auto"/>
            </w:tcBorders>
            <w:shd w:val="clear" w:color="auto" w:fill="auto"/>
          </w:tcPr>
          <w:p w14:paraId="3A33A372" w14:textId="77777777" w:rsidR="002D6035" w:rsidRPr="00DA3C6E" w:rsidRDefault="002D6035" w:rsidP="002D6035">
            <w:pPr>
              <w:pStyle w:val="TableText0"/>
              <w:ind w:left="77" w:right="117"/>
              <w:jc w:val="center"/>
              <w:rPr>
                <w:snapToGrid w:val="0"/>
                <w:color w:val="FFFFFF" w:themeColor="background1"/>
              </w:rPr>
            </w:pPr>
            <w:r w:rsidRPr="00DA3C6E">
              <w:rPr>
                <w:szCs w:val="20"/>
              </w:rPr>
              <w:t>-31.38 (9.32)</w:t>
            </w:r>
          </w:p>
        </w:tc>
        <w:tc>
          <w:tcPr>
            <w:tcW w:w="810" w:type="pct"/>
            <w:tcBorders>
              <w:bottom w:val="single" w:sz="4" w:space="0" w:color="auto"/>
            </w:tcBorders>
            <w:shd w:val="clear" w:color="auto" w:fill="auto"/>
          </w:tcPr>
          <w:p w14:paraId="6A121A0A" w14:textId="77777777" w:rsidR="002D6035" w:rsidRPr="00DA3C6E" w:rsidRDefault="002D6035" w:rsidP="002D6035">
            <w:pPr>
              <w:pStyle w:val="TableText0"/>
              <w:ind w:left="41" w:right="117"/>
              <w:jc w:val="center"/>
              <w:rPr>
                <w:snapToGrid w:val="0"/>
              </w:rPr>
            </w:pPr>
            <w:r w:rsidRPr="00DA3C6E">
              <w:rPr>
                <w:snapToGrid w:val="0"/>
              </w:rPr>
              <w:t>NE</w:t>
            </w:r>
          </w:p>
        </w:tc>
        <w:tc>
          <w:tcPr>
            <w:tcW w:w="1101" w:type="pct"/>
            <w:tcBorders>
              <w:bottom w:val="single" w:sz="4" w:space="0" w:color="auto"/>
            </w:tcBorders>
            <w:shd w:val="clear" w:color="auto" w:fill="auto"/>
          </w:tcPr>
          <w:p w14:paraId="537DD25D" w14:textId="77777777" w:rsidR="002D6035" w:rsidRPr="00DA3C6E" w:rsidRDefault="002D6035" w:rsidP="002D6035">
            <w:pPr>
              <w:pStyle w:val="TableText0"/>
              <w:ind w:right="117"/>
              <w:jc w:val="center"/>
              <w:rPr>
                <w:snapToGrid w:val="0"/>
              </w:rPr>
            </w:pPr>
            <w:r w:rsidRPr="00DA3C6E">
              <w:rPr>
                <w:snapToGrid w:val="0"/>
              </w:rPr>
              <w:t>NE</w:t>
            </w:r>
          </w:p>
        </w:tc>
      </w:tr>
    </w:tbl>
    <w:p w14:paraId="1066B1D2" w14:textId="77777777" w:rsidR="002D6035" w:rsidRPr="00DA3C6E" w:rsidRDefault="002D6035" w:rsidP="00740643">
      <w:pPr>
        <w:widowControl w:val="0"/>
        <w:spacing w:after="0" w:line="240" w:lineRule="auto"/>
        <w:rPr>
          <w:rFonts w:ascii="Arial Narrow" w:hAnsi="Arial Narrow" w:cs="Arial"/>
          <w:snapToGrid w:val="0"/>
          <w:sz w:val="18"/>
          <w:szCs w:val="20"/>
          <w:lang w:eastAsia="en-US"/>
        </w:rPr>
      </w:pPr>
      <w:r w:rsidRPr="00DA3C6E">
        <w:rPr>
          <w:rFonts w:ascii="Arial Narrow" w:hAnsi="Arial Narrow" w:cs="Arial"/>
          <w:snapToGrid w:val="0"/>
          <w:sz w:val="18"/>
          <w:szCs w:val="20"/>
          <w:lang w:eastAsia="en-US"/>
        </w:rPr>
        <w:t xml:space="preserve">Abbreviations: CI = confidence interval; NE = not estimable; NR = not reported; </w:t>
      </w:r>
      <w:r w:rsidR="00EF2D51" w:rsidRPr="00DA3C6E">
        <w:rPr>
          <w:rFonts w:ascii="Arial Narrow" w:hAnsi="Arial Narrow" w:cs="Arial"/>
          <w:snapToGrid w:val="0"/>
          <w:sz w:val="18"/>
          <w:szCs w:val="20"/>
          <w:lang w:eastAsia="en-US"/>
        </w:rPr>
        <w:t xml:space="preserve">RR = risk ratio; </w:t>
      </w:r>
      <w:r w:rsidRPr="00DA3C6E">
        <w:rPr>
          <w:rFonts w:ascii="Arial Narrow" w:hAnsi="Arial Narrow" w:cs="Arial"/>
          <w:snapToGrid w:val="0"/>
          <w:sz w:val="18"/>
          <w:szCs w:val="20"/>
          <w:lang w:eastAsia="en-US"/>
        </w:rPr>
        <w:t>SD = standard deviation; SEM = standard error of mean</w:t>
      </w:r>
      <w:r w:rsidR="00EF2D51" w:rsidRPr="00DA3C6E">
        <w:rPr>
          <w:rFonts w:ascii="Arial Narrow" w:hAnsi="Arial Narrow" w:cs="Arial"/>
          <w:snapToGrid w:val="0"/>
          <w:sz w:val="18"/>
          <w:szCs w:val="20"/>
          <w:lang w:eastAsia="en-US"/>
        </w:rPr>
        <w:t xml:space="preserve">. </w:t>
      </w:r>
    </w:p>
    <w:p w14:paraId="4EC08F9E"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cs="Arial"/>
          <w:snapToGrid w:val="0"/>
          <w:sz w:val="18"/>
          <w:szCs w:val="20"/>
          <w:lang w:eastAsia="en-US"/>
        </w:rPr>
        <w:t>Notes: Relative risk</w:t>
      </w:r>
      <w:r w:rsidR="00313180" w:rsidRPr="00DA3C6E">
        <w:rPr>
          <w:rFonts w:ascii="Arial Narrow" w:hAnsi="Arial Narrow" w:cs="Arial"/>
          <w:snapToGrid w:val="0"/>
          <w:sz w:val="18"/>
          <w:szCs w:val="20"/>
          <w:lang w:eastAsia="en-US"/>
        </w:rPr>
        <w:t>,</w:t>
      </w:r>
      <w:r w:rsidRPr="00DA3C6E">
        <w:rPr>
          <w:rFonts w:ascii="Arial Narrow" w:hAnsi="Arial Narrow" w:cs="Arial"/>
          <w:snapToGrid w:val="0"/>
          <w:sz w:val="18"/>
          <w:szCs w:val="20"/>
          <w:lang w:eastAsia="en-US"/>
        </w:rPr>
        <w:t xml:space="preserve"> risk difference </w:t>
      </w:r>
      <w:r w:rsidR="00313180" w:rsidRPr="00DA3C6E">
        <w:rPr>
          <w:rFonts w:ascii="Arial Narrow" w:hAnsi="Arial Narrow" w:cs="Arial"/>
          <w:snapToGrid w:val="0"/>
          <w:sz w:val="18"/>
          <w:szCs w:val="20"/>
          <w:lang w:eastAsia="en-US"/>
        </w:rPr>
        <w:t xml:space="preserve">and pooled risk ratios </w:t>
      </w:r>
      <w:r w:rsidRPr="00DA3C6E">
        <w:rPr>
          <w:rFonts w:ascii="Arial Narrow" w:hAnsi="Arial Narrow" w:cs="Arial"/>
          <w:snapToGrid w:val="0"/>
          <w:sz w:val="18"/>
          <w:szCs w:val="20"/>
          <w:lang w:eastAsia="en-US"/>
        </w:rPr>
        <w:t>were calculated during the evaluation (italics); bold text indicates statistically significant differences.</w:t>
      </w:r>
      <w:r w:rsidRPr="00DA3C6E">
        <w:rPr>
          <w:rFonts w:ascii="Arial Narrow" w:hAnsi="Arial Narrow"/>
          <w:sz w:val="18"/>
          <w:szCs w:val="20"/>
        </w:rPr>
        <w:t xml:space="preserve"> </w:t>
      </w:r>
    </w:p>
    <w:p w14:paraId="4C52816E"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a</w:t>
      </w:r>
      <w:r w:rsidRPr="00DA3C6E">
        <w:rPr>
          <w:rFonts w:ascii="Arial Narrow" w:hAnsi="Arial Narrow"/>
          <w:sz w:val="18"/>
          <w:szCs w:val="20"/>
        </w:rPr>
        <w:t>Subjective rating of patients.</w:t>
      </w:r>
    </w:p>
    <w:p w14:paraId="143C3B6B"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b</w:t>
      </w:r>
      <w:r w:rsidRPr="00DA3C6E">
        <w:rPr>
          <w:rFonts w:ascii="Arial Narrow" w:hAnsi="Arial Narrow"/>
          <w:sz w:val="18"/>
          <w:szCs w:val="20"/>
        </w:rPr>
        <w:t xml:space="preserve">all patients in the trial. One patient in the </w:t>
      </w:r>
      <w:r w:rsidR="007B6537" w:rsidRPr="00DA3C6E">
        <w:rPr>
          <w:rFonts w:ascii="Arial Narrow" w:hAnsi="Arial Narrow"/>
          <w:sz w:val="18"/>
          <w:szCs w:val="20"/>
        </w:rPr>
        <w:t>i</w:t>
      </w:r>
      <w:r w:rsidRPr="00DA3C6E">
        <w:rPr>
          <w:rFonts w:ascii="Arial Narrow" w:hAnsi="Arial Narrow"/>
          <w:sz w:val="18"/>
          <w:szCs w:val="20"/>
        </w:rPr>
        <w:t>ntravenous Ig treatment was lost to follow-up before the evaluation period. This patient was treatment naïve.</w:t>
      </w:r>
    </w:p>
    <w:p w14:paraId="65C04545"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c</w:t>
      </w:r>
      <w:r w:rsidRPr="00DA3C6E">
        <w:rPr>
          <w:rFonts w:ascii="Arial Narrow" w:hAnsi="Arial Narrow"/>
          <w:sz w:val="18"/>
          <w:szCs w:val="20"/>
        </w:rPr>
        <w:t>treatment naïve patients</w:t>
      </w:r>
    </w:p>
    <w:p w14:paraId="1C2E5A42"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d</w:t>
      </w:r>
      <w:r w:rsidRPr="00DA3C6E">
        <w:rPr>
          <w:rFonts w:ascii="Arial Narrow" w:hAnsi="Arial Narrow"/>
          <w:sz w:val="18"/>
          <w:szCs w:val="20"/>
        </w:rPr>
        <w:t>pre-treatment patients</w:t>
      </w:r>
    </w:p>
    <w:p w14:paraId="394968EC"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e</w:t>
      </w:r>
      <w:r w:rsidRPr="00DA3C6E">
        <w:rPr>
          <w:rFonts w:ascii="Arial Narrow" w:hAnsi="Arial Narrow"/>
          <w:sz w:val="18"/>
          <w:szCs w:val="20"/>
        </w:rPr>
        <w:t>this represent the number of patients who remained stable or improved</w:t>
      </w:r>
    </w:p>
    <w:p w14:paraId="504B027F"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f</w:t>
      </w:r>
      <w:r w:rsidRPr="00DA3C6E">
        <w:rPr>
          <w:rFonts w:ascii="Arial Narrow" w:hAnsi="Arial Narrow"/>
          <w:sz w:val="18"/>
          <w:szCs w:val="20"/>
        </w:rPr>
        <w:t xml:space="preserve">Estimate (mean change in muscle strength) reported was calculated during the evaluation for day 28 after treatment. Mean change in muscle strength on day 56 was 60.7 N for </w:t>
      </w:r>
      <w:r w:rsidR="007B6537" w:rsidRPr="00DA3C6E">
        <w:rPr>
          <w:rFonts w:ascii="Arial Narrow" w:hAnsi="Arial Narrow"/>
          <w:sz w:val="18"/>
          <w:szCs w:val="20"/>
        </w:rPr>
        <w:t>i</w:t>
      </w:r>
      <w:r w:rsidRPr="00DA3C6E">
        <w:rPr>
          <w:rFonts w:ascii="Arial Narrow" w:hAnsi="Arial Narrow"/>
          <w:sz w:val="18"/>
          <w:szCs w:val="20"/>
        </w:rPr>
        <w:t>ntravenous Ig treatment and -7.2 for placebo treatment.</w:t>
      </w:r>
    </w:p>
    <w:p w14:paraId="68AB9707"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g</w:t>
      </w:r>
      <w:r w:rsidRPr="00DA3C6E">
        <w:rPr>
          <w:rFonts w:ascii="Arial Narrow" w:hAnsi="Arial Narrow"/>
          <w:sz w:val="18"/>
          <w:szCs w:val="20"/>
        </w:rPr>
        <w:t>reported a median change between baseline score and score at month 4.</w:t>
      </w:r>
    </w:p>
    <w:p w14:paraId="19CDE008" w14:textId="77777777" w:rsidR="002D6035" w:rsidRPr="00DA3C6E" w:rsidRDefault="002D6035" w:rsidP="00740643">
      <w:pPr>
        <w:spacing w:after="0" w:line="240" w:lineRule="auto"/>
        <w:rPr>
          <w:rFonts w:ascii="Arial Narrow" w:hAnsi="Arial Narrow"/>
          <w:sz w:val="18"/>
          <w:szCs w:val="20"/>
        </w:rPr>
      </w:pPr>
      <w:r w:rsidRPr="00DA3C6E">
        <w:rPr>
          <w:rFonts w:ascii="Arial Narrow" w:hAnsi="Arial Narrow"/>
          <w:sz w:val="18"/>
          <w:szCs w:val="20"/>
          <w:vertAlign w:val="superscript"/>
        </w:rPr>
        <w:t>h</w:t>
      </w:r>
      <w:r w:rsidRPr="00DA3C6E">
        <w:rPr>
          <w:rFonts w:ascii="Arial Narrow" w:hAnsi="Arial Narrow"/>
          <w:sz w:val="18"/>
          <w:szCs w:val="20"/>
        </w:rPr>
        <w:t xml:space="preserve">reported a median change between baseline score and score at month 4. This estimate was reported as 1 in the previously published meta-analysis. </w:t>
      </w:r>
    </w:p>
    <w:p w14:paraId="0A184962" w14:textId="77777777" w:rsidR="002D6035" w:rsidRPr="00DA3C6E" w:rsidRDefault="002D6035" w:rsidP="00D778BE">
      <w:pPr>
        <w:spacing w:before="240"/>
        <w:rPr>
          <w:b/>
        </w:rPr>
      </w:pPr>
      <w:r w:rsidRPr="00DA3C6E">
        <w:rPr>
          <w:b/>
        </w:rPr>
        <w:t>Results from the meta-analysis</w:t>
      </w:r>
    </w:p>
    <w:p w14:paraId="60C3EA19" w14:textId="77777777" w:rsidR="002D6035" w:rsidRPr="00DA3C6E" w:rsidRDefault="002D6035" w:rsidP="00D778BE">
      <w:r w:rsidRPr="00DA3C6E">
        <w:t xml:space="preserve">The results of the meta-analysis show that there is statistically significant improvement in muscle strength when patients are treated with </w:t>
      </w:r>
      <w:r w:rsidR="007B6537" w:rsidRPr="00DA3C6E">
        <w:t>i</w:t>
      </w:r>
      <w:r w:rsidRPr="00DA3C6E">
        <w:t xml:space="preserve">ntravenous Ig compared to placebo. </w:t>
      </w:r>
    </w:p>
    <w:p w14:paraId="56F8B572" w14:textId="109A5934" w:rsidR="002D6035" w:rsidRPr="00DA3C6E" w:rsidRDefault="002D6035" w:rsidP="0073359F">
      <w:pPr>
        <w:pStyle w:val="ListParagraph"/>
        <w:numPr>
          <w:ilvl w:val="0"/>
          <w:numId w:val="36"/>
        </w:numPr>
      </w:pPr>
      <w:r w:rsidRPr="00DA3C6E">
        <w:lastRenderedPageBreak/>
        <w:t>Results from the meta-analyses of the RCTs are presented as a forest plot for improvement in muscle strength (</w:t>
      </w:r>
      <w:r w:rsidRPr="00DA3C6E">
        <w:fldChar w:fldCharType="begin"/>
      </w:r>
      <w:r w:rsidRPr="00DA3C6E">
        <w:instrText xml:space="preserve"> REF _Ref25926641 \h </w:instrText>
      </w:r>
      <w:r w:rsidR="00E8759F" w:rsidRPr="00DA3C6E">
        <w:instrText xml:space="preserve"> \* MERGEFORMAT </w:instrText>
      </w:r>
      <w:r w:rsidRPr="00DA3C6E">
        <w:fldChar w:fldCharType="separate"/>
      </w:r>
      <w:r w:rsidR="00EA5DC1" w:rsidRPr="00DA3C6E">
        <w:t xml:space="preserve">Figure </w:t>
      </w:r>
      <w:r w:rsidR="00EA5DC1">
        <w:rPr>
          <w:noProof/>
        </w:rPr>
        <w:t>10</w:t>
      </w:r>
      <w:r w:rsidRPr="00DA3C6E">
        <w:fldChar w:fldCharType="end"/>
      </w:r>
      <w:r w:rsidRPr="00DA3C6E">
        <w:t xml:space="preserve">) comparing </w:t>
      </w:r>
      <w:r w:rsidR="007B6537" w:rsidRPr="00DA3C6E">
        <w:t>i</w:t>
      </w:r>
      <w:r w:rsidRPr="00DA3C6E">
        <w:t xml:space="preserve">ntravenous Ig versus placebo. </w:t>
      </w:r>
    </w:p>
    <w:p w14:paraId="1E55B3A1" w14:textId="41702FF6" w:rsidR="002D6035" w:rsidRPr="00DA3C6E" w:rsidRDefault="002D6035" w:rsidP="0073359F">
      <w:pPr>
        <w:pStyle w:val="ListParagraph"/>
        <w:numPr>
          <w:ilvl w:val="0"/>
          <w:numId w:val="36"/>
        </w:numPr>
      </w:pPr>
      <w:r w:rsidRPr="00DA3C6E">
        <w:t xml:space="preserve">The pooled treatment effect of </w:t>
      </w:r>
      <w:r w:rsidR="00986227" w:rsidRPr="00DA3C6E">
        <w:t>3.51</w:t>
      </w:r>
      <w:r w:rsidRPr="00DA3C6E">
        <w:t xml:space="preserve"> (95% CI 1.</w:t>
      </w:r>
      <w:r w:rsidR="00986227" w:rsidRPr="00DA3C6E">
        <w:t>12</w:t>
      </w:r>
      <w:r w:rsidRPr="00DA3C6E">
        <w:t xml:space="preserve">, </w:t>
      </w:r>
      <w:r w:rsidR="00986227" w:rsidRPr="00DA3C6E">
        <w:t>11.05</w:t>
      </w:r>
      <w:r w:rsidR="0034779C" w:rsidRPr="00DA3C6E">
        <w:t>, p = 0.03</w:t>
      </w:r>
      <w:r w:rsidRPr="00DA3C6E">
        <w:t xml:space="preserve">) reflects </w:t>
      </w:r>
      <w:r w:rsidR="007B6537" w:rsidRPr="00DA3C6E">
        <w:t>i</w:t>
      </w:r>
      <w:r w:rsidRPr="00DA3C6E">
        <w:t xml:space="preserve">ntravenous Ig being superior to placebo </w:t>
      </w:r>
      <w:r w:rsidR="00094F7B" w:rsidRPr="00DA3C6E">
        <w:t xml:space="preserve">in </w:t>
      </w:r>
      <w:r w:rsidRPr="00DA3C6E">
        <w:t xml:space="preserve">regard to improvement in muscle strength. </w:t>
      </w:r>
    </w:p>
    <w:p w14:paraId="58D8D977" w14:textId="353CE4CC" w:rsidR="00986227" w:rsidRPr="00DA3C6E" w:rsidRDefault="00986227" w:rsidP="0073359F">
      <w:pPr>
        <w:pStyle w:val="ListParagraph"/>
        <w:numPr>
          <w:ilvl w:val="0"/>
          <w:numId w:val="36"/>
        </w:numPr>
      </w:pPr>
      <w:r w:rsidRPr="00DA3C6E">
        <w:t xml:space="preserve">The I² statistic for the improvement in muscle strength outcome represents moderate heterogeneity </w:t>
      </w:r>
      <w:r w:rsidR="00DB568A" w:rsidRPr="00DA3C6E">
        <w:fldChar w:fldCharType="begin"/>
      </w:r>
      <w:r w:rsidR="00DB568A" w:rsidRPr="00DA3C6E">
        <w:instrText xml:space="preserve"> ADDIN EN.CITE &lt;EndNote&gt;&lt;Cite&gt;&lt;Author&gt;Higgins&lt;/Author&gt;&lt;Year&gt;2003&lt;/Year&gt;&lt;RecNum&gt;29&lt;/RecNum&gt;&lt;DisplayText&gt;(45)&lt;/DisplayText&gt;&lt;record&gt;&lt;rec-number&gt;29&lt;/rec-number&gt;&lt;foreign-keys&gt;&lt;key app="EN" db-id="0992p2ztn5fez9e2wvnpw2xstd20f9w2dezz" timestamp="1586818281"&gt;29&lt;/key&gt;&lt;/foreign-keys&gt;&lt;ref-type name="Journal Article"&gt;17&lt;/ref-type&gt;&lt;contributors&gt;&lt;authors&gt;&lt;author&gt;Higgins, Julian P. T.&lt;/author&gt;&lt;author&gt;Thompson, Simon G.&lt;/author&gt;&lt;author&gt;Deeks, Jonathan J.&lt;/author&gt;&lt;author&gt;Altman, Douglas G.&lt;/author&gt;&lt;/authors&gt;&lt;/contributors&gt;&lt;titles&gt;&lt;title&gt;Measuring inconsistency in meta-analyses&lt;/title&gt;&lt;secondary-title&gt;BMJ (Clinical research ed.)&lt;/secondary-title&gt;&lt;alt-title&gt;BMJ&lt;/alt-title&gt;&lt;/titles&gt;&lt;periodical&gt;&lt;full-title&gt;BMJ (Clinical research ed.)&lt;/full-title&gt;&lt;abbr-1&gt;BMJ&lt;/abbr-1&gt;&lt;/periodical&gt;&lt;alt-periodical&gt;&lt;full-title&gt;BMJ (Clinical research ed.)&lt;/full-title&gt;&lt;abbr-1&gt;BMJ&lt;/abbr-1&gt;&lt;/alt-periodical&gt;&lt;pages&gt;557-560&lt;/pages&gt;&lt;volume&gt;327&lt;/volume&gt;&lt;number&gt;7414&lt;/number&gt;&lt;keywords&gt;&lt;keyword&gt;Data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Specificity&lt;/keyword&gt;&lt;/keywords&gt;&lt;dates&gt;&lt;year&gt;2003&lt;/year&gt;&lt;/dates&gt;&lt;publisher&gt;BMJ Publishing Group Ltd.&lt;/publisher&gt;&lt;isbn&gt;1756-1833&amp;#xD;0959-8138&lt;/isbn&gt;&lt;accession-num&gt;12958120&lt;/accession-num&gt;&lt;urls&gt;&lt;related-urls&gt;&lt;url&gt;https://www.ncbi.nlm.nih.gov/pubmed/12958120&lt;/url&gt;&lt;url&gt;https://www.ncbi.nlm.nih.gov/pmc/articles/PMC192859/&lt;/url&gt;&lt;/related-urls&gt;&lt;/urls&gt;&lt;electronic-resource-num&gt;10.1136/bmj.327.7414.557&lt;/electronic-resource-num&gt;&lt;remote-database-name&gt;PubMed&lt;/remote-database-name&gt;&lt;language&gt;eng&lt;/language&gt;&lt;/record&gt;&lt;/Cite&gt;&lt;/EndNote&gt;</w:instrText>
      </w:r>
      <w:r w:rsidR="00DB568A" w:rsidRPr="00DA3C6E">
        <w:fldChar w:fldCharType="separate"/>
      </w:r>
      <w:r w:rsidR="00DB568A" w:rsidRPr="00DA3C6E">
        <w:rPr>
          <w:noProof/>
        </w:rPr>
        <w:t>(</w:t>
      </w:r>
      <w:hyperlink w:anchor="_ENREF_45" w:tooltip="Higgins, 2003 #29" w:history="1">
        <w:r w:rsidR="00C04BCE" w:rsidRPr="00DA3C6E">
          <w:rPr>
            <w:noProof/>
          </w:rPr>
          <w:t>45</w:t>
        </w:r>
      </w:hyperlink>
      <w:r w:rsidR="00DB568A" w:rsidRPr="00DA3C6E">
        <w:rPr>
          <w:noProof/>
        </w:rPr>
        <w:t>)</w:t>
      </w:r>
      <w:r w:rsidR="00DB568A" w:rsidRPr="00DA3C6E">
        <w:fldChar w:fldCharType="end"/>
      </w:r>
      <w:r w:rsidRPr="00DA3C6E">
        <w:t xml:space="preserve"> which reflects the fact that there is some variability in the data. </w:t>
      </w:r>
    </w:p>
    <w:p w14:paraId="121B89FE" w14:textId="588B1E14" w:rsidR="002D6035" w:rsidRPr="00DA3C6E" w:rsidRDefault="002D6035" w:rsidP="0034779C">
      <w:pPr>
        <w:pStyle w:val="Caption"/>
        <w:keepNext/>
        <w:keepLines/>
      </w:pPr>
      <w:bookmarkStart w:id="207" w:name="_Ref25926641"/>
      <w:bookmarkStart w:id="208" w:name="_Toc30497516"/>
      <w:bookmarkStart w:id="209" w:name="_Toc30687797"/>
      <w:bookmarkStart w:id="210" w:name="_Toc37845870"/>
      <w:r w:rsidRPr="00DA3C6E">
        <w:t xml:space="preserve">Figure </w:t>
      </w:r>
      <w:r w:rsidR="00515153">
        <w:fldChar w:fldCharType="begin"/>
      </w:r>
      <w:r w:rsidR="00515153">
        <w:instrText xml:space="preserve"> SEQ Figure \* ARABIC </w:instrText>
      </w:r>
      <w:r w:rsidR="00515153">
        <w:fldChar w:fldCharType="separate"/>
      </w:r>
      <w:r w:rsidR="00EA5DC1">
        <w:rPr>
          <w:noProof/>
        </w:rPr>
        <w:t>10</w:t>
      </w:r>
      <w:r w:rsidR="00515153">
        <w:rPr>
          <w:noProof/>
        </w:rPr>
        <w:fldChar w:fldCharType="end"/>
      </w:r>
      <w:bookmarkEnd w:id="207"/>
      <w:r w:rsidRPr="00DA3C6E">
        <w:t>. Forrest plot for the outcome improvement in muscle strength/grip</w:t>
      </w:r>
      <w:r w:rsidR="00986227" w:rsidRPr="00DA3C6E">
        <w:t xml:space="preserve"> using the random effect model</w:t>
      </w:r>
      <w:r w:rsidRPr="00DA3C6E">
        <w:t>.</w:t>
      </w:r>
      <w:bookmarkEnd w:id="208"/>
      <w:bookmarkEnd w:id="209"/>
      <w:bookmarkEnd w:id="210"/>
    </w:p>
    <w:p w14:paraId="45898DFF" w14:textId="77777777" w:rsidR="002D6035" w:rsidRPr="00DA3C6E" w:rsidRDefault="002D6035" w:rsidP="001207B3">
      <w:pPr>
        <w:spacing w:after="0"/>
      </w:pPr>
      <w:r w:rsidRPr="00DA3C6E">
        <w:rPr>
          <w:noProof/>
        </w:rPr>
        <w:drawing>
          <wp:inline distT="0" distB="0" distL="0" distR="0" wp14:anchorId="165E827C" wp14:editId="0D2692BD">
            <wp:extent cx="5731510" cy="1337310"/>
            <wp:effectExtent l="0" t="0" r="2540" b="0"/>
            <wp:docPr id="26" name="Picture 26" title="Figure 10. Forrest plot for the outcome improvement in muscle strength/grip using the random effe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337310"/>
                    </a:xfrm>
                    <a:prstGeom prst="rect">
                      <a:avLst/>
                    </a:prstGeom>
                  </pic:spPr>
                </pic:pic>
              </a:graphicData>
            </a:graphic>
          </wp:inline>
        </w:drawing>
      </w:r>
    </w:p>
    <w:p w14:paraId="4919365E" w14:textId="77777777" w:rsidR="002D6035" w:rsidRPr="00DA3C6E" w:rsidRDefault="002D6035" w:rsidP="007B6537">
      <w:pPr>
        <w:pStyle w:val="Tablenotes0"/>
        <w:spacing w:after="240"/>
      </w:pPr>
      <w:r w:rsidRPr="00DA3C6E">
        <w:t>Abbreviations: CI = confidence interval; Ig = immunoglobulin; M-H = Mantel-Haenszel</w:t>
      </w:r>
      <w:r w:rsidR="00EF2D51" w:rsidRPr="00DA3C6E">
        <w:t>.</w:t>
      </w:r>
    </w:p>
    <w:p w14:paraId="67479FF8" w14:textId="77777777" w:rsidR="002D6035" w:rsidRPr="00DA3C6E" w:rsidRDefault="002D6035" w:rsidP="008C13FA">
      <w:pPr>
        <w:pStyle w:val="Heading3"/>
      </w:pPr>
      <w:bookmarkStart w:id="211" w:name="_Toc37845747"/>
      <w:r w:rsidRPr="00DA3C6E">
        <w:t>Quality of life</w:t>
      </w:r>
      <w:bookmarkEnd w:id="211"/>
    </w:p>
    <w:p w14:paraId="41D0D58B" w14:textId="77777777" w:rsidR="002D6035" w:rsidRPr="00DA3C6E" w:rsidRDefault="002D6035" w:rsidP="00962591">
      <w:r w:rsidRPr="00DA3C6E">
        <w:t xml:space="preserve">From the </w:t>
      </w:r>
      <w:r w:rsidR="00F56501" w:rsidRPr="00DA3C6E">
        <w:t xml:space="preserve">clinical </w:t>
      </w:r>
      <w:r w:rsidRPr="00DA3C6E">
        <w:t xml:space="preserve">evidence presented above and the vast experience in the management of MMN patients with intravenous Ig, we can say that intravenous Ig has demonstrated to be effective in improving muscle strength and disability. However, </w:t>
      </w:r>
      <w:r w:rsidR="006A17AC" w:rsidRPr="00DA3C6E">
        <w:t>all</w:t>
      </w:r>
      <w:r w:rsidRPr="00DA3C6E">
        <w:t xml:space="preserve"> these studies fail to capture how these outcomes translate into an improvement in the QoL for patients with MMN. </w:t>
      </w:r>
    </w:p>
    <w:p w14:paraId="039D1748" w14:textId="77777777" w:rsidR="002D6035" w:rsidRPr="00DA3C6E" w:rsidRDefault="00F56501" w:rsidP="00133885">
      <w:r w:rsidRPr="00DA3C6E">
        <w:t>In order to assess the potential impact in QoL, t</w:t>
      </w:r>
      <w:r w:rsidR="002D6035" w:rsidRPr="00DA3C6E">
        <w:t xml:space="preserve">he primary literature search was extended in order to also take into account studies that compared the SCIg versus </w:t>
      </w:r>
      <w:r w:rsidR="00806DEA" w:rsidRPr="00DA3C6E">
        <w:t>i</w:t>
      </w:r>
      <w:r w:rsidR="002D6035" w:rsidRPr="00DA3C6E">
        <w:t xml:space="preserve">ntravenous Ig and </w:t>
      </w:r>
      <w:r w:rsidRPr="00DA3C6E">
        <w:t xml:space="preserve">had </w:t>
      </w:r>
      <w:r w:rsidR="002D6035" w:rsidRPr="00DA3C6E">
        <w:t xml:space="preserve">assessed patient’s QoL. </w:t>
      </w:r>
      <w:r w:rsidRPr="00DA3C6E">
        <w:t>These studies aimed to find potential differences between the two forms of administration rather than capturing any potential difference between patients without treatment and patients receiving intravenous Ig. However, t</w:t>
      </w:r>
      <w:r w:rsidR="002D6035" w:rsidRPr="00DA3C6E">
        <w:t>his</w:t>
      </w:r>
      <w:r w:rsidRPr="00DA3C6E">
        <w:t xml:space="preserve"> additional information</w:t>
      </w:r>
      <w:r w:rsidR="002D6035" w:rsidRPr="00DA3C6E">
        <w:t xml:space="preserve"> allowed for a better understanding of the tools that have been used in the past to assess the QoL of patients with MMN, capture the absolute outcome measure for patients receiving </w:t>
      </w:r>
      <w:r w:rsidR="009E4FB8" w:rsidRPr="00DA3C6E">
        <w:t>i</w:t>
      </w:r>
      <w:r w:rsidR="002D6035" w:rsidRPr="00DA3C6E">
        <w:t xml:space="preserve">ntravenous Ig and ultimately assess all potential sources for </w:t>
      </w:r>
      <w:r w:rsidR="009E4FB8" w:rsidRPr="00DA3C6E">
        <w:t xml:space="preserve">QoL </w:t>
      </w:r>
      <w:r w:rsidR="002D6035" w:rsidRPr="00DA3C6E">
        <w:t xml:space="preserve">in MMN patients at different stages of their disease. </w:t>
      </w:r>
    </w:p>
    <w:p w14:paraId="3C92DA35" w14:textId="35E0AB78" w:rsidR="002D6035" w:rsidRPr="00DA3C6E" w:rsidRDefault="002D6035" w:rsidP="00133885">
      <w:r w:rsidRPr="00DA3C6E">
        <w:t xml:space="preserve">Overall, one abstract, one systematic literature review and 8 </w:t>
      </w:r>
      <w:r w:rsidR="009E4FB8" w:rsidRPr="00DA3C6E">
        <w:t xml:space="preserve">primary </w:t>
      </w:r>
      <w:r w:rsidRPr="00DA3C6E">
        <w:t xml:space="preserve">studies were found reporting QoL in patients with MMN (see </w:t>
      </w:r>
      <w:r w:rsidRPr="00DA3C6E">
        <w:fldChar w:fldCharType="begin"/>
      </w:r>
      <w:r w:rsidRPr="00DA3C6E">
        <w:instrText xml:space="preserve"> REF _Ref29153351 \h </w:instrText>
      </w:r>
      <w:r w:rsidR="00E8759F" w:rsidRPr="00DA3C6E">
        <w:instrText xml:space="preserve"> \* MERGEFORMAT </w:instrText>
      </w:r>
      <w:r w:rsidRPr="00DA3C6E">
        <w:fldChar w:fldCharType="separate"/>
      </w:r>
      <w:r w:rsidR="00EA5DC1" w:rsidRPr="00DA3C6E">
        <w:t xml:space="preserve">Table </w:t>
      </w:r>
      <w:r w:rsidR="00EA5DC1">
        <w:rPr>
          <w:noProof/>
        </w:rPr>
        <w:t>18</w:t>
      </w:r>
      <w:r w:rsidRPr="00DA3C6E">
        <w:fldChar w:fldCharType="end"/>
      </w:r>
      <w:r w:rsidRPr="00DA3C6E">
        <w:t>) who had been treated with either forms of Ig (</w:t>
      </w:r>
      <w:r w:rsidR="009E4FB8" w:rsidRPr="00DA3C6E">
        <w:t>i</w:t>
      </w:r>
      <w:r w:rsidRPr="00DA3C6E">
        <w:t xml:space="preserve">ntravenous Ig or SCIg). The systematic literature review </w:t>
      </w:r>
      <w:r w:rsidR="00DB568A" w:rsidRPr="00DA3C6E">
        <w:fldChar w:fldCharType="begin">
          <w:fldData xml:space="preserve">PEVuZE5vdGU+PENpdGU+PEF1dGhvcj5SYWphYmFsbHk8L0F1dGhvcj48WWVhcj4yMDE1PC9ZZWFy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</w:fldData>
        </w:fldChar>
      </w:r>
      <w:r w:rsidR="00DB568A" w:rsidRPr="00DA3C6E">
        <w:instrText xml:space="preserve"> ADDIN EN.CITE </w:instrText>
      </w:r>
      <w:r w:rsidR="00DB568A" w:rsidRPr="00DA3C6E">
        <w:fldChar w:fldCharType="begin">
          <w:fldData xml:space="preserve">PEVuZE5vdGU+PENpdGU+PEF1dGhvcj5SYWphYmFsbHk8L0F1dGhvcj48WWVhcj4yMDE1PC9ZZWFy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46" w:tooltip="Rajabally, 2015 #57" w:history="1">
        <w:r w:rsidR="00C04BCE" w:rsidRPr="00DA3C6E">
          <w:rPr>
            <w:noProof/>
          </w:rPr>
          <w:t>46</w:t>
        </w:r>
      </w:hyperlink>
      <w:r w:rsidR="00DB568A" w:rsidRPr="00DA3C6E">
        <w:rPr>
          <w:noProof/>
        </w:rPr>
        <w:t>)</w:t>
      </w:r>
      <w:r w:rsidR="00DB568A" w:rsidRPr="00DA3C6E">
        <w:fldChar w:fldCharType="end"/>
      </w:r>
      <w:r w:rsidRPr="00DA3C6E">
        <w:t xml:space="preserve">, evaluated the QoL in three chronic inflammatory neuropathies: CIDP, PDN and MMN. Of the studies reported </w:t>
      </w:r>
      <w:r w:rsidR="009E4FB8" w:rsidRPr="00DA3C6E">
        <w:t>in this review</w:t>
      </w:r>
      <w:r w:rsidRPr="00DA3C6E">
        <w:t xml:space="preserve">, </w:t>
      </w:r>
      <w:r w:rsidR="009E4FB8" w:rsidRPr="00DA3C6E">
        <w:t xml:space="preserve">all of which were identified in the literature search, </w:t>
      </w:r>
      <w:r w:rsidRPr="00DA3C6E">
        <w:t>seven provided some level of evidence of QoL in patients with MMN. Considering the primary studies only</w:t>
      </w:r>
      <w:r w:rsidR="009E4FB8" w:rsidRPr="00DA3C6E">
        <w:t xml:space="preserve"> (n = 8)</w:t>
      </w:r>
      <w:r w:rsidRPr="00DA3C6E">
        <w:t xml:space="preserve">, four assessed </w:t>
      </w:r>
      <w:r w:rsidR="009E4FB8" w:rsidRPr="00DA3C6E">
        <w:t>i</w:t>
      </w:r>
      <w:r w:rsidRPr="00DA3C6E">
        <w:t xml:space="preserve">ntravenous Ig only and </w:t>
      </w:r>
      <w:r w:rsidR="009E4FB8" w:rsidRPr="00DA3C6E">
        <w:t xml:space="preserve">four </w:t>
      </w:r>
      <w:r w:rsidRPr="00DA3C6E">
        <w:t xml:space="preserve">studies assessed Intravenous Ig and/or SCIg. </w:t>
      </w:r>
    </w:p>
    <w:p w14:paraId="68C9EDCE" w14:textId="6B1D5FDD" w:rsidR="002D6035" w:rsidRPr="00DA3C6E" w:rsidRDefault="002D6035" w:rsidP="00BE7F1B">
      <w:pPr>
        <w:pStyle w:val="Caption"/>
        <w:keepNext/>
        <w:keepLines/>
      </w:pPr>
      <w:bookmarkStart w:id="212" w:name="_Ref29153351"/>
      <w:bookmarkStart w:id="213" w:name="_Toc30497466"/>
      <w:bookmarkStart w:id="214" w:name="_Toc30687747"/>
      <w:bookmarkStart w:id="215" w:name="_Toc37845821"/>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18</w:t>
      </w:r>
      <w:r w:rsidR="00515153">
        <w:rPr>
          <w:noProof/>
        </w:rPr>
        <w:fldChar w:fldCharType="end"/>
      </w:r>
      <w:bookmarkEnd w:id="212"/>
      <w:r w:rsidRPr="00DA3C6E">
        <w:t xml:space="preserve">. List of studies that assessed QoL of patients with MMN treated with </w:t>
      </w:r>
      <w:r w:rsidR="007128CF" w:rsidRPr="00DA3C6E">
        <w:t>i</w:t>
      </w:r>
      <w:r w:rsidRPr="00DA3C6E">
        <w:t>ntravenous Ig and/or SCIg</w:t>
      </w:r>
      <w:bookmarkEnd w:id="213"/>
      <w:bookmarkEnd w:id="214"/>
      <w:bookmarkEnd w:id="215"/>
    </w:p>
    <w:tbl>
      <w:tblPr>
        <w:tblStyle w:val="TableGrid"/>
        <w:tblW w:w="5000" w:type="pct"/>
        <w:tblLayout w:type="fixed"/>
        <w:tblLook w:val="04A0" w:firstRow="1" w:lastRow="0" w:firstColumn="1" w:lastColumn="0" w:noHBand="0" w:noVBand="1"/>
        <w:tblCaption w:val="Table 18. List of studies that assessed QoL of patients with MMN treated with intravenous Ig and/or SCIg"/>
      </w:tblPr>
      <w:tblGrid>
        <w:gridCol w:w="1837"/>
        <w:gridCol w:w="5246"/>
        <w:gridCol w:w="1933"/>
      </w:tblGrid>
      <w:tr w:rsidR="002D6035" w:rsidRPr="00DA3C6E" w14:paraId="18E4F805" w14:textId="77777777" w:rsidTr="00D56F4F">
        <w:trPr>
          <w:trHeight w:val="122"/>
          <w:tblHeader/>
        </w:trPr>
        <w:tc>
          <w:tcPr>
            <w:tcW w:w="1019" w:type="pct"/>
            <w:vAlign w:val="center"/>
          </w:tcPr>
          <w:p w14:paraId="25B4EDC6" w14:textId="77777777" w:rsidR="002D6035" w:rsidRPr="00DA3C6E" w:rsidRDefault="002D6035" w:rsidP="007128CF">
            <w:pPr>
              <w:keepLines/>
              <w:spacing w:after="0" w:line="240" w:lineRule="auto"/>
              <w:ind w:left="0"/>
              <w:jc w:val="left"/>
              <w:rPr>
                <w:rFonts w:ascii="Arial Narrow" w:hAnsi="Arial Narrow"/>
                <w:b/>
                <w:sz w:val="20"/>
                <w:szCs w:val="20"/>
              </w:rPr>
            </w:pPr>
            <w:r w:rsidRPr="00DA3C6E">
              <w:rPr>
                <w:rFonts w:ascii="Arial Narrow" w:hAnsi="Arial Narrow"/>
                <w:b/>
                <w:sz w:val="20"/>
                <w:szCs w:val="20"/>
              </w:rPr>
              <w:t>Author</w:t>
            </w:r>
          </w:p>
        </w:tc>
        <w:tc>
          <w:tcPr>
            <w:tcW w:w="2909" w:type="pct"/>
            <w:vAlign w:val="center"/>
          </w:tcPr>
          <w:p w14:paraId="29129B06" w14:textId="77777777" w:rsidR="002D6035" w:rsidRPr="00DA3C6E" w:rsidRDefault="002D6035" w:rsidP="007128CF">
            <w:pPr>
              <w:keepLines/>
              <w:spacing w:after="0" w:line="240" w:lineRule="auto"/>
              <w:jc w:val="left"/>
              <w:rPr>
                <w:rFonts w:ascii="Arial Narrow" w:hAnsi="Arial Narrow"/>
                <w:b/>
                <w:sz w:val="20"/>
                <w:szCs w:val="20"/>
              </w:rPr>
            </w:pPr>
            <w:r w:rsidRPr="00DA3C6E">
              <w:rPr>
                <w:rFonts w:ascii="Arial Narrow" w:hAnsi="Arial Narrow"/>
                <w:b/>
                <w:sz w:val="20"/>
                <w:szCs w:val="20"/>
              </w:rPr>
              <w:t>Title</w:t>
            </w:r>
          </w:p>
        </w:tc>
        <w:tc>
          <w:tcPr>
            <w:tcW w:w="1072" w:type="pct"/>
            <w:vAlign w:val="center"/>
          </w:tcPr>
          <w:p w14:paraId="49D203B4" w14:textId="77777777" w:rsidR="002D6035" w:rsidRPr="00DA3C6E" w:rsidRDefault="002D6035" w:rsidP="007128CF">
            <w:pPr>
              <w:keepLines/>
              <w:spacing w:after="0" w:line="240" w:lineRule="auto"/>
              <w:ind w:left="0"/>
              <w:jc w:val="left"/>
              <w:rPr>
                <w:rFonts w:ascii="Arial Narrow" w:hAnsi="Arial Narrow"/>
                <w:b/>
                <w:sz w:val="20"/>
                <w:szCs w:val="20"/>
              </w:rPr>
            </w:pPr>
            <w:r w:rsidRPr="00DA3C6E">
              <w:rPr>
                <w:rFonts w:ascii="Arial Narrow" w:hAnsi="Arial Narrow"/>
                <w:b/>
                <w:sz w:val="20"/>
                <w:szCs w:val="20"/>
              </w:rPr>
              <w:t>Intervention comparator</w:t>
            </w:r>
          </w:p>
        </w:tc>
      </w:tr>
      <w:tr w:rsidR="002D6035" w:rsidRPr="00DA3C6E" w14:paraId="3DE63869" w14:textId="77777777" w:rsidTr="007128CF">
        <w:trPr>
          <w:trHeight w:val="372"/>
        </w:trPr>
        <w:tc>
          <w:tcPr>
            <w:tcW w:w="1019" w:type="pct"/>
            <w:vAlign w:val="center"/>
          </w:tcPr>
          <w:p w14:paraId="230B9350" w14:textId="2E3535C9"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Katz et al</w:t>
            </w:r>
            <w:r w:rsidR="00094F7B" w:rsidRPr="00DA3C6E">
              <w:rPr>
                <w:rFonts w:ascii="Arial Narrow" w:hAnsi="Arial Narrow"/>
                <w:sz w:val="20"/>
                <w:szCs w:val="20"/>
              </w:rPr>
              <w:t>.</w:t>
            </w:r>
            <w:r w:rsidRPr="00DA3C6E">
              <w:rPr>
                <w:rFonts w:ascii="Arial Narrow" w:hAnsi="Arial Narrow"/>
                <w:sz w:val="20"/>
                <w:szCs w:val="20"/>
              </w:rPr>
              <w:t xml:space="preserve"> 2017 (abstract only)</w:t>
            </w:r>
            <w:r w:rsidR="00DB568A" w:rsidRPr="00DA3C6E">
              <w:rPr>
                <w:rFonts w:ascii="Arial Narrow" w:hAnsi="Arial Narrow"/>
                <w:sz w:val="20"/>
                <w:szCs w:val="20"/>
              </w:rPr>
              <w:fldChar w:fldCharType="begin"/>
            </w:r>
            <w:r w:rsidR="00DB568A" w:rsidRPr="00DA3C6E">
              <w:rPr>
                <w:rFonts w:ascii="Arial Narrow" w:hAnsi="Arial Narrow"/>
                <w:sz w:val="20"/>
                <w:szCs w:val="20"/>
              </w:rPr>
              <w:instrText xml:space="preserve"> ADDIN EN.CITE &lt;EndNote&gt;&lt;Cite&gt;&lt;Author&gt;Katz&lt;/Author&gt;&lt;Year&gt;2002&lt;/Year&gt;&lt;RecNum&gt;33&lt;/RecNum&gt;&lt;DisplayText&gt;(47)&lt;/DisplayText&gt;&lt;record&gt;&lt;rec-number&gt;33&lt;/rec-number&gt;&lt;foreign-keys&gt;&lt;key app="EN" db-id="0992p2ztn5fez9e2wvnpw2xstd20f9w2dezz" timestamp="1586818281"&gt;33&lt;/key&gt;&lt;/foreign-keys&gt;&lt;ref-type name="Journal Article"&gt;17&lt;/ref-type&gt;&lt;contributors&gt;&lt;authors&gt;&lt;author&gt;Katz, J. S.&lt;/author&gt;&lt;author&gt;Barohn, R. J.&lt;/author&gt;&lt;author&gt;Kojan, S.&lt;/author&gt;&lt;author&gt;Wolfe, G. I.&lt;/author&gt;&lt;author&gt;Nations, S. P.&lt;/author&gt;&lt;author&gt;Saperstein, D. S.&lt;/author&gt;&lt;author&gt;Amato, A. A.&lt;/author&gt;&lt;/authors&gt;&lt;/contributors&gt;&lt;auth-address&gt;Department of Neurology, Palo Alto VA Medical Center and Stanford University, Palo Alto, CA 94304, USA. jskatz@stanford.edu&lt;/auth-address&gt;&lt;titles&gt;&lt;title&gt;Axonal multifocal motor neuropathy without conduction block or other features of demyelination&lt;/title&gt;&lt;secondary-title&gt;Neurology&lt;/secondary-title&gt;&lt;/titles&gt;&lt;periodical&gt;&lt;full-title&gt;Neurology&lt;/full-title&gt;&lt;/periodical&gt;&lt;pages&gt;615-20&lt;/pages&gt;&lt;volume&gt;58&lt;/volume&gt;&lt;number&gt;4&lt;/number&gt;&lt;keywords&gt;&lt;keyword&gt;Adolescent&lt;/keyword&gt;&lt;keyword&gt;Adult&lt;/keyword&gt;&lt;keyword&gt;Aged&lt;/keyword&gt;&lt;keyword&gt;Anti-Inflammatory Agents/therapeutic use&lt;/keyword&gt;&lt;keyword&gt;Axons/ pathology&lt;/keyword&gt;&lt;keyword&gt;Demyelinating Diseases/ diagnosis&lt;/keyword&gt;&lt;keyword&gt;Electromyography&lt;/keyword&gt;&lt;keyword&gt;Female&lt;/keyword&gt;&lt;keyword&gt;Humans&lt;/keyword&gt;&lt;keyword&gt;Immunoglobulins, Intravenous/therapeutic use&lt;/keyword&gt;&lt;keyword&gt;Male&lt;/keyword&gt;&lt;keyword&gt;Middle Aged&lt;/keyword&gt;&lt;keyword&gt;Neural Conduction/physiology&lt;/keyword&gt;&lt;keyword&gt;Polyneuropathies/ diagnosis/drug therapy/physiopathology&lt;/keyword&gt;&lt;keyword&gt;Prednisone/therapeutic use&lt;/keyword&gt;&lt;/keywords&gt;&lt;dates&gt;&lt;year&gt;2002&lt;/year&gt;&lt;pub-dates&gt;&lt;date&gt;Feb 26&lt;/date&gt;&lt;/pub-dates&gt;&lt;/dates&gt;&lt;accession-num&gt;11865141&lt;/accession-num&gt;&lt;urls&gt;&lt;related-urls&gt;&lt;url&gt;https://n.neurology.org/content/58/4/615.long&lt;/url&gt;&lt;/related-urls&gt;&lt;/urls&gt;&lt;research-notes&gt;B. MMN patients with and witout conduction block treated with IVIg&lt;/research-notes&gt;&lt;/record&gt;&lt;/Cite&gt;&lt;/EndNote&gt;</w:instrText>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47" w:tooltip="Katz, 2002 #33" w:history="1">
              <w:r w:rsidR="00C04BCE" w:rsidRPr="00DA3C6E">
                <w:rPr>
                  <w:rFonts w:ascii="Arial Narrow" w:hAnsi="Arial Narrow"/>
                  <w:noProof/>
                  <w:sz w:val="20"/>
                  <w:szCs w:val="20"/>
                </w:rPr>
                <w:t>47</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0E1F2015"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First Global MMN QoL Patient Survey Identifies Needs in Education and Treatment (P2.061)</w:t>
            </w:r>
          </w:p>
        </w:tc>
        <w:tc>
          <w:tcPr>
            <w:tcW w:w="1072" w:type="pct"/>
            <w:vAlign w:val="center"/>
          </w:tcPr>
          <w:p w14:paraId="5B1E8C0F"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Intravenous Ig: 91.43% </w:t>
            </w:r>
          </w:p>
          <w:p w14:paraId="3DF011C3"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SCIg: 8.57% </w:t>
            </w:r>
          </w:p>
        </w:tc>
      </w:tr>
      <w:tr w:rsidR="002D6035" w:rsidRPr="00DA3C6E" w14:paraId="66BBB2F5" w14:textId="77777777" w:rsidTr="007128CF">
        <w:trPr>
          <w:trHeight w:val="307"/>
        </w:trPr>
        <w:tc>
          <w:tcPr>
            <w:tcW w:w="1019" w:type="pct"/>
            <w:vAlign w:val="center"/>
          </w:tcPr>
          <w:p w14:paraId="440EF46D" w14:textId="3D70AA34"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Rajabally et al</w:t>
            </w:r>
            <w:r w:rsidR="00094F7B" w:rsidRPr="00DA3C6E">
              <w:rPr>
                <w:rFonts w:ascii="Arial Narrow" w:hAnsi="Arial Narrow"/>
                <w:sz w:val="20"/>
                <w:szCs w:val="20"/>
              </w:rPr>
              <w:t>.</w:t>
            </w:r>
            <w:r w:rsidRPr="00DA3C6E">
              <w:rPr>
                <w:rFonts w:ascii="Arial Narrow" w:hAnsi="Arial Narrow"/>
                <w:sz w:val="20"/>
                <w:szCs w:val="20"/>
              </w:rPr>
              <w:t xml:space="preserve"> 2014</w:t>
            </w:r>
            <w:r w:rsidR="00DB568A" w:rsidRPr="00DA3C6E">
              <w:rPr>
                <w:rFonts w:ascii="Arial Narrow" w:hAnsi="Arial Narrow"/>
                <w:sz w:val="20"/>
                <w:szCs w:val="20"/>
              </w:rPr>
              <w:fldChar w:fldCharType="begin">
                <w:fldData xml:space="preserve">PEVuZE5vdGU+PENpdGU+PEF1dGhvcj5SYWphYmFsbHk8L0F1dGhvcj48WWVhcj4yMDE1PC9ZZWFy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PEVuZE5vdGU+PENpdGU+PEF1dGhvcj5SYWphYmFsbHk8L0F1dGhvcj48WWVhcj4yMDE1PC9ZZWFy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46" w:tooltip="Rajabally, 2015 #57" w:history="1">
              <w:r w:rsidR="00C04BCE" w:rsidRPr="00DA3C6E">
                <w:rPr>
                  <w:rFonts w:ascii="Arial Narrow" w:hAnsi="Arial Narrow"/>
                  <w:noProof/>
                  <w:sz w:val="20"/>
                  <w:szCs w:val="20"/>
                </w:rPr>
                <w:t>46</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0CC3E31A"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HRQoL in chronic inflammatory neuropathies: A systematic review.</w:t>
            </w:r>
          </w:p>
        </w:tc>
        <w:tc>
          <w:tcPr>
            <w:tcW w:w="1072" w:type="pct"/>
            <w:vAlign w:val="center"/>
          </w:tcPr>
          <w:p w14:paraId="51EC0654" w14:textId="77777777" w:rsidR="002D6035" w:rsidRPr="00DA3C6E" w:rsidRDefault="009E4FB8"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w:t>
            </w:r>
            <w:r w:rsidR="002D6035" w:rsidRPr="00DA3C6E">
              <w:rPr>
                <w:rFonts w:ascii="Arial Narrow" w:hAnsi="Arial Narrow"/>
                <w:sz w:val="20"/>
                <w:szCs w:val="20"/>
              </w:rPr>
              <w:t>ntravenous Ig and SCI</w:t>
            </w:r>
            <w:r w:rsidRPr="00DA3C6E">
              <w:rPr>
                <w:rFonts w:ascii="Arial Narrow" w:hAnsi="Arial Narrow"/>
                <w:sz w:val="20"/>
                <w:szCs w:val="20"/>
              </w:rPr>
              <w:t>g</w:t>
            </w:r>
          </w:p>
        </w:tc>
      </w:tr>
      <w:tr w:rsidR="002D6035" w:rsidRPr="00DA3C6E" w14:paraId="1BDE8E78" w14:textId="77777777" w:rsidTr="007128CF">
        <w:trPr>
          <w:trHeight w:val="251"/>
        </w:trPr>
        <w:tc>
          <w:tcPr>
            <w:tcW w:w="1019" w:type="pct"/>
            <w:vAlign w:val="center"/>
          </w:tcPr>
          <w:p w14:paraId="49CD572A" w14:textId="54A9C515"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Padua et al 2004</w:t>
            </w:r>
            <w:r w:rsidR="00DB568A" w:rsidRPr="00DA3C6E">
              <w:rPr>
                <w:rFonts w:ascii="Arial Narrow" w:hAnsi="Arial Narrow"/>
                <w:sz w:val="20"/>
                <w:szCs w:val="20"/>
              </w:rPr>
              <w:fldChar w:fldCharType="begin">
                <w:fldData xml:space="preserve">PEVuZE5vdGU+PENpdGU+PEF1dGhvcj5QYWR1YTwvQXV0aG9yPjxZZWFyPjIwMDQ8L1llYXI+PFJl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PEVuZE5vdGU+PENpdGU+PEF1dGhvcj5QYWR1YTwvQXV0aG9yPjxZZWFyPjIwMDQ8L1llYXI+PFJl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48" w:tooltip="Padua, 2004 #54" w:history="1">
              <w:r w:rsidR="00C04BCE" w:rsidRPr="00DA3C6E">
                <w:rPr>
                  <w:rFonts w:ascii="Arial Narrow" w:hAnsi="Arial Narrow"/>
                  <w:noProof/>
                  <w:sz w:val="20"/>
                  <w:szCs w:val="20"/>
                </w:rPr>
                <w:t>48</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6595D141"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Intravenous Ig treatment in autoimmune neurological disorders: pilot study on early effects on patients’ QoL. </w:t>
            </w:r>
          </w:p>
        </w:tc>
        <w:tc>
          <w:tcPr>
            <w:tcW w:w="1072" w:type="pct"/>
            <w:vMerge w:val="restart"/>
            <w:vAlign w:val="center"/>
          </w:tcPr>
          <w:p w14:paraId="3F899323"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tc>
      </w:tr>
      <w:tr w:rsidR="002D6035" w:rsidRPr="00DA3C6E" w14:paraId="1613FE0F" w14:textId="77777777" w:rsidTr="007128CF">
        <w:trPr>
          <w:trHeight w:val="200"/>
        </w:trPr>
        <w:tc>
          <w:tcPr>
            <w:tcW w:w="1019" w:type="pct"/>
            <w:vAlign w:val="center"/>
          </w:tcPr>
          <w:p w14:paraId="440C4286" w14:textId="6B623799"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Padua et al</w:t>
            </w:r>
            <w:r w:rsidR="00094F7B" w:rsidRPr="00DA3C6E">
              <w:rPr>
                <w:rFonts w:ascii="Arial Narrow" w:hAnsi="Arial Narrow"/>
                <w:sz w:val="20"/>
                <w:szCs w:val="20"/>
              </w:rPr>
              <w:t>.</w:t>
            </w:r>
            <w:r w:rsidRPr="00DA3C6E">
              <w:rPr>
                <w:rFonts w:ascii="Arial Narrow" w:hAnsi="Arial Narrow"/>
                <w:sz w:val="20"/>
                <w:szCs w:val="20"/>
              </w:rPr>
              <w:t xml:space="preserve"> 2005</w:t>
            </w:r>
            <w:r w:rsidR="00DB568A" w:rsidRPr="00DA3C6E">
              <w:rPr>
                <w:rFonts w:ascii="Arial Narrow" w:hAnsi="Arial Narrow"/>
                <w:sz w:val="20"/>
                <w:szCs w:val="20"/>
              </w:rPr>
              <w:fldChar w:fldCharType="begin"/>
            </w:r>
            <w:r w:rsidR="00DB568A" w:rsidRPr="00DA3C6E">
              <w:rPr>
                <w:rFonts w:ascii="Arial Narrow" w:hAnsi="Arial Narrow"/>
                <w:sz w:val="20"/>
                <w:szCs w:val="20"/>
              </w:rPr>
              <w:instrText xml:space="preserve"> ADDIN EN.CITE &lt;EndNote&gt;&lt;Cite&gt;&lt;Author&gt;Padua&lt;/Author&gt;&lt;Year&gt;2005&lt;/Year&gt;&lt;RecNum&gt;55&lt;/RecNum&gt;&lt;DisplayText&gt;(49)&lt;/DisplayText&gt;&lt;record&gt;&lt;rec-number&gt;55&lt;/rec-number&gt;&lt;foreign-keys&gt;&lt;key app="EN" db-id="0992p2ztn5fez9e2wvnpw2xstd20f9w2dezz" timestamp="1586818281"&gt;55&lt;/key&gt;&lt;/foreign-keys&gt;&lt;ref-type name="Journal Article"&gt;17&lt;/ref-type&gt;&lt;contributors&gt;&lt;authors&gt;&lt;author&gt;Padua, L.&lt;/author&gt;&lt;author&gt;Sabatelli, M.&lt;/author&gt;&lt;author&gt;Evoli, A.&lt;/author&gt;&lt;author&gt;Pazzaglia, C.&lt;/author&gt;&lt;author&gt;Tonali, P.&lt;/author&gt;&lt;/authors&gt;&lt;/contributors&gt;&lt;auth-address&gt;Institute of Neurology, Universita Cattolica, Rome, Italy; Fondazione don C. Gnocchi, Rome, Italy. lpadua@rm.unicatt.it&lt;/auth-address&gt;&lt;titles&gt;&lt;title&gt;Intravenous immunoglobulin treatment in autoimmune neurological disorders--effects on quality of life&lt;/title&gt;&lt;secondary-title&gt;Hum Immunol&lt;/secondary-title&gt;&lt;alt-title&gt;Human immunology&lt;/alt-title&gt;&lt;/titles&gt;&lt;periodical&gt;&lt;full-title&gt;Hum Immunol&lt;/full-title&gt;&lt;abbr-1&gt;Human immunology&lt;/abbr-1&gt;&lt;/periodical&gt;&lt;alt-periodical&gt;&lt;full-title&gt;Hum Immunol&lt;/full-title&gt;&lt;abbr-1&gt;Human immunology&lt;/abbr-1&gt;&lt;/alt-periodical&gt;&lt;pages&gt;417-21&lt;/pages&gt;&lt;volume&gt;66&lt;/volume&gt;&lt;number&gt;4&lt;/number&gt;&lt;edition&gt;2005/05/04&lt;/edition&gt;&lt;keywords&gt;&lt;keyword&gt;Animals&lt;/keyword&gt;&lt;keyword&gt;Autoimmune Diseases of the Nervous System/physiopathology/*psychology/*therapy&lt;/keyword&gt;&lt;keyword&gt;Humans&lt;/keyword&gt;&lt;keyword&gt;Immunoglobulins, Intravenous/*adverse effects/*therapeutic use&lt;/keyword&gt;&lt;keyword&gt;*Quality of Life&lt;/keyword&gt;&lt;/keywords&gt;&lt;dates&gt;&lt;year&gt;2005&lt;/year&gt;&lt;pub-dates&gt;&lt;date&gt;Apr&lt;/date&gt;&lt;/pub-dates&gt;&lt;/dates&gt;&lt;isbn&gt;0198-8859 (Print)&amp;#xD;0198-8859&lt;/isbn&gt;&lt;accession-num&gt;15866706&lt;/accession-num&gt;&lt;urls&gt;&lt;/urls&gt;&lt;electronic-resource-num&gt;10.1016/j.humimm.2005.01.023&lt;/electronic-resource-num&gt;&lt;remote-database-provider&gt;NLM&lt;/remote-database-provider&gt;&lt;language&gt;eng&lt;/language&gt;&lt;/record&gt;&lt;/Cite&gt;&lt;/EndNote&gt;</w:instrText>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49" w:tooltip="Padua, 2005 #55" w:history="1">
              <w:r w:rsidR="00C04BCE" w:rsidRPr="00DA3C6E">
                <w:rPr>
                  <w:rFonts w:ascii="Arial Narrow" w:hAnsi="Arial Narrow"/>
                  <w:noProof/>
                  <w:sz w:val="20"/>
                  <w:szCs w:val="20"/>
                </w:rPr>
                <w:t>49</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2560D99C"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 treatment in autoimmune neurological Disorders effects on QoL.</w:t>
            </w:r>
          </w:p>
        </w:tc>
        <w:tc>
          <w:tcPr>
            <w:tcW w:w="1072" w:type="pct"/>
            <w:vMerge/>
            <w:vAlign w:val="center"/>
          </w:tcPr>
          <w:p w14:paraId="0F8901BA" w14:textId="77777777" w:rsidR="002D6035" w:rsidRPr="00DA3C6E" w:rsidRDefault="002D6035" w:rsidP="007128CF">
            <w:pPr>
              <w:keepLines/>
              <w:spacing w:after="0" w:line="240" w:lineRule="auto"/>
              <w:jc w:val="left"/>
              <w:rPr>
                <w:rFonts w:ascii="Arial Narrow" w:hAnsi="Arial Narrow"/>
                <w:sz w:val="20"/>
                <w:szCs w:val="20"/>
              </w:rPr>
            </w:pPr>
          </w:p>
        </w:tc>
      </w:tr>
      <w:tr w:rsidR="002D6035" w:rsidRPr="00DA3C6E" w14:paraId="08F4DF9F" w14:textId="77777777" w:rsidTr="007128CF">
        <w:trPr>
          <w:trHeight w:val="229"/>
        </w:trPr>
        <w:tc>
          <w:tcPr>
            <w:tcW w:w="1019" w:type="pct"/>
            <w:vAlign w:val="center"/>
          </w:tcPr>
          <w:p w14:paraId="180655DA" w14:textId="5EF2F5B3"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Harbo et al</w:t>
            </w:r>
            <w:r w:rsidR="00094F7B" w:rsidRPr="00DA3C6E">
              <w:rPr>
                <w:rFonts w:ascii="Arial Narrow" w:hAnsi="Arial Narrow"/>
                <w:sz w:val="20"/>
                <w:szCs w:val="20"/>
              </w:rPr>
              <w:t>.</w:t>
            </w:r>
            <w:r w:rsidRPr="00DA3C6E">
              <w:rPr>
                <w:rFonts w:ascii="Arial Narrow" w:hAnsi="Arial Narrow"/>
                <w:sz w:val="20"/>
                <w:szCs w:val="20"/>
              </w:rPr>
              <w:t xml:space="preserve"> 2009</w:t>
            </w:r>
            <w:r w:rsidR="00DB568A" w:rsidRPr="00DA3C6E">
              <w:rPr>
                <w:rFonts w:ascii="Arial Narrow" w:hAnsi="Arial Narrow"/>
                <w:sz w:val="20"/>
                <w:szCs w:val="20"/>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7" w:tooltip="Harbo, 2009 #27" w:history="1">
              <w:r w:rsidR="00C04BCE">
                <w:rPr>
                  <w:rFonts w:ascii="Arial Narrow" w:hAnsi="Arial Narrow"/>
                  <w:noProof/>
                  <w:sz w:val="20"/>
                  <w:szCs w:val="20"/>
                </w:rPr>
                <w:t>7</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46183BDA"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 versus Intravenous Ig in MMN: a randomized, single-blinded cross-over trial.</w:t>
            </w:r>
          </w:p>
        </w:tc>
        <w:tc>
          <w:tcPr>
            <w:tcW w:w="1072" w:type="pct"/>
            <w:vAlign w:val="center"/>
          </w:tcPr>
          <w:p w14:paraId="2ABCE1C1"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p w14:paraId="2B2D6E80"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w:t>
            </w:r>
          </w:p>
        </w:tc>
      </w:tr>
      <w:tr w:rsidR="002D6035" w:rsidRPr="00DA3C6E" w14:paraId="154E27E9" w14:textId="77777777" w:rsidTr="007128CF">
        <w:trPr>
          <w:trHeight w:val="53"/>
        </w:trPr>
        <w:tc>
          <w:tcPr>
            <w:tcW w:w="1019" w:type="pct"/>
            <w:vAlign w:val="center"/>
          </w:tcPr>
          <w:p w14:paraId="3533964D" w14:textId="2A5205E2"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Eftimov et al</w:t>
            </w:r>
            <w:r w:rsidR="00094F7B" w:rsidRPr="00DA3C6E">
              <w:rPr>
                <w:rFonts w:ascii="Arial Narrow" w:hAnsi="Arial Narrow"/>
                <w:sz w:val="20"/>
                <w:szCs w:val="20"/>
              </w:rPr>
              <w:t>.</w:t>
            </w:r>
            <w:r w:rsidRPr="00DA3C6E">
              <w:rPr>
                <w:rFonts w:ascii="Arial Narrow" w:hAnsi="Arial Narrow"/>
                <w:sz w:val="20"/>
                <w:szCs w:val="20"/>
              </w:rPr>
              <w:t xml:space="preserve"> 2009 </w:t>
            </w:r>
            <w:r w:rsidR="00DB568A" w:rsidRPr="00DA3C6E">
              <w:rPr>
                <w:rFonts w:ascii="Arial Narrow" w:hAnsi="Arial Narrow"/>
                <w:sz w:val="20"/>
                <w:szCs w:val="20"/>
              </w:rPr>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0" w:tooltip="Eftimov, 2009 #19" w:history="1">
              <w:r w:rsidR="00C04BCE">
                <w:rPr>
                  <w:rFonts w:ascii="Arial Narrow" w:hAnsi="Arial Narrow"/>
                  <w:noProof/>
                  <w:sz w:val="20"/>
                  <w:szCs w:val="20"/>
                </w:rPr>
                <w:t>50</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1719E303"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 therapy for MMN.</w:t>
            </w:r>
          </w:p>
        </w:tc>
        <w:tc>
          <w:tcPr>
            <w:tcW w:w="1072" w:type="pct"/>
            <w:vAlign w:val="center"/>
          </w:tcPr>
          <w:p w14:paraId="5726B82A"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p w14:paraId="03740771"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w:t>
            </w:r>
          </w:p>
        </w:tc>
      </w:tr>
      <w:tr w:rsidR="002D6035" w:rsidRPr="00DA3C6E" w14:paraId="24BF71FB" w14:textId="77777777" w:rsidTr="007128CF">
        <w:trPr>
          <w:trHeight w:val="395"/>
        </w:trPr>
        <w:tc>
          <w:tcPr>
            <w:tcW w:w="1019" w:type="pct"/>
            <w:vAlign w:val="center"/>
          </w:tcPr>
          <w:p w14:paraId="725DCF69" w14:textId="215C4541"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Misbah et al</w:t>
            </w:r>
            <w:r w:rsidR="00094F7B" w:rsidRPr="00DA3C6E">
              <w:rPr>
                <w:rFonts w:ascii="Arial Narrow" w:hAnsi="Arial Narrow"/>
                <w:sz w:val="20"/>
                <w:szCs w:val="20"/>
              </w:rPr>
              <w:t>.</w:t>
            </w:r>
            <w:r w:rsidRPr="00DA3C6E">
              <w:rPr>
                <w:rFonts w:ascii="Arial Narrow" w:hAnsi="Arial Narrow"/>
                <w:sz w:val="20"/>
                <w:szCs w:val="20"/>
              </w:rPr>
              <w:t xml:space="preserve"> 2011</w:t>
            </w:r>
            <w:r w:rsidR="00DB568A" w:rsidRPr="00DA3C6E">
              <w:rPr>
                <w:rFonts w:ascii="Arial Narrow" w:hAnsi="Arial Narrow"/>
                <w:sz w:val="20"/>
                <w:szCs w:val="20"/>
              </w:rPr>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1" w:tooltip="Misbah, 2011 #44" w:history="1">
              <w:r w:rsidR="00C04BCE">
                <w:rPr>
                  <w:rFonts w:ascii="Arial Narrow" w:hAnsi="Arial Narrow"/>
                  <w:noProof/>
                  <w:sz w:val="20"/>
                  <w:szCs w:val="20"/>
                </w:rPr>
                <w:t>51</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13EAF113"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A smooth transition protocol for patients with MMN going from Intravenous Ig to SCIg: an open-label proof-of-concept study.</w:t>
            </w:r>
          </w:p>
        </w:tc>
        <w:tc>
          <w:tcPr>
            <w:tcW w:w="1072" w:type="pct"/>
            <w:vAlign w:val="center"/>
          </w:tcPr>
          <w:p w14:paraId="372F182E"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w:t>
            </w:r>
          </w:p>
        </w:tc>
      </w:tr>
      <w:tr w:rsidR="002D6035" w:rsidRPr="00DA3C6E" w14:paraId="1E27301F" w14:textId="77777777" w:rsidTr="007128CF">
        <w:trPr>
          <w:trHeight w:val="395"/>
        </w:trPr>
        <w:tc>
          <w:tcPr>
            <w:tcW w:w="1019" w:type="pct"/>
            <w:vAlign w:val="center"/>
          </w:tcPr>
          <w:p w14:paraId="5F8478C8" w14:textId="36796B76"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Braine et al</w:t>
            </w:r>
            <w:r w:rsidR="00094F7B" w:rsidRPr="00DA3C6E">
              <w:rPr>
                <w:rFonts w:ascii="Arial Narrow" w:hAnsi="Arial Narrow"/>
                <w:sz w:val="20"/>
                <w:szCs w:val="20"/>
              </w:rPr>
              <w:t>.</w:t>
            </w:r>
            <w:r w:rsidRPr="00DA3C6E">
              <w:rPr>
                <w:rFonts w:ascii="Arial Narrow" w:hAnsi="Arial Narrow"/>
                <w:sz w:val="20"/>
                <w:szCs w:val="20"/>
              </w:rPr>
              <w:t xml:space="preserve"> 2012</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&lt;EndNote&gt;&lt;Cite&gt;&lt;Author&gt;Braine&lt;/Author&gt;&lt;Year&gt;2012&lt;/Year&gt;&lt;RecNum&gt;12&lt;/RecNum&gt;&lt;DisplayText&gt;(52)&lt;/DisplayText&gt;&lt;record&gt;&lt;rec-number&gt;12&lt;/rec-number&gt;&lt;foreign-keys&gt;&lt;key app="EN" db-id="0992p2ztn5fez9e2wvnpw2xstd20f9w2dezz" timestamp="1586818281"&gt;12&lt;/key&gt;&lt;/foreign-keys&gt;&lt;ref-type name="Journal Article"&gt;17&lt;/ref-type&gt;&lt;contributors&gt;&lt;authors&gt;&lt;author&gt;Braine, M. E.&lt;/author&gt;&lt;author&gt;Woodall, A.&lt;/author&gt;&lt;/authors&gt;&lt;/contributors&gt;&lt;auth-address&gt;M.E. Braine, School of Nursing, Midwifery and Social Work, College of Health and Social Care, University of Salford&lt;/auth-address&gt;&lt;titles&gt;&lt;title&gt;A comparison between intravenous and subcutmaneous immunogobulin&lt;/title&gt;&lt;secondary-title&gt;British journal of nursing (Mark Allen Publishing)&lt;/secondary-title&gt;&lt;/titles&gt;&lt;periodical&gt;&lt;full-title&gt;British journal of nursing (Mark Allen Publishing)&lt;/full-title&gt;&lt;/periodical&gt;&lt;pages&gt;S21-27&lt;/pages&gt;&lt;volume&gt;21&lt;/volume&gt;&lt;number&gt;8&lt;/number&gt;&lt;keywords&gt;&lt;keyword&gt;adult&lt;/keyword&gt;&lt;keyword&gt;aged&lt;/keyword&gt;&lt;keyword&gt;article&lt;/keyword&gt;&lt;keyword&gt;clinical trial&lt;/keyword&gt;&lt;keyword&gt;comparative study&lt;/keyword&gt;&lt;keyword&gt;female&lt;/keyword&gt;&lt;keyword&gt;human&lt;/keyword&gt;&lt;keyword&gt;intravenous drug administration&lt;/keyword&gt;&lt;keyword&gt;male&lt;/keyword&gt;&lt;keyword&gt;middle aged&lt;/keyword&gt;&lt;keyword&gt;nursing&lt;/keyword&gt;&lt;keyword&gt;nursing methodology research&lt;/keyword&gt;&lt;keyword&gt;*polyneuropathy/dt [Drug Therapy]&lt;/keyword&gt;&lt;keyword&gt;*quality of life&lt;/keyword&gt;&lt;keyword&gt;subcutaneous drug administration&lt;/keyword&gt;&lt;keyword&gt;treatment outcome&lt;/keyword&gt;&lt;keyword&gt;*immunoglobulin/ad [Drug Administration]&lt;/keyword&gt;&lt;/keywords&gt;&lt;dates&gt;&lt;year&gt;2012&lt;/year&gt;&lt;/dates&gt;&lt;pub-location&gt;United Kingdom&lt;/pub-location&gt;&lt;accession-num&gt;365000789&lt;/accession-num&gt;&lt;urls&gt;&lt;related-urls&gt;&lt;url&gt;http://ovidsp.ovid.com/ovidweb.cgi?T=JS&amp;amp;PAGE=reference&amp;amp;D=emed13&amp;amp;NEWS=N&amp;amp;AN=365000789&lt;/url&gt;&lt;/related-urls&gt;&lt;/urls&gt;&lt;research-notes&gt;E. subutaneous vs intravenous. &lt;/research-notes&gt;&lt;/record&gt;&lt;/Cite&gt;&lt;/EndNote&gt;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2" w:tooltip="Braine, 2012 #12" w:history="1">
              <w:r w:rsidR="00C04BCE">
                <w:rPr>
                  <w:rFonts w:ascii="Arial Narrow" w:hAnsi="Arial Narrow"/>
                  <w:noProof/>
                  <w:sz w:val="20"/>
                  <w:szCs w:val="20"/>
                </w:rPr>
                <w:t>52</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781A7F3F"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A comparison between Intravenous Ig and SCIg.</w:t>
            </w:r>
          </w:p>
        </w:tc>
        <w:tc>
          <w:tcPr>
            <w:tcW w:w="1072" w:type="pct"/>
            <w:vAlign w:val="center"/>
          </w:tcPr>
          <w:p w14:paraId="2B9097FD"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p w14:paraId="65238160"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SCIg</w:t>
            </w:r>
          </w:p>
        </w:tc>
      </w:tr>
      <w:tr w:rsidR="002D6035" w:rsidRPr="00DA3C6E" w14:paraId="71D47981" w14:textId="77777777" w:rsidTr="007128CF">
        <w:trPr>
          <w:trHeight w:val="292"/>
        </w:trPr>
        <w:tc>
          <w:tcPr>
            <w:tcW w:w="1019" w:type="pct"/>
            <w:vAlign w:val="center"/>
          </w:tcPr>
          <w:p w14:paraId="606DCC7B" w14:textId="5480228B"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Mahdi-rogers et al</w:t>
            </w:r>
            <w:r w:rsidR="00094F7B" w:rsidRPr="00DA3C6E">
              <w:rPr>
                <w:rFonts w:ascii="Arial Narrow" w:hAnsi="Arial Narrow"/>
                <w:sz w:val="20"/>
                <w:szCs w:val="20"/>
              </w:rPr>
              <w:t>.</w:t>
            </w:r>
            <w:r w:rsidRPr="00DA3C6E">
              <w:rPr>
                <w:rFonts w:ascii="Arial Narrow" w:hAnsi="Arial Narrow"/>
                <w:sz w:val="20"/>
                <w:szCs w:val="20"/>
              </w:rPr>
              <w:t xml:space="preserve"> 2013</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3" w:tooltip="Mahdi-Rogers, 2014 #42" w:history="1">
              <w:r w:rsidR="00C04BCE">
                <w:rPr>
                  <w:rFonts w:ascii="Arial Narrow" w:hAnsi="Arial Narrow"/>
                  <w:noProof/>
                  <w:sz w:val="20"/>
                  <w:szCs w:val="20"/>
                </w:rPr>
                <w:t>53</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6F4A85DD"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Economic costs and QoL in chronic inflammatory neuropathies in southeast England.</w:t>
            </w:r>
          </w:p>
        </w:tc>
        <w:tc>
          <w:tcPr>
            <w:tcW w:w="1072" w:type="pct"/>
            <w:vAlign w:val="center"/>
          </w:tcPr>
          <w:p w14:paraId="18FE60CE"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tc>
      </w:tr>
      <w:tr w:rsidR="002D6035" w:rsidRPr="00DA3C6E" w14:paraId="53A44916" w14:textId="77777777" w:rsidTr="007128CF">
        <w:trPr>
          <w:trHeight w:val="355"/>
        </w:trPr>
        <w:tc>
          <w:tcPr>
            <w:tcW w:w="1019" w:type="pct"/>
            <w:vAlign w:val="center"/>
          </w:tcPr>
          <w:p w14:paraId="7F462C51" w14:textId="7AB2822B" w:rsidR="002D6035" w:rsidRPr="00DA3C6E" w:rsidRDefault="002D6035" w:rsidP="00C04BCE">
            <w:pPr>
              <w:keepLines/>
              <w:spacing w:after="0" w:line="240" w:lineRule="auto"/>
              <w:ind w:left="0"/>
              <w:jc w:val="left"/>
              <w:rPr>
                <w:rFonts w:ascii="Arial Narrow" w:hAnsi="Arial Narrow"/>
                <w:sz w:val="20"/>
                <w:szCs w:val="20"/>
              </w:rPr>
            </w:pPr>
            <w:r w:rsidRPr="00DA3C6E">
              <w:rPr>
                <w:rFonts w:ascii="Arial Narrow" w:hAnsi="Arial Narrow"/>
                <w:sz w:val="20"/>
                <w:szCs w:val="20"/>
              </w:rPr>
              <w:t>Bozovic et al</w:t>
            </w:r>
            <w:r w:rsidR="00094F7B" w:rsidRPr="00DA3C6E">
              <w:rPr>
                <w:rFonts w:ascii="Arial Narrow" w:hAnsi="Arial Narrow"/>
                <w:sz w:val="20"/>
                <w:szCs w:val="20"/>
              </w:rPr>
              <w:t>.</w:t>
            </w:r>
            <w:r w:rsidRPr="00DA3C6E">
              <w:rPr>
                <w:rFonts w:ascii="Arial Narrow" w:hAnsi="Arial Narrow"/>
                <w:sz w:val="20"/>
                <w:szCs w:val="20"/>
              </w:rPr>
              <w:t xml:space="preserve"> 2019</w:t>
            </w:r>
            <w:r w:rsidR="00DB568A" w:rsidRPr="00DA3C6E">
              <w:rPr>
                <w:rFonts w:ascii="Arial Narrow" w:hAnsi="Arial Narrow"/>
                <w:sz w:val="20"/>
                <w:szCs w:val="20"/>
              </w:rPr>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4" w:tooltip="Bozovic, 2019 #11" w:history="1">
              <w:r w:rsidR="00C04BCE">
                <w:rPr>
                  <w:rFonts w:ascii="Arial Narrow" w:hAnsi="Arial Narrow"/>
                  <w:noProof/>
                  <w:sz w:val="20"/>
                  <w:szCs w:val="20"/>
                </w:rPr>
                <w:t>54</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2909" w:type="pct"/>
            <w:vAlign w:val="center"/>
          </w:tcPr>
          <w:p w14:paraId="421F1357"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QoL in patients with MMN from Serbia. </w:t>
            </w:r>
          </w:p>
        </w:tc>
        <w:tc>
          <w:tcPr>
            <w:tcW w:w="1072" w:type="pct"/>
            <w:vAlign w:val="center"/>
          </w:tcPr>
          <w:p w14:paraId="3D35CA72" w14:textId="77777777" w:rsidR="002D6035" w:rsidRPr="00DA3C6E" w:rsidRDefault="002D6035"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Intravenous Ig</w:t>
            </w:r>
          </w:p>
        </w:tc>
      </w:tr>
    </w:tbl>
    <w:p w14:paraId="6094AA61" w14:textId="77777777" w:rsidR="002D6035" w:rsidRPr="00DA3C6E" w:rsidRDefault="002D6035" w:rsidP="0016555D">
      <w:pPr>
        <w:spacing w:line="240" w:lineRule="auto"/>
        <w:rPr>
          <w:rFonts w:ascii="Arial Narrow" w:hAnsi="Arial Narrow"/>
          <w:sz w:val="18"/>
          <w:szCs w:val="18"/>
        </w:rPr>
      </w:pPr>
      <w:r w:rsidRPr="00DA3C6E">
        <w:rPr>
          <w:rFonts w:ascii="Arial Narrow" w:hAnsi="Arial Narrow" w:cs="Univers-Light"/>
          <w:sz w:val="18"/>
          <w:szCs w:val="18"/>
        </w:rPr>
        <w:t xml:space="preserve">Abbreviations: HRQoL = </w:t>
      </w:r>
      <w:r w:rsidRPr="00DA3C6E">
        <w:rPr>
          <w:rFonts w:ascii="Arial Narrow" w:hAnsi="Arial Narrow"/>
          <w:sz w:val="18"/>
          <w:szCs w:val="18"/>
        </w:rPr>
        <w:t xml:space="preserve">health-related quality of life; Ig = immunoglobulin; MMN = multifocal motor neuropathy; QoL = quality of life; SD = standard deviation; SCIg = subcutaneous immunoglobulin. </w:t>
      </w:r>
    </w:p>
    <w:p w14:paraId="42593FD4" w14:textId="4917438D" w:rsidR="00195F85" w:rsidRPr="00DA3C6E" w:rsidRDefault="002D6035" w:rsidP="004B149F">
      <w:r w:rsidRPr="00DA3C6E">
        <w:fldChar w:fldCharType="begin"/>
      </w:r>
      <w:r w:rsidRPr="00DA3C6E">
        <w:instrText xml:space="preserve"> REF _Ref28008327 \h </w:instrText>
      </w:r>
      <w:r w:rsidR="00E8759F" w:rsidRPr="00DA3C6E">
        <w:instrText xml:space="preserve"> \* MERGEFORMAT </w:instrText>
      </w:r>
      <w:r w:rsidRPr="00DA3C6E">
        <w:fldChar w:fldCharType="separate"/>
      </w:r>
      <w:r w:rsidR="00EA5DC1" w:rsidRPr="00DA3C6E">
        <w:t xml:space="preserve">Table </w:t>
      </w:r>
      <w:r w:rsidR="00EA5DC1">
        <w:rPr>
          <w:noProof/>
        </w:rPr>
        <w:t>19</w:t>
      </w:r>
      <w:r w:rsidRPr="00DA3C6E">
        <w:fldChar w:fldCharType="end"/>
      </w:r>
      <w:r w:rsidRPr="00DA3C6E">
        <w:t xml:space="preserve"> summarises all primary studies with its corresponding QoL measurement tool, scores and level of significance. The most common QoL assessment tool used was the short version of the SF-36 questionnaire followed by the Life Quality Index (LQI) and the EQ-5D</w:t>
      </w:r>
      <w:r w:rsidR="008E778A" w:rsidRPr="00DA3C6E">
        <w:t xml:space="preserve"> 3L</w:t>
      </w:r>
      <w:r w:rsidRPr="00DA3C6E">
        <w:t xml:space="preserve">. A common feature of these studies was that none of them reported the baseline pre-treatment QoL characteristics in these patients and how that may compare with normative values. </w:t>
      </w:r>
    </w:p>
    <w:p w14:paraId="74F273C4" w14:textId="39BF402B" w:rsidR="004B149F" w:rsidRPr="00DA3C6E" w:rsidRDefault="002D6035" w:rsidP="004B149F">
      <w:r w:rsidRPr="00DA3C6E">
        <w:t xml:space="preserve">The overall results presented in </w:t>
      </w:r>
      <w:r w:rsidRPr="00DA3C6E">
        <w:fldChar w:fldCharType="begin"/>
      </w:r>
      <w:r w:rsidRPr="00DA3C6E">
        <w:instrText xml:space="preserve"> REF _Ref28008327 \h </w:instrText>
      </w:r>
      <w:r w:rsidR="00E8759F" w:rsidRPr="00DA3C6E">
        <w:instrText xml:space="preserve"> \* MERGEFORMAT </w:instrText>
      </w:r>
      <w:r w:rsidRPr="00DA3C6E">
        <w:fldChar w:fldCharType="separate"/>
      </w:r>
      <w:r w:rsidR="00EA5DC1" w:rsidRPr="00DA3C6E">
        <w:t xml:space="preserve">Table </w:t>
      </w:r>
      <w:r w:rsidR="00EA5DC1">
        <w:rPr>
          <w:noProof/>
        </w:rPr>
        <w:t>19</w:t>
      </w:r>
      <w:r w:rsidRPr="00DA3C6E">
        <w:fldChar w:fldCharType="end"/>
      </w:r>
      <w:r w:rsidRPr="00DA3C6E">
        <w:t xml:space="preserve"> are variable and show wide discrepancies when comparing the mean absolute scores for the </w:t>
      </w:r>
      <w:r w:rsidRPr="00DA3C6E">
        <w:rPr>
          <w:color w:val="000000"/>
          <w:shd w:val="clear" w:color="auto" w:fill="FFFFFF"/>
        </w:rPr>
        <w:t>physical component summary</w:t>
      </w:r>
      <w:r w:rsidRPr="00DA3C6E">
        <w:t xml:space="preserve"> (PCS) and </w:t>
      </w:r>
      <w:r w:rsidRPr="00DA3C6E">
        <w:rPr>
          <w:color w:val="000000"/>
          <w:shd w:val="clear" w:color="auto" w:fill="FFFFFF"/>
        </w:rPr>
        <w:t>mental component summary (</w:t>
      </w:r>
      <w:r w:rsidRPr="00DA3C6E">
        <w:t xml:space="preserve">MCS) of the SF-36. </w:t>
      </w:r>
      <w:r w:rsidRPr="00DA3C6E">
        <w:rPr>
          <w:color w:val="000000"/>
          <w:shd w:val="clear" w:color="auto" w:fill="FFFFFF"/>
        </w:rPr>
        <w:t> For example, t</w:t>
      </w:r>
      <w:r w:rsidRPr="00DA3C6E">
        <w:t xml:space="preserve">he results for </w:t>
      </w:r>
      <w:r w:rsidRPr="00DA3C6E">
        <w:rPr>
          <w:color w:val="000000"/>
          <w:shd w:val="clear" w:color="auto" w:fill="FFFFFF"/>
        </w:rPr>
        <w:t xml:space="preserve">the PCS in </w:t>
      </w:r>
      <w:r w:rsidRPr="00DA3C6E">
        <w:t xml:space="preserve">patients treated with </w:t>
      </w:r>
      <w:r w:rsidR="004B149F" w:rsidRPr="00DA3C6E">
        <w:t>i</w:t>
      </w:r>
      <w:r w:rsidRPr="00DA3C6E">
        <w:t xml:space="preserve">ntravenous Ig ranged from 37.0± 6.8 (p = 0.0014) </w:t>
      </w:r>
      <w:r w:rsidR="00DB568A" w:rsidRPr="00DA3C6E">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instrText xml:space="preserve"> ADDIN EN.CITE </w:instrText>
      </w:r>
      <w:r w:rsidR="00DB568A" w:rsidRPr="00DA3C6E">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48" w:tooltip="Padua, 2004 #54" w:history="1">
        <w:r w:rsidR="00C04BCE" w:rsidRPr="00DA3C6E">
          <w:rPr>
            <w:noProof/>
          </w:rPr>
          <w:t>48</w:t>
        </w:r>
      </w:hyperlink>
      <w:r w:rsidR="00DB568A" w:rsidRPr="00DA3C6E">
        <w:rPr>
          <w:noProof/>
        </w:rPr>
        <w:t xml:space="preserve">, </w:t>
      </w:r>
      <w:hyperlink w:anchor="_ENREF_49" w:tooltip="Padua, 2005 #55" w:history="1">
        <w:r w:rsidR="00C04BCE" w:rsidRPr="00DA3C6E">
          <w:rPr>
            <w:noProof/>
          </w:rPr>
          <w:t>49</w:t>
        </w:r>
      </w:hyperlink>
      <w:r w:rsidR="00DB568A" w:rsidRPr="00DA3C6E">
        <w:rPr>
          <w:noProof/>
        </w:rPr>
        <w:t>)</w:t>
      </w:r>
      <w:r w:rsidR="00DB568A" w:rsidRPr="00DA3C6E">
        <w:fldChar w:fldCharType="end"/>
      </w:r>
      <w:r w:rsidRPr="00DA3C6E">
        <w:t xml:space="preserve"> to 64.8 ± 22.3 </w:t>
      </w:r>
      <w:r w:rsidR="00DB568A" w:rsidRPr="00DA3C6E">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instrText xml:space="preserve"> ADDIN EN.CITE </w:instrText>
      </w:r>
      <w:r w:rsidR="007810D6">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4" w:tooltip="Bozovic, 2019 #11" w:history="1">
        <w:r w:rsidR="00C04BCE">
          <w:rPr>
            <w:noProof/>
          </w:rPr>
          <w:t>54</w:t>
        </w:r>
      </w:hyperlink>
      <w:r w:rsidR="007810D6">
        <w:rPr>
          <w:noProof/>
        </w:rPr>
        <w:t>)</w:t>
      </w:r>
      <w:r w:rsidR="00DB568A" w:rsidRPr="00DA3C6E">
        <w:fldChar w:fldCharType="end"/>
      </w:r>
      <w:r w:rsidRPr="00DA3C6E">
        <w:t xml:space="preserve">. These differences could be partly explained by differences in disease duration (time since diagnosis), treatment duration and potential differences in the clinical presentation and severity of the disease. However, all studies were consistent in the fact that QoL in patients with MMN was reduced with time, especially in the physical domains. It should be noted </w:t>
      </w:r>
      <w:r w:rsidR="006A17AC" w:rsidRPr="00DA3C6E">
        <w:t xml:space="preserve">that </w:t>
      </w:r>
      <w:r w:rsidR="00195F85" w:rsidRPr="00DA3C6E">
        <w:t xml:space="preserve">limitations were found in these studies that </w:t>
      </w:r>
      <w:r w:rsidR="00094F7B" w:rsidRPr="00DA3C6E">
        <w:t xml:space="preserve">therefore </w:t>
      </w:r>
      <w:r w:rsidR="00195F85" w:rsidRPr="00DA3C6E">
        <w:t>limit</w:t>
      </w:r>
      <w:r w:rsidR="00094F7B" w:rsidRPr="00DA3C6E">
        <w:t>s</w:t>
      </w:r>
      <w:r w:rsidR="00195F85" w:rsidRPr="00DA3C6E">
        <w:t xml:space="preserve"> the interpretation of these results. For example, the</w:t>
      </w:r>
      <w:r w:rsidRPr="00DA3C6E">
        <w:t xml:space="preserve"> studies by Padua et al</w:t>
      </w:r>
      <w:r w:rsidR="00EF2D51" w:rsidRPr="00DA3C6E">
        <w:t>.</w:t>
      </w:r>
      <w:r w:rsidRPr="00DA3C6E">
        <w:t xml:space="preserve"> </w:t>
      </w:r>
      <w:r w:rsidR="00195F85" w:rsidRPr="00DA3C6E">
        <w:t xml:space="preserve">2004 and </w:t>
      </w:r>
      <w:r w:rsidRPr="00DA3C6E">
        <w:t>2005</w:t>
      </w:r>
      <w:r w:rsidR="00DB568A" w:rsidRPr="00DA3C6E">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instrText xml:space="preserve"> ADDIN EN.CITE </w:instrText>
      </w:r>
      <w:r w:rsidR="00DB568A" w:rsidRPr="00DA3C6E">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48" w:tooltip="Padua, 2004 #54" w:history="1">
        <w:r w:rsidR="00C04BCE" w:rsidRPr="00DA3C6E">
          <w:rPr>
            <w:noProof/>
          </w:rPr>
          <w:t>48</w:t>
        </w:r>
      </w:hyperlink>
      <w:r w:rsidR="00DB568A" w:rsidRPr="00DA3C6E">
        <w:rPr>
          <w:noProof/>
        </w:rPr>
        <w:t xml:space="preserve">, </w:t>
      </w:r>
      <w:hyperlink w:anchor="_ENREF_49" w:tooltip="Padua, 2005 #55" w:history="1">
        <w:r w:rsidR="00C04BCE" w:rsidRPr="00DA3C6E">
          <w:rPr>
            <w:noProof/>
          </w:rPr>
          <w:t>49</w:t>
        </w:r>
      </w:hyperlink>
      <w:r w:rsidR="00DB568A" w:rsidRPr="00DA3C6E">
        <w:rPr>
          <w:noProof/>
        </w:rPr>
        <w:t>)</w:t>
      </w:r>
      <w:r w:rsidR="00DB568A" w:rsidRPr="00DA3C6E">
        <w:fldChar w:fldCharType="end"/>
      </w:r>
      <w:r w:rsidRPr="00DA3C6E">
        <w:t>, which are two versions of the same study, evaluated changes in QoL in 25 patients with autoimmune neurological diseases treated with intravenous Ig of which only three had MMN. According to Bozovic et al</w:t>
      </w:r>
      <w:r w:rsidR="00EF2D51" w:rsidRPr="00DA3C6E">
        <w:t>.</w:t>
      </w:r>
      <w:r w:rsidRPr="00DA3C6E">
        <w:t xml:space="preserve"> 2019</w:t>
      </w:r>
      <w:r w:rsidR="00195F85" w:rsidRPr="00DA3C6E">
        <w:t xml:space="preserve"> (n = 17)</w:t>
      </w:r>
      <w:r w:rsidRPr="00DA3C6E">
        <w:t>, the arm disability was the most significant factor affecting the QoL which impacted both physical and mental domains</w:t>
      </w:r>
      <w:r w:rsidR="009F5EF2">
        <w:t xml:space="preserve"> </w:t>
      </w:r>
      <w:r w:rsidR="00DB568A" w:rsidRPr="00DA3C6E">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instrText xml:space="preserve"> ADDIN EN.CITE </w:instrText>
      </w:r>
      <w:r w:rsidR="007810D6">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4" w:tooltip="Bozovic, 2019 #11" w:history="1">
        <w:r w:rsidR="00C04BCE">
          <w:rPr>
            <w:noProof/>
          </w:rPr>
          <w:t>54</w:t>
        </w:r>
      </w:hyperlink>
      <w:r w:rsidR="007810D6">
        <w:rPr>
          <w:noProof/>
        </w:rPr>
        <w:t>)</w:t>
      </w:r>
      <w:r w:rsidR="00DB568A" w:rsidRPr="00DA3C6E">
        <w:fldChar w:fldCharType="end"/>
      </w:r>
      <w:r w:rsidRPr="00DA3C6E">
        <w:t xml:space="preserve">. </w:t>
      </w:r>
      <w:r w:rsidR="004B149F" w:rsidRPr="00DA3C6E">
        <w:t>Finally, Mahdi-Rogers et al</w:t>
      </w:r>
      <w:r w:rsidR="00EF2D51" w:rsidRPr="00DA3C6E">
        <w:t>.</w:t>
      </w:r>
      <w:r w:rsidR="004B149F" w:rsidRPr="00DA3C6E">
        <w:t xml:space="preserve"> 2013 estimated the costs and QoL of patients with MMN, CIDP and PDN in the UK who received treatment with intravenous Ig</w:t>
      </w:r>
      <w:r w:rsidR="00DB568A" w:rsidRPr="00DA3C6E">
        <w:fldChar w:fldCharType="begin"/>
      </w:r>
      <w:r w:rsidR="007810D6">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fldChar w:fldCharType="separate"/>
      </w:r>
      <w:r w:rsidR="007810D6">
        <w:rPr>
          <w:noProof/>
        </w:rPr>
        <w:t>(</w:t>
      </w:r>
      <w:hyperlink w:anchor="_ENREF_53" w:tooltip="Mahdi-Rogers, 2014 #42" w:history="1">
        <w:r w:rsidR="00C04BCE">
          <w:rPr>
            <w:noProof/>
          </w:rPr>
          <w:t>53</w:t>
        </w:r>
      </w:hyperlink>
      <w:r w:rsidR="007810D6">
        <w:rPr>
          <w:noProof/>
        </w:rPr>
        <w:t>)</w:t>
      </w:r>
      <w:r w:rsidR="00DB568A" w:rsidRPr="00DA3C6E">
        <w:fldChar w:fldCharType="end"/>
      </w:r>
      <w:r w:rsidR="004B149F" w:rsidRPr="00DA3C6E">
        <w:t xml:space="preserve">. The mean utility scores </w:t>
      </w:r>
      <w:r w:rsidR="00195F85" w:rsidRPr="00DA3C6E">
        <w:t xml:space="preserve">as per the EQ-5D </w:t>
      </w:r>
      <w:r w:rsidR="004B149F" w:rsidRPr="00DA3C6E">
        <w:t xml:space="preserve">for MMN patients </w:t>
      </w:r>
      <w:r w:rsidR="00195F85" w:rsidRPr="00DA3C6E">
        <w:t xml:space="preserve">was </w:t>
      </w:r>
      <w:r w:rsidR="004B149F" w:rsidRPr="00DA3C6E">
        <w:t>0.72 (</w:t>
      </w:r>
      <w:r w:rsidR="007128CF" w:rsidRPr="00DA3C6E">
        <w:t xml:space="preserve">SD = </w:t>
      </w:r>
      <w:r w:rsidR="004B149F" w:rsidRPr="00DA3C6E">
        <w:t>0.14)</w:t>
      </w:r>
      <w:r w:rsidR="00195F85" w:rsidRPr="00DA3C6E">
        <w:t xml:space="preserve">, </w:t>
      </w:r>
      <w:r w:rsidR="004B149F" w:rsidRPr="00DA3C6E">
        <w:t xml:space="preserve">higher than the mean </w:t>
      </w:r>
      <w:r w:rsidR="004B149F" w:rsidRPr="00DA3C6E">
        <w:lastRenderedPageBreak/>
        <w:t xml:space="preserve">score obtained for patients with all three diagnoses (0.65 (SD </w:t>
      </w:r>
      <w:r w:rsidR="007128CF" w:rsidRPr="00DA3C6E">
        <w:t xml:space="preserve">= </w:t>
      </w:r>
      <w:r w:rsidR="004B149F" w:rsidRPr="00DA3C6E">
        <w:t xml:space="preserve">0.16)). It was found that the mean score in patients without </w:t>
      </w:r>
      <w:r w:rsidR="006A17AC" w:rsidRPr="00DA3C6E">
        <w:t>i</w:t>
      </w:r>
      <w:r w:rsidR="004B149F" w:rsidRPr="00DA3C6E">
        <w:t xml:space="preserve">ntravenous Ig in all three </w:t>
      </w:r>
      <w:r w:rsidR="00176331" w:rsidRPr="00DA3C6E">
        <w:t xml:space="preserve">diagnoses </w:t>
      </w:r>
      <w:r w:rsidR="004B149F" w:rsidRPr="00DA3C6E">
        <w:t>was 0.63 (</w:t>
      </w:r>
      <w:r w:rsidR="007128CF" w:rsidRPr="00DA3C6E">
        <w:t xml:space="preserve">SD = </w:t>
      </w:r>
      <w:r w:rsidR="004B149F" w:rsidRPr="00DA3C6E">
        <w:t xml:space="preserve">0.23). </w:t>
      </w:r>
    </w:p>
    <w:p w14:paraId="1450188C" w14:textId="753A4F78" w:rsidR="002D6035" w:rsidRPr="00DA3C6E" w:rsidRDefault="002D6035" w:rsidP="00352CDD">
      <w:r w:rsidRPr="00DA3C6E">
        <w:t xml:space="preserve">The studies that compared </w:t>
      </w:r>
      <w:r w:rsidR="00F56501" w:rsidRPr="00DA3C6E">
        <w:t>i</w:t>
      </w:r>
      <w:r w:rsidRPr="00DA3C6E">
        <w:t xml:space="preserve">ntravenous Ig versus SCIg, analysed QoL as a secondary outcome measure. Harbo et al. 2009 </w:t>
      </w:r>
      <w:r w:rsidR="00DB568A" w:rsidRPr="00DA3C6E">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instrText xml:space="preserve"> ADDIN EN.CITE </w:instrText>
      </w:r>
      <w:r w:rsidR="007810D6">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7" w:tooltip="Harbo, 2009 #27" w:history="1">
        <w:r w:rsidR="00C04BCE">
          <w:rPr>
            <w:noProof/>
          </w:rPr>
          <w:t>7</w:t>
        </w:r>
      </w:hyperlink>
      <w:r w:rsidR="007810D6">
        <w:rPr>
          <w:noProof/>
        </w:rPr>
        <w:t>)</w:t>
      </w:r>
      <w:r w:rsidR="00DB568A" w:rsidRPr="00DA3C6E">
        <w:fldChar w:fldCharType="end"/>
      </w:r>
      <w:r w:rsidRPr="00DA3C6E">
        <w:t xml:space="preserve"> is the only </w:t>
      </w:r>
      <w:r w:rsidR="001D315A" w:rsidRPr="00DA3C6E">
        <w:t>RCT</w:t>
      </w:r>
      <w:r w:rsidRPr="00DA3C6E">
        <w:t xml:space="preserve"> that compared SCIg versus </w:t>
      </w:r>
      <w:r w:rsidR="007128CF" w:rsidRPr="00DA3C6E">
        <w:t>i</w:t>
      </w:r>
      <w:r w:rsidRPr="00DA3C6E">
        <w:t xml:space="preserve">ntravenous Ig and assessed HRQoL using </w:t>
      </w:r>
      <w:r w:rsidR="007128CF" w:rsidRPr="00DA3C6E">
        <w:t xml:space="preserve">the </w:t>
      </w:r>
      <w:r w:rsidRPr="00DA3C6E">
        <w:t>SF-36</w:t>
      </w:r>
      <w:r w:rsidR="007128CF" w:rsidRPr="00DA3C6E">
        <w:t xml:space="preserve"> questionnaire</w:t>
      </w:r>
      <w:r w:rsidRPr="00DA3C6E">
        <w:t xml:space="preserve">. This study did not find significant differences in QoL between the dose administration forms. Similar results were observed in a single arm open label study that enrolled 10 patients </w:t>
      </w:r>
      <w:r w:rsidR="00F56501" w:rsidRPr="00DA3C6E">
        <w:t>with</w:t>
      </w:r>
      <w:r w:rsidRPr="00DA3C6E">
        <w:t xml:space="preserve"> definite MMN patients </w:t>
      </w:r>
      <w:r w:rsidR="00DB568A" w:rsidRPr="00DA3C6E">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instrText xml:space="preserve"> ADDIN EN.CITE </w:instrText>
      </w:r>
      <w:r w:rsidR="007810D6">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0" w:tooltip="Eftimov, 2009 #19" w:history="1">
        <w:r w:rsidR="00C04BCE">
          <w:rPr>
            <w:noProof/>
          </w:rPr>
          <w:t>50</w:t>
        </w:r>
      </w:hyperlink>
      <w:r w:rsidR="007810D6">
        <w:rPr>
          <w:noProof/>
        </w:rPr>
        <w:t>)</w:t>
      </w:r>
      <w:r w:rsidR="00DB568A" w:rsidRPr="00DA3C6E">
        <w:fldChar w:fldCharType="end"/>
      </w:r>
      <w:r w:rsidRPr="00DA3C6E">
        <w:t>. Some differences were found by Braine et al</w:t>
      </w:r>
      <w:r w:rsidR="001D315A" w:rsidRPr="00DA3C6E">
        <w:t>.</w:t>
      </w:r>
      <w:r w:rsidRPr="00DA3C6E">
        <w:t xml:space="preserve"> 2012 </w:t>
      </w:r>
      <w:r w:rsidR="00DB568A" w:rsidRPr="00DA3C6E">
        <w:fldChar w:fldCharType="begin"/>
      </w:r>
      <w:r w:rsidR="007810D6">
        <w:instrText xml:space="preserve"> ADDIN EN.CITE &lt;EndNote&gt;&lt;Cite&gt;&lt;Author&gt;Braine&lt;/Author&gt;&lt;Year&gt;2012&lt;/Year&gt;&lt;RecNum&gt;12&lt;/RecNum&gt;&lt;DisplayText&gt;(52)&lt;/DisplayText&gt;&lt;record&gt;&lt;rec-number&gt;12&lt;/rec-number&gt;&lt;foreign-keys&gt;&lt;key app="EN" db-id="0992p2ztn5fez9e2wvnpw2xstd20f9w2dezz" timestamp="1586818281"&gt;12&lt;/key&gt;&lt;/foreign-keys&gt;&lt;ref-type name="Journal Article"&gt;17&lt;/ref-type&gt;&lt;contributors&gt;&lt;authors&gt;&lt;author&gt;Braine, M. E.&lt;/author&gt;&lt;author&gt;Woodall, A.&lt;/author&gt;&lt;/authors&gt;&lt;/contributors&gt;&lt;auth-address&gt;M.E. Braine, School of Nursing, Midwifery and Social Work, College of Health and Social Care, University of Salford&lt;/auth-address&gt;&lt;titles&gt;&lt;title&gt;A comparison between intravenous and subcutmaneous immunogobulin&lt;/title&gt;&lt;secondary-title&gt;British journal of nursing (Mark Allen Publishing)&lt;/secondary-title&gt;&lt;/titles&gt;&lt;periodical&gt;&lt;full-title&gt;British journal of nursing (Mark Allen Publishing)&lt;/full-title&gt;&lt;/periodical&gt;&lt;pages&gt;S21-27&lt;/pages&gt;&lt;volume&gt;21&lt;/volume&gt;&lt;number&gt;8&lt;/number&gt;&lt;keywords&gt;&lt;keyword&gt;adult&lt;/keyword&gt;&lt;keyword&gt;aged&lt;/keyword&gt;&lt;keyword&gt;article&lt;/keyword&gt;&lt;keyword&gt;clinical trial&lt;/keyword&gt;&lt;keyword&gt;comparative study&lt;/keyword&gt;&lt;keyword&gt;female&lt;/keyword&gt;&lt;keyword&gt;human&lt;/keyword&gt;&lt;keyword&gt;intravenous drug administration&lt;/keyword&gt;&lt;keyword&gt;male&lt;/keyword&gt;&lt;keyword&gt;middle aged&lt;/keyword&gt;&lt;keyword&gt;nursing&lt;/keyword&gt;&lt;keyword&gt;nursing methodology research&lt;/keyword&gt;&lt;keyword&gt;*polyneuropathy/dt [Drug Therapy]&lt;/keyword&gt;&lt;keyword&gt;*quality of life&lt;/keyword&gt;&lt;keyword&gt;subcutaneous drug administration&lt;/keyword&gt;&lt;keyword&gt;treatment outcome&lt;/keyword&gt;&lt;keyword&gt;*immunoglobulin/ad [Drug Administration]&lt;/keyword&gt;&lt;/keywords&gt;&lt;dates&gt;&lt;year&gt;2012&lt;/year&gt;&lt;/dates&gt;&lt;pub-location&gt;United Kingdom&lt;/pub-location&gt;&lt;accession-num&gt;365000789&lt;/accession-num&gt;&lt;urls&gt;&lt;related-urls&gt;&lt;url&gt;http://ovidsp.ovid.com/ovidweb.cgi?T=JS&amp;amp;PAGE=reference&amp;amp;D=emed13&amp;amp;NEWS=N&amp;amp;AN=365000789&lt;/url&gt;&lt;/related-urls&gt;&lt;/urls&gt;&lt;research-notes&gt;E. subutaneous vs intravenous. &lt;/research-notes&gt;&lt;/record&gt;&lt;/Cite&gt;&lt;/EndNote&gt;</w:instrText>
      </w:r>
      <w:r w:rsidR="00DB568A" w:rsidRPr="00DA3C6E">
        <w:fldChar w:fldCharType="separate"/>
      </w:r>
      <w:r w:rsidR="007810D6">
        <w:rPr>
          <w:noProof/>
        </w:rPr>
        <w:t>(</w:t>
      </w:r>
      <w:hyperlink w:anchor="_ENREF_52" w:tooltip="Braine, 2012 #12" w:history="1">
        <w:r w:rsidR="00C04BCE">
          <w:rPr>
            <w:noProof/>
          </w:rPr>
          <w:t>52</w:t>
        </w:r>
      </w:hyperlink>
      <w:r w:rsidR="007810D6">
        <w:rPr>
          <w:noProof/>
        </w:rPr>
        <w:t>)</w:t>
      </w:r>
      <w:r w:rsidR="00DB568A" w:rsidRPr="00DA3C6E">
        <w:fldChar w:fldCharType="end"/>
      </w:r>
      <w:r w:rsidRPr="00DA3C6E">
        <w:t xml:space="preserve"> between</w:t>
      </w:r>
      <w:r w:rsidR="00F56501" w:rsidRPr="00DA3C6E">
        <w:t xml:space="preserve"> the</w:t>
      </w:r>
      <w:r w:rsidRPr="00DA3C6E">
        <w:t xml:space="preserve"> </w:t>
      </w:r>
      <w:r w:rsidR="00F56501" w:rsidRPr="00DA3C6E">
        <w:t>i</w:t>
      </w:r>
      <w:r w:rsidRPr="00DA3C6E">
        <w:t xml:space="preserve">ntravenous Ig and SCIg patient group for the MCS, 84.16% versus 68.02% (p=0.03). Finally, Misbah et al. 2011 </w:t>
      </w:r>
      <w:r w:rsidR="00DB568A" w:rsidRPr="00DA3C6E">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instrText xml:space="preserve"> ADDIN EN.CITE </w:instrText>
      </w:r>
      <w:r w:rsidR="007810D6">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1" w:tooltip="Misbah, 2011 #44" w:history="1">
        <w:r w:rsidR="00C04BCE">
          <w:rPr>
            <w:noProof/>
          </w:rPr>
          <w:t>51</w:t>
        </w:r>
      </w:hyperlink>
      <w:r w:rsidR="007810D6">
        <w:rPr>
          <w:noProof/>
        </w:rPr>
        <w:t>)</w:t>
      </w:r>
      <w:r w:rsidR="00DB568A" w:rsidRPr="00DA3C6E">
        <w:fldChar w:fldCharType="end"/>
      </w:r>
      <w:r w:rsidRPr="00DA3C6E">
        <w:t xml:space="preserve"> measured QoL at screening and week 25 using a questionnaire to evaluate the patients’ perceptions on SCIg, the Life Quality Index (LQI), and the Visual Analogue Scale (VAS). This study showed that there was improvement in the total LQI score in 6/8 patients, however baseline and follow-up scores were not presented. </w:t>
      </w:r>
    </w:p>
    <w:p w14:paraId="5FCA6D87" w14:textId="0A51DF83" w:rsidR="002D6035" w:rsidRPr="00DA3C6E" w:rsidRDefault="002D6035" w:rsidP="00C55BF6">
      <w:pPr>
        <w:pStyle w:val="Caption"/>
      </w:pPr>
      <w:bookmarkStart w:id="216" w:name="_Ref28008327"/>
      <w:bookmarkStart w:id="217" w:name="_Toc30497467"/>
      <w:bookmarkStart w:id="218" w:name="_Toc30687748"/>
      <w:bookmarkStart w:id="219" w:name="_Toc37845822"/>
      <w:r w:rsidRPr="00DA3C6E">
        <w:t xml:space="preserve">Table </w:t>
      </w:r>
      <w:r w:rsidR="00515153">
        <w:fldChar w:fldCharType="begin"/>
      </w:r>
      <w:r w:rsidR="00515153">
        <w:instrText xml:space="preserve"> SEQ Table \* ARABIC </w:instrText>
      </w:r>
      <w:r w:rsidR="00515153">
        <w:fldChar w:fldCharType="separate"/>
      </w:r>
      <w:r w:rsidR="00EA5DC1">
        <w:rPr>
          <w:noProof/>
        </w:rPr>
        <w:t>19</w:t>
      </w:r>
      <w:r w:rsidR="00515153">
        <w:rPr>
          <w:noProof/>
        </w:rPr>
        <w:fldChar w:fldCharType="end"/>
      </w:r>
      <w:bookmarkEnd w:id="216"/>
      <w:r w:rsidRPr="00DA3C6E">
        <w:t>. QoL outcome measures in patients with MMN and CIDP.</w:t>
      </w:r>
      <w:bookmarkEnd w:id="217"/>
      <w:bookmarkEnd w:id="218"/>
      <w:bookmarkEnd w:id="219"/>
      <w:r w:rsidRPr="00DA3C6E">
        <w:t xml:space="preserve"> </w:t>
      </w:r>
    </w:p>
    <w:tbl>
      <w:tblPr>
        <w:tblStyle w:val="TableGrid"/>
        <w:tblW w:w="0" w:type="auto"/>
        <w:tblLook w:val="04A0" w:firstRow="1" w:lastRow="0" w:firstColumn="1" w:lastColumn="0" w:noHBand="0" w:noVBand="1"/>
        <w:tblCaption w:val="Table 19. QoL outcome measures in patients with MMN and CIDP. "/>
      </w:tblPr>
      <w:tblGrid>
        <w:gridCol w:w="1638"/>
        <w:gridCol w:w="1805"/>
        <w:gridCol w:w="2081"/>
        <w:gridCol w:w="1701"/>
        <w:gridCol w:w="1791"/>
      </w:tblGrid>
      <w:tr w:rsidR="00C67FE5" w:rsidRPr="00DA3C6E" w14:paraId="577F45AC" w14:textId="77777777" w:rsidTr="00D56F4F">
        <w:trPr>
          <w:tblHeader/>
        </w:trPr>
        <w:tc>
          <w:tcPr>
            <w:tcW w:w="1638" w:type="dxa"/>
            <w:vAlign w:val="center"/>
          </w:tcPr>
          <w:p w14:paraId="73D8B67F"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 xml:space="preserve">Study </w:t>
            </w:r>
          </w:p>
        </w:tc>
        <w:tc>
          <w:tcPr>
            <w:tcW w:w="1805" w:type="dxa"/>
            <w:vAlign w:val="center"/>
          </w:tcPr>
          <w:p w14:paraId="5BDE19E6"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QoL tool</w:t>
            </w:r>
          </w:p>
        </w:tc>
        <w:tc>
          <w:tcPr>
            <w:tcW w:w="2081" w:type="dxa"/>
            <w:vAlign w:val="center"/>
          </w:tcPr>
          <w:p w14:paraId="72947ED1"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Intravenous Ig</w:t>
            </w:r>
          </w:p>
        </w:tc>
        <w:tc>
          <w:tcPr>
            <w:tcW w:w="1701" w:type="dxa"/>
            <w:vAlign w:val="center"/>
          </w:tcPr>
          <w:p w14:paraId="45D21834"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Placebo</w:t>
            </w:r>
          </w:p>
        </w:tc>
        <w:tc>
          <w:tcPr>
            <w:tcW w:w="1791" w:type="dxa"/>
            <w:vAlign w:val="center"/>
          </w:tcPr>
          <w:p w14:paraId="27F75B88"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Significance</w:t>
            </w:r>
          </w:p>
        </w:tc>
      </w:tr>
      <w:tr w:rsidR="002D6035" w:rsidRPr="00DA3C6E" w14:paraId="5BD02002" w14:textId="77777777" w:rsidTr="00962591">
        <w:tc>
          <w:tcPr>
            <w:tcW w:w="9016" w:type="dxa"/>
            <w:gridSpan w:val="5"/>
            <w:vAlign w:val="center"/>
          </w:tcPr>
          <w:p w14:paraId="48A0CC72" w14:textId="77777777" w:rsidR="002D6035" w:rsidRPr="00DA3C6E" w:rsidRDefault="002D6035" w:rsidP="0016555D">
            <w:pPr>
              <w:spacing w:after="0" w:line="240" w:lineRule="auto"/>
              <w:ind w:left="0"/>
              <w:rPr>
                <w:rFonts w:ascii="Arial Narrow" w:hAnsi="Arial Narrow"/>
                <w:b/>
                <w:sz w:val="20"/>
                <w:szCs w:val="20"/>
              </w:rPr>
            </w:pPr>
            <w:r w:rsidRPr="00DA3C6E">
              <w:rPr>
                <w:rFonts w:ascii="Arial Narrow" w:hAnsi="Arial Narrow"/>
                <w:b/>
                <w:sz w:val="20"/>
                <w:szCs w:val="20"/>
              </w:rPr>
              <w:t>Qol studies in patients with MMN</w:t>
            </w:r>
          </w:p>
        </w:tc>
      </w:tr>
      <w:tr w:rsidR="00C67FE5" w:rsidRPr="00DA3C6E" w14:paraId="003B1888" w14:textId="77777777" w:rsidTr="0016555D">
        <w:tc>
          <w:tcPr>
            <w:tcW w:w="1638" w:type="dxa"/>
            <w:vMerge w:val="restart"/>
            <w:vAlign w:val="center"/>
          </w:tcPr>
          <w:p w14:paraId="5A68CA76" w14:textId="04CBCC36"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Padua et al</w:t>
            </w:r>
            <w:r w:rsidR="001D315A" w:rsidRPr="00DA3C6E">
              <w:rPr>
                <w:rFonts w:ascii="Arial Narrow" w:hAnsi="Arial Narrow"/>
                <w:sz w:val="20"/>
                <w:szCs w:val="20"/>
              </w:rPr>
              <w:t>.</w:t>
            </w:r>
            <w:r w:rsidRPr="00DA3C6E">
              <w:rPr>
                <w:rFonts w:ascii="Arial Narrow" w:hAnsi="Arial Narrow"/>
                <w:sz w:val="20"/>
                <w:szCs w:val="20"/>
              </w:rPr>
              <w:t xml:space="preserve"> 2004 &amp; 2005</w:t>
            </w:r>
            <w:r w:rsidR="00DB568A" w:rsidRPr="00DA3C6E">
              <w:rPr>
                <w:rFonts w:ascii="Arial Narrow" w:hAnsi="Arial Narrow"/>
                <w:sz w:val="20"/>
                <w:szCs w:val="20"/>
              </w:rPr>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PEVuZE5vdGU+PENpdGU+PEF1dGhvcj5QYWR1YTwvQXV0aG9yPjxZZWFyPjIwMDQ8L1llYXI+PFJl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48" w:tooltip="Padua, 2004 #54" w:history="1">
              <w:r w:rsidR="00C04BCE" w:rsidRPr="00DA3C6E">
                <w:rPr>
                  <w:rFonts w:ascii="Arial Narrow" w:hAnsi="Arial Narrow"/>
                  <w:noProof/>
                  <w:sz w:val="20"/>
                  <w:szCs w:val="20"/>
                </w:rPr>
                <w:t>48</w:t>
              </w:r>
            </w:hyperlink>
            <w:r w:rsidR="00DB568A" w:rsidRPr="00DA3C6E">
              <w:rPr>
                <w:rFonts w:ascii="Arial Narrow" w:hAnsi="Arial Narrow"/>
                <w:noProof/>
                <w:sz w:val="20"/>
                <w:szCs w:val="20"/>
              </w:rPr>
              <w:t xml:space="preserve">, </w:t>
            </w:r>
            <w:hyperlink w:anchor="_ENREF_49" w:tooltip="Padua, 2005 #55" w:history="1">
              <w:r w:rsidR="00C04BCE" w:rsidRPr="00DA3C6E">
                <w:rPr>
                  <w:rFonts w:ascii="Arial Narrow" w:hAnsi="Arial Narrow"/>
                  <w:noProof/>
                  <w:sz w:val="20"/>
                  <w:szCs w:val="20"/>
                </w:rPr>
                <w:t>49</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012BF3A0"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 xml:space="preserve">SF36 PCS score  </w:t>
            </w:r>
          </w:p>
        </w:tc>
        <w:tc>
          <w:tcPr>
            <w:tcW w:w="2081" w:type="dxa"/>
            <w:vAlign w:val="center"/>
          </w:tcPr>
          <w:p w14:paraId="0E2E040A"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37.0± 6.8</w:t>
            </w:r>
          </w:p>
        </w:tc>
        <w:tc>
          <w:tcPr>
            <w:tcW w:w="1701" w:type="dxa"/>
            <w:vAlign w:val="center"/>
          </w:tcPr>
          <w:p w14:paraId="165DAEFB"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32.5 ± 7.0</w:t>
            </w:r>
          </w:p>
        </w:tc>
        <w:tc>
          <w:tcPr>
            <w:tcW w:w="1791" w:type="dxa"/>
            <w:vAlign w:val="center"/>
          </w:tcPr>
          <w:p w14:paraId="230E8CC5"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p = 0.0014</w:t>
            </w:r>
          </w:p>
        </w:tc>
      </w:tr>
      <w:tr w:rsidR="00C67FE5" w:rsidRPr="00DA3C6E" w14:paraId="7B8F3C9B" w14:textId="77777777" w:rsidTr="0016555D">
        <w:tc>
          <w:tcPr>
            <w:tcW w:w="1638" w:type="dxa"/>
            <w:vMerge/>
            <w:vAlign w:val="center"/>
          </w:tcPr>
          <w:p w14:paraId="7628C2A7" w14:textId="77777777" w:rsidR="002D6035" w:rsidRPr="00DA3C6E" w:rsidRDefault="002D6035" w:rsidP="0016555D">
            <w:pPr>
              <w:spacing w:after="0" w:line="240" w:lineRule="auto"/>
              <w:rPr>
                <w:rFonts w:ascii="Arial Narrow" w:hAnsi="Arial Narrow"/>
                <w:sz w:val="20"/>
                <w:szCs w:val="20"/>
              </w:rPr>
            </w:pPr>
          </w:p>
        </w:tc>
        <w:tc>
          <w:tcPr>
            <w:tcW w:w="1805" w:type="dxa"/>
            <w:vAlign w:val="center"/>
          </w:tcPr>
          <w:p w14:paraId="14C06D6E" w14:textId="77777777" w:rsidR="002D6035" w:rsidRPr="00DA3C6E" w:rsidRDefault="002D6035" w:rsidP="001D315A">
            <w:pPr>
              <w:spacing w:after="0" w:line="240" w:lineRule="auto"/>
              <w:ind w:left="0"/>
              <w:rPr>
                <w:rFonts w:ascii="Arial Narrow" w:hAnsi="Arial Narrow"/>
                <w:sz w:val="20"/>
                <w:szCs w:val="20"/>
              </w:rPr>
            </w:pPr>
            <w:r w:rsidRPr="00DA3C6E">
              <w:rPr>
                <w:rFonts w:ascii="Arial Narrow" w:hAnsi="Arial Narrow"/>
                <w:sz w:val="20"/>
                <w:szCs w:val="20"/>
              </w:rPr>
              <w:t>SF36 MCS score</w:t>
            </w:r>
          </w:p>
        </w:tc>
        <w:tc>
          <w:tcPr>
            <w:tcW w:w="2081" w:type="dxa"/>
            <w:vAlign w:val="center"/>
          </w:tcPr>
          <w:p w14:paraId="3532DCAB"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01" w:type="dxa"/>
            <w:vAlign w:val="center"/>
          </w:tcPr>
          <w:p w14:paraId="7B485F70"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22824B4B" w14:textId="77777777" w:rsidR="002D6035" w:rsidRPr="00DA3C6E" w:rsidRDefault="002D6035" w:rsidP="00346539">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No significant differences. </w:t>
            </w:r>
          </w:p>
        </w:tc>
      </w:tr>
      <w:tr w:rsidR="00C67FE5" w:rsidRPr="00DA3C6E" w14:paraId="09E4CA9F" w14:textId="77777777" w:rsidTr="0016555D">
        <w:tc>
          <w:tcPr>
            <w:tcW w:w="1638" w:type="dxa"/>
            <w:vMerge w:val="restart"/>
            <w:vAlign w:val="center"/>
          </w:tcPr>
          <w:p w14:paraId="411507A3" w14:textId="7237EF5F"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Harbo et al</w:t>
            </w:r>
            <w:r w:rsidR="001D315A" w:rsidRPr="00DA3C6E">
              <w:rPr>
                <w:rFonts w:ascii="Arial Narrow" w:hAnsi="Arial Narrow"/>
                <w:sz w:val="20"/>
                <w:szCs w:val="20"/>
              </w:rPr>
              <w:t>.</w:t>
            </w:r>
            <w:r w:rsidRPr="00DA3C6E">
              <w:rPr>
                <w:rFonts w:ascii="Arial Narrow" w:hAnsi="Arial Narrow"/>
                <w:sz w:val="20"/>
                <w:szCs w:val="20"/>
              </w:rPr>
              <w:t xml:space="preserve"> 2009</w:t>
            </w:r>
            <w:r w:rsidR="00DB568A" w:rsidRPr="00DA3C6E">
              <w:rPr>
                <w:rFonts w:ascii="Arial Narrow" w:hAnsi="Arial Narrow"/>
                <w:sz w:val="20"/>
                <w:szCs w:val="20"/>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PEVuZE5vdGU+PENpdGU+PEF1dGhvcj5IYXJibzwvQXV0aG9yPjxZZWFyPjIwMDk8L1llYXI+PFJl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7" w:tooltip="Harbo, 2009 #27" w:history="1">
              <w:r w:rsidR="00C04BCE">
                <w:rPr>
                  <w:rFonts w:ascii="Arial Narrow" w:hAnsi="Arial Narrow"/>
                  <w:noProof/>
                  <w:sz w:val="20"/>
                  <w:szCs w:val="20"/>
                </w:rPr>
                <w:t>7</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5ED2BF78" w14:textId="77777777" w:rsidR="002D6035" w:rsidRPr="00DA3C6E" w:rsidRDefault="002D6035" w:rsidP="0016555D">
            <w:pPr>
              <w:keepLines/>
              <w:spacing w:after="0" w:line="240" w:lineRule="auto"/>
              <w:ind w:left="0"/>
              <w:rPr>
                <w:rFonts w:ascii="Arial Narrow" w:hAnsi="Arial Narrow"/>
                <w:sz w:val="20"/>
                <w:szCs w:val="20"/>
              </w:rPr>
            </w:pPr>
            <w:r w:rsidRPr="00DA3C6E">
              <w:rPr>
                <w:rFonts w:ascii="Arial Narrow" w:hAnsi="Arial Narrow"/>
                <w:sz w:val="20"/>
                <w:szCs w:val="20"/>
              </w:rPr>
              <w:t xml:space="preserve">SF36 PCS score </w:t>
            </w:r>
          </w:p>
        </w:tc>
        <w:tc>
          <w:tcPr>
            <w:tcW w:w="2081" w:type="dxa"/>
            <w:vAlign w:val="center"/>
          </w:tcPr>
          <w:p w14:paraId="560854D4" w14:textId="77777777" w:rsidR="002D6035" w:rsidRPr="00DA3C6E" w:rsidRDefault="002D6035" w:rsidP="0016555D">
            <w:pPr>
              <w:keepLines/>
              <w:spacing w:after="0" w:line="240" w:lineRule="auto"/>
              <w:ind w:left="0"/>
              <w:rPr>
                <w:rFonts w:ascii="Arial Narrow" w:hAnsi="Arial Narrow"/>
                <w:sz w:val="20"/>
                <w:szCs w:val="20"/>
              </w:rPr>
            </w:pPr>
            <w:r w:rsidRPr="00DA3C6E">
              <w:rPr>
                <w:rFonts w:ascii="Arial Narrow" w:hAnsi="Arial Narrow"/>
                <w:sz w:val="20"/>
                <w:szCs w:val="20"/>
              </w:rPr>
              <w:t xml:space="preserve">48.9 (95% CI 45.9, 51.9) </w:t>
            </w:r>
          </w:p>
        </w:tc>
        <w:tc>
          <w:tcPr>
            <w:tcW w:w="1701" w:type="dxa"/>
            <w:vAlign w:val="center"/>
          </w:tcPr>
          <w:p w14:paraId="18AB3AFC"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7C029396" w14:textId="77777777" w:rsidR="002D6035" w:rsidRPr="00DA3C6E" w:rsidRDefault="002D6035" w:rsidP="00346539">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No significant differences. </w:t>
            </w:r>
          </w:p>
        </w:tc>
      </w:tr>
      <w:tr w:rsidR="00C67FE5" w:rsidRPr="00DA3C6E" w14:paraId="6776C5F6" w14:textId="77777777" w:rsidTr="0016555D">
        <w:tc>
          <w:tcPr>
            <w:tcW w:w="1638" w:type="dxa"/>
            <w:vMerge/>
            <w:vAlign w:val="center"/>
          </w:tcPr>
          <w:p w14:paraId="293DE33F" w14:textId="77777777" w:rsidR="002D6035" w:rsidRPr="00DA3C6E" w:rsidRDefault="002D6035" w:rsidP="0016555D">
            <w:pPr>
              <w:spacing w:after="0" w:line="240" w:lineRule="auto"/>
              <w:rPr>
                <w:rFonts w:ascii="Arial Narrow" w:hAnsi="Arial Narrow"/>
                <w:sz w:val="20"/>
                <w:szCs w:val="20"/>
              </w:rPr>
            </w:pPr>
          </w:p>
        </w:tc>
        <w:tc>
          <w:tcPr>
            <w:tcW w:w="1805" w:type="dxa"/>
            <w:vAlign w:val="center"/>
          </w:tcPr>
          <w:p w14:paraId="4643A52E" w14:textId="77777777" w:rsidR="002D6035" w:rsidRPr="00DA3C6E" w:rsidRDefault="002D6035" w:rsidP="001D315A">
            <w:pPr>
              <w:keepLines/>
              <w:spacing w:after="0" w:line="240" w:lineRule="auto"/>
              <w:ind w:left="0"/>
              <w:rPr>
                <w:rFonts w:ascii="Arial Narrow" w:hAnsi="Arial Narrow"/>
                <w:sz w:val="20"/>
                <w:szCs w:val="20"/>
              </w:rPr>
            </w:pPr>
            <w:r w:rsidRPr="00DA3C6E">
              <w:rPr>
                <w:rFonts w:ascii="Arial Narrow" w:hAnsi="Arial Narrow"/>
                <w:sz w:val="20"/>
                <w:szCs w:val="20"/>
              </w:rPr>
              <w:t>SF36 MCS score</w:t>
            </w:r>
          </w:p>
        </w:tc>
        <w:tc>
          <w:tcPr>
            <w:tcW w:w="2081" w:type="dxa"/>
            <w:vAlign w:val="center"/>
          </w:tcPr>
          <w:p w14:paraId="2C249F84"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58.4 (95% CI 55.9, 60.9)</w:t>
            </w:r>
          </w:p>
        </w:tc>
        <w:tc>
          <w:tcPr>
            <w:tcW w:w="1701" w:type="dxa"/>
            <w:vAlign w:val="center"/>
          </w:tcPr>
          <w:p w14:paraId="14086193"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2093F6FB" w14:textId="77777777" w:rsidR="002D6035" w:rsidRPr="00DA3C6E" w:rsidRDefault="002D6035" w:rsidP="00346539">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No significant differences. </w:t>
            </w:r>
          </w:p>
        </w:tc>
      </w:tr>
      <w:tr w:rsidR="00C67FE5" w:rsidRPr="00DA3C6E" w14:paraId="245B9687" w14:textId="77777777" w:rsidTr="0016555D">
        <w:tc>
          <w:tcPr>
            <w:tcW w:w="1638" w:type="dxa"/>
            <w:vMerge w:val="restart"/>
            <w:vAlign w:val="center"/>
          </w:tcPr>
          <w:p w14:paraId="529552D8" w14:textId="0F9CB607"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Eftimov et al</w:t>
            </w:r>
            <w:r w:rsidR="001D315A" w:rsidRPr="00DA3C6E">
              <w:rPr>
                <w:rFonts w:ascii="Arial Narrow" w:hAnsi="Arial Narrow"/>
                <w:sz w:val="20"/>
                <w:szCs w:val="20"/>
              </w:rPr>
              <w:t>.</w:t>
            </w:r>
            <w:r w:rsidRPr="00DA3C6E">
              <w:rPr>
                <w:rFonts w:ascii="Arial Narrow" w:hAnsi="Arial Narrow"/>
                <w:sz w:val="20"/>
                <w:szCs w:val="20"/>
              </w:rPr>
              <w:t xml:space="preserve"> 2009</w:t>
            </w:r>
            <w:r w:rsidR="00DB568A" w:rsidRPr="00DA3C6E">
              <w:rPr>
                <w:rFonts w:ascii="Arial Narrow" w:hAnsi="Arial Narrow"/>
                <w:sz w:val="20"/>
                <w:szCs w:val="20"/>
              </w:rPr>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PEVuZE5vdGU+PENpdGU+PEF1dGhvcj5FZnRpbW92PC9BdXRob3I+PFllYXI+MjAwOTwvWWVhcj48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0" w:tooltip="Eftimov, 2009 #19" w:history="1">
              <w:r w:rsidR="00C04BCE">
                <w:rPr>
                  <w:rFonts w:ascii="Arial Narrow" w:hAnsi="Arial Narrow"/>
                  <w:noProof/>
                  <w:sz w:val="20"/>
                  <w:szCs w:val="20"/>
                </w:rPr>
                <w:t>50</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45981890"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baseline SF-36 score</w:t>
            </w:r>
          </w:p>
        </w:tc>
        <w:tc>
          <w:tcPr>
            <w:tcW w:w="2081" w:type="dxa"/>
            <w:vAlign w:val="center"/>
          </w:tcPr>
          <w:p w14:paraId="76F31BF5"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92.2 (SD 14.4)</w:t>
            </w:r>
          </w:p>
        </w:tc>
        <w:tc>
          <w:tcPr>
            <w:tcW w:w="1701" w:type="dxa"/>
            <w:vAlign w:val="center"/>
          </w:tcPr>
          <w:p w14:paraId="6784896D"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62990B83"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090D40CE" w14:textId="77777777" w:rsidTr="0016555D">
        <w:tc>
          <w:tcPr>
            <w:tcW w:w="1638" w:type="dxa"/>
            <w:vMerge/>
            <w:vAlign w:val="center"/>
          </w:tcPr>
          <w:p w14:paraId="68AA8F22" w14:textId="77777777" w:rsidR="002D6035" w:rsidRPr="00DA3C6E" w:rsidRDefault="002D6035" w:rsidP="0016555D">
            <w:pPr>
              <w:spacing w:after="0" w:line="240" w:lineRule="auto"/>
              <w:rPr>
                <w:rFonts w:ascii="Arial Narrow" w:hAnsi="Arial Narrow"/>
                <w:sz w:val="20"/>
                <w:szCs w:val="20"/>
              </w:rPr>
            </w:pPr>
          </w:p>
        </w:tc>
        <w:tc>
          <w:tcPr>
            <w:tcW w:w="1805" w:type="dxa"/>
            <w:vAlign w:val="center"/>
          </w:tcPr>
          <w:p w14:paraId="7242003D"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baseline LQI score</w:t>
            </w:r>
          </w:p>
        </w:tc>
        <w:tc>
          <w:tcPr>
            <w:tcW w:w="2081" w:type="dxa"/>
            <w:vAlign w:val="center"/>
          </w:tcPr>
          <w:p w14:paraId="69100BC9"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85 (SD 4.0)</w:t>
            </w:r>
          </w:p>
        </w:tc>
        <w:tc>
          <w:tcPr>
            <w:tcW w:w="1701" w:type="dxa"/>
            <w:vAlign w:val="center"/>
          </w:tcPr>
          <w:p w14:paraId="27A0FFF4"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6687F6A0"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421537F3" w14:textId="77777777" w:rsidTr="0016555D">
        <w:tc>
          <w:tcPr>
            <w:tcW w:w="1638" w:type="dxa"/>
            <w:vAlign w:val="center"/>
          </w:tcPr>
          <w:p w14:paraId="5C7BC8CB" w14:textId="321E6573"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Misbah et al</w:t>
            </w:r>
            <w:r w:rsidR="001D315A" w:rsidRPr="00DA3C6E">
              <w:rPr>
                <w:rFonts w:ascii="Arial Narrow" w:hAnsi="Arial Narrow"/>
                <w:sz w:val="20"/>
                <w:szCs w:val="20"/>
              </w:rPr>
              <w:t>.</w:t>
            </w:r>
            <w:r w:rsidRPr="00DA3C6E">
              <w:rPr>
                <w:rFonts w:ascii="Arial Narrow" w:hAnsi="Arial Narrow"/>
                <w:sz w:val="20"/>
                <w:szCs w:val="20"/>
              </w:rPr>
              <w:t xml:space="preserve"> 2011</w:t>
            </w:r>
            <w:r w:rsidR="00DB568A" w:rsidRPr="00DA3C6E">
              <w:rPr>
                <w:rFonts w:ascii="Arial Narrow" w:hAnsi="Arial Narrow"/>
                <w:sz w:val="20"/>
                <w:szCs w:val="20"/>
              </w:rPr>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PEVuZE5vdGU+PENpdGU+PEF1dGhvcj5NaXNiYWg8L0F1dGhvcj48WWVhcj4yMDExPC9ZZWFyPjxS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1" w:tooltip="Misbah, 2011 #44" w:history="1">
              <w:r w:rsidR="00C04BCE">
                <w:rPr>
                  <w:rFonts w:ascii="Arial Narrow" w:hAnsi="Arial Narrow"/>
                  <w:noProof/>
                  <w:sz w:val="20"/>
                  <w:szCs w:val="20"/>
                </w:rPr>
                <w:t>51</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13D30929"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LQI improvement</w:t>
            </w:r>
          </w:p>
        </w:tc>
        <w:tc>
          <w:tcPr>
            <w:tcW w:w="2081" w:type="dxa"/>
            <w:vAlign w:val="center"/>
          </w:tcPr>
          <w:p w14:paraId="22133593"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6/8 patients</w:t>
            </w:r>
          </w:p>
        </w:tc>
        <w:tc>
          <w:tcPr>
            <w:tcW w:w="1701" w:type="dxa"/>
            <w:vAlign w:val="center"/>
          </w:tcPr>
          <w:p w14:paraId="55FB0D69"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1B3E5A27"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5A8C119E" w14:textId="77777777" w:rsidTr="0016555D">
        <w:tc>
          <w:tcPr>
            <w:tcW w:w="1638" w:type="dxa"/>
            <w:vMerge w:val="restart"/>
            <w:vAlign w:val="center"/>
          </w:tcPr>
          <w:p w14:paraId="43103E71" w14:textId="74081EBD" w:rsidR="007128CF" w:rsidRPr="00DA3C6E" w:rsidRDefault="007128CF" w:rsidP="00C04BCE">
            <w:pPr>
              <w:spacing w:after="0" w:line="240" w:lineRule="auto"/>
              <w:ind w:left="0"/>
              <w:rPr>
                <w:rFonts w:ascii="Arial Narrow" w:hAnsi="Arial Narrow"/>
                <w:sz w:val="20"/>
                <w:szCs w:val="20"/>
              </w:rPr>
            </w:pPr>
            <w:r w:rsidRPr="00DA3C6E">
              <w:rPr>
                <w:rFonts w:ascii="Arial Narrow" w:hAnsi="Arial Narrow"/>
                <w:sz w:val="20"/>
                <w:szCs w:val="20"/>
              </w:rPr>
              <w:t>Braine et al</w:t>
            </w:r>
            <w:r w:rsidR="001D315A" w:rsidRPr="00DA3C6E">
              <w:rPr>
                <w:rFonts w:ascii="Arial Narrow" w:hAnsi="Arial Narrow"/>
                <w:sz w:val="20"/>
                <w:szCs w:val="20"/>
              </w:rPr>
              <w:t>.</w:t>
            </w:r>
            <w:r w:rsidRPr="00DA3C6E">
              <w:rPr>
                <w:rFonts w:ascii="Arial Narrow" w:hAnsi="Arial Narrow"/>
                <w:sz w:val="20"/>
                <w:szCs w:val="20"/>
              </w:rPr>
              <w:t xml:space="preserve"> 2012</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&lt;EndNote&gt;&lt;Cite&gt;&lt;Author&gt;Braine&lt;/Author&gt;&lt;Year&gt;2012&lt;/Year&gt;&lt;RecNum&gt;12&lt;/RecNum&gt;&lt;DisplayText&gt;(52)&lt;/DisplayText&gt;&lt;record&gt;&lt;rec-number&gt;12&lt;/rec-number&gt;&lt;foreign-keys&gt;&lt;key app="EN" db-id="0992p2ztn5fez9e2wvnpw2xstd20f9w2dezz" timestamp="1586818281"&gt;12&lt;/key&gt;&lt;/foreign-keys&gt;&lt;ref-type name="Journal Article"&gt;17&lt;/ref-type&gt;&lt;contributors&gt;&lt;authors&gt;&lt;author&gt;Braine, M. E.&lt;/author&gt;&lt;author&gt;Woodall, A.&lt;/author&gt;&lt;/authors&gt;&lt;/contributors&gt;&lt;auth-address&gt;M.E. Braine, School of Nursing, Midwifery and Social Work, College of Health and Social Care, University of Salford&lt;/auth-address&gt;&lt;titles&gt;&lt;title&gt;A comparison between intravenous and subcutmaneous immunogobulin&lt;/title&gt;&lt;secondary-title&gt;British journal of nursing (Mark Allen Publishing)&lt;/secondary-title&gt;&lt;/titles&gt;&lt;periodical&gt;&lt;full-title&gt;British journal of nursing (Mark Allen Publishing)&lt;/full-title&gt;&lt;/periodical&gt;&lt;pages&gt;S21-27&lt;/pages&gt;&lt;volume&gt;21&lt;/volume&gt;&lt;number&gt;8&lt;/number&gt;&lt;keywords&gt;&lt;keyword&gt;adult&lt;/keyword&gt;&lt;keyword&gt;aged&lt;/keyword&gt;&lt;keyword&gt;article&lt;/keyword&gt;&lt;keyword&gt;clinical trial&lt;/keyword&gt;&lt;keyword&gt;comparative study&lt;/keyword&gt;&lt;keyword&gt;female&lt;/keyword&gt;&lt;keyword&gt;human&lt;/keyword&gt;&lt;keyword&gt;intravenous drug administration&lt;/keyword&gt;&lt;keyword&gt;male&lt;/keyword&gt;&lt;keyword&gt;middle aged&lt;/keyword&gt;&lt;keyword&gt;nursing&lt;/keyword&gt;&lt;keyword&gt;nursing methodology research&lt;/keyword&gt;&lt;keyword&gt;*polyneuropathy/dt [Drug Therapy]&lt;/keyword&gt;&lt;keyword&gt;*quality of life&lt;/keyword&gt;&lt;keyword&gt;subcutaneous drug administration&lt;/keyword&gt;&lt;keyword&gt;treatment outcome&lt;/keyword&gt;&lt;keyword&gt;*immunoglobulin/ad [Drug Administration]&lt;/keyword&gt;&lt;/keywords&gt;&lt;dates&gt;&lt;year&gt;2012&lt;/year&gt;&lt;/dates&gt;&lt;pub-location&gt;United Kingdom&lt;/pub-location&gt;&lt;accession-num&gt;365000789&lt;/accession-num&gt;&lt;urls&gt;&lt;related-urls&gt;&lt;url&gt;http://ovidsp.ovid.com/ovidweb.cgi?T=JS&amp;amp;PAGE=reference&amp;amp;D=emed13&amp;amp;NEWS=N&amp;amp;AN=365000789&lt;/url&gt;&lt;/related-urls&gt;&lt;/urls&gt;&lt;research-notes&gt;E. subutaneous vs intravenous. &lt;/research-notes&gt;&lt;/record&gt;&lt;/Cite&gt;&lt;/EndNote&gt;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2" w:tooltip="Braine, 2012 #12" w:history="1">
              <w:r w:rsidR="00C04BCE">
                <w:rPr>
                  <w:rFonts w:ascii="Arial Narrow" w:hAnsi="Arial Narrow"/>
                  <w:noProof/>
                  <w:sz w:val="20"/>
                  <w:szCs w:val="20"/>
                </w:rPr>
                <w:t>52</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613854BC" w14:textId="77777777" w:rsidR="007128CF" w:rsidRPr="00DA3C6E" w:rsidRDefault="007128CF" w:rsidP="0016555D">
            <w:pPr>
              <w:spacing w:after="0" w:line="240" w:lineRule="auto"/>
              <w:ind w:left="0"/>
              <w:rPr>
                <w:rFonts w:ascii="Arial Narrow" w:hAnsi="Arial Narrow"/>
                <w:sz w:val="20"/>
                <w:szCs w:val="20"/>
              </w:rPr>
            </w:pPr>
            <w:r w:rsidRPr="00DA3C6E">
              <w:rPr>
                <w:rFonts w:ascii="Arial Narrow" w:hAnsi="Arial Narrow"/>
                <w:sz w:val="20"/>
                <w:szCs w:val="20"/>
              </w:rPr>
              <w:t>SF-36 v2</w:t>
            </w:r>
          </w:p>
        </w:tc>
        <w:tc>
          <w:tcPr>
            <w:tcW w:w="2081" w:type="dxa"/>
            <w:vAlign w:val="center"/>
          </w:tcPr>
          <w:p w14:paraId="4917886A" w14:textId="77777777" w:rsidR="007128CF" w:rsidRPr="00DA3C6E" w:rsidRDefault="007128CF" w:rsidP="0016555D">
            <w:pPr>
              <w:keepLines/>
              <w:spacing w:after="0" w:line="240" w:lineRule="auto"/>
              <w:ind w:left="0"/>
              <w:rPr>
                <w:rFonts w:ascii="Arial Narrow" w:hAnsi="Arial Narrow"/>
                <w:sz w:val="20"/>
                <w:szCs w:val="20"/>
              </w:rPr>
            </w:pPr>
            <w:r w:rsidRPr="00DA3C6E">
              <w:rPr>
                <w:rFonts w:ascii="Arial Narrow" w:hAnsi="Arial Narrow"/>
                <w:sz w:val="20"/>
                <w:szCs w:val="20"/>
              </w:rPr>
              <w:t>62.18%</w:t>
            </w:r>
          </w:p>
        </w:tc>
        <w:tc>
          <w:tcPr>
            <w:tcW w:w="1701" w:type="dxa"/>
            <w:vAlign w:val="center"/>
          </w:tcPr>
          <w:p w14:paraId="26D9155D" w14:textId="77777777" w:rsidR="007128CF" w:rsidRPr="00DA3C6E" w:rsidRDefault="007128CF"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Merge w:val="restart"/>
            <w:vAlign w:val="center"/>
          </w:tcPr>
          <w:p w14:paraId="711555DE" w14:textId="77777777" w:rsidR="007128CF" w:rsidRPr="00DA3C6E" w:rsidRDefault="007128CF" w:rsidP="007128CF">
            <w:pPr>
              <w:keepLines/>
              <w:spacing w:after="0" w:line="240" w:lineRule="auto"/>
              <w:ind w:left="0"/>
              <w:jc w:val="left"/>
              <w:rPr>
                <w:rFonts w:ascii="Arial Narrow" w:hAnsi="Arial Narrow"/>
                <w:sz w:val="20"/>
                <w:szCs w:val="20"/>
              </w:rPr>
            </w:pPr>
            <w:r w:rsidRPr="00DA3C6E">
              <w:rPr>
                <w:rFonts w:ascii="Arial Narrow" w:hAnsi="Arial Narrow"/>
                <w:sz w:val="20"/>
                <w:szCs w:val="20"/>
              </w:rPr>
              <w:t xml:space="preserve">No significant differences. </w:t>
            </w:r>
          </w:p>
        </w:tc>
      </w:tr>
      <w:tr w:rsidR="00C67FE5" w:rsidRPr="00DA3C6E" w14:paraId="3D0F337B" w14:textId="77777777" w:rsidTr="0016555D">
        <w:tc>
          <w:tcPr>
            <w:tcW w:w="1638" w:type="dxa"/>
            <w:vMerge/>
            <w:vAlign w:val="center"/>
          </w:tcPr>
          <w:p w14:paraId="4A8CD0DC" w14:textId="77777777" w:rsidR="007128CF" w:rsidRPr="00DA3C6E" w:rsidRDefault="007128CF" w:rsidP="0016555D">
            <w:pPr>
              <w:spacing w:after="0" w:line="240" w:lineRule="auto"/>
              <w:rPr>
                <w:rFonts w:ascii="Arial Narrow" w:hAnsi="Arial Narrow"/>
                <w:sz w:val="20"/>
                <w:szCs w:val="20"/>
              </w:rPr>
            </w:pPr>
          </w:p>
        </w:tc>
        <w:tc>
          <w:tcPr>
            <w:tcW w:w="1805" w:type="dxa"/>
            <w:vAlign w:val="center"/>
          </w:tcPr>
          <w:p w14:paraId="1735686F" w14:textId="77777777" w:rsidR="007128CF" w:rsidRPr="00DA3C6E" w:rsidRDefault="007128CF" w:rsidP="0016555D">
            <w:pPr>
              <w:spacing w:after="0" w:line="240" w:lineRule="auto"/>
              <w:ind w:left="0"/>
              <w:rPr>
                <w:rFonts w:ascii="Arial Narrow" w:hAnsi="Arial Narrow"/>
                <w:sz w:val="20"/>
                <w:szCs w:val="20"/>
              </w:rPr>
            </w:pPr>
            <w:r w:rsidRPr="00DA3C6E">
              <w:rPr>
                <w:rFonts w:ascii="Arial Narrow" w:hAnsi="Arial Narrow"/>
                <w:sz w:val="20"/>
                <w:szCs w:val="20"/>
              </w:rPr>
              <w:t>LQI</w:t>
            </w:r>
          </w:p>
        </w:tc>
        <w:tc>
          <w:tcPr>
            <w:tcW w:w="2081" w:type="dxa"/>
            <w:vAlign w:val="center"/>
          </w:tcPr>
          <w:p w14:paraId="76F41C00" w14:textId="77777777" w:rsidR="007128CF" w:rsidRPr="00DA3C6E" w:rsidRDefault="007128CF" w:rsidP="0016555D">
            <w:pPr>
              <w:spacing w:after="0" w:line="240" w:lineRule="auto"/>
              <w:ind w:left="0"/>
              <w:rPr>
                <w:rFonts w:ascii="Arial Narrow" w:hAnsi="Arial Narrow"/>
                <w:sz w:val="20"/>
                <w:szCs w:val="20"/>
              </w:rPr>
            </w:pPr>
            <w:r w:rsidRPr="00DA3C6E">
              <w:rPr>
                <w:rFonts w:ascii="Arial Narrow" w:hAnsi="Arial Narrow"/>
                <w:sz w:val="20"/>
                <w:szCs w:val="20"/>
              </w:rPr>
              <w:t>96.0±4.0%</w:t>
            </w:r>
          </w:p>
        </w:tc>
        <w:tc>
          <w:tcPr>
            <w:tcW w:w="1701" w:type="dxa"/>
            <w:vAlign w:val="center"/>
          </w:tcPr>
          <w:p w14:paraId="0DE31640" w14:textId="77777777" w:rsidR="007128CF" w:rsidRPr="00DA3C6E" w:rsidRDefault="007128CF"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Merge/>
            <w:vAlign w:val="center"/>
          </w:tcPr>
          <w:p w14:paraId="5BD95E9A" w14:textId="77777777" w:rsidR="007128CF" w:rsidRPr="00DA3C6E" w:rsidRDefault="007128CF" w:rsidP="00346539">
            <w:pPr>
              <w:keepLines/>
              <w:spacing w:after="0" w:line="240" w:lineRule="auto"/>
              <w:ind w:left="0"/>
              <w:jc w:val="left"/>
              <w:rPr>
                <w:rFonts w:ascii="Arial Narrow" w:hAnsi="Arial Narrow"/>
                <w:sz w:val="20"/>
                <w:szCs w:val="20"/>
              </w:rPr>
            </w:pPr>
          </w:p>
        </w:tc>
      </w:tr>
      <w:tr w:rsidR="00C67FE5" w:rsidRPr="00DA3C6E" w14:paraId="351B87F4" w14:textId="77777777" w:rsidTr="0016555D">
        <w:tc>
          <w:tcPr>
            <w:tcW w:w="1638" w:type="dxa"/>
            <w:vMerge w:val="restart"/>
            <w:vAlign w:val="center"/>
          </w:tcPr>
          <w:p w14:paraId="0B36C0FD" w14:textId="1972A9B2"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Mahdi-Rogers et al</w:t>
            </w:r>
            <w:r w:rsidR="001D315A" w:rsidRPr="00DA3C6E">
              <w:rPr>
                <w:rFonts w:ascii="Arial Narrow" w:hAnsi="Arial Narrow"/>
                <w:sz w:val="20"/>
                <w:szCs w:val="20"/>
              </w:rPr>
              <w:t>.</w:t>
            </w:r>
            <w:r w:rsidRPr="00DA3C6E">
              <w:rPr>
                <w:rFonts w:ascii="Arial Narrow" w:hAnsi="Arial Narrow"/>
                <w:sz w:val="20"/>
                <w:szCs w:val="20"/>
              </w:rPr>
              <w:t xml:space="preserve"> 2013</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3" w:tooltip="Mahdi-Rogers, 2014 #42" w:history="1">
              <w:r w:rsidR="00C04BCE">
                <w:rPr>
                  <w:rFonts w:ascii="Arial Narrow" w:hAnsi="Arial Narrow"/>
                  <w:noProof/>
                  <w:sz w:val="20"/>
                  <w:szCs w:val="20"/>
                </w:rPr>
                <w:t>53</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Merge w:val="restart"/>
            <w:vAlign w:val="center"/>
          </w:tcPr>
          <w:p w14:paraId="4E967271"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cs="AdvTimes"/>
                <w:sz w:val="20"/>
                <w:szCs w:val="20"/>
              </w:rPr>
              <w:t>EQ-5D</w:t>
            </w:r>
          </w:p>
        </w:tc>
        <w:tc>
          <w:tcPr>
            <w:tcW w:w="2081" w:type="dxa"/>
            <w:vAlign w:val="center"/>
          </w:tcPr>
          <w:p w14:paraId="7CB12C4B"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cs="Univers-Light"/>
                <w:sz w:val="20"/>
                <w:szCs w:val="20"/>
              </w:rPr>
              <w:t>0.72 (SD 0.14) MMN</w:t>
            </w:r>
          </w:p>
        </w:tc>
        <w:tc>
          <w:tcPr>
            <w:tcW w:w="1701" w:type="dxa"/>
            <w:vAlign w:val="center"/>
          </w:tcPr>
          <w:p w14:paraId="33FD31E2"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136F6FAA"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1D0BE93A" w14:textId="77777777" w:rsidTr="0016555D">
        <w:tc>
          <w:tcPr>
            <w:tcW w:w="1638" w:type="dxa"/>
            <w:vMerge/>
            <w:vAlign w:val="center"/>
          </w:tcPr>
          <w:p w14:paraId="7C3B6225" w14:textId="77777777" w:rsidR="002D6035" w:rsidRPr="00DA3C6E" w:rsidRDefault="002D6035" w:rsidP="0016555D">
            <w:pPr>
              <w:spacing w:after="0" w:line="240" w:lineRule="auto"/>
              <w:rPr>
                <w:rFonts w:ascii="Arial Narrow" w:hAnsi="Arial Narrow"/>
                <w:sz w:val="20"/>
                <w:szCs w:val="20"/>
              </w:rPr>
            </w:pPr>
          </w:p>
        </w:tc>
        <w:tc>
          <w:tcPr>
            <w:tcW w:w="1805" w:type="dxa"/>
            <w:vMerge/>
            <w:vAlign w:val="center"/>
          </w:tcPr>
          <w:p w14:paraId="0D3122BA" w14:textId="77777777" w:rsidR="002D6035" w:rsidRPr="00DA3C6E" w:rsidRDefault="002D6035" w:rsidP="0016555D">
            <w:pPr>
              <w:spacing w:after="0" w:line="240" w:lineRule="auto"/>
              <w:rPr>
                <w:rFonts w:ascii="Arial Narrow" w:hAnsi="Arial Narrow"/>
                <w:sz w:val="20"/>
                <w:szCs w:val="20"/>
              </w:rPr>
            </w:pPr>
          </w:p>
        </w:tc>
        <w:tc>
          <w:tcPr>
            <w:tcW w:w="2081" w:type="dxa"/>
            <w:vAlign w:val="center"/>
          </w:tcPr>
          <w:p w14:paraId="310DE1A8" w14:textId="77777777" w:rsidR="002D6035" w:rsidRPr="00DA3C6E" w:rsidRDefault="002D6035" w:rsidP="0016555D">
            <w:pPr>
              <w:spacing w:after="0" w:line="240" w:lineRule="auto"/>
              <w:ind w:left="0"/>
              <w:rPr>
                <w:rFonts w:ascii="Arial Narrow" w:hAnsi="Arial Narrow" w:cs="Univers-Light"/>
                <w:sz w:val="20"/>
                <w:szCs w:val="20"/>
              </w:rPr>
            </w:pPr>
            <w:r w:rsidRPr="00DA3C6E">
              <w:rPr>
                <w:rFonts w:ascii="Arial Narrow" w:hAnsi="Arial Narrow" w:cs="Univers-Light"/>
                <w:sz w:val="20"/>
                <w:szCs w:val="20"/>
              </w:rPr>
              <w:t xml:space="preserve">0.65 (SD 0.16) </w:t>
            </w:r>
          </w:p>
          <w:p w14:paraId="7C96CAAF"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cs="Univers-Light"/>
                <w:sz w:val="20"/>
                <w:szCs w:val="20"/>
              </w:rPr>
              <w:t>(MMN, CIDP, PDN)</w:t>
            </w:r>
          </w:p>
        </w:tc>
        <w:tc>
          <w:tcPr>
            <w:tcW w:w="1701" w:type="dxa"/>
            <w:vAlign w:val="center"/>
          </w:tcPr>
          <w:p w14:paraId="3FEAA7EA" w14:textId="77777777" w:rsidR="002D6035" w:rsidRPr="00DA3C6E" w:rsidRDefault="002D6035" w:rsidP="0016555D">
            <w:pPr>
              <w:spacing w:after="0" w:line="240" w:lineRule="auto"/>
              <w:ind w:left="0"/>
              <w:rPr>
                <w:rFonts w:ascii="Arial Narrow" w:hAnsi="Arial Narrow" w:cs="Univers-Light"/>
                <w:sz w:val="20"/>
                <w:szCs w:val="20"/>
              </w:rPr>
            </w:pPr>
            <w:r w:rsidRPr="00DA3C6E">
              <w:rPr>
                <w:rFonts w:ascii="Arial Narrow" w:hAnsi="Arial Narrow" w:cs="Univers-Light"/>
                <w:sz w:val="20"/>
                <w:szCs w:val="20"/>
              </w:rPr>
              <w:t xml:space="preserve">0.63 (SD 0.23) </w:t>
            </w:r>
          </w:p>
          <w:p w14:paraId="28389E17"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cs="Univers-Light"/>
                <w:sz w:val="20"/>
                <w:szCs w:val="20"/>
              </w:rPr>
              <w:t>(MMN, CIDP, PDN)</w:t>
            </w:r>
          </w:p>
        </w:tc>
        <w:tc>
          <w:tcPr>
            <w:tcW w:w="1791" w:type="dxa"/>
            <w:vAlign w:val="center"/>
          </w:tcPr>
          <w:p w14:paraId="1F15A948"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52B827DC" w14:textId="77777777" w:rsidTr="0016555D">
        <w:tc>
          <w:tcPr>
            <w:tcW w:w="1638" w:type="dxa"/>
            <w:vMerge w:val="restart"/>
            <w:vAlign w:val="center"/>
          </w:tcPr>
          <w:p w14:paraId="6CFF2724" w14:textId="11BC1338" w:rsidR="002D6035" w:rsidRPr="00DA3C6E" w:rsidRDefault="002D6035" w:rsidP="00C04BCE">
            <w:pPr>
              <w:spacing w:after="0" w:line="240" w:lineRule="auto"/>
              <w:ind w:left="0"/>
              <w:rPr>
                <w:rFonts w:ascii="Arial Narrow" w:hAnsi="Arial Narrow"/>
                <w:sz w:val="20"/>
                <w:szCs w:val="20"/>
              </w:rPr>
            </w:pPr>
            <w:r w:rsidRPr="00DA3C6E">
              <w:rPr>
                <w:rFonts w:ascii="Arial Narrow" w:hAnsi="Arial Narrow"/>
                <w:sz w:val="20"/>
                <w:szCs w:val="20"/>
              </w:rPr>
              <w:t>Bozovic et al</w:t>
            </w:r>
            <w:r w:rsidR="001D315A" w:rsidRPr="00DA3C6E">
              <w:rPr>
                <w:rFonts w:ascii="Arial Narrow" w:hAnsi="Arial Narrow"/>
                <w:sz w:val="20"/>
                <w:szCs w:val="20"/>
              </w:rPr>
              <w:t>.</w:t>
            </w:r>
            <w:r w:rsidRPr="00DA3C6E">
              <w:rPr>
                <w:rFonts w:ascii="Arial Narrow" w:hAnsi="Arial Narrow"/>
                <w:sz w:val="20"/>
                <w:szCs w:val="20"/>
              </w:rPr>
              <w:t xml:space="preserve"> 2019</w:t>
            </w:r>
            <w:r w:rsidR="00DB568A" w:rsidRPr="00DA3C6E">
              <w:rPr>
                <w:rFonts w:ascii="Arial Narrow" w:hAnsi="Arial Narrow"/>
                <w:sz w:val="20"/>
                <w:szCs w:val="20"/>
              </w:rPr>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PEVuZE5vdGU+PENpdGU+PEF1dGhvcj5Cb3pvdmljPC9BdXRob3I+PFllYXI+MjAxOTwvWWVhcj48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4" w:tooltip="Bozovic, 2019 #11" w:history="1">
              <w:r w:rsidR="00C04BCE">
                <w:rPr>
                  <w:rFonts w:ascii="Arial Narrow" w:hAnsi="Arial Narrow"/>
                  <w:noProof/>
                  <w:sz w:val="20"/>
                  <w:szCs w:val="20"/>
                </w:rPr>
                <w:t>54</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138D7E73"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SF-36 score</w:t>
            </w:r>
          </w:p>
        </w:tc>
        <w:tc>
          <w:tcPr>
            <w:tcW w:w="2081" w:type="dxa"/>
            <w:vAlign w:val="center"/>
          </w:tcPr>
          <w:p w14:paraId="3638CAAF"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69.2 ± 19.9</w:t>
            </w:r>
          </w:p>
        </w:tc>
        <w:tc>
          <w:tcPr>
            <w:tcW w:w="1701" w:type="dxa"/>
            <w:vAlign w:val="center"/>
          </w:tcPr>
          <w:p w14:paraId="3BC46B4C"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Align w:val="center"/>
          </w:tcPr>
          <w:p w14:paraId="795526A3"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NR</w:t>
            </w:r>
          </w:p>
        </w:tc>
      </w:tr>
      <w:tr w:rsidR="00C67FE5" w:rsidRPr="00DA3C6E" w14:paraId="2DEC039A" w14:textId="77777777" w:rsidTr="0016555D">
        <w:tc>
          <w:tcPr>
            <w:tcW w:w="1638" w:type="dxa"/>
            <w:vMerge/>
            <w:vAlign w:val="center"/>
          </w:tcPr>
          <w:p w14:paraId="7DDE0B72" w14:textId="77777777" w:rsidR="002D6035" w:rsidRPr="00DA3C6E" w:rsidRDefault="002D6035" w:rsidP="0016555D">
            <w:pPr>
              <w:spacing w:after="0" w:line="240" w:lineRule="auto"/>
              <w:rPr>
                <w:rFonts w:ascii="Arial Narrow" w:hAnsi="Arial Narrow"/>
                <w:sz w:val="20"/>
                <w:szCs w:val="20"/>
              </w:rPr>
            </w:pPr>
          </w:p>
        </w:tc>
        <w:tc>
          <w:tcPr>
            <w:tcW w:w="1805" w:type="dxa"/>
            <w:vAlign w:val="center"/>
          </w:tcPr>
          <w:p w14:paraId="4A69FD2A" w14:textId="77777777" w:rsidR="002D6035" w:rsidRPr="00DA3C6E" w:rsidRDefault="002D6035" w:rsidP="0016555D">
            <w:pPr>
              <w:keepLines/>
              <w:spacing w:after="0" w:line="240" w:lineRule="auto"/>
              <w:ind w:left="0"/>
              <w:rPr>
                <w:rFonts w:ascii="Arial Narrow" w:hAnsi="Arial Narrow"/>
                <w:sz w:val="20"/>
                <w:szCs w:val="20"/>
              </w:rPr>
            </w:pPr>
            <w:r w:rsidRPr="00DA3C6E">
              <w:rPr>
                <w:rFonts w:ascii="Arial Narrow" w:hAnsi="Arial Narrow"/>
                <w:sz w:val="20"/>
                <w:szCs w:val="20"/>
              </w:rPr>
              <w:t>SF36 PCS score</w:t>
            </w:r>
          </w:p>
        </w:tc>
        <w:tc>
          <w:tcPr>
            <w:tcW w:w="2081" w:type="dxa"/>
            <w:vAlign w:val="center"/>
          </w:tcPr>
          <w:p w14:paraId="5F220BB3"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64.8 ± 22.3</w:t>
            </w:r>
          </w:p>
        </w:tc>
        <w:tc>
          <w:tcPr>
            <w:tcW w:w="1701" w:type="dxa"/>
            <w:vAlign w:val="center"/>
          </w:tcPr>
          <w:p w14:paraId="3827AAE5"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Merge w:val="restart"/>
            <w:vAlign w:val="center"/>
          </w:tcPr>
          <w:p w14:paraId="64D3D700" w14:textId="77777777" w:rsidR="002D6035" w:rsidRPr="00DA3C6E" w:rsidRDefault="002D6035" w:rsidP="00346539">
            <w:pPr>
              <w:spacing w:after="0" w:line="240" w:lineRule="auto"/>
              <w:ind w:left="0"/>
              <w:jc w:val="left"/>
              <w:rPr>
                <w:rFonts w:ascii="Arial Narrow" w:hAnsi="Arial Narrow"/>
                <w:sz w:val="20"/>
                <w:szCs w:val="20"/>
              </w:rPr>
            </w:pPr>
            <w:r w:rsidRPr="00DA3C6E">
              <w:rPr>
                <w:rFonts w:ascii="Arial Narrow" w:hAnsi="Arial Narrow"/>
                <w:sz w:val="20"/>
                <w:szCs w:val="20"/>
              </w:rPr>
              <w:t>p &gt; 0.05</w:t>
            </w:r>
          </w:p>
        </w:tc>
      </w:tr>
      <w:tr w:rsidR="00C67FE5" w:rsidRPr="00DA3C6E" w14:paraId="1D777FAC" w14:textId="77777777" w:rsidTr="0016555D">
        <w:tc>
          <w:tcPr>
            <w:tcW w:w="1638" w:type="dxa"/>
            <w:vMerge/>
            <w:vAlign w:val="center"/>
          </w:tcPr>
          <w:p w14:paraId="5252F44D" w14:textId="77777777" w:rsidR="002D6035" w:rsidRPr="00DA3C6E" w:rsidRDefault="002D6035" w:rsidP="0016555D">
            <w:pPr>
              <w:spacing w:after="0" w:line="240" w:lineRule="auto"/>
              <w:rPr>
                <w:rFonts w:ascii="Arial Narrow" w:hAnsi="Arial Narrow"/>
                <w:sz w:val="20"/>
                <w:szCs w:val="20"/>
              </w:rPr>
            </w:pPr>
          </w:p>
        </w:tc>
        <w:tc>
          <w:tcPr>
            <w:tcW w:w="1805" w:type="dxa"/>
            <w:vAlign w:val="center"/>
          </w:tcPr>
          <w:p w14:paraId="53730124" w14:textId="77777777" w:rsidR="002D6035" w:rsidRPr="00DA3C6E" w:rsidRDefault="002D6035" w:rsidP="0016555D">
            <w:pPr>
              <w:keepLines/>
              <w:spacing w:after="0" w:line="240" w:lineRule="auto"/>
              <w:ind w:left="0"/>
              <w:rPr>
                <w:rFonts w:ascii="Arial Narrow" w:hAnsi="Arial Narrow"/>
                <w:sz w:val="20"/>
                <w:szCs w:val="20"/>
              </w:rPr>
            </w:pPr>
            <w:r w:rsidRPr="00DA3C6E">
              <w:rPr>
                <w:rFonts w:ascii="Arial Narrow" w:hAnsi="Arial Narrow"/>
                <w:sz w:val="20"/>
                <w:szCs w:val="20"/>
              </w:rPr>
              <w:t>SF36 MCS score</w:t>
            </w:r>
          </w:p>
        </w:tc>
        <w:tc>
          <w:tcPr>
            <w:tcW w:w="2081" w:type="dxa"/>
            <w:vAlign w:val="center"/>
          </w:tcPr>
          <w:p w14:paraId="7DFFB3BE"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70.0 ± 19.5</w:t>
            </w:r>
          </w:p>
        </w:tc>
        <w:tc>
          <w:tcPr>
            <w:tcW w:w="1701" w:type="dxa"/>
            <w:vAlign w:val="center"/>
          </w:tcPr>
          <w:p w14:paraId="559F6EEB" w14:textId="77777777" w:rsidR="002D6035" w:rsidRPr="00DA3C6E" w:rsidRDefault="002D6035" w:rsidP="0016555D">
            <w:pPr>
              <w:spacing w:after="0" w:line="240" w:lineRule="auto"/>
              <w:ind w:left="0"/>
              <w:rPr>
                <w:rFonts w:ascii="Arial Narrow" w:hAnsi="Arial Narrow"/>
                <w:sz w:val="20"/>
                <w:szCs w:val="20"/>
              </w:rPr>
            </w:pPr>
            <w:r w:rsidRPr="00DA3C6E">
              <w:rPr>
                <w:rFonts w:ascii="Arial Narrow" w:hAnsi="Arial Narrow"/>
                <w:sz w:val="20"/>
                <w:szCs w:val="20"/>
              </w:rPr>
              <w:t>NR</w:t>
            </w:r>
          </w:p>
        </w:tc>
        <w:tc>
          <w:tcPr>
            <w:tcW w:w="1791" w:type="dxa"/>
            <w:vMerge/>
            <w:vAlign w:val="center"/>
          </w:tcPr>
          <w:p w14:paraId="606F009D" w14:textId="77777777" w:rsidR="002D6035" w:rsidRPr="00DA3C6E" w:rsidRDefault="002D6035" w:rsidP="00346539">
            <w:pPr>
              <w:spacing w:after="0" w:line="240" w:lineRule="auto"/>
              <w:jc w:val="left"/>
              <w:rPr>
                <w:rFonts w:ascii="Arial Narrow" w:hAnsi="Arial Narrow"/>
                <w:sz w:val="20"/>
                <w:szCs w:val="20"/>
              </w:rPr>
            </w:pPr>
          </w:p>
        </w:tc>
      </w:tr>
    </w:tbl>
    <w:p w14:paraId="0C69ADE6" w14:textId="77777777" w:rsidR="002D6035" w:rsidRPr="00DA3C6E" w:rsidRDefault="002D6035" w:rsidP="0016555D">
      <w:pPr>
        <w:spacing w:line="240" w:lineRule="auto"/>
        <w:rPr>
          <w:rFonts w:ascii="Arial Narrow" w:hAnsi="Arial Narrow"/>
          <w:sz w:val="18"/>
          <w:szCs w:val="18"/>
        </w:rPr>
      </w:pPr>
      <w:r w:rsidRPr="00DA3C6E">
        <w:rPr>
          <w:rFonts w:ascii="Arial Narrow" w:hAnsi="Arial Narrow"/>
          <w:sz w:val="18"/>
          <w:szCs w:val="18"/>
        </w:rPr>
        <w:t xml:space="preserve">Abbreviations: CI = confidence intervals; CIDP = Chronic Inflammatory Demyelinating Polyneuropathy; EQ-5D = EuroQol 5 dimensions; HRQoL = health-related quality of life; Ig = immunoglobulin; LQI = life quality index; MCS = mental component summary; MMN = multifocal motor neuropathy; NR = not reported; PCS = physical component summary; PDN = </w:t>
      </w:r>
      <w:r w:rsidR="007128CF" w:rsidRPr="00DA3C6E">
        <w:rPr>
          <w:rFonts w:ascii="Arial Narrow" w:hAnsi="Arial Narrow"/>
          <w:sz w:val="18"/>
          <w:szCs w:val="18"/>
        </w:rPr>
        <w:t>p</w:t>
      </w:r>
      <w:r w:rsidRPr="00DA3C6E">
        <w:rPr>
          <w:rFonts w:ascii="Arial Narrow" w:hAnsi="Arial Narrow"/>
          <w:sz w:val="18"/>
          <w:szCs w:val="18"/>
        </w:rPr>
        <w:t>araproteinemic demyelinating neuropathy; QoL = quality of life; SD = standard deviation; SCIg = subcutaneous immunoglobulin; SD = standard deviation.</w:t>
      </w:r>
    </w:p>
    <w:p w14:paraId="4D40FDD0" w14:textId="77777777" w:rsidR="00C44F6A" w:rsidRPr="00DA3C6E" w:rsidRDefault="00C44F6A" w:rsidP="001207B3"/>
    <w:p w14:paraId="5155E350" w14:textId="77777777" w:rsidR="00CC78C2" w:rsidRPr="00DA3C6E" w:rsidRDefault="00CC78C2" w:rsidP="00CC78C2">
      <w:pPr>
        <w:pStyle w:val="Heading1"/>
      </w:pPr>
      <w:bookmarkStart w:id="220" w:name="_Toc37845748"/>
      <w:bookmarkStart w:id="221" w:name="_Ref124760357"/>
      <w:r w:rsidRPr="00DA3C6E">
        <w:lastRenderedPageBreak/>
        <w:t>Section C</w:t>
      </w:r>
      <w:r w:rsidRPr="00DA3C6E">
        <w:tab/>
        <w:t>Translation Issues</w:t>
      </w:r>
      <w:bookmarkEnd w:id="220"/>
    </w:p>
    <w:p w14:paraId="66FE4A3A" w14:textId="77777777" w:rsidR="00CC78C2" w:rsidRPr="00DA3C6E" w:rsidRDefault="00CC78C2" w:rsidP="0073359F">
      <w:pPr>
        <w:pStyle w:val="Heading2"/>
        <w:numPr>
          <w:ilvl w:val="2"/>
          <w:numId w:val="50"/>
        </w:numPr>
        <w:jc w:val="left"/>
      </w:pPr>
      <w:bookmarkStart w:id="222" w:name="_Toc37845749"/>
      <w:bookmarkStart w:id="223" w:name="_Toc426968183"/>
      <w:r w:rsidRPr="00DA3C6E">
        <w:t>Overview</w:t>
      </w:r>
      <w:bookmarkEnd w:id="222"/>
      <w:r w:rsidRPr="00DA3C6E">
        <w:t xml:space="preserve"> </w:t>
      </w:r>
      <w:bookmarkEnd w:id="223"/>
    </w:p>
    <w:p w14:paraId="44728EED" w14:textId="4EE23812" w:rsidR="005F2AEA" w:rsidRPr="00DA3C6E" w:rsidRDefault="005F2AEA" w:rsidP="005F2AEA">
      <w:r w:rsidRPr="00DA3C6E">
        <w:t>The clinical evidence presented in Section B, suggest</w:t>
      </w:r>
      <w:r w:rsidR="00094F7B" w:rsidRPr="00DA3C6E">
        <w:t>s</w:t>
      </w:r>
      <w:r w:rsidRPr="00DA3C6E">
        <w:t xml:space="preserve"> that the use of intravenous Ig has superior effectiveness and inferior safety compared to </w:t>
      </w:r>
      <w:r w:rsidR="001D315A" w:rsidRPr="00DA3C6E">
        <w:t xml:space="preserve">No intravenous Ig with </w:t>
      </w:r>
      <w:r w:rsidRPr="00DA3C6E">
        <w:t>BSC</w:t>
      </w:r>
      <w:r w:rsidR="001D315A" w:rsidRPr="00DA3C6E">
        <w:t xml:space="preserve"> (referred to as placebo in the RCTs)</w:t>
      </w:r>
      <w:r w:rsidRPr="00DA3C6E">
        <w:t xml:space="preserve"> in patients with MMN, hence a cost-utility analysis (CUA) i</w:t>
      </w:r>
      <w:r w:rsidR="004767C5" w:rsidRPr="00DA3C6E">
        <w:t>s</w:t>
      </w:r>
      <w:r w:rsidRPr="00DA3C6E">
        <w:t xml:space="preserve"> presented in Section D.  </w:t>
      </w:r>
    </w:p>
    <w:p w14:paraId="79E1FD99" w14:textId="21A359FC" w:rsidR="008E136F" w:rsidRPr="00DA3C6E" w:rsidRDefault="002254E9" w:rsidP="005E330C">
      <w:r w:rsidRPr="00DA3C6E">
        <w:t xml:space="preserve">The immunomodulatory effect of </w:t>
      </w:r>
      <w:r w:rsidR="005F2AEA" w:rsidRPr="00DA3C6E">
        <w:t xml:space="preserve">intravenous </w:t>
      </w:r>
      <w:r w:rsidRPr="00DA3C6E">
        <w:t xml:space="preserve">Ig </w:t>
      </w:r>
      <w:r w:rsidR="00B53A4E" w:rsidRPr="00DA3C6E">
        <w:t xml:space="preserve">is expected to </w:t>
      </w:r>
      <w:r w:rsidRPr="00DA3C6E">
        <w:t xml:space="preserve">translate into improved muscle strength, </w:t>
      </w:r>
      <w:r w:rsidR="00736E0B" w:rsidRPr="00DA3C6E">
        <w:t xml:space="preserve">reduced </w:t>
      </w:r>
      <w:r w:rsidRPr="00DA3C6E">
        <w:t xml:space="preserve">disability and overall improved quality of life. The clinical </w:t>
      </w:r>
      <w:r w:rsidR="005F2AEA" w:rsidRPr="00DA3C6E">
        <w:t xml:space="preserve">benefit derived from these outcomes is reflected in the increased </w:t>
      </w:r>
      <w:r w:rsidRPr="00DA3C6E">
        <w:t>time a patient remains stable</w:t>
      </w:r>
      <w:r w:rsidR="00FF5F29" w:rsidRPr="00DA3C6E">
        <w:t>/maintain</w:t>
      </w:r>
      <w:r w:rsidR="00094F7B" w:rsidRPr="00DA3C6E">
        <w:t>s</w:t>
      </w:r>
      <w:r w:rsidR="00FF5F29" w:rsidRPr="00DA3C6E">
        <w:t xml:space="preserve"> improvement</w:t>
      </w:r>
      <w:r w:rsidRPr="00DA3C6E">
        <w:t xml:space="preserve">, however it does not lead to a cure of MMN. All patients will eventually discontinue treatment and their disease will enter into a slowly progressive disease </w:t>
      </w:r>
      <w:r w:rsidR="00065D1D" w:rsidRPr="00DA3C6E">
        <w:t xml:space="preserve">phase </w:t>
      </w:r>
      <w:r w:rsidRPr="00DA3C6E">
        <w:t xml:space="preserve">which ultimately </w:t>
      </w:r>
      <w:r w:rsidR="008E136F" w:rsidRPr="00DA3C6E">
        <w:t xml:space="preserve">will </w:t>
      </w:r>
      <w:r w:rsidRPr="00DA3C6E">
        <w:t xml:space="preserve">deteriorate </w:t>
      </w:r>
      <w:r w:rsidR="008E136F" w:rsidRPr="00DA3C6E">
        <w:t xml:space="preserve">their </w:t>
      </w:r>
      <w:r w:rsidRPr="00DA3C6E">
        <w:t xml:space="preserve">QoL. It should be noted that the administration of </w:t>
      </w:r>
      <w:r w:rsidR="00065D1D" w:rsidRPr="00DA3C6E">
        <w:t xml:space="preserve">intravenous Ig </w:t>
      </w:r>
      <w:r w:rsidRPr="00DA3C6E">
        <w:t>is not exempt of AEs</w:t>
      </w:r>
      <w:r w:rsidR="008E136F" w:rsidRPr="00DA3C6E">
        <w:t xml:space="preserve"> which may also impact the QoL.</w:t>
      </w:r>
      <w:r w:rsidRPr="00DA3C6E">
        <w:t xml:space="preserve"> </w:t>
      </w:r>
    </w:p>
    <w:p w14:paraId="6DCADF2D" w14:textId="77777777" w:rsidR="002254E9" w:rsidRPr="00DA3C6E" w:rsidRDefault="00065D1D" w:rsidP="007D7C78">
      <w:r w:rsidRPr="00DA3C6E">
        <w:t xml:space="preserve">Intravenous Ig </w:t>
      </w:r>
      <w:r w:rsidR="002254E9" w:rsidRPr="00DA3C6E">
        <w:t xml:space="preserve">for the treatment of MMN is already used in Australia and in order to assess the applicability of the </w:t>
      </w:r>
      <w:r w:rsidR="00B53A4E" w:rsidRPr="00DA3C6E">
        <w:t xml:space="preserve">available </w:t>
      </w:r>
      <w:r w:rsidR="002254E9" w:rsidRPr="00DA3C6E">
        <w:t xml:space="preserve">clinical evidence to the Australian setting, the following aspects </w:t>
      </w:r>
      <w:r w:rsidR="00736E0B" w:rsidRPr="00DA3C6E">
        <w:t>were</w:t>
      </w:r>
      <w:r w:rsidR="002254E9" w:rsidRPr="00DA3C6E">
        <w:t xml:space="preserve"> considered:</w:t>
      </w:r>
    </w:p>
    <w:p w14:paraId="1AE0A049" w14:textId="77777777" w:rsidR="002254E9" w:rsidRPr="00DA3C6E" w:rsidRDefault="002A032F" w:rsidP="002254E9">
      <w:pPr>
        <w:rPr>
          <w:b/>
        </w:rPr>
      </w:pPr>
      <w:r w:rsidRPr="00DA3C6E">
        <w:rPr>
          <w:b/>
        </w:rPr>
        <w:t>Applicability issues</w:t>
      </w:r>
    </w:p>
    <w:p w14:paraId="3671C964" w14:textId="715B5044" w:rsidR="002254E9" w:rsidRPr="00DA3C6E" w:rsidRDefault="00176331" w:rsidP="0073359F">
      <w:pPr>
        <w:pStyle w:val="ListParagraph"/>
        <w:numPr>
          <w:ilvl w:val="0"/>
          <w:numId w:val="63"/>
        </w:numPr>
      </w:pPr>
      <w:r w:rsidRPr="00DA3C6E">
        <w:t xml:space="preserve">Are </w:t>
      </w:r>
      <w:r w:rsidR="002254E9" w:rsidRPr="00DA3C6E">
        <w:t xml:space="preserve">the inclusion/exclusion criteria defined in the </w:t>
      </w:r>
      <w:r w:rsidR="00B53A4E" w:rsidRPr="00DA3C6E">
        <w:t xml:space="preserve">randomised clinical </w:t>
      </w:r>
      <w:r w:rsidR="002254E9" w:rsidRPr="00DA3C6E">
        <w:t xml:space="preserve">trials consistent with the current </w:t>
      </w:r>
      <w:r w:rsidR="00B53A4E" w:rsidRPr="00DA3C6E">
        <w:t xml:space="preserve">MMN </w:t>
      </w:r>
      <w:r w:rsidR="002254E9" w:rsidRPr="00DA3C6E">
        <w:t xml:space="preserve">diagnostic criteria </w:t>
      </w:r>
      <w:r w:rsidR="004004D5" w:rsidRPr="00DA3C6E">
        <w:t xml:space="preserve">applied </w:t>
      </w:r>
      <w:r w:rsidR="002254E9" w:rsidRPr="00DA3C6E">
        <w:t xml:space="preserve">in Australia? </w:t>
      </w:r>
    </w:p>
    <w:p w14:paraId="4647D5FF" w14:textId="77777777" w:rsidR="002254E9" w:rsidRPr="00DA3C6E" w:rsidRDefault="002254E9" w:rsidP="0073359F">
      <w:pPr>
        <w:pStyle w:val="ListParagraph"/>
        <w:numPr>
          <w:ilvl w:val="0"/>
          <w:numId w:val="63"/>
        </w:numPr>
      </w:pPr>
      <w:r w:rsidRPr="00DA3C6E">
        <w:t xml:space="preserve">Is the </w:t>
      </w:r>
      <w:r w:rsidR="00B53A4E" w:rsidRPr="00DA3C6E">
        <w:t xml:space="preserve">Ig </w:t>
      </w:r>
      <w:r w:rsidRPr="00DA3C6E">
        <w:t>dosing and frequency of administration schedule in the</w:t>
      </w:r>
      <w:r w:rsidR="00B53A4E" w:rsidRPr="00DA3C6E">
        <w:t xml:space="preserve"> clinical</w:t>
      </w:r>
      <w:r w:rsidRPr="00DA3C6E">
        <w:t xml:space="preserve"> trials consistent with the current recommendation in Australia?</w:t>
      </w:r>
    </w:p>
    <w:p w14:paraId="4CE97B37" w14:textId="77777777" w:rsidR="002A032F" w:rsidRPr="00DA3C6E" w:rsidRDefault="002A032F" w:rsidP="0073359F">
      <w:pPr>
        <w:pStyle w:val="ListParagraph"/>
        <w:numPr>
          <w:ilvl w:val="0"/>
          <w:numId w:val="63"/>
        </w:numPr>
      </w:pPr>
      <w:r w:rsidRPr="00DA3C6E">
        <w:t>Does the patient profile in the clinical evidence match the demographic</w:t>
      </w:r>
      <w:r w:rsidR="004004D5" w:rsidRPr="00DA3C6E">
        <w:t xml:space="preserve"> characteristic</w:t>
      </w:r>
      <w:r w:rsidRPr="00DA3C6E">
        <w:t xml:space="preserve">s of patients with MMN in Australia? </w:t>
      </w:r>
    </w:p>
    <w:p w14:paraId="3428D62E" w14:textId="77777777" w:rsidR="0073229C" w:rsidRPr="00DA3C6E" w:rsidRDefault="0073229C" w:rsidP="0073359F">
      <w:pPr>
        <w:pStyle w:val="ListParagraph"/>
        <w:numPr>
          <w:ilvl w:val="0"/>
          <w:numId w:val="63"/>
        </w:numPr>
      </w:pPr>
      <w:r w:rsidRPr="00DA3C6E">
        <w:t xml:space="preserve">Are the measurement scales used to </w:t>
      </w:r>
      <w:r w:rsidR="004004D5" w:rsidRPr="00DA3C6E">
        <w:t xml:space="preserve">assess </w:t>
      </w:r>
      <w:r w:rsidRPr="00DA3C6E">
        <w:t xml:space="preserve">muscle strength and disability in the trial setting consistent </w:t>
      </w:r>
      <w:r w:rsidR="004004D5" w:rsidRPr="00DA3C6E">
        <w:t xml:space="preserve">with </w:t>
      </w:r>
      <w:r w:rsidR="008E136F" w:rsidRPr="00DA3C6E">
        <w:t>those</w:t>
      </w:r>
      <w:r w:rsidRPr="00DA3C6E">
        <w:t xml:space="preserve"> currently used in Australia?</w:t>
      </w:r>
    </w:p>
    <w:p w14:paraId="1DAD7D74" w14:textId="77777777" w:rsidR="00B53A4E" w:rsidRPr="00DA3C6E" w:rsidRDefault="004004D5" w:rsidP="0073359F">
      <w:pPr>
        <w:pStyle w:val="ListParagraph"/>
        <w:numPr>
          <w:ilvl w:val="0"/>
          <w:numId w:val="63"/>
        </w:numPr>
      </w:pPr>
      <w:r w:rsidRPr="00DA3C6E">
        <w:t>I</w:t>
      </w:r>
      <w:r w:rsidR="009E7169" w:rsidRPr="00DA3C6E">
        <w:t>s the duration of Ig treatment in the clinical evidence</w:t>
      </w:r>
      <w:r w:rsidRPr="00DA3C6E">
        <w:t xml:space="preserve"> consistent with</w:t>
      </w:r>
      <w:r w:rsidR="009E7169" w:rsidRPr="00DA3C6E">
        <w:t xml:space="preserve"> use in the current Australian population? </w:t>
      </w:r>
    </w:p>
    <w:p w14:paraId="23B27D58" w14:textId="77777777" w:rsidR="009E7169" w:rsidRPr="00DA3C6E" w:rsidRDefault="009E7169" w:rsidP="009E7169">
      <w:pPr>
        <w:rPr>
          <w:b/>
        </w:rPr>
      </w:pPr>
      <w:r w:rsidRPr="00DA3C6E">
        <w:rPr>
          <w:b/>
        </w:rPr>
        <w:t xml:space="preserve">Extrapolation issues </w:t>
      </w:r>
    </w:p>
    <w:p w14:paraId="117F6746" w14:textId="77777777" w:rsidR="004004D5" w:rsidRPr="00DA3C6E" w:rsidRDefault="004004D5" w:rsidP="009E7169">
      <w:pPr>
        <w:rPr>
          <w:b/>
        </w:rPr>
      </w:pPr>
      <w:r w:rsidRPr="00DA3C6E">
        <w:t>If the treatment duration in the trials is less than the expected duration of treatment in the current local setting, the need for extrapolation of the results is to be addressed subject to the following issue:</w:t>
      </w:r>
    </w:p>
    <w:p w14:paraId="5FA994C9" w14:textId="77777777" w:rsidR="009E7169" w:rsidRPr="00DA3C6E" w:rsidRDefault="004004D5" w:rsidP="0073359F">
      <w:pPr>
        <w:pStyle w:val="ListParagraph"/>
        <w:numPr>
          <w:ilvl w:val="0"/>
          <w:numId w:val="53"/>
        </w:numPr>
      </w:pPr>
      <w:r w:rsidRPr="00DA3C6E">
        <w:lastRenderedPageBreak/>
        <w:t xml:space="preserve">What is the duration of the treatment effect of </w:t>
      </w:r>
      <w:r w:rsidR="001D315A" w:rsidRPr="00DA3C6E">
        <w:t>intravenous Ig</w:t>
      </w:r>
      <w:r w:rsidR="007D68BE" w:rsidRPr="00DA3C6E">
        <w:t xml:space="preserve"> in patients with MMN</w:t>
      </w:r>
      <w:r w:rsidRPr="00DA3C6E">
        <w:t xml:space="preserve"> </w:t>
      </w:r>
      <w:r w:rsidR="007D68BE" w:rsidRPr="00DA3C6E">
        <w:t xml:space="preserve">and was the </w:t>
      </w:r>
      <w:r w:rsidRPr="00DA3C6E">
        <w:t xml:space="preserve">duration of effect </w:t>
      </w:r>
      <w:r w:rsidR="007D68BE" w:rsidRPr="00DA3C6E">
        <w:t xml:space="preserve">expected in the Australian setting captured in the available clinical evidence? </w:t>
      </w:r>
    </w:p>
    <w:p w14:paraId="07BDD13E" w14:textId="77777777" w:rsidR="00E83030" w:rsidRPr="00DA3C6E" w:rsidRDefault="00E83030" w:rsidP="00E83030">
      <w:pPr>
        <w:rPr>
          <w:b/>
        </w:rPr>
      </w:pPr>
      <w:r w:rsidRPr="00DA3C6E">
        <w:rPr>
          <w:b/>
        </w:rPr>
        <w:t>Transformation issues</w:t>
      </w:r>
    </w:p>
    <w:p w14:paraId="1810F26B" w14:textId="77777777" w:rsidR="0016037E" w:rsidRPr="00DA3C6E" w:rsidRDefault="0016037E" w:rsidP="00E83030">
      <w:pPr>
        <w:rPr>
          <w:b/>
        </w:rPr>
      </w:pPr>
      <w:r w:rsidRPr="00DA3C6E">
        <w:t>Finally, because the clinical evidence does not report the clinical outcomes in a way suitable for an economic evaluation (as the combined effect of survival and quality of life; quality adjusted life years – QALYs), the transformation from trial based outcomes to QALYs is to be assessed as a transformation issue as follows:</w:t>
      </w:r>
    </w:p>
    <w:p w14:paraId="5D30C3DE" w14:textId="77777777" w:rsidR="0016037E" w:rsidRPr="00DA3C6E" w:rsidRDefault="00E83030" w:rsidP="0073359F">
      <w:pPr>
        <w:pStyle w:val="ListParagraph"/>
        <w:numPr>
          <w:ilvl w:val="0"/>
          <w:numId w:val="54"/>
        </w:numPr>
      </w:pPr>
      <w:r w:rsidRPr="00DA3C6E">
        <w:t xml:space="preserve">How </w:t>
      </w:r>
      <w:r w:rsidR="0016037E" w:rsidRPr="00DA3C6E">
        <w:t>can the</w:t>
      </w:r>
      <w:r w:rsidRPr="00DA3C6E">
        <w:t xml:space="preserve"> clinical evidence </w:t>
      </w:r>
      <w:r w:rsidR="0016037E" w:rsidRPr="00DA3C6E">
        <w:t xml:space="preserve">be transformed </w:t>
      </w:r>
      <w:r w:rsidRPr="00DA3C6E">
        <w:t>into a c</w:t>
      </w:r>
      <w:r w:rsidR="002A032F" w:rsidRPr="00DA3C6E">
        <w:t>ommon patient-relevant outcome?</w:t>
      </w:r>
      <w:r w:rsidR="00785413" w:rsidRPr="00DA3C6E">
        <w:t xml:space="preserve"> </w:t>
      </w:r>
    </w:p>
    <w:p w14:paraId="32D7030D" w14:textId="77777777" w:rsidR="006718F3" w:rsidRPr="00DA3C6E" w:rsidRDefault="0016037E" w:rsidP="0073359F">
      <w:pPr>
        <w:pStyle w:val="ListParagraph"/>
        <w:numPr>
          <w:ilvl w:val="0"/>
          <w:numId w:val="54"/>
        </w:numPr>
      </w:pPr>
      <w:r w:rsidRPr="00DA3C6E">
        <w:t>What a</w:t>
      </w:r>
      <w:r w:rsidR="006718F3" w:rsidRPr="00DA3C6E">
        <w:t xml:space="preserve">re the sources that provide </w:t>
      </w:r>
      <w:r w:rsidR="005F2AEA" w:rsidRPr="00DA3C6E">
        <w:t>QoL</w:t>
      </w:r>
      <w:r w:rsidRPr="00DA3C6E">
        <w:t xml:space="preserve"> weights (</w:t>
      </w:r>
      <w:r w:rsidR="006718F3" w:rsidRPr="00DA3C6E">
        <w:t>utility values</w:t>
      </w:r>
      <w:r w:rsidRPr="00DA3C6E">
        <w:t>)</w:t>
      </w:r>
      <w:r w:rsidR="006718F3" w:rsidRPr="00DA3C6E">
        <w:t xml:space="preserve"> to derive </w:t>
      </w:r>
      <w:r w:rsidR="008E136F" w:rsidRPr="00DA3C6E">
        <w:t>QoL</w:t>
      </w:r>
      <w:r w:rsidR="006718F3" w:rsidRPr="00DA3C6E">
        <w:t xml:space="preserve"> </w:t>
      </w:r>
      <w:r w:rsidRPr="00DA3C6E">
        <w:t xml:space="preserve">for </w:t>
      </w:r>
      <w:r w:rsidR="006718F3" w:rsidRPr="00DA3C6E">
        <w:t>patients with MMN applicable to the Australian context?</w:t>
      </w:r>
    </w:p>
    <w:p w14:paraId="7D9CD6AC" w14:textId="77777777" w:rsidR="00CC78C2" w:rsidRPr="00DA3C6E" w:rsidRDefault="00CC78C2" w:rsidP="0073359F">
      <w:pPr>
        <w:pStyle w:val="Heading2"/>
        <w:numPr>
          <w:ilvl w:val="2"/>
          <w:numId w:val="50"/>
        </w:numPr>
        <w:jc w:val="left"/>
      </w:pPr>
      <w:bookmarkStart w:id="224" w:name="_Toc426968184"/>
      <w:bookmarkStart w:id="225" w:name="_Toc37845750"/>
      <w:r w:rsidRPr="00DA3C6E">
        <w:t>Applicability translation issues</w:t>
      </w:r>
      <w:bookmarkEnd w:id="224"/>
      <w:bookmarkEnd w:id="225"/>
    </w:p>
    <w:p w14:paraId="04E4733B" w14:textId="77777777" w:rsidR="006718F3" w:rsidRPr="00DA3C6E" w:rsidRDefault="006718F3" w:rsidP="006718F3">
      <w:pPr>
        <w:pStyle w:val="Heading3"/>
      </w:pPr>
      <w:bookmarkStart w:id="226" w:name="_Toc37845751"/>
      <w:r w:rsidRPr="00DA3C6E">
        <w:t xml:space="preserve">C.2.1 Inclusion and exclusion criteria versus current </w:t>
      </w:r>
      <w:r w:rsidR="00593C4E" w:rsidRPr="00DA3C6E">
        <w:t xml:space="preserve">Version 3 of the </w:t>
      </w:r>
      <w:r w:rsidRPr="00DA3C6E">
        <w:t>criteria</w:t>
      </w:r>
      <w:bookmarkEnd w:id="226"/>
    </w:p>
    <w:p w14:paraId="4B2563E4" w14:textId="2ED84A09" w:rsidR="00FC1F55" w:rsidRPr="00DA3C6E" w:rsidRDefault="002A5287" w:rsidP="00E84D4A">
      <w:r w:rsidRPr="00DA3C6E">
        <w:t>A summary of the inclusion criteria reported in the trials and Australian setting is presented in</w:t>
      </w:r>
      <w:r w:rsidR="00734BA5" w:rsidRPr="00DA3C6E">
        <w:t xml:space="preserve"> </w:t>
      </w:r>
      <w:r w:rsidR="00CA244C" w:rsidRPr="00DA3C6E">
        <w:fldChar w:fldCharType="begin"/>
      </w:r>
      <w:r w:rsidR="00CA244C" w:rsidRPr="00DA3C6E">
        <w:instrText xml:space="preserve"> REF _Ref26540678 \h </w:instrText>
      </w:r>
      <w:r w:rsidR="007D7C78" w:rsidRPr="00DA3C6E">
        <w:instrText xml:space="preserve"> \* MERGEFORMAT </w:instrText>
      </w:r>
      <w:r w:rsidR="00CA244C" w:rsidRPr="00DA3C6E">
        <w:fldChar w:fldCharType="separate"/>
      </w:r>
      <w:r w:rsidR="00EA5DC1" w:rsidRPr="00BE7F1B">
        <w:t xml:space="preserve">Table </w:t>
      </w:r>
      <w:r w:rsidR="00EA5DC1">
        <w:t>20</w:t>
      </w:r>
      <w:r w:rsidR="00CA244C" w:rsidRPr="00DA3C6E">
        <w:fldChar w:fldCharType="end"/>
      </w:r>
      <w:r w:rsidRPr="00DA3C6E">
        <w:t xml:space="preserve">. </w:t>
      </w:r>
      <w:r w:rsidR="00067B6E" w:rsidRPr="00DA3C6E">
        <w:t xml:space="preserve">A </w:t>
      </w:r>
      <w:r w:rsidR="00EA19F3" w:rsidRPr="00DA3C6E">
        <w:t xml:space="preserve">consistent difference </w:t>
      </w:r>
      <w:r w:rsidR="00084314" w:rsidRPr="00DA3C6E">
        <w:t>across all five</w:t>
      </w:r>
      <w:r w:rsidR="00EA19F3" w:rsidRPr="00DA3C6E">
        <w:t xml:space="preserve"> RCTs and the Australian setting is the </w:t>
      </w:r>
      <w:r w:rsidR="000E5DF6" w:rsidRPr="00DA3C6E">
        <w:t xml:space="preserve">inclusion of patients with </w:t>
      </w:r>
      <w:r w:rsidR="00084314" w:rsidRPr="00DA3C6E">
        <w:t xml:space="preserve">CB </w:t>
      </w:r>
      <w:r w:rsidR="000E5DF6" w:rsidRPr="00DA3C6E">
        <w:t>within the clinical trials</w:t>
      </w:r>
      <w:r w:rsidR="00084314" w:rsidRPr="00DA3C6E">
        <w:t>. The Criteria</w:t>
      </w:r>
      <w:r w:rsidR="00A0670E" w:rsidRPr="00DA3C6E">
        <w:t xml:space="preserve"> V3</w:t>
      </w:r>
      <w:r w:rsidR="00084314" w:rsidRPr="00DA3C6E">
        <w:t>, which is aligned to the EFNS/PNS MMN guideline, state</w:t>
      </w:r>
      <w:r w:rsidR="00734BA5" w:rsidRPr="00DA3C6E">
        <w:t>s</w:t>
      </w:r>
      <w:r w:rsidR="00084314" w:rsidRPr="00DA3C6E">
        <w:t xml:space="preserve"> that </w:t>
      </w:r>
      <w:r w:rsidR="00EA19F3" w:rsidRPr="00DA3C6E">
        <w:t xml:space="preserve">CB is </w:t>
      </w:r>
      <w:r w:rsidR="00EF47D4" w:rsidRPr="00DA3C6E">
        <w:t xml:space="preserve">a </w:t>
      </w:r>
      <w:r w:rsidR="001841D2" w:rsidRPr="00DA3C6E">
        <w:t>characteristic that is</w:t>
      </w:r>
      <w:r w:rsidR="00EA19F3" w:rsidRPr="00DA3C6E">
        <w:t xml:space="preserve"> typically present</w:t>
      </w:r>
      <w:r w:rsidR="00EF47D4" w:rsidRPr="00DA3C6E">
        <w:t xml:space="preserve"> in patients with MMN</w:t>
      </w:r>
      <w:r w:rsidR="00EA19F3" w:rsidRPr="00DA3C6E">
        <w:t xml:space="preserve"> but recognises that </w:t>
      </w:r>
      <w:r w:rsidR="00EF47D4" w:rsidRPr="00DA3C6E">
        <w:t>it</w:t>
      </w:r>
      <w:r w:rsidR="001841D2" w:rsidRPr="00DA3C6E">
        <w:t xml:space="preserve"> may or may not present. </w:t>
      </w:r>
      <w:r w:rsidR="00A0670E" w:rsidRPr="00DA3C6E">
        <w:t xml:space="preserve">Hence, in the Australian setting, patients diagnosed with MMN may or may not match the inclusion criteria defined in the RCTs. </w:t>
      </w:r>
      <w:r w:rsidR="0040198A" w:rsidRPr="00DA3C6E">
        <w:t xml:space="preserve">Given there is some evidence suggesting that patients with and without CB show a similar response to Ig </w:t>
      </w:r>
      <w:r w:rsidR="00BA4FA5" w:rsidRPr="00DA3C6E">
        <w:t xml:space="preserve">treatment </w:t>
      </w:r>
      <w:r w:rsidR="00DB568A" w:rsidRPr="00DA3C6E">
        <w:fldChar w:fldCharType="begin">
          <w:fldData xml:space="preserve">PEVuZE5vdGU+PENpdGU+PEF1dGhvcj5EZWxtb250PC9BdXRob3I+PFllYXI+MjAwNjwvWWVhcj48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</w:fldData>
        </w:fldChar>
      </w:r>
      <w:r w:rsidR="007810D6">
        <w:instrText xml:space="preserve"> ADDIN EN.CITE </w:instrText>
      </w:r>
      <w:r w:rsidR="007810D6">
        <w:fldChar w:fldCharType="begin">
          <w:fldData xml:space="preserve">PEVuZE5vdGU+PENpdGU+PEF1dGhvcj5EZWxtb250PC9BdXRob3I+PFllYXI+MjAwNjwvWWVhcj48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2" w:tooltip="Lawson, 2014 #38" w:history="1">
        <w:r w:rsidR="00C04BCE">
          <w:rPr>
            <w:noProof/>
          </w:rPr>
          <w:t>2</w:t>
        </w:r>
      </w:hyperlink>
      <w:r w:rsidR="007810D6">
        <w:rPr>
          <w:noProof/>
        </w:rPr>
        <w:t xml:space="preserve">, </w:t>
      </w:r>
      <w:hyperlink w:anchor="_ENREF_55" w:tooltip="Delmont, 2006 #17" w:history="1">
        <w:r w:rsidR="00C04BCE">
          <w:rPr>
            <w:noProof/>
          </w:rPr>
          <w:t>55</w:t>
        </w:r>
      </w:hyperlink>
      <w:r w:rsidR="007810D6">
        <w:rPr>
          <w:noProof/>
        </w:rPr>
        <w:t>)</w:t>
      </w:r>
      <w:r w:rsidR="00DB568A" w:rsidRPr="00DA3C6E">
        <w:fldChar w:fldCharType="end"/>
      </w:r>
      <w:r w:rsidR="0040198A" w:rsidRPr="00DA3C6E">
        <w:t xml:space="preserve">, it is unlikely that this difference will result in a variation </w:t>
      </w:r>
      <w:r w:rsidR="00734BA5" w:rsidRPr="00DA3C6E">
        <w:t>of</w:t>
      </w:r>
      <w:r w:rsidR="0040198A" w:rsidRPr="00DA3C6E">
        <w:t xml:space="preserve"> the treatment effect</w:t>
      </w:r>
      <w:r w:rsidR="004932D2" w:rsidRPr="00DA3C6E">
        <w:t xml:space="preserve"> in the current Australian setting</w:t>
      </w:r>
      <w:r w:rsidR="0040198A" w:rsidRPr="00DA3C6E">
        <w:t>.</w:t>
      </w:r>
      <w:r w:rsidR="006747B4" w:rsidRPr="00DA3C6E">
        <w:t xml:space="preserve"> </w:t>
      </w:r>
    </w:p>
    <w:p w14:paraId="74760A46" w14:textId="77777777" w:rsidR="000E5DF6" w:rsidRPr="00DA3C6E" w:rsidRDefault="00FC1F55" w:rsidP="00E84D4A">
      <w:r w:rsidRPr="00DA3C6E">
        <w:t xml:space="preserve">Furthermore, it was </w:t>
      </w:r>
      <w:r w:rsidR="00BA4FA5" w:rsidRPr="00DA3C6E">
        <w:t xml:space="preserve">also </w:t>
      </w:r>
      <w:r w:rsidRPr="00DA3C6E">
        <w:t xml:space="preserve">found that the RCTs did not take into account the baseline disability of patients </w:t>
      </w:r>
      <w:r w:rsidR="004932D2" w:rsidRPr="00DA3C6E">
        <w:t>as an eligibility criteria for Ig</w:t>
      </w:r>
      <w:r w:rsidRPr="00DA3C6E">
        <w:t xml:space="preserve"> treatment initiation. From the evidence provided, it is unknown whether the patients treated in the trial setting </w:t>
      </w:r>
      <w:r w:rsidR="00762603" w:rsidRPr="00DA3C6E">
        <w:t>would have</w:t>
      </w:r>
      <w:r w:rsidRPr="00DA3C6E">
        <w:t xml:space="preserve"> the level of disability required in The Criteria V3. In Australia, patients</w:t>
      </w:r>
      <w:r w:rsidR="004932D2" w:rsidRPr="00DA3C6E">
        <w:t xml:space="preserve"> </w:t>
      </w:r>
      <w:r w:rsidRPr="00DA3C6E">
        <w:t xml:space="preserve">need to present with an ONLS disability score of at least two points to qualify for Ig treatment. </w:t>
      </w:r>
    </w:p>
    <w:p w14:paraId="2E0D89BE" w14:textId="2639A200" w:rsidR="00532427" w:rsidRPr="00DA3C6E" w:rsidRDefault="004932D2" w:rsidP="00E84D4A">
      <w:pPr>
        <w:sectPr w:rsidR="00532427" w:rsidRPr="00DA3C6E" w:rsidSect="00734BA5">
          <w:footerReference w:type="even" r:id="rId33"/>
          <w:pgSz w:w="11906" w:h="16838"/>
          <w:pgMar w:top="1440" w:right="1440" w:bottom="1440" w:left="1440" w:header="720" w:footer="720" w:gutter="0"/>
          <w:paperSrc w:first="7" w:other="7"/>
          <w:cols w:space="720"/>
          <w:docGrid w:linePitch="299"/>
        </w:sectPr>
      </w:pPr>
      <w:r w:rsidRPr="00DA3C6E">
        <w:t xml:space="preserve">Finally, </w:t>
      </w:r>
      <w:r w:rsidR="006747B4" w:rsidRPr="00DA3C6E">
        <w:t>Azulay et al</w:t>
      </w:r>
      <w:r w:rsidR="001D315A" w:rsidRPr="00DA3C6E">
        <w:t>.</w:t>
      </w:r>
      <w:r w:rsidR="006747B4" w:rsidRPr="00DA3C6E">
        <w:t xml:space="preserve"> 1994</w:t>
      </w:r>
      <w:r w:rsidR="009F5EF2">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006747B4" w:rsidRPr="00DA3C6E">
        <w:t xml:space="preserve"> </w:t>
      </w:r>
      <w:r w:rsidRPr="00DA3C6E">
        <w:t>show</w:t>
      </w:r>
      <w:r w:rsidR="00734BA5" w:rsidRPr="00DA3C6E">
        <w:t>s</w:t>
      </w:r>
      <w:r w:rsidRPr="00DA3C6E">
        <w:t xml:space="preserve"> two other distinct characteristics</w:t>
      </w:r>
      <w:r w:rsidR="00BA4FA5" w:rsidRPr="00DA3C6E">
        <w:t xml:space="preserve"> relative to the Australian setting</w:t>
      </w:r>
      <w:r w:rsidRPr="00DA3C6E">
        <w:t xml:space="preserve">: (1) </w:t>
      </w:r>
      <w:r w:rsidR="006747B4" w:rsidRPr="00DA3C6E">
        <w:t xml:space="preserve">only patients with a high titre of anti-GM1 </w:t>
      </w:r>
      <w:r w:rsidR="000E5DF6" w:rsidRPr="00DA3C6E">
        <w:t xml:space="preserve">were included – this </w:t>
      </w:r>
      <w:r w:rsidR="006747B4" w:rsidRPr="00DA3C6E">
        <w:t xml:space="preserve">is currently considered confirmatory evidence </w:t>
      </w:r>
      <w:r w:rsidR="000E5DF6" w:rsidRPr="00DA3C6E">
        <w:t xml:space="preserve">under The Criteria </w:t>
      </w:r>
      <w:r w:rsidR="00FC1F55" w:rsidRPr="00DA3C6E">
        <w:t xml:space="preserve">V3 </w:t>
      </w:r>
      <w:r w:rsidR="006747B4" w:rsidRPr="00DA3C6E">
        <w:t>rather than being essential for the diagnosis</w:t>
      </w:r>
      <w:r w:rsidRPr="00DA3C6E">
        <w:t xml:space="preserve"> </w:t>
      </w:r>
      <w:r w:rsidR="000E5DF6" w:rsidRPr="00DA3C6E">
        <w:t xml:space="preserve">of MMN </w:t>
      </w:r>
      <w:r w:rsidRPr="00DA3C6E">
        <w:t xml:space="preserve">and; (2) </w:t>
      </w:r>
      <w:r w:rsidR="00F10CD3" w:rsidRPr="00DA3C6E">
        <w:t xml:space="preserve">recruited </w:t>
      </w:r>
      <w:r w:rsidR="00BA4FA5" w:rsidRPr="00DA3C6E">
        <w:t>two</w:t>
      </w:r>
      <w:r w:rsidR="00F10CD3" w:rsidRPr="00DA3C6E">
        <w:t xml:space="preserve"> patients (40%) who had sensory impairment which </w:t>
      </w:r>
      <w:r w:rsidR="000E5DF6" w:rsidRPr="00DA3C6E">
        <w:t xml:space="preserve">would </w:t>
      </w:r>
      <w:r w:rsidR="00F10CD3" w:rsidRPr="00DA3C6E">
        <w:t>now be considered an exclusion criteria</w:t>
      </w:r>
      <w:r w:rsidR="00626097" w:rsidRPr="00DA3C6E">
        <w:t xml:space="preserve"> for MMN</w:t>
      </w:r>
      <w:r w:rsidR="00D72362" w:rsidRPr="00DA3C6E">
        <w:t xml:space="preserve"> in Australia</w:t>
      </w:r>
      <w:r w:rsidR="00F10CD3" w:rsidRPr="00DA3C6E">
        <w:t xml:space="preserve">. </w:t>
      </w:r>
      <w:r w:rsidR="008679C8" w:rsidRPr="00DA3C6E">
        <w:t xml:space="preserve">Given the small patient population in this study, this proportion is large enough to </w:t>
      </w:r>
      <w:r w:rsidR="00B976DA" w:rsidRPr="00DA3C6E">
        <w:t xml:space="preserve">result in </w:t>
      </w:r>
      <w:r w:rsidR="009940A6" w:rsidRPr="00DA3C6E">
        <w:t xml:space="preserve">potential </w:t>
      </w:r>
      <w:r w:rsidR="00B976DA" w:rsidRPr="00DA3C6E">
        <w:t xml:space="preserve">differences in terms of treatment effect </w:t>
      </w:r>
      <w:r w:rsidR="004B3997" w:rsidRPr="00DA3C6E">
        <w:t xml:space="preserve">when compared to the Australian setting. In contrast, the difference found with the remaining four RCTs, </w:t>
      </w:r>
      <w:r w:rsidR="00291EC2" w:rsidRPr="00DA3C6E">
        <w:t xml:space="preserve">was </w:t>
      </w:r>
      <w:r w:rsidR="004B3997" w:rsidRPr="00DA3C6E">
        <w:t xml:space="preserve">considered minor hence unlikely to impact the treatment effect.  </w:t>
      </w:r>
    </w:p>
    <w:p w14:paraId="3E2DB56D" w14:textId="3A88C332" w:rsidR="00E84D4A" w:rsidRPr="00BE7F1B" w:rsidRDefault="00E84D4A" w:rsidP="00BE7F1B">
      <w:pPr>
        <w:pStyle w:val="Caption"/>
        <w:keepNext/>
        <w:keepLines/>
      </w:pPr>
      <w:bookmarkStart w:id="227" w:name="_Ref26540678"/>
      <w:bookmarkStart w:id="228" w:name="_Toc37845823"/>
      <w:r w:rsidRPr="00BE7F1B">
        <w:lastRenderedPageBreak/>
        <w:t xml:space="preserve">Table </w:t>
      </w:r>
      <w:r w:rsidR="00515153">
        <w:fldChar w:fldCharType="begin"/>
      </w:r>
      <w:r w:rsidR="00515153">
        <w:instrText xml:space="preserve"> SEQ Table \* ARABIC </w:instrText>
      </w:r>
      <w:r w:rsidR="00515153">
        <w:fldChar w:fldCharType="separate"/>
      </w:r>
      <w:r w:rsidR="00EA5DC1">
        <w:rPr>
          <w:noProof/>
        </w:rPr>
        <w:t>20</w:t>
      </w:r>
      <w:r w:rsidR="00515153">
        <w:rPr>
          <w:noProof/>
        </w:rPr>
        <w:fldChar w:fldCharType="end"/>
      </w:r>
      <w:bookmarkEnd w:id="227"/>
      <w:r w:rsidRPr="00BE7F1B">
        <w:t>. Differences between the clinical evidence from RCTs and the Australian setting</w:t>
      </w:r>
      <w:bookmarkEnd w:id="228"/>
    </w:p>
    <w:tbl>
      <w:tblPr>
        <w:tblStyle w:val="TableGrid"/>
        <w:tblW w:w="13948" w:type="dxa"/>
        <w:tblLook w:val="04A0" w:firstRow="1" w:lastRow="0" w:firstColumn="1" w:lastColumn="0" w:noHBand="0" w:noVBand="1"/>
        <w:tblCaption w:val="Table 20. Differences between the clinical evidence from RCTs and the Australian setting"/>
      </w:tblPr>
      <w:tblGrid>
        <w:gridCol w:w="1271"/>
        <w:gridCol w:w="4394"/>
        <w:gridCol w:w="3402"/>
        <w:gridCol w:w="2835"/>
        <w:gridCol w:w="2046"/>
      </w:tblGrid>
      <w:tr w:rsidR="00C67FE5" w:rsidRPr="00DA3C6E" w14:paraId="1BB82FDD" w14:textId="77777777" w:rsidTr="00D56F4F">
        <w:trPr>
          <w:trHeight w:val="188"/>
          <w:tblHeader/>
        </w:trPr>
        <w:tc>
          <w:tcPr>
            <w:tcW w:w="1271" w:type="dxa"/>
          </w:tcPr>
          <w:p w14:paraId="7A95E917" w14:textId="77777777" w:rsidR="00E84D4A" w:rsidRPr="00DA3C6E" w:rsidRDefault="00E84D4A" w:rsidP="00A25219">
            <w:pPr>
              <w:keepNext/>
              <w:keepLines/>
              <w:spacing w:after="0" w:line="240" w:lineRule="auto"/>
              <w:ind w:left="0"/>
              <w:rPr>
                <w:rStyle w:val="SmallBold"/>
                <w:rFonts w:ascii="Arial Narrow" w:hAnsi="Arial Narrow"/>
                <w:szCs w:val="20"/>
              </w:rPr>
            </w:pPr>
          </w:p>
        </w:tc>
        <w:tc>
          <w:tcPr>
            <w:tcW w:w="4394" w:type="dxa"/>
          </w:tcPr>
          <w:p w14:paraId="641C1708" w14:textId="77777777" w:rsidR="00E84D4A" w:rsidRPr="00DA3C6E" w:rsidRDefault="00E84D4A" w:rsidP="00A25219">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Characteristic</w:t>
            </w:r>
          </w:p>
        </w:tc>
        <w:tc>
          <w:tcPr>
            <w:tcW w:w="3402" w:type="dxa"/>
          </w:tcPr>
          <w:p w14:paraId="24AC7B87" w14:textId="77777777" w:rsidR="00E84D4A" w:rsidRPr="00DA3C6E" w:rsidRDefault="00E84D4A" w:rsidP="008F2603">
            <w:pPr>
              <w:keepNext/>
              <w:keepLines/>
              <w:spacing w:after="0" w:line="240" w:lineRule="auto"/>
              <w:ind w:left="0"/>
              <w:rPr>
                <w:rStyle w:val="SmallBold"/>
                <w:rFonts w:ascii="Arial Narrow" w:hAnsi="Arial Narrow"/>
                <w:szCs w:val="20"/>
              </w:rPr>
            </w:pPr>
          </w:p>
        </w:tc>
        <w:tc>
          <w:tcPr>
            <w:tcW w:w="2835" w:type="dxa"/>
          </w:tcPr>
          <w:p w14:paraId="080BB9EC" w14:textId="77777777" w:rsidR="00E84D4A" w:rsidRPr="00DA3C6E" w:rsidRDefault="00E84D4A" w:rsidP="00F978DE">
            <w:pPr>
              <w:keepNext/>
              <w:keepLines/>
              <w:spacing w:after="0" w:line="240" w:lineRule="auto"/>
              <w:ind w:left="0"/>
              <w:rPr>
                <w:rStyle w:val="SmallBold"/>
                <w:rFonts w:ascii="Arial Narrow" w:hAnsi="Arial Narrow"/>
                <w:szCs w:val="20"/>
              </w:rPr>
            </w:pPr>
          </w:p>
        </w:tc>
        <w:tc>
          <w:tcPr>
            <w:tcW w:w="2046" w:type="dxa"/>
          </w:tcPr>
          <w:p w14:paraId="44E837F9" w14:textId="77777777" w:rsidR="00E84D4A" w:rsidRPr="00DA3C6E" w:rsidRDefault="00E84D4A" w:rsidP="00EA2686">
            <w:pPr>
              <w:keepNext/>
              <w:keepLines/>
              <w:spacing w:after="0" w:line="240" w:lineRule="auto"/>
              <w:rPr>
                <w:rStyle w:val="SmallBold"/>
                <w:rFonts w:ascii="Arial Narrow" w:hAnsi="Arial Narrow"/>
                <w:szCs w:val="20"/>
              </w:rPr>
            </w:pPr>
          </w:p>
        </w:tc>
      </w:tr>
      <w:tr w:rsidR="00C67FE5" w:rsidRPr="00DA3C6E" w14:paraId="3A064286" w14:textId="77777777" w:rsidTr="00D56F4F">
        <w:trPr>
          <w:trHeight w:val="187"/>
          <w:tblHeader/>
        </w:trPr>
        <w:tc>
          <w:tcPr>
            <w:tcW w:w="1271" w:type="dxa"/>
          </w:tcPr>
          <w:p w14:paraId="0410F40D" w14:textId="77777777" w:rsidR="00E84D4A" w:rsidRPr="00DA3C6E" w:rsidRDefault="00E84D4A" w:rsidP="00A25219">
            <w:pPr>
              <w:keepNext/>
              <w:keepLines/>
              <w:spacing w:after="0" w:line="240" w:lineRule="auto"/>
              <w:rPr>
                <w:rStyle w:val="SmallBold"/>
                <w:rFonts w:ascii="Arial Narrow" w:hAnsi="Arial Narrow"/>
                <w:szCs w:val="20"/>
              </w:rPr>
            </w:pPr>
          </w:p>
        </w:tc>
        <w:tc>
          <w:tcPr>
            <w:tcW w:w="4394" w:type="dxa"/>
          </w:tcPr>
          <w:p w14:paraId="196F4422" w14:textId="77777777" w:rsidR="00E84D4A" w:rsidRPr="00DA3C6E" w:rsidRDefault="00E84D4A" w:rsidP="00A25219">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Inclusion/Diagnostic criteria</w:t>
            </w:r>
          </w:p>
        </w:tc>
        <w:tc>
          <w:tcPr>
            <w:tcW w:w="3402" w:type="dxa"/>
          </w:tcPr>
          <w:p w14:paraId="5C9582AC" w14:textId="77777777" w:rsidR="00E84D4A" w:rsidRPr="00DA3C6E" w:rsidRDefault="00E84D4A" w:rsidP="00A25219">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Exclusion criteria</w:t>
            </w:r>
          </w:p>
        </w:tc>
        <w:tc>
          <w:tcPr>
            <w:tcW w:w="2835" w:type="dxa"/>
          </w:tcPr>
          <w:p w14:paraId="6EC2F4C5" w14:textId="77777777" w:rsidR="00E84D4A" w:rsidRPr="00DA3C6E" w:rsidRDefault="00E84D4A" w:rsidP="008F2603">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Identified difference</w:t>
            </w:r>
          </w:p>
        </w:tc>
        <w:tc>
          <w:tcPr>
            <w:tcW w:w="2046" w:type="dxa"/>
          </w:tcPr>
          <w:p w14:paraId="4835262C" w14:textId="77777777" w:rsidR="00E84D4A" w:rsidRPr="00DA3C6E" w:rsidRDefault="00E84D4A" w:rsidP="00F978DE">
            <w:pPr>
              <w:keepNext/>
              <w:keepLines/>
              <w:spacing w:after="0" w:line="240" w:lineRule="auto"/>
              <w:rPr>
                <w:rStyle w:val="SmallBold"/>
                <w:rFonts w:ascii="Arial Narrow" w:hAnsi="Arial Narrow"/>
                <w:szCs w:val="20"/>
              </w:rPr>
            </w:pPr>
            <w:r w:rsidRPr="00DA3C6E">
              <w:rPr>
                <w:rStyle w:val="SmallBold"/>
                <w:rFonts w:ascii="Arial Narrow" w:hAnsi="Arial Narrow"/>
                <w:szCs w:val="20"/>
              </w:rPr>
              <w:t>Outcome</w:t>
            </w:r>
          </w:p>
        </w:tc>
      </w:tr>
      <w:tr w:rsidR="00E84D4A" w:rsidRPr="00DA3C6E" w14:paraId="4FCD9A05" w14:textId="77777777" w:rsidTr="00065D1D">
        <w:trPr>
          <w:trHeight w:val="187"/>
        </w:trPr>
        <w:tc>
          <w:tcPr>
            <w:tcW w:w="11902" w:type="dxa"/>
            <w:gridSpan w:val="4"/>
          </w:tcPr>
          <w:p w14:paraId="1D32CEAC" w14:textId="77777777" w:rsidR="00E84D4A" w:rsidRPr="00DA3C6E" w:rsidRDefault="00E84D4A" w:rsidP="00A25219">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Australian setting</w:t>
            </w:r>
          </w:p>
        </w:tc>
        <w:tc>
          <w:tcPr>
            <w:tcW w:w="2046" w:type="dxa"/>
          </w:tcPr>
          <w:p w14:paraId="412F549B" w14:textId="77777777" w:rsidR="00E84D4A" w:rsidRPr="00DA3C6E" w:rsidRDefault="00E84D4A" w:rsidP="00A25219">
            <w:pPr>
              <w:keepNext/>
              <w:keepLines/>
              <w:spacing w:after="0" w:line="240" w:lineRule="auto"/>
              <w:rPr>
                <w:rStyle w:val="SmallBold"/>
                <w:rFonts w:ascii="Arial Narrow" w:hAnsi="Arial Narrow"/>
                <w:szCs w:val="20"/>
              </w:rPr>
            </w:pPr>
          </w:p>
        </w:tc>
      </w:tr>
      <w:tr w:rsidR="00C67FE5" w:rsidRPr="00DA3C6E" w14:paraId="13F675A7" w14:textId="77777777" w:rsidTr="00065D1D">
        <w:trPr>
          <w:trHeight w:val="1217"/>
        </w:trPr>
        <w:tc>
          <w:tcPr>
            <w:tcW w:w="1271" w:type="dxa"/>
          </w:tcPr>
          <w:p w14:paraId="1D9A983F"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NBA setting</w:t>
            </w:r>
          </w:p>
        </w:tc>
        <w:tc>
          <w:tcPr>
            <w:tcW w:w="4394" w:type="dxa"/>
          </w:tcPr>
          <w:p w14:paraId="4ECF67FA"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Slowly progressive, asymmetric, predominately distal limb weakness without sensory impairment. Weakness often begins in the arms with a combination of weakness, wasting, cramps and fasciculations. The pattern of weakness follows the distribution of individual nerves (main difference with MND). Patients may or may not show (CB) and be positive for IgM anti-GM-1 antibodies (this is not essential for the diagnosis). </w:t>
            </w:r>
          </w:p>
          <w:p w14:paraId="05D4B96A" w14:textId="77777777" w:rsidR="00E84D4A" w:rsidRPr="00DA3C6E" w:rsidRDefault="00E84D4A" w:rsidP="001D315A">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Patients are eligible for </w:t>
            </w:r>
            <w:r w:rsidR="001D315A" w:rsidRPr="00DA3C6E">
              <w:rPr>
                <w:rStyle w:val="SmallBold"/>
                <w:rFonts w:ascii="Arial Narrow" w:hAnsi="Arial Narrow"/>
                <w:b w:val="0"/>
                <w:szCs w:val="20"/>
              </w:rPr>
              <w:t xml:space="preserve">intravenous Ig </w:t>
            </w:r>
            <w:r w:rsidRPr="00DA3C6E">
              <w:rPr>
                <w:rStyle w:val="SmallBold"/>
                <w:rFonts w:ascii="Arial Narrow" w:hAnsi="Arial Narrow"/>
                <w:b w:val="0"/>
                <w:szCs w:val="20"/>
              </w:rPr>
              <w:t xml:space="preserve">if they have a disability score of at least two points using the ONLS.  </w:t>
            </w:r>
          </w:p>
        </w:tc>
        <w:tc>
          <w:tcPr>
            <w:tcW w:w="3402" w:type="dxa"/>
          </w:tcPr>
          <w:p w14:paraId="4CD9D7F2" w14:textId="77777777" w:rsidR="00E84D4A" w:rsidRPr="00DA3C6E" w:rsidRDefault="00E84D4A" w:rsidP="0073359F">
            <w:pPr>
              <w:pStyle w:val="ListParagraph"/>
              <w:keepNext/>
              <w:keepLines/>
              <w:numPr>
                <w:ilvl w:val="0"/>
                <w:numId w:val="51"/>
              </w:numPr>
              <w:spacing w:after="0" w:line="240" w:lineRule="auto"/>
              <w:ind w:left="148" w:hanging="141"/>
              <w:rPr>
                <w:rStyle w:val="SmallBold"/>
                <w:rFonts w:ascii="Arial Narrow" w:hAnsi="Arial Narrow"/>
                <w:b w:val="0"/>
                <w:szCs w:val="20"/>
              </w:rPr>
            </w:pPr>
            <w:r w:rsidRPr="00DA3C6E">
              <w:rPr>
                <w:rStyle w:val="SmallBold"/>
                <w:rFonts w:ascii="Arial Narrow" w:hAnsi="Arial Narrow"/>
                <w:b w:val="0"/>
                <w:szCs w:val="20"/>
              </w:rPr>
              <w:t>Presence of upper motor neuron signs</w:t>
            </w:r>
            <w:r w:rsidR="001D315A" w:rsidRPr="00DA3C6E">
              <w:rPr>
                <w:rStyle w:val="SmallBold"/>
                <w:rFonts w:ascii="Arial Narrow" w:hAnsi="Arial Narrow"/>
                <w:b w:val="0"/>
                <w:szCs w:val="20"/>
              </w:rPr>
              <w:t>;</w:t>
            </w:r>
          </w:p>
          <w:p w14:paraId="5C3E40D8" w14:textId="77777777" w:rsidR="00E84D4A" w:rsidRPr="00DA3C6E" w:rsidRDefault="00E84D4A" w:rsidP="0073359F">
            <w:pPr>
              <w:pStyle w:val="ListParagraph"/>
              <w:keepNext/>
              <w:keepLines/>
              <w:numPr>
                <w:ilvl w:val="0"/>
                <w:numId w:val="51"/>
              </w:numPr>
              <w:spacing w:after="0" w:line="240" w:lineRule="auto"/>
              <w:ind w:left="148" w:hanging="141"/>
              <w:rPr>
                <w:rStyle w:val="SmallBold"/>
                <w:rFonts w:ascii="Arial Narrow" w:hAnsi="Arial Narrow"/>
                <w:b w:val="0"/>
                <w:szCs w:val="20"/>
              </w:rPr>
            </w:pPr>
            <w:r w:rsidRPr="00DA3C6E">
              <w:rPr>
                <w:rStyle w:val="SmallBold"/>
                <w:rFonts w:ascii="Arial Narrow" w:hAnsi="Arial Narrow"/>
                <w:b w:val="0"/>
                <w:szCs w:val="20"/>
              </w:rPr>
              <w:t>Marked bulbar involvement</w:t>
            </w:r>
            <w:r w:rsidR="001D315A" w:rsidRPr="00DA3C6E">
              <w:rPr>
                <w:rStyle w:val="SmallBold"/>
                <w:rFonts w:ascii="Arial Narrow" w:hAnsi="Arial Narrow"/>
                <w:b w:val="0"/>
                <w:szCs w:val="20"/>
              </w:rPr>
              <w:t>;</w:t>
            </w:r>
          </w:p>
          <w:p w14:paraId="5B4A87D1" w14:textId="77777777" w:rsidR="00E84D4A" w:rsidRPr="00DA3C6E" w:rsidRDefault="00E84D4A" w:rsidP="0073359F">
            <w:pPr>
              <w:pStyle w:val="ListParagraph"/>
              <w:keepNext/>
              <w:keepLines/>
              <w:numPr>
                <w:ilvl w:val="0"/>
                <w:numId w:val="51"/>
              </w:numPr>
              <w:spacing w:after="0" w:line="240" w:lineRule="auto"/>
              <w:ind w:left="148" w:hanging="141"/>
              <w:rPr>
                <w:rStyle w:val="SmallBold"/>
                <w:rFonts w:ascii="Arial Narrow" w:hAnsi="Arial Narrow"/>
                <w:b w:val="0"/>
                <w:szCs w:val="20"/>
              </w:rPr>
            </w:pPr>
            <w:r w:rsidRPr="00DA3C6E">
              <w:rPr>
                <w:rStyle w:val="SmallBold"/>
                <w:rFonts w:ascii="Arial Narrow" w:hAnsi="Arial Narrow"/>
                <w:b w:val="0"/>
                <w:szCs w:val="20"/>
              </w:rPr>
              <w:t>Significant sensory impairment without an alternative explanation</w:t>
            </w:r>
            <w:r w:rsidR="001D315A" w:rsidRPr="00DA3C6E">
              <w:rPr>
                <w:rStyle w:val="SmallBold"/>
                <w:rFonts w:ascii="Arial Narrow" w:hAnsi="Arial Narrow"/>
                <w:b w:val="0"/>
                <w:szCs w:val="20"/>
              </w:rPr>
              <w:t>;</w:t>
            </w:r>
          </w:p>
          <w:p w14:paraId="5549459A" w14:textId="77777777" w:rsidR="00E84D4A" w:rsidRPr="00DA3C6E" w:rsidRDefault="00E84D4A" w:rsidP="0073359F">
            <w:pPr>
              <w:pStyle w:val="ListParagraph"/>
              <w:keepNext/>
              <w:keepLines/>
              <w:numPr>
                <w:ilvl w:val="0"/>
                <w:numId w:val="51"/>
              </w:numPr>
              <w:spacing w:after="0" w:line="240" w:lineRule="auto"/>
              <w:ind w:left="148" w:hanging="141"/>
              <w:rPr>
                <w:rStyle w:val="SmallBold"/>
                <w:rFonts w:ascii="Arial Narrow" w:hAnsi="Arial Narrow"/>
                <w:b w:val="0"/>
                <w:szCs w:val="20"/>
              </w:rPr>
            </w:pPr>
            <w:r w:rsidRPr="00DA3C6E">
              <w:rPr>
                <w:rStyle w:val="SmallBold"/>
                <w:rFonts w:ascii="Arial Narrow" w:hAnsi="Arial Narrow"/>
                <w:b w:val="0"/>
                <w:szCs w:val="20"/>
              </w:rPr>
              <w:t>Diffuse symmetric weakness during the initial weeks</w:t>
            </w:r>
            <w:r w:rsidR="001D315A" w:rsidRPr="00DA3C6E">
              <w:rPr>
                <w:rStyle w:val="SmallBold"/>
                <w:rFonts w:ascii="Arial Narrow" w:hAnsi="Arial Narrow"/>
                <w:b w:val="0"/>
                <w:szCs w:val="20"/>
              </w:rPr>
              <w:t>.</w:t>
            </w:r>
          </w:p>
        </w:tc>
        <w:tc>
          <w:tcPr>
            <w:tcW w:w="2835" w:type="dxa"/>
          </w:tcPr>
          <w:p w14:paraId="76FFF544" w14:textId="77777777" w:rsidR="00E84D4A" w:rsidRPr="00DA3C6E" w:rsidRDefault="00E84D4A">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NA</w:t>
            </w:r>
          </w:p>
        </w:tc>
        <w:tc>
          <w:tcPr>
            <w:tcW w:w="2046" w:type="dxa"/>
          </w:tcPr>
          <w:p w14:paraId="5471271D" w14:textId="77777777" w:rsidR="00E84D4A" w:rsidRPr="00DA3C6E" w:rsidRDefault="00E84D4A">
            <w:pPr>
              <w:keepNext/>
              <w:keepLines/>
              <w:spacing w:after="0" w:line="240" w:lineRule="auto"/>
              <w:rPr>
                <w:rStyle w:val="SmallBold"/>
                <w:rFonts w:ascii="Arial Narrow" w:hAnsi="Arial Narrow"/>
                <w:b w:val="0"/>
                <w:szCs w:val="20"/>
              </w:rPr>
            </w:pPr>
            <w:r w:rsidRPr="00DA3C6E">
              <w:rPr>
                <w:rStyle w:val="SmallBold"/>
                <w:rFonts w:ascii="Arial Narrow" w:hAnsi="Arial Narrow"/>
                <w:b w:val="0"/>
                <w:szCs w:val="20"/>
              </w:rPr>
              <w:t>NA</w:t>
            </w:r>
          </w:p>
        </w:tc>
      </w:tr>
      <w:tr w:rsidR="00E84D4A" w:rsidRPr="00DA3C6E" w14:paraId="55A5903F" w14:textId="77777777" w:rsidTr="00065D1D">
        <w:trPr>
          <w:trHeight w:val="174"/>
        </w:trPr>
        <w:tc>
          <w:tcPr>
            <w:tcW w:w="11902" w:type="dxa"/>
            <w:gridSpan w:val="4"/>
          </w:tcPr>
          <w:p w14:paraId="710C53A5"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szCs w:val="20"/>
              </w:rPr>
              <w:t>RCTs Trial setting</w:t>
            </w:r>
          </w:p>
        </w:tc>
        <w:tc>
          <w:tcPr>
            <w:tcW w:w="2046" w:type="dxa"/>
          </w:tcPr>
          <w:p w14:paraId="00F1C1D4" w14:textId="77777777" w:rsidR="00E84D4A" w:rsidRPr="00DA3C6E" w:rsidRDefault="00E84D4A" w:rsidP="00A25219">
            <w:pPr>
              <w:keepNext/>
              <w:keepLines/>
              <w:spacing w:after="0" w:line="240" w:lineRule="auto"/>
              <w:rPr>
                <w:rStyle w:val="SmallBold"/>
                <w:rFonts w:ascii="Arial Narrow" w:hAnsi="Arial Narrow"/>
                <w:szCs w:val="20"/>
              </w:rPr>
            </w:pPr>
          </w:p>
        </w:tc>
      </w:tr>
      <w:tr w:rsidR="00C67FE5" w:rsidRPr="00DA3C6E" w14:paraId="735F2E32" w14:textId="77777777" w:rsidTr="00065D1D">
        <w:trPr>
          <w:trHeight w:val="1217"/>
        </w:trPr>
        <w:tc>
          <w:tcPr>
            <w:tcW w:w="1271" w:type="dxa"/>
          </w:tcPr>
          <w:p w14:paraId="4B9B9D80" w14:textId="3B029514" w:rsidR="00E84D4A" w:rsidRPr="00DA3C6E" w:rsidRDefault="00E84D4A" w:rsidP="00C04BCE">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Azulay et al</w:t>
            </w:r>
            <w:r w:rsidR="00291EC2" w:rsidRPr="00DA3C6E">
              <w:rPr>
                <w:rStyle w:val="SmallBold"/>
                <w:rFonts w:ascii="Arial Narrow" w:hAnsi="Arial Narrow"/>
                <w:b w:val="0"/>
                <w:szCs w:val="20"/>
              </w:rPr>
              <w:t>.</w:t>
            </w:r>
            <w:r w:rsidRPr="00DA3C6E">
              <w:rPr>
                <w:rStyle w:val="SmallBold"/>
                <w:rFonts w:ascii="Arial Narrow" w:hAnsi="Arial Narrow"/>
                <w:b w:val="0"/>
                <w:szCs w:val="20"/>
              </w:rPr>
              <w:t xml:space="preserve"> 1994</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4" w:tooltip="Azulay, 1994 #4" w:history="1">
              <w:r w:rsidR="00C04BCE" w:rsidRPr="00DA3C6E">
                <w:rPr>
                  <w:rStyle w:val="SmallBold"/>
                  <w:rFonts w:ascii="Arial Narrow" w:hAnsi="Arial Narrow"/>
                  <w:b w:val="0"/>
                  <w:noProof/>
                  <w:szCs w:val="20"/>
                </w:rPr>
                <w:t>24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4394" w:type="dxa"/>
          </w:tcPr>
          <w:p w14:paraId="2BF609EC"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Patients with motor neuron syndromes associated with high titre of anti-GM1 antibodies and CB. </w:t>
            </w:r>
          </w:p>
        </w:tc>
        <w:tc>
          <w:tcPr>
            <w:tcW w:w="3402" w:type="dxa"/>
          </w:tcPr>
          <w:p w14:paraId="18E77515"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Patients with ALS.</w:t>
            </w:r>
          </w:p>
        </w:tc>
        <w:tc>
          <w:tcPr>
            <w:tcW w:w="2835" w:type="dxa"/>
          </w:tcPr>
          <w:p w14:paraId="02837203" w14:textId="77777777" w:rsidR="00E84D4A" w:rsidRPr="00DA3C6E" w:rsidRDefault="00E84D4A" w:rsidP="00FD4951">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2/5 (40%) had sensory impairment which could be a current exclusion criteria. Australian patients may or may not have CB and high titre of anti-GM1. </w:t>
            </w:r>
          </w:p>
        </w:tc>
        <w:tc>
          <w:tcPr>
            <w:tcW w:w="2046" w:type="dxa"/>
          </w:tcPr>
          <w:p w14:paraId="07B9863B" w14:textId="77777777" w:rsidR="00E84D4A" w:rsidRPr="00DA3C6E" w:rsidRDefault="00E84D4A" w:rsidP="00EA2686">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Differences could alter the interpretation of the treatment effect.</w:t>
            </w:r>
          </w:p>
        </w:tc>
      </w:tr>
      <w:tr w:rsidR="00C67FE5" w:rsidRPr="00DA3C6E" w14:paraId="5F2D62CD" w14:textId="77777777" w:rsidTr="00065D1D">
        <w:trPr>
          <w:trHeight w:val="487"/>
        </w:trPr>
        <w:tc>
          <w:tcPr>
            <w:tcW w:w="1271" w:type="dxa"/>
          </w:tcPr>
          <w:p w14:paraId="257C1DCE" w14:textId="77C9A565" w:rsidR="00E84D4A" w:rsidRPr="00DA3C6E" w:rsidRDefault="00E84D4A" w:rsidP="00C04BCE">
            <w:pPr>
              <w:keepNext/>
              <w:keepLines/>
              <w:spacing w:after="0" w:line="240" w:lineRule="auto"/>
              <w:ind w:left="0"/>
              <w:rPr>
                <w:rStyle w:val="SmallBold"/>
                <w:rFonts w:ascii="Arial Narrow" w:hAnsi="Arial Narrow"/>
                <w:szCs w:val="20"/>
              </w:rPr>
            </w:pPr>
            <w:r w:rsidRPr="00DA3C6E">
              <w:rPr>
                <w:rStyle w:val="SmallBold"/>
                <w:rFonts w:ascii="Arial Narrow" w:hAnsi="Arial Narrow"/>
                <w:b w:val="0"/>
                <w:szCs w:val="20"/>
                <w:lang w:val="es-CL"/>
              </w:rPr>
              <w:t xml:space="preserve">Van den Berg et al.  </w:t>
            </w:r>
            <w:r w:rsidRPr="00DA3C6E">
              <w:rPr>
                <w:rStyle w:val="SmallBold"/>
                <w:rFonts w:ascii="Arial Narrow" w:hAnsi="Arial Narrow"/>
                <w:b w:val="0"/>
                <w:szCs w:val="20"/>
              </w:rPr>
              <w:t>1995</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5" w:tooltip="Van den Berg, 1995 #77" w:history="1">
              <w:r w:rsidR="00C04BCE" w:rsidRPr="00DA3C6E">
                <w:rPr>
                  <w:rStyle w:val="SmallBold"/>
                  <w:rFonts w:ascii="Arial Narrow" w:hAnsi="Arial Narrow"/>
                  <w:b w:val="0"/>
                  <w:noProof/>
                  <w:szCs w:val="20"/>
                </w:rPr>
                <w:t>25</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4394" w:type="dxa"/>
          </w:tcPr>
          <w:p w14:paraId="259036E3"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Patients with progressive asymmetric weakness and atrophy without sensory involvement CB.</w:t>
            </w:r>
          </w:p>
        </w:tc>
        <w:tc>
          <w:tcPr>
            <w:tcW w:w="3402" w:type="dxa"/>
          </w:tcPr>
          <w:p w14:paraId="28966E25" w14:textId="77777777" w:rsidR="00E84D4A" w:rsidRPr="00DA3C6E" w:rsidRDefault="00E84D4A" w:rsidP="00A25219">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Not reported.</w:t>
            </w:r>
          </w:p>
        </w:tc>
        <w:tc>
          <w:tcPr>
            <w:tcW w:w="2835" w:type="dxa"/>
          </w:tcPr>
          <w:p w14:paraId="2E0C4674" w14:textId="77777777" w:rsidR="00E84D4A" w:rsidRPr="00DA3C6E" w:rsidRDefault="00E84D4A" w:rsidP="008F2603">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Australian patients may or may not have CB. </w:t>
            </w:r>
          </w:p>
        </w:tc>
        <w:tc>
          <w:tcPr>
            <w:tcW w:w="2046" w:type="dxa"/>
          </w:tcPr>
          <w:p w14:paraId="27F78EC8" w14:textId="77777777" w:rsidR="00E84D4A" w:rsidRPr="00DA3C6E" w:rsidRDefault="00E84D4A" w:rsidP="00F978DE">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Differences are unlikely to impact the Tx effect. </w:t>
            </w:r>
          </w:p>
        </w:tc>
      </w:tr>
      <w:tr w:rsidR="00C67FE5" w:rsidRPr="00DA3C6E" w14:paraId="5347B11C" w14:textId="77777777" w:rsidTr="00065D1D">
        <w:trPr>
          <w:trHeight w:val="848"/>
        </w:trPr>
        <w:tc>
          <w:tcPr>
            <w:tcW w:w="1271" w:type="dxa"/>
          </w:tcPr>
          <w:p w14:paraId="6B342BA3" w14:textId="06F7E572" w:rsidR="00E84D4A" w:rsidRPr="00DA3C6E" w:rsidRDefault="00E84D4A" w:rsidP="00C04BCE">
            <w:pPr>
              <w:keepNext/>
              <w:keepLines/>
              <w:spacing w:after="0" w:line="240" w:lineRule="auto"/>
              <w:ind w:left="0"/>
              <w:rPr>
                <w:rStyle w:val="SmallBold"/>
                <w:rFonts w:ascii="Arial Narrow" w:hAnsi="Arial Narrow"/>
                <w:b w:val="0"/>
                <w:szCs w:val="20"/>
              </w:rPr>
            </w:pPr>
            <w:r w:rsidRPr="00DA3C6E">
              <w:rPr>
                <w:rFonts w:ascii="Arial Narrow" w:hAnsi="Arial Narrow"/>
                <w:sz w:val="20"/>
              </w:rPr>
              <w:t>Federico et al. 2000</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6" w:tooltip="Federico, 2000 #20" w:history="1">
              <w:r w:rsidR="00C04BCE" w:rsidRPr="00DA3C6E">
                <w:rPr>
                  <w:rFonts w:ascii="Arial Narrow" w:hAnsi="Arial Narrow"/>
                  <w:noProof/>
                  <w:sz w:val="20"/>
                </w:rPr>
                <w:t>26</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4394" w:type="dxa"/>
          </w:tcPr>
          <w:p w14:paraId="4B7AEBE6" w14:textId="77777777" w:rsidR="00E84D4A" w:rsidRPr="00DA3C6E" w:rsidRDefault="00E84D4A" w:rsidP="00A25219">
            <w:pPr>
              <w:pStyle w:val="Tabletext1"/>
              <w:keepNext/>
              <w:keepLines/>
              <w:ind w:left="0"/>
              <w:rPr>
                <w:rStyle w:val="SmallBold"/>
                <w:rFonts w:ascii="Arial Narrow" w:hAnsi="Arial Narrow"/>
                <w:b w:val="0"/>
              </w:rPr>
            </w:pPr>
            <w:r w:rsidRPr="00DA3C6E">
              <w:t>Patients with asymmetric lower motor neuron syndrome with no sensory or bulbar signs and had evidence of partial CB (&gt;30%) in motor nerves but normal sensory nerve conduction studies.</w:t>
            </w:r>
          </w:p>
        </w:tc>
        <w:tc>
          <w:tcPr>
            <w:tcW w:w="3402" w:type="dxa"/>
          </w:tcPr>
          <w:p w14:paraId="45B8AEBF" w14:textId="77777777" w:rsidR="00E84D4A" w:rsidRPr="00DA3C6E" w:rsidRDefault="00E84D4A" w:rsidP="0048635A">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Patients with ALS, CIDP and</w:t>
            </w:r>
            <w:r w:rsidR="00652D12" w:rsidRPr="00DA3C6E">
              <w:rPr>
                <w:rFonts w:ascii="Arial Narrow" w:hAnsi="Arial Narrow"/>
                <w:sz w:val="20"/>
                <w:szCs w:val="20"/>
              </w:rPr>
              <w:t xml:space="preserve"> </w:t>
            </w:r>
            <w:r w:rsidR="0048635A" w:rsidRPr="00DA3C6E">
              <w:rPr>
                <w:rFonts w:ascii="Arial Narrow" w:hAnsi="Arial Narrow"/>
                <w:sz w:val="20"/>
                <w:szCs w:val="20"/>
              </w:rPr>
              <w:t>PDN</w:t>
            </w:r>
            <w:r w:rsidRPr="00DA3C6E">
              <w:rPr>
                <w:rStyle w:val="SmallBold"/>
                <w:rFonts w:ascii="Arial Narrow" w:hAnsi="Arial Narrow"/>
                <w:b w:val="0"/>
                <w:szCs w:val="20"/>
              </w:rPr>
              <w:t>.</w:t>
            </w:r>
          </w:p>
        </w:tc>
        <w:tc>
          <w:tcPr>
            <w:tcW w:w="2835" w:type="dxa"/>
          </w:tcPr>
          <w:p w14:paraId="5914A735" w14:textId="77777777" w:rsidR="00E84D4A" w:rsidRPr="00DA3C6E" w:rsidRDefault="00E84D4A" w:rsidP="008F2603">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Trial patients had at least probable CB (&gt;30%). Australian patients may or may not have CB. </w:t>
            </w:r>
          </w:p>
        </w:tc>
        <w:tc>
          <w:tcPr>
            <w:tcW w:w="2046" w:type="dxa"/>
          </w:tcPr>
          <w:p w14:paraId="085F8395" w14:textId="77777777" w:rsidR="00E84D4A" w:rsidRPr="00DA3C6E" w:rsidRDefault="00E84D4A" w:rsidP="00F978DE">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0D54F4B6" w14:textId="77777777" w:rsidTr="00065D1D">
        <w:trPr>
          <w:trHeight w:val="188"/>
        </w:trPr>
        <w:tc>
          <w:tcPr>
            <w:tcW w:w="1271" w:type="dxa"/>
          </w:tcPr>
          <w:p w14:paraId="0062720B" w14:textId="55B1A608" w:rsidR="00E84D4A" w:rsidRPr="00DA3C6E" w:rsidRDefault="00E84D4A" w:rsidP="00C04BCE">
            <w:pPr>
              <w:keepNext/>
              <w:keepLines/>
              <w:spacing w:after="0" w:line="240" w:lineRule="auto"/>
              <w:ind w:left="0"/>
              <w:rPr>
                <w:rStyle w:val="SmallBold"/>
                <w:rFonts w:ascii="Arial Narrow" w:hAnsi="Arial Narrow"/>
                <w:b w:val="0"/>
                <w:szCs w:val="20"/>
              </w:rPr>
            </w:pPr>
            <w:r w:rsidRPr="00DA3C6E">
              <w:rPr>
                <w:rFonts w:ascii="Arial Narrow" w:hAnsi="Arial Narrow"/>
                <w:sz w:val="20"/>
              </w:rPr>
              <w:t>Leger et al. 2001</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7" w:tooltip="Leger, 2001 #39" w:history="1">
              <w:r w:rsidR="00C04BCE" w:rsidRPr="00DA3C6E">
                <w:rPr>
                  <w:rFonts w:ascii="Arial Narrow" w:hAnsi="Arial Narrow"/>
                  <w:noProof/>
                  <w:sz w:val="20"/>
                </w:rPr>
                <w:t>27</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4394" w:type="dxa"/>
          </w:tcPr>
          <w:p w14:paraId="5BBDAE91" w14:textId="77777777" w:rsidR="00E84D4A" w:rsidRPr="00DA3C6E" w:rsidRDefault="00E84D4A" w:rsidP="004E20D3">
            <w:pPr>
              <w:pStyle w:val="Tabletext1"/>
              <w:keepNext/>
              <w:keepLines/>
              <w:ind w:left="0"/>
              <w:rPr>
                <w:rStyle w:val="SmallBold"/>
                <w:rFonts w:ascii="Arial Narrow" w:hAnsi="Arial Narrow"/>
                <w:b w:val="0"/>
              </w:rPr>
            </w:pPr>
            <w:r w:rsidRPr="00DA3C6E">
              <w:t>Patients presenting with progressive weakness with multifocal distribution, no bulbar involvement, no upper motor neuron signs and CB confined to motor axons. Fasciculation may also be present</w:t>
            </w:r>
            <w:r w:rsidR="004E20D3" w:rsidRPr="00DA3C6E">
              <w:t>.</w:t>
            </w:r>
            <w:r w:rsidRPr="00DA3C6E">
              <w:t xml:space="preserve"> </w:t>
            </w:r>
            <w:r w:rsidR="004E20D3" w:rsidRPr="00DA3C6E">
              <w:t xml:space="preserve">Patients </w:t>
            </w:r>
            <w:r w:rsidRPr="00DA3C6E">
              <w:t>who had not received immune-suppressants and IVIg treatment for 2 months for treatment naïve (newly diagnosed) and 3 months for pre-treated patients with IVIg.</w:t>
            </w:r>
          </w:p>
        </w:tc>
        <w:tc>
          <w:tcPr>
            <w:tcW w:w="3402" w:type="dxa"/>
          </w:tcPr>
          <w:p w14:paraId="16DECEB7" w14:textId="2D6FE8D6" w:rsidR="00E84D4A" w:rsidRPr="00DA3C6E" w:rsidRDefault="00E84D4A" w:rsidP="00A25219">
            <w:pPr>
              <w:pStyle w:val="Tabletext1"/>
              <w:keepNext/>
              <w:keepLines/>
              <w:ind w:left="0"/>
            </w:pPr>
            <w:r w:rsidRPr="00DA3C6E">
              <w:t>Patients with severe concurrent medical condition</w:t>
            </w:r>
            <w:r w:rsidR="00291EC2" w:rsidRPr="00DA3C6E">
              <w:t>s</w:t>
            </w:r>
            <w:r w:rsidRPr="00DA3C6E">
              <w:t xml:space="preserve"> that might cause neuropathy or interfere with the treatment, were pregnant or were less than 18 years.</w:t>
            </w:r>
          </w:p>
          <w:p w14:paraId="7CAD02C4" w14:textId="77777777" w:rsidR="00E84D4A" w:rsidRPr="00DA3C6E" w:rsidRDefault="00E84D4A" w:rsidP="008F2603">
            <w:pPr>
              <w:keepNext/>
              <w:keepLines/>
              <w:spacing w:after="0" w:line="240" w:lineRule="auto"/>
              <w:ind w:left="200"/>
              <w:rPr>
                <w:rStyle w:val="SmallBold"/>
                <w:rFonts w:ascii="Arial Narrow" w:hAnsi="Arial Narrow"/>
                <w:b w:val="0"/>
                <w:szCs w:val="20"/>
              </w:rPr>
            </w:pPr>
          </w:p>
        </w:tc>
        <w:tc>
          <w:tcPr>
            <w:tcW w:w="2835" w:type="dxa"/>
          </w:tcPr>
          <w:p w14:paraId="14501390" w14:textId="77777777" w:rsidR="00E84D4A" w:rsidRPr="00DA3C6E" w:rsidRDefault="00E84D4A" w:rsidP="00F978DE">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Australian patients may or may not have CB. </w:t>
            </w:r>
          </w:p>
          <w:p w14:paraId="5F0B469D" w14:textId="77777777" w:rsidR="00E84D4A" w:rsidRPr="00DA3C6E" w:rsidRDefault="00E84D4A" w:rsidP="00EA2686">
            <w:pPr>
              <w:keepNext/>
              <w:keepLines/>
              <w:spacing w:after="0" w:line="240" w:lineRule="auto"/>
              <w:ind w:left="0"/>
              <w:rPr>
                <w:rStyle w:val="SmallBold"/>
                <w:rFonts w:ascii="Arial Narrow" w:hAnsi="Arial Narrow"/>
                <w:b w:val="0"/>
                <w:szCs w:val="20"/>
              </w:rPr>
            </w:pPr>
          </w:p>
        </w:tc>
        <w:tc>
          <w:tcPr>
            <w:tcW w:w="2046" w:type="dxa"/>
          </w:tcPr>
          <w:p w14:paraId="4EA0E3EE" w14:textId="77777777" w:rsidR="00E84D4A" w:rsidRPr="00DA3C6E" w:rsidRDefault="00E84D4A" w:rsidP="007F3DDC">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59921C7D" w14:textId="77777777" w:rsidTr="00065D1D">
        <w:trPr>
          <w:trHeight w:val="188"/>
        </w:trPr>
        <w:tc>
          <w:tcPr>
            <w:tcW w:w="1271" w:type="dxa"/>
          </w:tcPr>
          <w:p w14:paraId="0F3C9607" w14:textId="2928F440" w:rsidR="00E84D4A" w:rsidRPr="00DA3C6E" w:rsidRDefault="00E84D4A" w:rsidP="00C04BCE">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lastRenderedPageBreak/>
              <w:t>Hahn et al</w:t>
            </w:r>
            <w:r w:rsidR="00291EC2" w:rsidRPr="00DA3C6E">
              <w:rPr>
                <w:rStyle w:val="SmallBold"/>
                <w:rFonts w:ascii="Arial Narrow" w:hAnsi="Arial Narrow"/>
                <w:b w:val="0"/>
                <w:szCs w:val="20"/>
              </w:rPr>
              <w:t>.</w:t>
            </w:r>
            <w:r w:rsidRPr="00DA3C6E">
              <w:rPr>
                <w:rStyle w:val="SmallBold"/>
                <w:rFonts w:ascii="Arial Narrow" w:hAnsi="Arial Narrow"/>
                <w:b w:val="0"/>
                <w:szCs w:val="20"/>
              </w:rPr>
              <w:t xml:space="preserve"> 2013</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8" w:tooltip="Hahn, 2013 #26" w:history="1">
              <w:r w:rsidR="00C04BCE" w:rsidRPr="00DA3C6E">
                <w:rPr>
                  <w:rStyle w:val="SmallBold"/>
                  <w:rFonts w:ascii="Arial Narrow" w:hAnsi="Arial Narrow"/>
                  <w:b w:val="0"/>
                  <w:noProof/>
                  <w:szCs w:val="20"/>
                </w:rPr>
                <w:t>28</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4394" w:type="dxa"/>
          </w:tcPr>
          <w:p w14:paraId="22544EF4" w14:textId="357DDF49" w:rsidR="00E84D4A" w:rsidRPr="00DA3C6E" w:rsidRDefault="00E84D4A" w:rsidP="00E07080">
            <w:pPr>
              <w:pStyle w:val="Tabletext1"/>
              <w:keepNext/>
              <w:keepLines/>
              <w:ind w:left="0"/>
              <w:rPr>
                <w:rStyle w:val="SmallBold"/>
                <w:rFonts w:ascii="Arial Narrow" w:hAnsi="Arial Narrow"/>
                <w:b w:val="0"/>
              </w:rPr>
            </w:pPr>
            <w:r w:rsidRPr="00DA3C6E">
              <w:t xml:space="preserve">Patients diagnosed with probable or definite MMN according </w:t>
            </w:r>
            <w:r w:rsidR="00291EC2" w:rsidRPr="00DA3C6E">
              <w:t xml:space="preserve">to </w:t>
            </w:r>
            <w:r w:rsidRPr="00DA3C6E">
              <w:t>AANEM criteria, and are on a stable regimen of IVIg for ≥3 months at a dose of 0.4-2.0g per kg body weight every 2-5 weeks.</w:t>
            </w:r>
          </w:p>
        </w:tc>
        <w:tc>
          <w:tcPr>
            <w:tcW w:w="3402" w:type="dxa"/>
          </w:tcPr>
          <w:p w14:paraId="1765BA43" w14:textId="77777777" w:rsidR="00E84D4A" w:rsidRPr="00DA3C6E" w:rsidRDefault="009940A6" w:rsidP="009940A6">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C</w:t>
            </w:r>
            <w:r w:rsidR="00E84D4A" w:rsidRPr="00DA3C6E">
              <w:rPr>
                <w:rStyle w:val="SmallBold"/>
                <w:rFonts w:ascii="Arial Narrow" w:hAnsi="Arial Narrow"/>
                <w:b w:val="0"/>
                <w:szCs w:val="20"/>
              </w:rPr>
              <w:t>o-existing neuropathy, Tx with other immunosuppressive agents 3 months</w:t>
            </w:r>
            <w:r w:rsidR="004E20D3" w:rsidRPr="00DA3C6E">
              <w:rPr>
                <w:rStyle w:val="SmallBold"/>
                <w:rFonts w:ascii="Arial Narrow" w:hAnsi="Arial Narrow"/>
                <w:b w:val="0"/>
                <w:szCs w:val="20"/>
              </w:rPr>
              <w:t xml:space="preserve"> prior to </w:t>
            </w:r>
            <w:r w:rsidRPr="00DA3C6E">
              <w:rPr>
                <w:rStyle w:val="SmallBold"/>
                <w:rFonts w:ascii="Arial Narrow" w:hAnsi="Arial Narrow"/>
                <w:b w:val="0"/>
                <w:szCs w:val="20"/>
              </w:rPr>
              <w:t>enrolment</w:t>
            </w:r>
            <w:r w:rsidR="00E84D4A" w:rsidRPr="00DA3C6E">
              <w:rPr>
                <w:rStyle w:val="SmallBold"/>
                <w:rFonts w:ascii="Arial Narrow" w:hAnsi="Arial Narrow"/>
                <w:b w:val="0"/>
                <w:szCs w:val="20"/>
              </w:rPr>
              <w:t xml:space="preserve">, history of thrombotic episodes, pregnancy, neutropenia, altered hepatic enzymes, certain malignancies, blood products 6 months </w:t>
            </w:r>
            <w:r w:rsidR="004E20D3" w:rsidRPr="00DA3C6E">
              <w:rPr>
                <w:rStyle w:val="SmallBold"/>
                <w:rFonts w:ascii="Arial Narrow" w:hAnsi="Arial Narrow"/>
                <w:b w:val="0"/>
                <w:szCs w:val="20"/>
              </w:rPr>
              <w:t>prior to</w:t>
            </w:r>
            <w:r w:rsidR="00E84D4A" w:rsidRPr="00DA3C6E">
              <w:rPr>
                <w:rStyle w:val="SmallBold"/>
                <w:rFonts w:ascii="Arial Narrow" w:hAnsi="Arial Narrow"/>
                <w:b w:val="0"/>
                <w:szCs w:val="20"/>
              </w:rPr>
              <w:t xml:space="preserve"> enrolment. </w:t>
            </w:r>
          </w:p>
        </w:tc>
        <w:tc>
          <w:tcPr>
            <w:tcW w:w="2835" w:type="dxa"/>
          </w:tcPr>
          <w:p w14:paraId="34A76B17" w14:textId="77777777" w:rsidR="00E84D4A" w:rsidRPr="00DA3C6E" w:rsidRDefault="00E84D4A"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 xml:space="preserve">The AANEM defined definite and probable MMN as presenting with CB. (≥30%). Australian patients may or may not have CB. </w:t>
            </w:r>
          </w:p>
          <w:p w14:paraId="15C42787" w14:textId="77777777" w:rsidR="00E84D4A" w:rsidRPr="00DA3C6E" w:rsidRDefault="00E84D4A" w:rsidP="00E07080">
            <w:pPr>
              <w:keepNext/>
              <w:keepLines/>
              <w:spacing w:after="0" w:line="240" w:lineRule="auto"/>
              <w:ind w:left="0"/>
              <w:rPr>
                <w:rStyle w:val="SmallBold"/>
                <w:rFonts w:ascii="Arial Narrow" w:hAnsi="Arial Narrow"/>
                <w:b w:val="0"/>
                <w:szCs w:val="20"/>
              </w:rPr>
            </w:pPr>
          </w:p>
        </w:tc>
        <w:tc>
          <w:tcPr>
            <w:tcW w:w="2046" w:type="dxa"/>
          </w:tcPr>
          <w:p w14:paraId="212D152D" w14:textId="77777777" w:rsidR="00E84D4A" w:rsidRPr="00DA3C6E" w:rsidRDefault="00E84D4A"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bl>
    <w:p w14:paraId="555BC9A4" w14:textId="4ED3BFC7" w:rsidR="00793260" w:rsidRPr="00C04BCE" w:rsidRDefault="00E84D4A" w:rsidP="00C04BCE">
      <w:pPr>
        <w:spacing w:line="240" w:lineRule="auto"/>
        <w:rPr>
          <w:rFonts w:ascii="Arial Narrow" w:hAnsi="Arial Narrow"/>
          <w:sz w:val="18"/>
          <w:szCs w:val="18"/>
        </w:rPr>
      </w:pPr>
      <w:r w:rsidRPr="00C04BCE">
        <w:rPr>
          <w:rFonts w:ascii="Arial Narrow" w:hAnsi="Arial Narrow"/>
          <w:sz w:val="18"/>
          <w:szCs w:val="18"/>
        </w:rPr>
        <w:t xml:space="preserve">Abbreviations: ALS = </w:t>
      </w:r>
      <w:r w:rsidR="009940A6" w:rsidRPr="00C04BCE">
        <w:rPr>
          <w:rFonts w:ascii="Arial Narrow" w:hAnsi="Arial Narrow"/>
          <w:sz w:val="18"/>
          <w:szCs w:val="18"/>
        </w:rPr>
        <w:t xml:space="preserve">amyotrophic lateral sclerosis; </w:t>
      </w:r>
      <w:r w:rsidRPr="00C04BCE">
        <w:rPr>
          <w:rFonts w:ascii="Arial Narrow" w:hAnsi="Arial Narrow"/>
          <w:sz w:val="18"/>
          <w:szCs w:val="18"/>
        </w:rPr>
        <w:t xml:space="preserve">AANEM = American Association of Electro-diagnostic Medicine; ALS = amyotrophic lateral sclerosis; CB = conduction block; IVIg = intravenous immunoglobulin; MMN = multifocal motor neuropathy; NA = not applicable; </w:t>
      </w:r>
      <w:r w:rsidR="0048635A" w:rsidRPr="00C04BCE">
        <w:rPr>
          <w:rFonts w:ascii="Arial Narrow" w:hAnsi="Arial Narrow"/>
          <w:sz w:val="18"/>
          <w:szCs w:val="18"/>
        </w:rPr>
        <w:t xml:space="preserve">PDN = paraproteinemic demyelinating neuropathy; </w:t>
      </w:r>
      <w:r w:rsidRPr="00C04BCE">
        <w:rPr>
          <w:rFonts w:ascii="Arial Narrow" w:hAnsi="Arial Narrow"/>
          <w:sz w:val="18"/>
          <w:szCs w:val="18"/>
        </w:rPr>
        <w:t>Tx = treatment</w:t>
      </w:r>
      <w:r w:rsidR="00346539" w:rsidRPr="00C04BCE">
        <w:rPr>
          <w:rFonts w:ascii="Arial Narrow" w:hAnsi="Arial Narrow"/>
          <w:sz w:val="18"/>
          <w:szCs w:val="18"/>
        </w:rPr>
        <w:t>.</w:t>
      </w:r>
    </w:p>
    <w:p w14:paraId="2C711E58" w14:textId="77777777" w:rsidR="00C04BCE" w:rsidRPr="00DA3C6E" w:rsidRDefault="00C04BCE" w:rsidP="00880E62">
      <w:pPr>
        <w:spacing w:line="240" w:lineRule="auto"/>
        <w:rPr>
          <w:rStyle w:val="SmallBold"/>
          <w:rFonts w:ascii="Arial Narrow" w:hAnsi="Arial Narrow"/>
          <w:b w:val="0"/>
          <w:sz w:val="18"/>
          <w:szCs w:val="18"/>
        </w:rPr>
      </w:pPr>
    </w:p>
    <w:p w14:paraId="3D537770" w14:textId="77777777" w:rsidR="00A25219" w:rsidRPr="00DA3C6E" w:rsidRDefault="00A25219" w:rsidP="00880E62">
      <w:pPr>
        <w:spacing w:line="240" w:lineRule="auto"/>
        <w:sectPr w:rsidR="00A25219" w:rsidRPr="00DA3C6E" w:rsidSect="00734BA5">
          <w:pgSz w:w="16838" w:h="11906" w:orient="landscape"/>
          <w:pgMar w:top="1440" w:right="1440" w:bottom="1440" w:left="1440" w:header="720" w:footer="720" w:gutter="0"/>
          <w:paperSrc w:first="7" w:other="7"/>
          <w:cols w:space="720"/>
          <w:docGrid w:linePitch="299"/>
        </w:sectPr>
      </w:pPr>
    </w:p>
    <w:p w14:paraId="4619DBE1" w14:textId="2629DCFD" w:rsidR="00A8013C" w:rsidRPr="00DA3C6E" w:rsidRDefault="00A8013C" w:rsidP="00A8013C">
      <w:pPr>
        <w:pStyle w:val="Heading3"/>
      </w:pPr>
      <w:bookmarkStart w:id="229" w:name="_Toc37845752"/>
      <w:r w:rsidRPr="00DA3C6E">
        <w:lastRenderedPageBreak/>
        <w:t>C.2.2 IVIg dosing and frequency of administration.</w:t>
      </w:r>
      <w:bookmarkEnd w:id="229"/>
      <w:r w:rsidRPr="00DA3C6E">
        <w:t xml:space="preserve"> </w:t>
      </w:r>
    </w:p>
    <w:p w14:paraId="6915188F" w14:textId="77777777" w:rsidR="00A66435" w:rsidRPr="00DA3C6E" w:rsidRDefault="002A5287" w:rsidP="00A8013C">
      <w:r w:rsidRPr="00DA3C6E">
        <w:t xml:space="preserve">A potential translation issue can also occur if the doses and frequency of administration differ between the clinical trial setting </w:t>
      </w:r>
      <w:r w:rsidR="00734BA5" w:rsidRPr="00DA3C6E">
        <w:t>and the population of interest.</w:t>
      </w:r>
      <w:r w:rsidRPr="00DA3C6E">
        <w:t xml:space="preserve"> The doses were compared considering the recommended doses in The Criteria</w:t>
      </w:r>
      <w:r w:rsidR="009940A6" w:rsidRPr="00DA3C6E">
        <w:t xml:space="preserve"> V3,</w:t>
      </w:r>
      <w:r w:rsidRPr="00DA3C6E">
        <w:t xml:space="preserve"> those </w:t>
      </w:r>
      <w:r w:rsidR="000E5DF6" w:rsidRPr="00DA3C6E">
        <w:t>from</w:t>
      </w:r>
      <w:r w:rsidRPr="00DA3C6E">
        <w:t xml:space="preserve"> each </w:t>
      </w:r>
      <w:r w:rsidR="009940A6" w:rsidRPr="00DA3C6E">
        <w:t>RCT and the average dose used per treatment cycle based on the utilisation data provided by the NBA for the period 1 July 2018 – 30 June 2019.</w:t>
      </w:r>
      <w:r w:rsidRPr="00DA3C6E">
        <w:t xml:space="preserve"> The </w:t>
      </w:r>
      <w:r w:rsidR="00335140" w:rsidRPr="00DA3C6E">
        <w:t>C</w:t>
      </w:r>
      <w:r w:rsidRPr="00DA3C6E">
        <w:t xml:space="preserve">riteria </w:t>
      </w:r>
      <w:r w:rsidR="009940A6" w:rsidRPr="00DA3C6E">
        <w:t xml:space="preserve">V3 </w:t>
      </w:r>
      <w:r w:rsidRPr="00DA3C6E">
        <w:t>suggests an initial induction dose of 2 g/kg divided into 2 -</w:t>
      </w:r>
      <w:r w:rsidR="00A66435" w:rsidRPr="00DA3C6E">
        <w:t xml:space="preserve"> 5 doses and a </w:t>
      </w:r>
      <w:r w:rsidRPr="00DA3C6E">
        <w:t xml:space="preserve">maintenance dose </w:t>
      </w:r>
      <w:r w:rsidR="00A66435" w:rsidRPr="00DA3C6E">
        <w:t>of</w:t>
      </w:r>
      <w:r w:rsidRPr="00DA3C6E">
        <w:t xml:space="preserve"> 0.4–1 g/kg every 2–6 weeks</w:t>
      </w:r>
      <w:r w:rsidR="00A66435" w:rsidRPr="00DA3C6E">
        <w:t xml:space="preserve">. The latter </w:t>
      </w:r>
      <w:r w:rsidR="00335140" w:rsidRPr="00DA3C6E">
        <w:t xml:space="preserve">could </w:t>
      </w:r>
      <w:r w:rsidRPr="00DA3C6E">
        <w:t xml:space="preserve">be titrated to a maximum dose of 2 g/kg in </w:t>
      </w:r>
      <w:r w:rsidR="00A66435" w:rsidRPr="00DA3C6E">
        <w:t>a</w:t>
      </w:r>
      <w:r w:rsidRPr="00DA3C6E">
        <w:t xml:space="preserve"> 4 week period</w:t>
      </w:r>
      <w:r w:rsidR="002E036A" w:rsidRPr="00DA3C6E">
        <w:t xml:space="preserve"> based on individual response</w:t>
      </w:r>
      <w:r w:rsidRPr="00DA3C6E">
        <w:t xml:space="preserve">. </w:t>
      </w:r>
      <w:r w:rsidR="00A66435" w:rsidRPr="00DA3C6E">
        <w:t xml:space="preserve">It </w:t>
      </w:r>
      <w:r w:rsidR="002E036A" w:rsidRPr="00DA3C6E">
        <w:t xml:space="preserve">should be noted that the aim is to administer </w:t>
      </w:r>
      <w:r w:rsidRPr="00DA3C6E">
        <w:t xml:space="preserve">the lowest possible </w:t>
      </w:r>
      <w:r w:rsidR="002E036A" w:rsidRPr="00DA3C6E">
        <w:t xml:space="preserve">dose </w:t>
      </w:r>
      <w:r w:rsidRPr="00DA3C6E">
        <w:t xml:space="preserve">that achieves the appropriate clinical outcome </w:t>
      </w:r>
      <w:r w:rsidR="002E036A" w:rsidRPr="00DA3C6E">
        <w:t>for each patient</w:t>
      </w:r>
      <w:r w:rsidRPr="00DA3C6E">
        <w:t xml:space="preserve">. </w:t>
      </w:r>
    </w:p>
    <w:p w14:paraId="695C0D46" w14:textId="2A3B58EF" w:rsidR="00A66435" w:rsidRPr="00DA3C6E" w:rsidRDefault="00CA244C" w:rsidP="00A8013C">
      <w:r w:rsidRPr="00DA3C6E">
        <w:t xml:space="preserve">A summary of the dosing and frequency of administration is presented in </w:t>
      </w:r>
      <w:r w:rsidRPr="00DA3C6E">
        <w:fldChar w:fldCharType="begin"/>
      </w:r>
      <w:r w:rsidRPr="00DA3C6E">
        <w:instrText xml:space="preserve"> REF _Ref29373389 \h </w:instrText>
      </w:r>
      <w:r w:rsidR="00E8759F" w:rsidRPr="00DA3C6E">
        <w:instrText xml:space="preserve"> \* MERGEFORMAT </w:instrText>
      </w:r>
      <w:r w:rsidRPr="00DA3C6E">
        <w:fldChar w:fldCharType="separate"/>
      </w:r>
      <w:r w:rsidR="00EA5DC1" w:rsidRPr="00DA3C6E">
        <w:t xml:space="preserve">Table </w:t>
      </w:r>
      <w:r w:rsidR="00EA5DC1">
        <w:rPr>
          <w:noProof/>
        </w:rPr>
        <w:t>21</w:t>
      </w:r>
      <w:r w:rsidRPr="00DA3C6E">
        <w:fldChar w:fldCharType="end"/>
      </w:r>
      <w:r w:rsidRPr="00DA3C6E">
        <w:t xml:space="preserve">. </w:t>
      </w:r>
      <w:r w:rsidR="00044682" w:rsidRPr="00DA3C6E">
        <w:t>The administered dose was consistent within the five RCTs</w:t>
      </w:r>
      <w:r w:rsidR="002614CC" w:rsidRPr="00DA3C6E">
        <w:t>,</w:t>
      </w:r>
      <w:r w:rsidR="00044682" w:rsidRPr="00DA3C6E">
        <w:t xml:space="preserve"> </w:t>
      </w:r>
      <w:r w:rsidR="004C41AA" w:rsidRPr="00DA3C6E">
        <w:t xml:space="preserve">however </w:t>
      </w:r>
      <w:r w:rsidR="002614CC" w:rsidRPr="00DA3C6E">
        <w:t>they</w:t>
      </w:r>
      <w:r w:rsidR="004C41AA" w:rsidRPr="00DA3C6E">
        <w:t xml:space="preserve"> did not </w:t>
      </w:r>
      <w:r w:rsidR="00A66435" w:rsidRPr="00DA3C6E">
        <w:t>consider</w:t>
      </w:r>
      <w:r w:rsidR="00DB6779" w:rsidRPr="00DA3C6E">
        <w:t xml:space="preserve"> a differentiated induction and </w:t>
      </w:r>
      <w:r w:rsidR="00A66435" w:rsidRPr="00DA3C6E">
        <w:t xml:space="preserve">maintenance phase of treatment, both of which </w:t>
      </w:r>
      <w:r w:rsidR="000E5DF6" w:rsidRPr="00DA3C6E">
        <w:t xml:space="preserve">are recommended </w:t>
      </w:r>
      <w:r w:rsidR="00DB6779" w:rsidRPr="00DA3C6E">
        <w:t>in the current Australian setting</w:t>
      </w:r>
      <w:r w:rsidR="00A66435" w:rsidRPr="00DA3C6E">
        <w:t xml:space="preserve">. This translates into patients from the clinical trial setting </w:t>
      </w:r>
      <w:r w:rsidR="00DB6779" w:rsidRPr="00DA3C6E">
        <w:t>likely to have received</w:t>
      </w:r>
      <w:r w:rsidR="00FD4951" w:rsidRPr="00DA3C6E">
        <w:t>, overall,</w:t>
      </w:r>
      <w:r w:rsidR="00DB6779" w:rsidRPr="00DA3C6E">
        <w:t xml:space="preserve"> </w:t>
      </w:r>
      <w:r w:rsidR="00A66435" w:rsidRPr="00DA3C6E">
        <w:t xml:space="preserve">higher </w:t>
      </w:r>
      <w:r w:rsidR="0048635A" w:rsidRPr="00DA3C6E">
        <w:t xml:space="preserve">intravenous Ig </w:t>
      </w:r>
      <w:r w:rsidR="00A66435" w:rsidRPr="00DA3C6E">
        <w:t xml:space="preserve">doses to </w:t>
      </w:r>
      <w:r w:rsidR="000E5DF6" w:rsidRPr="00DA3C6E">
        <w:t xml:space="preserve">those </w:t>
      </w:r>
      <w:r w:rsidR="00DB6779" w:rsidRPr="00DA3C6E">
        <w:t>in Australia</w:t>
      </w:r>
      <w:r w:rsidR="00A66435" w:rsidRPr="00DA3C6E">
        <w:t xml:space="preserve">, which could lead to potential differences in treatment effect. </w:t>
      </w:r>
      <w:r w:rsidR="00DB6779" w:rsidRPr="00DA3C6E">
        <w:t xml:space="preserve">Unlike the other three studies, </w:t>
      </w:r>
      <w:r w:rsidR="003357B0" w:rsidRPr="00DA3C6E">
        <w:t xml:space="preserve">Leger </w:t>
      </w:r>
      <w:r w:rsidR="00FD4951" w:rsidRPr="00DA3C6E">
        <w:t>et al</w:t>
      </w:r>
      <w:r w:rsidR="0048635A" w:rsidRPr="00DA3C6E">
        <w:t>.</w:t>
      </w:r>
      <w:r w:rsidR="00FD4951" w:rsidRPr="00DA3C6E">
        <w:t xml:space="preserve"> </w:t>
      </w:r>
      <w:r w:rsidR="003357B0" w:rsidRPr="00DA3C6E">
        <w:t xml:space="preserve">2001 and Hahn </w:t>
      </w:r>
      <w:r w:rsidR="00FD4951" w:rsidRPr="00DA3C6E">
        <w:t>et al</w:t>
      </w:r>
      <w:r w:rsidR="0048635A" w:rsidRPr="00DA3C6E">
        <w:t>.</w:t>
      </w:r>
      <w:r w:rsidR="00FD4951" w:rsidRPr="00DA3C6E">
        <w:t xml:space="preserve"> </w:t>
      </w:r>
      <w:r w:rsidR="003357B0" w:rsidRPr="00DA3C6E">
        <w:t>2013</w:t>
      </w:r>
      <w:r w:rsidR="00DB568A" w:rsidRPr="00DA3C6E">
        <w:fldChar w:fldCharType="begin">
          <w:fldData xml:space="preserve">PEVuZE5vdGU+PENpdGU+PEF1dGhvcj5MZWdlcjwvQXV0aG9yPjxZZWFyPjIwMDE8L1llYXI+PFJl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==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Y051bT4zOTwvUmVjTnVtPjxEaXNwbGF5VGV4dD4oMjcsIDI4KTwvRGlzcGxheVRleHQ+PHJlY29y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==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 xml:space="preserve">, </w:t>
      </w:r>
      <w:hyperlink w:anchor="_ENREF_28" w:tooltip="Hahn, 2013 #26" w:history="1">
        <w:r w:rsidR="00C04BCE" w:rsidRPr="00DA3C6E">
          <w:rPr>
            <w:noProof/>
          </w:rPr>
          <w:t>28</w:t>
        </w:r>
      </w:hyperlink>
      <w:r w:rsidR="00DB568A" w:rsidRPr="00DA3C6E">
        <w:rPr>
          <w:noProof/>
        </w:rPr>
        <w:t>)</w:t>
      </w:r>
      <w:r w:rsidR="00DB568A" w:rsidRPr="00DA3C6E">
        <w:fldChar w:fldCharType="end"/>
      </w:r>
      <w:r w:rsidR="008E136F" w:rsidRPr="00DA3C6E">
        <w:t>,</w:t>
      </w:r>
      <w:r w:rsidR="003357B0" w:rsidRPr="00DA3C6E">
        <w:t xml:space="preserve"> reflect the fact that there is an assessment treatment period phase where patients are exposed to the intervention/placebo before being catalogued as responders or non-responders and further actions are taken </w:t>
      </w:r>
      <w:r w:rsidR="00DB6779" w:rsidRPr="00DA3C6E">
        <w:t>similar to that currently recommended in Australia</w:t>
      </w:r>
      <w:r w:rsidR="003357B0" w:rsidRPr="00DA3C6E">
        <w:t xml:space="preserve"> (lasting 4 months)</w:t>
      </w:r>
      <w:r w:rsidR="00DB6779" w:rsidRPr="00DA3C6E">
        <w:t xml:space="preserve">. In addition, Hahn </w:t>
      </w:r>
      <w:r w:rsidR="00FD4951" w:rsidRPr="00DA3C6E">
        <w:t>et al</w:t>
      </w:r>
      <w:r w:rsidR="0048635A" w:rsidRPr="00DA3C6E">
        <w:t>.</w:t>
      </w:r>
      <w:r w:rsidR="00FD4951" w:rsidRPr="00DA3C6E">
        <w:t xml:space="preserve"> </w:t>
      </w:r>
      <w:r w:rsidR="00DB6779" w:rsidRPr="00DA3C6E">
        <w:t>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00DB6779" w:rsidRPr="00DA3C6E">
        <w:t xml:space="preserve"> suggests a dose range consistent </w:t>
      </w:r>
      <w:r w:rsidR="00291EC2" w:rsidRPr="00DA3C6E">
        <w:t xml:space="preserve">with </w:t>
      </w:r>
      <w:r w:rsidR="00DB6779" w:rsidRPr="00DA3C6E">
        <w:t xml:space="preserve">that recommended in </w:t>
      </w:r>
      <w:r w:rsidR="00FD4951" w:rsidRPr="00DA3C6E">
        <w:t xml:space="preserve">The Criteria V3 </w:t>
      </w:r>
      <w:r w:rsidR="00DB6779" w:rsidRPr="00DA3C6E">
        <w:t>for both the induction and main</w:t>
      </w:r>
      <w:r w:rsidR="003357B0" w:rsidRPr="00DA3C6E">
        <w:t>tenance phase of treatment (0.4</w:t>
      </w:r>
      <w:r w:rsidR="00DB6779" w:rsidRPr="00DA3C6E">
        <w:t xml:space="preserve">–2 </w:t>
      </w:r>
      <w:r w:rsidR="003357B0" w:rsidRPr="00DA3C6E">
        <w:t>g/kg). However, the average monthly dose reported in this trial was 1.17</w:t>
      </w:r>
      <w:r w:rsidR="00FD4951" w:rsidRPr="00DA3C6E">
        <w:t xml:space="preserve"> g/kg</w:t>
      </w:r>
      <w:r w:rsidR="003357B0" w:rsidRPr="00DA3C6E">
        <w:t xml:space="preserve"> compared to the 0.</w:t>
      </w:r>
      <w:r w:rsidR="00811025" w:rsidRPr="00DA3C6E">
        <w:t>64</w:t>
      </w:r>
      <w:r w:rsidR="003357B0" w:rsidRPr="00DA3C6E">
        <w:t xml:space="preserve"> g/kg </w:t>
      </w:r>
      <w:r w:rsidR="0048635A" w:rsidRPr="00DA3C6E">
        <w:t xml:space="preserve">per </w:t>
      </w:r>
      <w:r w:rsidR="00337243" w:rsidRPr="00DA3C6E">
        <w:t>month</w:t>
      </w:r>
      <w:r w:rsidR="0048635A" w:rsidRPr="00DA3C6E">
        <w:t xml:space="preserve"> </w:t>
      </w:r>
      <w:r w:rsidR="003357B0" w:rsidRPr="00DA3C6E">
        <w:t xml:space="preserve">as </w:t>
      </w:r>
      <w:r w:rsidR="00176331" w:rsidRPr="00DA3C6E">
        <w:t xml:space="preserve">calculated from data provided </w:t>
      </w:r>
      <w:r w:rsidR="003357B0" w:rsidRPr="00DA3C6E">
        <w:t xml:space="preserve">by the NBA for the </w:t>
      </w:r>
      <w:r w:rsidR="00A10ABD" w:rsidRPr="00DA3C6E">
        <w:t xml:space="preserve">1 July </w:t>
      </w:r>
      <w:r w:rsidR="003357B0" w:rsidRPr="00DA3C6E">
        <w:t>2018-</w:t>
      </w:r>
      <w:r w:rsidR="00A10ABD" w:rsidRPr="00DA3C6E">
        <w:t xml:space="preserve"> 30 June </w:t>
      </w:r>
      <w:r w:rsidR="003357B0" w:rsidRPr="00DA3C6E">
        <w:t xml:space="preserve">2019 period. This difference likely reflects the lower doses recommended in </w:t>
      </w:r>
      <w:r w:rsidR="000E5DF6" w:rsidRPr="00DA3C6E">
        <w:t>The Criteria</w:t>
      </w:r>
      <w:r w:rsidR="00FD4951" w:rsidRPr="00DA3C6E">
        <w:t xml:space="preserve"> V3</w:t>
      </w:r>
      <w:r w:rsidR="000E5DF6" w:rsidRPr="00DA3C6E">
        <w:t xml:space="preserve"> during </w:t>
      </w:r>
      <w:r w:rsidR="003357B0" w:rsidRPr="00DA3C6E">
        <w:t>the maintenance phase and the fact that the aim is to administer the lowest possible dose.</w:t>
      </w:r>
      <w:r w:rsidR="00C76746" w:rsidRPr="00DA3C6E">
        <w:t xml:space="preserve"> Overall, the fact that the RCTs did not differentiate </w:t>
      </w:r>
      <w:r w:rsidR="00864900" w:rsidRPr="00DA3C6E">
        <w:t xml:space="preserve">between induction and maintenance dose is unlikely to impact the treatment effect in the Australian setting. </w:t>
      </w:r>
    </w:p>
    <w:p w14:paraId="0B7622C8" w14:textId="325470AF" w:rsidR="00734BA5" w:rsidRDefault="00355D29" w:rsidP="00A8013C">
      <w:r w:rsidRPr="00DA3C6E">
        <w:t xml:space="preserve">No major differences were identified </w:t>
      </w:r>
      <w:r w:rsidR="00291EC2" w:rsidRPr="00DA3C6E">
        <w:t xml:space="preserve">in </w:t>
      </w:r>
      <w:r w:rsidRPr="00DA3C6E">
        <w:t xml:space="preserve">regard to the frequency of dosing, which generally </w:t>
      </w:r>
      <w:r w:rsidR="000E5DF6" w:rsidRPr="00DA3C6E">
        <w:t xml:space="preserve">lay </w:t>
      </w:r>
      <w:r w:rsidRPr="00DA3C6E">
        <w:t>in the range of 2-6 weeks as recommended in Australia</w:t>
      </w:r>
      <w:r w:rsidR="00097CEC">
        <w:t xml:space="preserve">, </w:t>
      </w:r>
      <w:r w:rsidR="000E5DF6" w:rsidRPr="00DA3C6E">
        <w:t xml:space="preserve">with </w:t>
      </w:r>
      <w:r w:rsidRPr="00DA3C6E">
        <w:t xml:space="preserve">Azulay </w:t>
      </w:r>
      <w:r w:rsidR="003F1906" w:rsidRPr="00DA3C6E">
        <w:t>et al</w:t>
      </w:r>
      <w:r w:rsidR="0048635A" w:rsidRPr="00DA3C6E">
        <w:t>.</w:t>
      </w:r>
      <w:r w:rsidR="003F1906" w:rsidRPr="00DA3C6E">
        <w:t xml:space="preserve"> </w:t>
      </w:r>
      <w:r w:rsidRPr="00DA3C6E">
        <w:t>1994</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Pr="00DA3C6E">
        <w:t xml:space="preserve"> </w:t>
      </w:r>
      <w:r w:rsidR="000E5DF6" w:rsidRPr="00DA3C6E">
        <w:t xml:space="preserve">being the exception with dosing </w:t>
      </w:r>
      <w:r w:rsidRPr="00DA3C6E">
        <w:t>frequency set to 8 weeks</w:t>
      </w:r>
      <w:r w:rsidR="001F41AE" w:rsidRPr="00DA3C6E">
        <w:t xml:space="preserve">. These differences are unlikely to impact the treatment effect observed in the RCTs compared to that in the Australian setting. </w:t>
      </w:r>
    </w:p>
    <w:p w14:paraId="6C73CA74" w14:textId="77777777" w:rsidR="00C04BCE" w:rsidRPr="00DA3C6E" w:rsidRDefault="00C04BCE" w:rsidP="00A8013C"/>
    <w:p w14:paraId="4E20F8CB" w14:textId="77777777" w:rsidR="00AD3696" w:rsidRPr="00DA3C6E" w:rsidRDefault="00AD3696" w:rsidP="00A8013C">
      <w:pPr>
        <w:sectPr w:rsidR="00AD3696" w:rsidRPr="00DA3C6E" w:rsidSect="00734BA5">
          <w:pgSz w:w="11906" w:h="16838"/>
          <w:pgMar w:top="1440" w:right="1440" w:bottom="1440" w:left="1440" w:header="720" w:footer="720" w:gutter="0"/>
          <w:paperSrc w:first="7" w:other="7"/>
          <w:cols w:space="720"/>
          <w:docGrid w:linePitch="299"/>
        </w:sectPr>
      </w:pPr>
    </w:p>
    <w:p w14:paraId="1FB1D709" w14:textId="070A57BB" w:rsidR="00A8013C" w:rsidRPr="00DA3C6E" w:rsidRDefault="002E036A" w:rsidP="002614CC">
      <w:pPr>
        <w:pStyle w:val="Caption"/>
        <w:keepNext/>
        <w:keepLines/>
      </w:pPr>
      <w:bookmarkStart w:id="230" w:name="_Ref29373389"/>
      <w:bookmarkStart w:id="231" w:name="_Toc37845824"/>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21</w:t>
      </w:r>
      <w:r w:rsidR="00515153">
        <w:rPr>
          <w:noProof/>
        </w:rPr>
        <w:fldChar w:fldCharType="end"/>
      </w:r>
      <w:bookmarkEnd w:id="230"/>
      <w:r w:rsidRPr="00DA3C6E">
        <w:t xml:space="preserve">. </w:t>
      </w:r>
      <w:r w:rsidR="00CA244C" w:rsidRPr="00DA3C6E">
        <w:t xml:space="preserve">A comparison of the doses used and frequency of administration recommended in the Australian population for patients treated with </w:t>
      </w:r>
      <w:r w:rsidR="0048635A" w:rsidRPr="00DA3C6E">
        <w:t xml:space="preserve">intravenous Ig </w:t>
      </w:r>
      <w:r w:rsidR="00CA244C" w:rsidRPr="00DA3C6E">
        <w:t>for MMN to that used in the clinical randomised evidence.</w:t>
      </w:r>
      <w:bookmarkEnd w:id="231"/>
      <w:r w:rsidR="00CA244C" w:rsidRPr="00DA3C6E">
        <w:t xml:space="preserve"> </w:t>
      </w:r>
    </w:p>
    <w:tbl>
      <w:tblPr>
        <w:tblStyle w:val="TableGrid"/>
        <w:tblW w:w="13948" w:type="dxa"/>
        <w:tblLook w:val="04A0" w:firstRow="1" w:lastRow="0" w:firstColumn="1" w:lastColumn="0" w:noHBand="0" w:noVBand="1"/>
        <w:tblCaption w:val="Table 21. A comparison of the doses used and frequency of administration recommended in the Australian population for patients treated with intravenous Ig for MMN to that used in the clinical randomised evidence. "/>
      </w:tblPr>
      <w:tblGrid>
        <w:gridCol w:w="1129"/>
        <w:gridCol w:w="2694"/>
        <w:gridCol w:w="2976"/>
        <w:gridCol w:w="1418"/>
        <w:gridCol w:w="3330"/>
        <w:gridCol w:w="2401"/>
      </w:tblGrid>
      <w:tr w:rsidR="00C67FE5" w:rsidRPr="00DA3C6E" w14:paraId="700456A7" w14:textId="77777777" w:rsidTr="00D56F4F">
        <w:trPr>
          <w:trHeight w:val="187"/>
          <w:tblHeader/>
        </w:trPr>
        <w:tc>
          <w:tcPr>
            <w:tcW w:w="1129" w:type="dxa"/>
            <w:vAlign w:val="center"/>
          </w:tcPr>
          <w:p w14:paraId="0493262D" w14:textId="77777777" w:rsidR="006274D1" w:rsidRPr="00DA3C6E" w:rsidRDefault="006274D1" w:rsidP="002614CC">
            <w:pPr>
              <w:keepNext/>
              <w:keepLines/>
              <w:spacing w:after="0" w:line="240" w:lineRule="auto"/>
              <w:jc w:val="left"/>
              <w:rPr>
                <w:rStyle w:val="SmallBold"/>
                <w:rFonts w:ascii="Arial Narrow" w:hAnsi="Arial Narrow"/>
                <w:szCs w:val="20"/>
              </w:rPr>
            </w:pPr>
          </w:p>
        </w:tc>
        <w:tc>
          <w:tcPr>
            <w:tcW w:w="2694" w:type="dxa"/>
            <w:vAlign w:val="center"/>
          </w:tcPr>
          <w:p w14:paraId="1C2C3EC7" w14:textId="77777777" w:rsidR="006274D1" w:rsidRPr="00DA3C6E" w:rsidRDefault="006274D1"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Dose</w:t>
            </w:r>
          </w:p>
        </w:tc>
        <w:tc>
          <w:tcPr>
            <w:tcW w:w="2976" w:type="dxa"/>
            <w:vAlign w:val="center"/>
          </w:tcPr>
          <w:p w14:paraId="68711522" w14:textId="77777777" w:rsidR="006274D1" w:rsidRPr="00DA3C6E" w:rsidRDefault="006274D1"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Frequency of dosing</w:t>
            </w:r>
          </w:p>
        </w:tc>
        <w:tc>
          <w:tcPr>
            <w:tcW w:w="1418" w:type="dxa"/>
            <w:vAlign w:val="center"/>
          </w:tcPr>
          <w:p w14:paraId="5544A612" w14:textId="77777777" w:rsidR="006274D1" w:rsidRPr="00DA3C6E" w:rsidRDefault="006274D1"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Monthly dose, g/Kg (SD)</w:t>
            </w:r>
          </w:p>
        </w:tc>
        <w:tc>
          <w:tcPr>
            <w:tcW w:w="3330" w:type="dxa"/>
            <w:vAlign w:val="center"/>
          </w:tcPr>
          <w:p w14:paraId="45A3EFE2" w14:textId="77777777" w:rsidR="006274D1" w:rsidRPr="00DA3C6E" w:rsidRDefault="006274D1"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Identified difference</w:t>
            </w:r>
          </w:p>
        </w:tc>
        <w:tc>
          <w:tcPr>
            <w:tcW w:w="2401" w:type="dxa"/>
            <w:vAlign w:val="center"/>
          </w:tcPr>
          <w:p w14:paraId="3D3687CB" w14:textId="77777777" w:rsidR="006274D1" w:rsidRPr="00DA3C6E" w:rsidRDefault="006274D1" w:rsidP="002614CC">
            <w:pPr>
              <w:keepNext/>
              <w:keepLines/>
              <w:spacing w:after="0" w:line="240" w:lineRule="auto"/>
              <w:jc w:val="left"/>
              <w:rPr>
                <w:rStyle w:val="SmallBold"/>
                <w:rFonts w:ascii="Arial Narrow" w:hAnsi="Arial Narrow"/>
                <w:szCs w:val="20"/>
              </w:rPr>
            </w:pPr>
            <w:r w:rsidRPr="00DA3C6E">
              <w:rPr>
                <w:rStyle w:val="SmallBold"/>
                <w:rFonts w:ascii="Arial Narrow" w:hAnsi="Arial Narrow"/>
                <w:szCs w:val="20"/>
              </w:rPr>
              <w:t>Outcome</w:t>
            </w:r>
          </w:p>
        </w:tc>
      </w:tr>
      <w:tr w:rsidR="00EC5563" w:rsidRPr="00DA3C6E" w14:paraId="64023EE6" w14:textId="77777777" w:rsidTr="00781FA6">
        <w:trPr>
          <w:trHeight w:val="187"/>
        </w:trPr>
        <w:tc>
          <w:tcPr>
            <w:tcW w:w="11547" w:type="dxa"/>
            <w:gridSpan w:val="5"/>
            <w:vAlign w:val="center"/>
          </w:tcPr>
          <w:p w14:paraId="717D31B0" w14:textId="77777777" w:rsidR="00EC5563" w:rsidRPr="00DA3C6E" w:rsidRDefault="00EC5563"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Australian setting</w:t>
            </w:r>
          </w:p>
        </w:tc>
        <w:tc>
          <w:tcPr>
            <w:tcW w:w="2401" w:type="dxa"/>
            <w:vAlign w:val="center"/>
          </w:tcPr>
          <w:p w14:paraId="6AE811DD" w14:textId="77777777" w:rsidR="00EC5563" w:rsidRPr="00DA3C6E" w:rsidRDefault="00EC5563" w:rsidP="002614CC">
            <w:pPr>
              <w:keepNext/>
              <w:keepLines/>
              <w:spacing w:after="0" w:line="240" w:lineRule="auto"/>
              <w:jc w:val="left"/>
              <w:rPr>
                <w:rStyle w:val="SmallBold"/>
                <w:rFonts w:ascii="Arial Narrow" w:hAnsi="Arial Narrow"/>
                <w:szCs w:val="20"/>
              </w:rPr>
            </w:pPr>
          </w:p>
        </w:tc>
      </w:tr>
      <w:tr w:rsidR="00C67FE5" w:rsidRPr="00DA3C6E" w14:paraId="705438EA" w14:textId="77777777" w:rsidTr="00781FA6">
        <w:trPr>
          <w:trHeight w:val="262"/>
        </w:trPr>
        <w:tc>
          <w:tcPr>
            <w:tcW w:w="1129" w:type="dxa"/>
            <w:vAlign w:val="center"/>
          </w:tcPr>
          <w:p w14:paraId="4533E1E2"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NBA setting</w:t>
            </w:r>
          </w:p>
        </w:tc>
        <w:tc>
          <w:tcPr>
            <w:tcW w:w="2694" w:type="dxa"/>
            <w:vAlign w:val="center"/>
          </w:tcPr>
          <w:p w14:paraId="726D7D41"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Induction: 2 g/kg divided into 2-5 doses.</w:t>
            </w:r>
          </w:p>
          <w:p w14:paraId="6D6B24DD"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Maintenance: 0.4–1 g/kg</w:t>
            </w:r>
          </w:p>
        </w:tc>
        <w:tc>
          <w:tcPr>
            <w:tcW w:w="2976" w:type="dxa"/>
            <w:vAlign w:val="center"/>
          </w:tcPr>
          <w:p w14:paraId="42723509"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Induction: only once</w:t>
            </w:r>
          </w:p>
          <w:p w14:paraId="326972C3"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Maintenance: 2–6 weeks</w:t>
            </w:r>
          </w:p>
        </w:tc>
        <w:tc>
          <w:tcPr>
            <w:tcW w:w="1418" w:type="dxa"/>
            <w:vAlign w:val="center"/>
          </w:tcPr>
          <w:p w14:paraId="12646A2D" w14:textId="77777777" w:rsidR="006274D1" w:rsidRPr="00DA3C6E" w:rsidRDefault="005F48E8" w:rsidP="00024629">
            <w:pPr>
              <w:keepNext/>
              <w:keepLines/>
              <w:spacing w:after="0" w:line="240" w:lineRule="auto"/>
              <w:ind w:left="0"/>
              <w:jc w:val="left"/>
              <w:rPr>
                <w:rStyle w:val="SmallBold"/>
                <w:rFonts w:ascii="Arial Narrow" w:hAnsi="Arial Narrow"/>
                <w:b w:val="0"/>
                <w:szCs w:val="20"/>
                <w:vertAlign w:val="superscript"/>
              </w:rPr>
            </w:pPr>
            <w:r w:rsidRPr="00DA3C6E">
              <w:rPr>
                <w:rStyle w:val="SmallBold"/>
                <w:rFonts w:ascii="Arial Narrow" w:hAnsi="Arial Narrow"/>
                <w:b w:val="0"/>
                <w:szCs w:val="20"/>
              </w:rPr>
              <w:t>0.</w:t>
            </w:r>
            <w:r w:rsidR="00811025" w:rsidRPr="00DA3C6E">
              <w:rPr>
                <w:rStyle w:val="SmallBold"/>
                <w:rFonts w:ascii="Arial Narrow" w:hAnsi="Arial Narrow"/>
                <w:b w:val="0"/>
                <w:szCs w:val="20"/>
              </w:rPr>
              <w:t>6</w:t>
            </w:r>
            <w:r w:rsidR="00811025" w:rsidRPr="00DA3C6E">
              <w:rPr>
                <w:rStyle w:val="SmallBold"/>
                <w:rFonts w:ascii="Arial Narrow" w:hAnsi="Arial Narrow"/>
              </w:rPr>
              <w:t>4</w:t>
            </w:r>
            <w:r w:rsidR="002B1C24" w:rsidRPr="00DA3C6E">
              <w:rPr>
                <w:rStyle w:val="SmallBold"/>
                <w:rFonts w:ascii="Arial Narrow" w:hAnsi="Arial Narrow"/>
                <w:b w:val="0"/>
                <w:szCs w:val="20"/>
              </w:rPr>
              <w:t xml:space="preserve"> </w:t>
            </w:r>
            <w:r w:rsidRPr="00DA3C6E">
              <w:rPr>
                <w:rStyle w:val="SmallBold"/>
                <w:rFonts w:ascii="Arial Narrow" w:hAnsi="Arial Narrow"/>
                <w:b w:val="0"/>
                <w:szCs w:val="20"/>
              </w:rPr>
              <w:t>(NR)</w:t>
            </w:r>
            <w:r w:rsidRPr="00DA3C6E">
              <w:rPr>
                <w:rStyle w:val="SmallBold"/>
                <w:rFonts w:ascii="Arial Narrow" w:hAnsi="Arial Narrow"/>
                <w:b w:val="0"/>
                <w:szCs w:val="20"/>
                <w:vertAlign w:val="superscript"/>
              </w:rPr>
              <w:t>a</w:t>
            </w:r>
          </w:p>
        </w:tc>
        <w:tc>
          <w:tcPr>
            <w:tcW w:w="3330" w:type="dxa"/>
            <w:vAlign w:val="center"/>
          </w:tcPr>
          <w:p w14:paraId="3149F0D4"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NA</w:t>
            </w:r>
          </w:p>
        </w:tc>
        <w:tc>
          <w:tcPr>
            <w:tcW w:w="2401" w:type="dxa"/>
            <w:vAlign w:val="center"/>
          </w:tcPr>
          <w:p w14:paraId="7CA8BC7E"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NA</w:t>
            </w:r>
          </w:p>
        </w:tc>
      </w:tr>
      <w:tr w:rsidR="00EC5563" w:rsidRPr="00DA3C6E" w14:paraId="389A78D9" w14:textId="77777777" w:rsidTr="00781FA6">
        <w:trPr>
          <w:trHeight w:val="174"/>
        </w:trPr>
        <w:tc>
          <w:tcPr>
            <w:tcW w:w="11547" w:type="dxa"/>
            <w:gridSpan w:val="5"/>
            <w:vAlign w:val="center"/>
          </w:tcPr>
          <w:p w14:paraId="6A184EAF" w14:textId="77777777" w:rsidR="00EC5563" w:rsidRPr="00DA3C6E" w:rsidRDefault="00EC5563"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szCs w:val="20"/>
              </w:rPr>
              <w:t>RCTs Trial setting</w:t>
            </w:r>
          </w:p>
        </w:tc>
        <w:tc>
          <w:tcPr>
            <w:tcW w:w="2401" w:type="dxa"/>
            <w:vAlign w:val="center"/>
          </w:tcPr>
          <w:p w14:paraId="418F7C25" w14:textId="77777777" w:rsidR="00EC5563" w:rsidRPr="00DA3C6E" w:rsidRDefault="00EC5563" w:rsidP="002614CC">
            <w:pPr>
              <w:keepNext/>
              <w:keepLines/>
              <w:spacing w:after="0" w:line="240" w:lineRule="auto"/>
              <w:jc w:val="left"/>
              <w:rPr>
                <w:rStyle w:val="SmallBold"/>
                <w:rFonts w:ascii="Arial Narrow" w:hAnsi="Arial Narrow"/>
                <w:szCs w:val="20"/>
              </w:rPr>
            </w:pPr>
          </w:p>
        </w:tc>
      </w:tr>
      <w:tr w:rsidR="00C67FE5" w:rsidRPr="00DA3C6E" w14:paraId="0D6F6C5D" w14:textId="77777777" w:rsidTr="00781FA6">
        <w:trPr>
          <w:trHeight w:val="183"/>
        </w:trPr>
        <w:tc>
          <w:tcPr>
            <w:tcW w:w="1129" w:type="dxa"/>
            <w:vAlign w:val="center"/>
          </w:tcPr>
          <w:p w14:paraId="191AFBC5" w14:textId="3230080B" w:rsidR="006274D1" w:rsidRPr="00DA3C6E" w:rsidRDefault="006274D1"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Azulay et al</w:t>
            </w:r>
            <w:r w:rsidR="0048635A" w:rsidRPr="00DA3C6E">
              <w:rPr>
                <w:rStyle w:val="SmallBold"/>
                <w:rFonts w:ascii="Arial Narrow" w:hAnsi="Arial Narrow"/>
                <w:b w:val="0"/>
                <w:szCs w:val="20"/>
              </w:rPr>
              <w:t>.</w:t>
            </w:r>
            <w:r w:rsidRPr="00DA3C6E">
              <w:rPr>
                <w:rStyle w:val="SmallBold"/>
                <w:rFonts w:ascii="Arial Narrow" w:hAnsi="Arial Narrow"/>
                <w:b w:val="0"/>
                <w:szCs w:val="20"/>
              </w:rPr>
              <w:t xml:space="preserve"> 1994</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4" w:tooltip="Azulay, 1994 #4" w:history="1">
              <w:r w:rsidR="00C04BCE" w:rsidRPr="00DA3C6E">
                <w:rPr>
                  <w:rStyle w:val="SmallBold"/>
                  <w:rFonts w:ascii="Arial Narrow" w:hAnsi="Arial Narrow"/>
                  <w:b w:val="0"/>
                  <w:noProof/>
                  <w:szCs w:val="20"/>
                </w:rPr>
                <w:t>24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694" w:type="dxa"/>
            <w:vAlign w:val="center"/>
          </w:tcPr>
          <w:p w14:paraId="3B396D5D"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0.4g/Kg/day for 5 consecutive days.</w:t>
            </w:r>
          </w:p>
        </w:tc>
        <w:tc>
          <w:tcPr>
            <w:tcW w:w="2976" w:type="dxa"/>
            <w:vAlign w:val="center"/>
          </w:tcPr>
          <w:p w14:paraId="2525567D"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8 weeks</w:t>
            </w:r>
          </w:p>
          <w:p w14:paraId="2473BAC0"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Patients received two treatment courses.</w:t>
            </w:r>
          </w:p>
        </w:tc>
        <w:tc>
          <w:tcPr>
            <w:tcW w:w="1418" w:type="dxa"/>
            <w:vAlign w:val="center"/>
          </w:tcPr>
          <w:p w14:paraId="06D01A37"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330" w:type="dxa"/>
            <w:vAlign w:val="center"/>
          </w:tcPr>
          <w:p w14:paraId="788A67E0" w14:textId="77777777" w:rsidR="006274D1" w:rsidRPr="00DA3C6E" w:rsidRDefault="00FD495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No differentiated induction and maintenance dosing. </w:t>
            </w:r>
          </w:p>
        </w:tc>
        <w:tc>
          <w:tcPr>
            <w:tcW w:w="2401" w:type="dxa"/>
            <w:vAlign w:val="center"/>
          </w:tcPr>
          <w:p w14:paraId="70BFE98B" w14:textId="77777777" w:rsidR="006274D1" w:rsidRPr="00DA3C6E" w:rsidRDefault="001F41AE"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2951E9EF" w14:textId="77777777" w:rsidTr="00781FA6">
        <w:trPr>
          <w:trHeight w:val="183"/>
        </w:trPr>
        <w:tc>
          <w:tcPr>
            <w:tcW w:w="1129" w:type="dxa"/>
            <w:vAlign w:val="center"/>
          </w:tcPr>
          <w:p w14:paraId="069CF0CC" w14:textId="028D09DF" w:rsidR="006274D1" w:rsidRPr="00DA3C6E" w:rsidRDefault="006274D1"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lang w:val="es-CL"/>
              </w:rPr>
              <w:t xml:space="preserve">Van den Berg et al.  </w:t>
            </w:r>
            <w:r w:rsidRPr="00DA3C6E">
              <w:rPr>
                <w:rStyle w:val="SmallBold"/>
                <w:rFonts w:ascii="Arial Narrow" w:hAnsi="Arial Narrow"/>
                <w:b w:val="0"/>
                <w:szCs w:val="20"/>
              </w:rPr>
              <w:t>1995</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5" w:tooltip="Van den Berg, 1995 #77" w:history="1">
              <w:r w:rsidR="00C04BCE" w:rsidRPr="00DA3C6E">
                <w:rPr>
                  <w:rStyle w:val="SmallBold"/>
                  <w:rFonts w:ascii="Arial Narrow" w:hAnsi="Arial Narrow"/>
                  <w:b w:val="0"/>
                  <w:noProof/>
                  <w:szCs w:val="20"/>
                </w:rPr>
                <w:t>25</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694" w:type="dxa"/>
            <w:vAlign w:val="center"/>
          </w:tcPr>
          <w:p w14:paraId="4DCE80C0"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0.4g/Kg/day for 5 consecutive days.</w:t>
            </w:r>
          </w:p>
        </w:tc>
        <w:tc>
          <w:tcPr>
            <w:tcW w:w="2976" w:type="dxa"/>
            <w:vAlign w:val="center"/>
          </w:tcPr>
          <w:p w14:paraId="062E19E6"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The minimal time interval between two treatment courses was one month. Patients received four treatment courses.</w:t>
            </w:r>
          </w:p>
        </w:tc>
        <w:tc>
          <w:tcPr>
            <w:tcW w:w="1418" w:type="dxa"/>
            <w:vAlign w:val="center"/>
          </w:tcPr>
          <w:p w14:paraId="31A43F5B"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330" w:type="dxa"/>
            <w:vAlign w:val="center"/>
          </w:tcPr>
          <w:p w14:paraId="051F65BF" w14:textId="77777777" w:rsidR="006274D1" w:rsidRPr="00DA3C6E" w:rsidRDefault="00FD495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No differentiated induction and maintenance dosing.</w:t>
            </w:r>
          </w:p>
        </w:tc>
        <w:tc>
          <w:tcPr>
            <w:tcW w:w="2401" w:type="dxa"/>
            <w:vAlign w:val="center"/>
          </w:tcPr>
          <w:p w14:paraId="208F0224" w14:textId="77777777" w:rsidR="006274D1" w:rsidRPr="00DA3C6E" w:rsidRDefault="00A5694A" w:rsidP="002614CC">
            <w:pPr>
              <w:keepNext/>
              <w:keepLines/>
              <w:spacing w:line="240" w:lineRule="auto"/>
              <w:ind w:left="0"/>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7DBB050F" w14:textId="77777777" w:rsidTr="00781FA6">
        <w:trPr>
          <w:trHeight w:val="183"/>
        </w:trPr>
        <w:tc>
          <w:tcPr>
            <w:tcW w:w="1129" w:type="dxa"/>
            <w:vAlign w:val="center"/>
          </w:tcPr>
          <w:p w14:paraId="46883AE8" w14:textId="7F4B8D15" w:rsidR="006274D1" w:rsidRPr="00DA3C6E" w:rsidRDefault="006274D1"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Federico et al. 2000</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6" w:tooltip="Federico, 2000 #20" w:history="1">
              <w:r w:rsidR="00C04BCE" w:rsidRPr="00DA3C6E">
                <w:rPr>
                  <w:rStyle w:val="SmallBold"/>
                  <w:rFonts w:ascii="Arial Narrow" w:hAnsi="Arial Narrow"/>
                  <w:b w:val="0"/>
                  <w:noProof/>
                  <w:szCs w:val="20"/>
                </w:rPr>
                <w:t>26</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694" w:type="dxa"/>
            <w:vAlign w:val="center"/>
          </w:tcPr>
          <w:p w14:paraId="7348C240"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0.4g/Kg/day for 5 consecutive days.</w:t>
            </w:r>
          </w:p>
        </w:tc>
        <w:tc>
          <w:tcPr>
            <w:tcW w:w="2976" w:type="dxa"/>
            <w:vAlign w:val="center"/>
          </w:tcPr>
          <w:p w14:paraId="495107A3"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Overall, all patients received the two treatments (placebo and IVIg) alternatively after 28 days.</w:t>
            </w:r>
          </w:p>
        </w:tc>
        <w:tc>
          <w:tcPr>
            <w:tcW w:w="1418" w:type="dxa"/>
            <w:vAlign w:val="center"/>
          </w:tcPr>
          <w:p w14:paraId="449ED1C1"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330" w:type="dxa"/>
            <w:vAlign w:val="center"/>
          </w:tcPr>
          <w:p w14:paraId="1BE1B547" w14:textId="77777777" w:rsidR="006274D1" w:rsidRPr="00DA3C6E" w:rsidRDefault="00FD495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No differentiated induction and maintenance dosing. </w:t>
            </w:r>
          </w:p>
        </w:tc>
        <w:tc>
          <w:tcPr>
            <w:tcW w:w="2401" w:type="dxa"/>
            <w:vAlign w:val="center"/>
          </w:tcPr>
          <w:p w14:paraId="3CF4284E" w14:textId="77777777" w:rsidR="006274D1" w:rsidRPr="00DA3C6E" w:rsidRDefault="00A5694A" w:rsidP="002614CC">
            <w:pPr>
              <w:pStyle w:val="ListParagraph"/>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29139B8A" w14:textId="77777777" w:rsidTr="00781FA6">
        <w:trPr>
          <w:trHeight w:val="183"/>
        </w:trPr>
        <w:tc>
          <w:tcPr>
            <w:tcW w:w="1129" w:type="dxa"/>
            <w:vAlign w:val="center"/>
          </w:tcPr>
          <w:p w14:paraId="0ABE10A8" w14:textId="5BA81A60" w:rsidR="006274D1" w:rsidRPr="00DA3C6E" w:rsidRDefault="006274D1" w:rsidP="00C04BCE">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rPr>
              <w:t>Leger et al. 2001</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7" w:tooltip="Leger, 2001 #39" w:history="1">
              <w:r w:rsidR="00C04BCE" w:rsidRPr="00DA3C6E">
                <w:rPr>
                  <w:rFonts w:ascii="Arial Narrow" w:hAnsi="Arial Narrow"/>
                  <w:noProof/>
                  <w:sz w:val="20"/>
                </w:rPr>
                <w:t>27</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2694" w:type="dxa"/>
            <w:vAlign w:val="center"/>
          </w:tcPr>
          <w:p w14:paraId="3891A86A"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0.5g/Kg/day for 5 consecutive days.</w:t>
            </w:r>
          </w:p>
        </w:tc>
        <w:tc>
          <w:tcPr>
            <w:tcW w:w="2976" w:type="dxa"/>
            <w:vAlign w:val="center"/>
          </w:tcPr>
          <w:p w14:paraId="46F6CADE"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4 weeks (once a month) for 3 months. Responders were re</w:t>
            </w:r>
            <w:r w:rsidR="00A10ABD" w:rsidRPr="00DA3C6E">
              <w:rPr>
                <w:rStyle w:val="SmallBold"/>
                <w:rFonts w:ascii="Arial Narrow" w:hAnsi="Arial Narrow"/>
                <w:b w:val="0"/>
                <w:szCs w:val="20"/>
              </w:rPr>
              <w:t>-</w:t>
            </w:r>
            <w:r w:rsidRPr="00DA3C6E">
              <w:rPr>
                <w:rStyle w:val="SmallBold"/>
                <w:rFonts w:ascii="Arial Narrow" w:hAnsi="Arial Narrow"/>
                <w:b w:val="0"/>
                <w:szCs w:val="20"/>
              </w:rPr>
              <w:t xml:space="preserve">treated for 3 additional months, non-responders were switched to alternate arm. </w:t>
            </w:r>
          </w:p>
        </w:tc>
        <w:tc>
          <w:tcPr>
            <w:tcW w:w="1418" w:type="dxa"/>
            <w:vAlign w:val="center"/>
          </w:tcPr>
          <w:p w14:paraId="04D170C2"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330" w:type="dxa"/>
            <w:vAlign w:val="center"/>
          </w:tcPr>
          <w:p w14:paraId="71DF683D"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No differentiated dos</w:t>
            </w:r>
            <w:r w:rsidR="00FD4951" w:rsidRPr="00DA3C6E">
              <w:rPr>
                <w:rStyle w:val="SmallBold"/>
                <w:rFonts w:ascii="Arial Narrow" w:hAnsi="Arial Narrow"/>
                <w:b w:val="0"/>
                <w:szCs w:val="20"/>
              </w:rPr>
              <w:t>ing</w:t>
            </w:r>
            <w:r w:rsidRPr="00DA3C6E">
              <w:rPr>
                <w:rStyle w:val="SmallBold"/>
                <w:rFonts w:ascii="Arial Narrow" w:hAnsi="Arial Narrow"/>
                <w:b w:val="0"/>
                <w:szCs w:val="20"/>
              </w:rPr>
              <w:t xml:space="preserve"> </w:t>
            </w:r>
            <w:r w:rsidR="003357B0" w:rsidRPr="00DA3C6E">
              <w:rPr>
                <w:rStyle w:val="SmallBold"/>
                <w:rFonts w:ascii="Arial Narrow" w:hAnsi="Arial Narrow"/>
                <w:b w:val="0"/>
                <w:szCs w:val="20"/>
              </w:rPr>
              <w:t xml:space="preserve">but the on treatment phase somehow reflects the assessment for response phase as in Australia. </w:t>
            </w:r>
          </w:p>
        </w:tc>
        <w:tc>
          <w:tcPr>
            <w:tcW w:w="2401" w:type="dxa"/>
            <w:vAlign w:val="center"/>
          </w:tcPr>
          <w:p w14:paraId="22AEDAFB" w14:textId="77777777" w:rsidR="006274D1" w:rsidRPr="00DA3C6E" w:rsidRDefault="00A5694A"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r w:rsidR="00C67FE5" w:rsidRPr="00DA3C6E" w14:paraId="0251261D" w14:textId="77777777" w:rsidTr="00781FA6">
        <w:trPr>
          <w:trHeight w:val="183"/>
        </w:trPr>
        <w:tc>
          <w:tcPr>
            <w:tcW w:w="1129" w:type="dxa"/>
            <w:vAlign w:val="center"/>
          </w:tcPr>
          <w:p w14:paraId="7042B421" w14:textId="44F9F8FB" w:rsidR="006274D1" w:rsidRPr="00DA3C6E" w:rsidRDefault="006274D1" w:rsidP="00C04BCE">
            <w:pPr>
              <w:keepNext/>
              <w:keepLines/>
              <w:spacing w:after="0" w:line="240" w:lineRule="auto"/>
              <w:ind w:left="0"/>
              <w:jc w:val="left"/>
              <w:rPr>
                <w:rFonts w:ascii="Arial Narrow" w:hAnsi="Arial Narrow"/>
                <w:sz w:val="20"/>
              </w:rPr>
            </w:pPr>
            <w:r w:rsidRPr="00DA3C6E">
              <w:rPr>
                <w:rFonts w:ascii="Arial Narrow" w:hAnsi="Arial Narrow"/>
                <w:sz w:val="20"/>
              </w:rPr>
              <w:t>Hahn et al. 2013</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8" w:tooltip="Hahn, 2013 #26" w:history="1">
              <w:r w:rsidR="00C04BCE" w:rsidRPr="00DA3C6E">
                <w:rPr>
                  <w:rFonts w:ascii="Arial Narrow" w:hAnsi="Arial Narrow"/>
                  <w:noProof/>
                  <w:sz w:val="20"/>
                </w:rPr>
                <w:t>28</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2694" w:type="dxa"/>
            <w:vAlign w:val="center"/>
          </w:tcPr>
          <w:p w14:paraId="4A053C44"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0.4 – 2g/kg body weight divided over ≤5 consecutive days.</w:t>
            </w:r>
          </w:p>
        </w:tc>
        <w:tc>
          <w:tcPr>
            <w:tcW w:w="2976" w:type="dxa"/>
            <w:vAlign w:val="center"/>
          </w:tcPr>
          <w:p w14:paraId="45E5D44B"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Every 2- 4 weeks for 12 week periods (3 open label IVIg and 2 blinded IVIg/placebo periods).</w:t>
            </w:r>
          </w:p>
        </w:tc>
        <w:tc>
          <w:tcPr>
            <w:tcW w:w="1418" w:type="dxa"/>
            <w:vAlign w:val="center"/>
          </w:tcPr>
          <w:p w14:paraId="1D0E280D" w14:textId="77777777" w:rsidR="006274D1" w:rsidRPr="00DA3C6E" w:rsidRDefault="006274D1"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1.17 (0.46)</w:t>
            </w:r>
          </w:p>
        </w:tc>
        <w:tc>
          <w:tcPr>
            <w:tcW w:w="3330" w:type="dxa"/>
            <w:vAlign w:val="center"/>
          </w:tcPr>
          <w:p w14:paraId="4323364A" w14:textId="77777777" w:rsidR="006274D1" w:rsidRPr="00DA3C6E" w:rsidRDefault="003357B0"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No differentiated dos</w:t>
            </w:r>
            <w:r w:rsidR="00FD4951" w:rsidRPr="00DA3C6E">
              <w:rPr>
                <w:rStyle w:val="SmallBold"/>
                <w:rFonts w:ascii="Arial Narrow" w:hAnsi="Arial Narrow"/>
                <w:b w:val="0"/>
                <w:szCs w:val="20"/>
              </w:rPr>
              <w:t>ing</w:t>
            </w:r>
            <w:r w:rsidRPr="00DA3C6E">
              <w:rPr>
                <w:rStyle w:val="SmallBold"/>
                <w:rFonts w:ascii="Arial Narrow" w:hAnsi="Arial Narrow"/>
                <w:b w:val="0"/>
                <w:szCs w:val="20"/>
              </w:rPr>
              <w:t xml:space="preserve"> but the on treatment phase somehow reflects the assessment for response phase as in Australia.</w:t>
            </w:r>
          </w:p>
        </w:tc>
        <w:tc>
          <w:tcPr>
            <w:tcW w:w="2401" w:type="dxa"/>
            <w:vAlign w:val="center"/>
          </w:tcPr>
          <w:p w14:paraId="38E69E3C" w14:textId="77777777" w:rsidR="006274D1" w:rsidRPr="00DA3C6E" w:rsidRDefault="00A5694A"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are unlikely to impact the Tx effect</w:t>
            </w:r>
          </w:p>
        </w:tc>
      </w:tr>
    </w:tbl>
    <w:p w14:paraId="7E2FD07E" w14:textId="77777777" w:rsidR="00A8013C" w:rsidRPr="00DA3C6E" w:rsidRDefault="005F48E8" w:rsidP="005F48E8">
      <w:pPr>
        <w:spacing w:after="0" w:line="240" w:lineRule="auto"/>
        <w:rPr>
          <w:rFonts w:ascii="Arial Narrow" w:hAnsi="Arial Narrow"/>
          <w:sz w:val="18"/>
          <w:szCs w:val="18"/>
        </w:rPr>
      </w:pPr>
      <w:r w:rsidRPr="00DA3C6E">
        <w:rPr>
          <w:rFonts w:ascii="Arial Narrow" w:hAnsi="Arial Narrow"/>
          <w:sz w:val="18"/>
          <w:szCs w:val="18"/>
        </w:rPr>
        <w:t xml:space="preserve">Abbreviations: IVIg = intravenous immunoglobulin; NA = not applicable; NR = not reported; RCTs = randomised controlled trials; Tx = treatment duration. </w:t>
      </w:r>
    </w:p>
    <w:p w14:paraId="0B5E6731" w14:textId="164DDBBA" w:rsidR="005F48E8" w:rsidRDefault="005F48E8" w:rsidP="0022396B">
      <w:pPr>
        <w:spacing w:line="240" w:lineRule="auto"/>
        <w:rPr>
          <w:rFonts w:ascii="Arial Narrow" w:hAnsi="Arial Narrow"/>
          <w:sz w:val="18"/>
          <w:szCs w:val="18"/>
        </w:rPr>
      </w:pPr>
      <w:r w:rsidRPr="00DA3C6E">
        <w:rPr>
          <w:rFonts w:ascii="Arial Narrow" w:hAnsi="Arial Narrow"/>
          <w:sz w:val="18"/>
          <w:szCs w:val="18"/>
        </w:rPr>
        <w:t xml:space="preserve">Note: </w:t>
      </w:r>
      <w:r w:rsidRPr="00DA3C6E">
        <w:rPr>
          <w:rFonts w:ascii="Arial Narrow" w:hAnsi="Arial Narrow"/>
          <w:sz w:val="18"/>
          <w:szCs w:val="18"/>
          <w:vertAlign w:val="superscript"/>
        </w:rPr>
        <w:t>a</w:t>
      </w:r>
      <w:r w:rsidRPr="00DA3C6E">
        <w:rPr>
          <w:rFonts w:ascii="Arial Narrow" w:hAnsi="Arial Narrow"/>
          <w:sz w:val="18"/>
          <w:szCs w:val="18"/>
        </w:rPr>
        <w:t xml:space="preserve">average per </w:t>
      </w:r>
      <w:r w:rsidR="00337243" w:rsidRPr="00DA3C6E">
        <w:rPr>
          <w:rFonts w:ascii="Arial Narrow" w:hAnsi="Arial Narrow"/>
          <w:sz w:val="18"/>
          <w:szCs w:val="18"/>
        </w:rPr>
        <w:t xml:space="preserve">month </w:t>
      </w:r>
      <w:r w:rsidR="00E84D4A" w:rsidRPr="00DA3C6E">
        <w:rPr>
          <w:rFonts w:ascii="Arial Narrow" w:hAnsi="Arial Narrow"/>
          <w:sz w:val="18"/>
          <w:szCs w:val="18"/>
        </w:rPr>
        <w:t xml:space="preserve">as per the NBA data provided for the </w:t>
      </w:r>
      <w:r w:rsidR="00A10ABD" w:rsidRPr="00DA3C6E">
        <w:rPr>
          <w:rFonts w:ascii="Arial Narrow" w:hAnsi="Arial Narrow"/>
          <w:sz w:val="18"/>
          <w:szCs w:val="18"/>
        </w:rPr>
        <w:t xml:space="preserve">1 July </w:t>
      </w:r>
      <w:r w:rsidR="00E84D4A" w:rsidRPr="00DA3C6E">
        <w:rPr>
          <w:rFonts w:ascii="Arial Narrow" w:hAnsi="Arial Narrow"/>
          <w:sz w:val="18"/>
          <w:szCs w:val="18"/>
        </w:rPr>
        <w:t>2018-</w:t>
      </w:r>
      <w:r w:rsidR="00A10ABD" w:rsidRPr="00DA3C6E">
        <w:rPr>
          <w:rFonts w:ascii="Arial Narrow" w:hAnsi="Arial Narrow"/>
          <w:sz w:val="18"/>
          <w:szCs w:val="18"/>
        </w:rPr>
        <w:t xml:space="preserve"> 30 June </w:t>
      </w:r>
      <w:r w:rsidR="00E84D4A" w:rsidRPr="00DA3C6E">
        <w:rPr>
          <w:rFonts w:ascii="Arial Narrow" w:hAnsi="Arial Narrow"/>
          <w:sz w:val="18"/>
          <w:szCs w:val="18"/>
        </w:rPr>
        <w:t>2019 period</w:t>
      </w:r>
      <w:r w:rsidR="00337243" w:rsidRPr="00DA3C6E">
        <w:rPr>
          <w:rFonts w:ascii="Arial Narrow" w:hAnsi="Arial Narrow"/>
          <w:sz w:val="18"/>
          <w:szCs w:val="18"/>
        </w:rPr>
        <w:t xml:space="preserve"> (transformation from 0.41 g/kg per episode considering a total of </w:t>
      </w:r>
      <w:r w:rsidR="00784696" w:rsidRPr="00DA3C6E">
        <w:rPr>
          <w:rFonts w:ascii="Arial Narrow" w:hAnsi="Arial Narrow"/>
          <w:sz w:val="18"/>
          <w:szCs w:val="18"/>
        </w:rPr>
        <w:t xml:space="preserve">14.79 </w:t>
      </w:r>
      <w:r w:rsidR="00337243" w:rsidRPr="00DA3C6E">
        <w:rPr>
          <w:rFonts w:ascii="Arial Narrow" w:hAnsi="Arial Narrow"/>
          <w:sz w:val="18"/>
          <w:szCs w:val="18"/>
        </w:rPr>
        <w:t>episodes per year</w:t>
      </w:r>
      <w:r w:rsidR="00544B82" w:rsidRPr="00DA3C6E">
        <w:rPr>
          <w:rFonts w:ascii="Arial Narrow" w:hAnsi="Arial Narrow"/>
          <w:sz w:val="18"/>
          <w:szCs w:val="18"/>
        </w:rPr>
        <w:t xml:space="preserve"> for the 2019 financial year only</w:t>
      </w:r>
      <w:r w:rsidR="00337243" w:rsidRPr="00DA3C6E">
        <w:rPr>
          <w:rFonts w:ascii="Arial Narrow" w:hAnsi="Arial Narrow"/>
          <w:sz w:val="18"/>
          <w:szCs w:val="18"/>
        </w:rPr>
        <w:t>).</w:t>
      </w:r>
      <w:r w:rsidR="00E84D4A" w:rsidRPr="00DA3C6E">
        <w:rPr>
          <w:rFonts w:ascii="Arial Narrow" w:hAnsi="Arial Narrow"/>
          <w:sz w:val="18"/>
          <w:szCs w:val="18"/>
        </w:rPr>
        <w:t xml:space="preserve"> </w:t>
      </w:r>
    </w:p>
    <w:p w14:paraId="43F31D53" w14:textId="28D5BC0F" w:rsidR="005E497B" w:rsidRDefault="005E497B" w:rsidP="0022396B">
      <w:pPr>
        <w:spacing w:line="240" w:lineRule="auto"/>
        <w:rPr>
          <w:rFonts w:ascii="Arial Narrow" w:hAnsi="Arial Narrow"/>
          <w:sz w:val="18"/>
          <w:szCs w:val="18"/>
        </w:rPr>
      </w:pPr>
    </w:p>
    <w:p w14:paraId="2A9C5C4C" w14:textId="77777777" w:rsidR="005E497B" w:rsidRPr="00DA3C6E" w:rsidRDefault="005E497B" w:rsidP="0022396B">
      <w:pPr>
        <w:spacing w:line="240" w:lineRule="auto"/>
        <w:rPr>
          <w:rFonts w:ascii="Arial Narrow" w:hAnsi="Arial Narrow"/>
          <w:sz w:val="18"/>
          <w:szCs w:val="18"/>
        </w:rPr>
        <w:sectPr w:rsidR="005E497B" w:rsidRPr="00DA3C6E" w:rsidSect="00734BA5">
          <w:pgSz w:w="16838" w:h="11906" w:orient="landscape"/>
          <w:pgMar w:top="1440" w:right="1440" w:bottom="1440" w:left="1440" w:header="720" w:footer="720" w:gutter="0"/>
          <w:paperSrc w:first="7" w:other="7"/>
          <w:cols w:space="720"/>
          <w:docGrid w:linePitch="299"/>
        </w:sectPr>
      </w:pPr>
    </w:p>
    <w:p w14:paraId="3FA97F1E" w14:textId="77777777" w:rsidR="00734BA5" w:rsidRPr="00DA3C6E" w:rsidRDefault="00734BA5" w:rsidP="00734BA5">
      <w:pPr>
        <w:pStyle w:val="Heading3"/>
      </w:pPr>
      <w:bookmarkStart w:id="232" w:name="_Toc37845753"/>
      <w:r w:rsidRPr="00DA3C6E">
        <w:lastRenderedPageBreak/>
        <w:t>C.2.3 Patient demographics and settings</w:t>
      </w:r>
      <w:bookmarkEnd w:id="232"/>
    </w:p>
    <w:p w14:paraId="647E8434" w14:textId="02552ECE" w:rsidR="00355D29" w:rsidRPr="00DA3C6E" w:rsidRDefault="00355D29" w:rsidP="00355D29">
      <w:r w:rsidRPr="00DA3C6E">
        <w:t xml:space="preserve">Another potential translation issue arises when the patient demographics show differences that may influence the treatment effect. </w:t>
      </w:r>
      <w:r w:rsidR="006D7948" w:rsidRPr="00DA3C6E">
        <w:t xml:space="preserve">The aim </w:t>
      </w:r>
      <w:r w:rsidRPr="00DA3C6E">
        <w:t xml:space="preserve">is </w:t>
      </w:r>
      <w:r w:rsidR="006D7948" w:rsidRPr="00DA3C6E">
        <w:t>to assess</w:t>
      </w:r>
      <w:r w:rsidRPr="00DA3C6E">
        <w:t xml:space="preserve"> how </w:t>
      </w:r>
      <w:r w:rsidR="00EA792B" w:rsidRPr="00DA3C6E">
        <w:t xml:space="preserve">the </w:t>
      </w:r>
      <w:r w:rsidR="006D7948" w:rsidRPr="00DA3C6E">
        <w:t>demographic</w:t>
      </w:r>
      <w:r w:rsidR="00EA792B" w:rsidRPr="00DA3C6E">
        <w:t xml:space="preserve"> characteristics</w:t>
      </w:r>
      <w:r w:rsidR="006D7948" w:rsidRPr="00DA3C6E">
        <w:t xml:space="preserve"> of patients treated with </w:t>
      </w:r>
      <w:r w:rsidR="00FD7A8E" w:rsidRPr="00DA3C6E">
        <w:t xml:space="preserve">intravenous Ig </w:t>
      </w:r>
      <w:r w:rsidR="006D7948" w:rsidRPr="00DA3C6E">
        <w:t xml:space="preserve">for MMN in the Australian setting differ to those </w:t>
      </w:r>
      <w:r w:rsidR="00EA792B" w:rsidRPr="00DA3C6E">
        <w:t>from</w:t>
      </w:r>
      <w:r w:rsidRPr="00DA3C6E">
        <w:t xml:space="preserve"> the clinical evidence. </w:t>
      </w:r>
      <w:r w:rsidR="006D7948" w:rsidRPr="00DA3C6E">
        <w:t xml:space="preserve">The NBA provided data collected from </w:t>
      </w:r>
      <w:r w:rsidRPr="00DA3C6E">
        <w:t xml:space="preserve">BloodSTAR </w:t>
      </w:r>
      <w:r w:rsidR="006D7948" w:rsidRPr="00DA3C6E">
        <w:t xml:space="preserve">which is summarised in </w:t>
      </w:r>
      <w:r w:rsidR="006D7948" w:rsidRPr="00DA3C6E">
        <w:fldChar w:fldCharType="begin"/>
      </w:r>
      <w:r w:rsidR="006D7948" w:rsidRPr="00DA3C6E">
        <w:instrText xml:space="preserve"> REF _Ref27398549 \h </w:instrText>
      </w:r>
      <w:r w:rsidR="00E8759F" w:rsidRPr="00DA3C6E">
        <w:instrText xml:space="preserve"> \* MERGEFORMAT </w:instrText>
      </w:r>
      <w:r w:rsidR="006D7948" w:rsidRPr="00DA3C6E">
        <w:fldChar w:fldCharType="separate"/>
      </w:r>
      <w:r w:rsidR="00EA5DC1" w:rsidRPr="00DA3C6E">
        <w:t xml:space="preserve">Table </w:t>
      </w:r>
      <w:r w:rsidR="00EA5DC1">
        <w:rPr>
          <w:noProof/>
        </w:rPr>
        <w:t>22</w:t>
      </w:r>
      <w:r w:rsidR="006D7948" w:rsidRPr="00DA3C6E">
        <w:fldChar w:fldCharType="end"/>
      </w:r>
      <w:r w:rsidR="006D7948" w:rsidRPr="00DA3C6E">
        <w:t xml:space="preserve"> and this </w:t>
      </w:r>
      <w:r w:rsidR="008E136F" w:rsidRPr="00DA3C6E">
        <w:t>was</w:t>
      </w:r>
      <w:r w:rsidR="006D7948" w:rsidRPr="00DA3C6E">
        <w:t xml:space="preserve"> compared to </w:t>
      </w:r>
      <w:r w:rsidR="00EA792B" w:rsidRPr="00DA3C6E">
        <w:t xml:space="preserve">those </w:t>
      </w:r>
      <w:r w:rsidR="006D7948" w:rsidRPr="00DA3C6E">
        <w:t xml:space="preserve">reported in the five RCTs. </w:t>
      </w:r>
      <w:r w:rsidR="00EA792B" w:rsidRPr="00DA3C6E">
        <w:t xml:space="preserve">In general, comparable information </w:t>
      </w:r>
      <w:r w:rsidR="0071475E" w:rsidRPr="00DA3C6E">
        <w:t xml:space="preserve">was </w:t>
      </w:r>
      <w:r w:rsidR="00EA792B" w:rsidRPr="00DA3C6E">
        <w:t xml:space="preserve">only available on age; </w:t>
      </w:r>
      <w:r w:rsidR="006160EA" w:rsidRPr="00DA3C6E">
        <w:t xml:space="preserve">patients </w:t>
      </w:r>
      <w:r w:rsidR="00EA792B" w:rsidRPr="00DA3C6E">
        <w:t xml:space="preserve">in Australia </w:t>
      </w:r>
      <w:r w:rsidR="006160EA" w:rsidRPr="00DA3C6E">
        <w:t xml:space="preserve">are generally adults. </w:t>
      </w:r>
      <w:r w:rsidR="00EA792B" w:rsidRPr="00DA3C6E">
        <w:t>Other characteristics</w:t>
      </w:r>
      <w:r w:rsidR="00784696" w:rsidRPr="00DA3C6E">
        <w:t xml:space="preserve"> such as</w:t>
      </w:r>
      <w:r w:rsidR="00EA792B" w:rsidRPr="00DA3C6E">
        <w:t xml:space="preserve"> mean weight (that influences the treatment dose) and disease duration (that may influence potential for response) were not consistently reported across the two populations. It is thus not possible to assess whether there are differences in these factors which influence the applicability of the data to the Australian treatment setting</w:t>
      </w:r>
      <w:r w:rsidR="006160EA" w:rsidRPr="00DA3C6E">
        <w:t xml:space="preserve">. </w:t>
      </w:r>
    </w:p>
    <w:p w14:paraId="64A2A4B7" w14:textId="6AA99ADA" w:rsidR="00734BA5" w:rsidRPr="00DA3C6E" w:rsidRDefault="00734BA5" w:rsidP="00734BA5">
      <w:pPr>
        <w:pStyle w:val="Caption"/>
      </w:pPr>
      <w:bookmarkStart w:id="233" w:name="_Ref27398549"/>
      <w:bookmarkStart w:id="234" w:name="_Toc37845825"/>
      <w:r w:rsidRPr="00DA3C6E">
        <w:t xml:space="preserve">Table </w:t>
      </w:r>
      <w:r w:rsidR="00515153">
        <w:fldChar w:fldCharType="begin"/>
      </w:r>
      <w:r w:rsidR="00515153">
        <w:instrText xml:space="preserve"> SEQ Table \* ARABIC </w:instrText>
      </w:r>
      <w:r w:rsidR="00515153">
        <w:fldChar w:fldCharType="separate"/>
      </w:r>
      <w:r w:rsidR="00EA5DC1">
        <w:rPr>
          <w:noProof/>
        </w:rPr>
        <w:t>22</w:t>
      </w:r>
      <w:r w:rsidR="00515153">
        <w:rPr>
          <w:noProof/>
        </w:rPr>
        <w:fldChar w:fldCharType="end"/>
      </w:r>
      <w:bookmarkEnd w:id="233"/>
      <w:r w:rsidRPr="00DA3C6E">
        <w:t>. Demographics of the MMN population as per the RCTs versus the Australian population</w:t>
      </w:r>
      <w:bookmarkEnd w:id="234"/>
    </w:p>
    <w:tbl>
      <w:tblPr>
        <w:tblStyle w:val="TableGrid"/>
        <w:tblW w:w="0" w:type="auto"/>
        <w:tblLook w:val="04A0" w:firstRow="1" w:lastRow="0" w:firstColumn="1" w:lastColumn="0" w:noHBand="0" w:noVBand="1"/>
        <w:tblCaption w:val="Table 22. Demographics of the MMN population as per the RCTs versus the Australian population"/>
      </w:tblPr>
      <w:tblGrid>
        <w:gridCol w:w="2353"/>
        <w:gridCol w:w="2279"/>
        <w:gridCol w:w="2282"/>
        <w:gridCol w:w="2102"/>
      </w:tblGrid>
      <w:tr w:rsidR="00734BA5" w:rsidRPr="00DA3C6E" w14:paraId="7A107F27" w14:textId="77777777" w:rsidTr="00D56F4F">
        <w:trPr>
          <w:trHeight w:val="199"/>
          <w:tblHeader/>
        </w:trPr>
        <w:tc>
          <w:tcPr>
            <w:tcW w:w="2353" w:type="dxa"/>
          </w:tcPr>
          <w:p w14:paraId="4E95FAEA" w14:textId="77777777" w:rsidR="00734BA5" w:rsidRPr="00DA3C6E" w:rsidRDefault="00734BA5" w:rsidP="00E07080">
            <w:pPr>
              <w:keepNext/>
              <w:keepLines/>
              <w:spacing w:after="0" w:line="240" w:lineRule="auto"/>
              <w:ind w:left="0"/>
              <w:rPr>
                <w:rStyle w:val="SmallBold"/>
                <w:rFonts w:ascii="Arial Narrow" w:hAnsi="Arial Narrow"/>
                <w:szCs w:val="20"/>
              </w:rPr>
            </w:pPr>
          </w:p>
        </w:tc>
        <w:tc>
          <w:tcPr>
            <w:tcW w:w="2279" w:type="dxa"/>
          </w:tcPr>
          <w:p w14:paraId="6AC7B534" w14:textId="77777777" w:rsidR="00734BA5" w:rsidRPr="00DA3C6E" w:rsidRDefault="00734BA5" w:rsidP="00E07080">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Age , years (range)</w:t>
            </w:r>
          </w:p>
        </w:tc>
        <w:tc>
          <w:tcPr>
            <w:tcW w:w="2282" w:type="dxa"/>
          </w:tcPr>
          <w:p w14:paraId="0A7F6FB3" w14:textId="77777777" w:rsidR="00734BA5" w:rsidRPr="00DA3C6E" w:rsidRDefault="00734BA5" w:rsidP="00E07080">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Mean weight, Kg (SD)</w:t>
            </w:r>
          </w:p>
        </w:tc>
        <w:tc>
          <w:tcPr>
            <w:tcW w:w="2102" w:type="dxa"/>
          </w:tcPr>
          <w:p w14:paraId="55ECD767" w14:textId="77777777" w:rsidR="00734BA5" w:rsidRPr="00DA3C6E" w:rsidRDefault="00734BA5" w:rsidP="00E07080">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Disease duration (SD)</w:t>
            </w:r>
          </w:p>
        </w:tc>
      </w:tr>
      <w:tr w:rsidR="00734BA5" w:rsidRPr="00DA3C6E" w14:paraId="59B978B9" w14:textId="77777777" w:rsidTr="00E07080">
        <w:trPr>
          <w:trHeight w:val="208"/>
        </w:trPr>
        <w:tc>
          <w:tcPr>
            <w:tcW w:w="2353" w:type="dxa"/>
          </w:tcPr>
          <w:p w14:paraId="65EAFB38" w14:textId="77777777" w:rsidR="00734BA5" w:rsidRPr="00DA3C6E" w:rsidRDefault="00734BA5" w:rsidP="00E07080">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BloodStar</w:t>
            </w:r>
          </w:p>
        </w:tc>
        <w:tc>
          <w:tcPr>
            <w:tcW w:w="2279" w:type="dxa"/>
          </w:tcPr>
          <w:p w14:paraId="02B47D85"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59 (5-90)</w:t>
            </w:r>
          </w:p>
        </w:tc>
        <w:tc>
          <w:tcPr>
            <w:tcW w:w="2282" w:type="dxa"/>
          </w:tcPr>
          <w:p w14:paraId="6140198D"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81 (17)</w:t>
            </w:r>
          </w:p>
        </w:tc>
        <w:tc>
          <w:tcPr>
            <w:tcW w:w="2102" w:type="dxa"/>
          </w:tcPr>
          <w:p w14:paraId="732125F1"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r>
      <w:tr w:rsidR="00734BA5" w:rsidRPr="00DA3C6E" w14:paraId="68091BA5" w14:textId="77777777" w:rsidTr="00E07080">
        <w:trPr>
          <w:trHeight w:val="170"/>
        </w:trPr>
        <w:tc>
          <w:tcPr>
            <w:tcW w:w="6914" w:type="dxa"/>
            <w:gridSpan w:val="3"/>
          </w:tcPr>
          <w:p w14:paraId="3B5939E2" w14:textId="77777777" w:rsidR="00734BA5" w:rsidRPr="00DA3C6E" w:rsidRDefault="00734BA5" w:rsidP="00E07080">
            <w:pPr>
              <w:keepNext/>
              <w:keepLines/>
              <w:spacing w:after="0" w:line="240" w:lineRule="auto"/>
              <w:ind w:left="0"/>
              <w:rPr>
                <w:rStyle w:val="SmallBold"/>
                <w:rFonts w:ascii="Arial Narrow" w:hAnsi="Arial Narrow"/>
                <w:szCs w:val="20"/>
              </w:rPr>
            </w:pPr>
            <w:r w:rsidRPr="00DA3C6E">
              <w:rPr>
                <w:rStyle w:val="SmallBold"/>
                <w:rFonts w:ascii="Arial Narrow" w:hAnsi="Arial Narrow"/>
                <w:szCs w:val="20"/>
              </w:rPr>
              <w:t>RCTs</w:t>
            </w:r>
          </w:p>
        </w:tc>
        <w:tc>
          <w:tcPr>
            <w:tcW w:w="2102" w:type="dxa"/>
          </w:tcPr>
          <w:p w14:paraId="690E636C" w14:textId="77777777" w:rsidR="00734BA5" w:rsidRPr="00DA3C6E" w:rsidRDefault="00734BA5" w:rsidP="00E07080">
            <w:pPr>
              <w:keepNext/>
              <w:keepLines/>
              <w:spacing w:after="0" w:line="240" w:lineRule="auto"/>
              <w:rPr>
                <w:rStyle w:val="SmallBold"/>
                <w:rFonts w:ascii="Arial Narrow" w:hAnsi="Arial Narrow"/>
                <w:szCs w:val="20"/>
              </w:rPr>
            </w:pPr>
          </w:p>
        </w:tc>
      </w:tr>
      <w:tr w:rsidR="00734BA5" w:rsidRPr="00DA3C6E" w14:paraId="3CA9282A" w14:textId="77777777" w:rsidTr="00E07080">
        <w:trPr>
          <w:trHeight w:val="199"/>
        </w:trPr>
        <w:tc>
          <w:tcPr>
            <w:tcW w:w="2353" w:type="dxa"/>
          </w:tcPr>
          <w:p w14:paraId="40767AFC" w14:textId="33BF4B77" w:rsidR="00734BA5" w:rsidRPr="00DA3C6E" w:rsidRDefault="00734BA5" w:rsidP="00C04BCE">
            <w:pPr>
              <w:keepNext/>
              <w:keepLines/>
              <w:spacing w:after="0" w:line="240" w:lineRule="auto"/>
              <w:ind w:left="0"/>
              <w:rPr>
                <w:rStyle w:val="SmallBold"/>
                <w:rFonts w:ascii="Arial Narrow" w:hAnsi="Arial Narrow"/>
                <w:szCs w:val="20"/>
              </w:rPr>
            </w:pPr>
            <w:r w:rsidRPr="00DA3C6E">
              <w:rPr>
                <w:rStyle w:val="SmallBold"/>
                <w:rFonts w:ascii="Arial Narrow" w:hAnsi="Arial Narrow"/>
                <w:b w:val="0"/>
                <w:szCs w:val="20"/>
              </w:rPr>
              <w:t>Azulay et al</w:t>
            </w:r>
            <w:r w:rsidR="0071475E" w:rsidRPr="00DA3C6E">
              <w:rPr>
                <w:rStyle w:val="SmallBold"/>
                <w:rFonts w:ascii="Arial Narrow" w:hAnsi="Arial Narrow"/>
                <w:b w:val="0"/>
                <w:szCs w:val="20"/>
              </w:rPr>
              <w:t>.</w:t>
            </w:r>
            <w:r w:rsidRPr="00DA3C6E">
              <w:rPr>
                <w:rStyle w:val="SmallBold"/>
                <w:rFonts w:ascii="Arial Narrow" w:hAnsi="Arial Narrow"/>
                <w:b w:val="0"/>
                <w:szCs w:val="20"/>
              </w:rPr>
              <w:t xml:space="preserve"> 1994</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4" w:tooltip="Azulay, 1994 #4" w:history="1">
              <w:r w:rsidR="00C04BCE" w:rsidRPr="00DA3C6E">
                <w:rPr>
                  <w:rStyle w:val="SmallBold"/>
                  <w:rFonts w:ascii="Arial Narrow" w:hAnsi="Arial Narrow"/>
                  <w:b w:val="0"/>
                  <w:noProof/>
                  <w:szCs w:val="20"/>
                </w:rPr>
                <w:t>24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279" w:type="dxa"/>
          </w:tcPr>
          <w:p w14:paraId="1C58DA8F"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48.4 (41-63)*</w:t>
            </w:r>
          </w:p>
        </w:tc>
        <w:tc>
          <w:tcPr>
            <w:tcW w:w="2282" w:type="dxa"/>
          </w:tcPr>
          <w:p w14:paraId="17C55E98"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c>
          <w:tcPr>
            <w:tcW w:w="2102" w:type="dxa"/>
          </w:tcPr>
          <w:p w14:paraId="09CA9B01"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7.78 (4.5)</w:t>
            </w:r>
          </w:p>
        </w:tc>
      </w:tr>
      <w:tr w:rsidR="00734BA5" w:rsidRPr="00DA3C6E" w14:paraId="0D7E4DE5" w14:textId="77777777" w:rsidTr="00E07080">
        <w:trPr>
          <w:trHeight w:val="199"/>
        </w:trPr>
        <w:tc>
          <w:tcPr>
            <w:tcW w:w="2353" w:type="dxa"/>
          </w:tcPr>
          <w:p w14:paraId="4076B2F1" w14:textId="41D630F7" w:rsidR="00734BA5" w:rsidRPr="00DA3C6E" w:rsidRDefault="00BE7F1B" w:rsidP="00C04BCE">
            <w:pPr>
              <w:keepNext/>
              <w:keepLines/>
              <w:spacing w:after="0" w:line="240" w:lineRule="auto"/>
              <w:ind w:left="0"/>
              <w:rPr>
                <w:rStyle w:val="SmallBold"/>
                <w:rFonts w:ascii="Arial Narrow" w:hAnsi="Arial Narrow"/>
                <w:szCs w:val="20"/>
              </w:rPr>
            </w:pPr>
            <w:r>
              <w:rPr>
                <w:rStyle w:val="SmallBold"/>
                <w:rFonts w:ascii="Arial Narrow" w:hAnsi="Arial Narrow"/>
                <w:b w:val="0"/>
                <w:szCs w:val="20"/>
                <w:lang w:val="es-CL"/>
              </w:rPr>
              <w:t>Van den Berg et al.</w:t>
            </w:r>
            <w:r w:rsidR="00734BA5" w:rsidRPr="00DA3C6E">
              <w:rPr>
                <w:rStyle w:val="SmallBold"/>
                <w:rFonts w:ascii="Arial Narrow" w:hAnsi="Arial Narrow"/>
                <w:b w:val="0"/>
                <w:szCs w:val="20"/>
                <w:lang w:val="es-CL"/>
              </w:rPr>
              <w:t xml:space="preserve"> </w:t>
            </w:r>
            <w:r w:rsidR="00734BA5" w:rsidRPr="00DA3C6E">
              <w:rPr>
                <w:rStyle w:val="SmallBold"/>
                <w:rFonts w:ascii="Arial Narrow" w:hAnsi="Arial Narrow"/>
                <w:b w:val="0"/>
                <w:szCs w:val="20"/>
              </w:rPr>
              <w:t>1995</w:t>
            </w:r>
            <w:r>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5" w:tooltip="Van den Berg, 1995 #77" w:history="1">
              <w:r w:rsidR="00C04BCE" w:rsidRPr="00DA3C6E">
                <w:rPr>
                  <w:rStyle w:val="SmallBold"/>
                  <w:rFonts w:ascii="Arial Narrow" w:hAnsi="Arial Narrow"/>
                  <w:b w:val="0"/>
                  <w:noProof/>
                  <w:szCs w:val="20"/>
                </w:rPr>
                <w:t>25</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279" w:type="dxa"/>
          </w:tcPr>
          <w:p w14:paraId="24BB9FAB"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47 (NR)</w:t>
            </w:r>
          </w:p>
        </w:tc>
        <w:tc>
          <w:tcPr>
            <w:tcW w:w="2282" w:type="dxa"/>
          </w:tcPr>
          <w:p w14:paraId="4CE92DF9"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c>
          <w:tcPr>
            <w:tcW w:w="2102" w:type="dxa"/>
          </w:tcPr>
          <w:p w14:paraId="289594E8"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6.00 (2.1)</w:t>
            </w:r>
          </w:p>
        </w:tc>
      </w:tr>
      <w:tr w:rsidR="00734BA5" w:rsidRPr="00DA3C6E" w14:paraId="5FA2FEF7" w14:textId="77777777" w:rsidTr="00E07080">
        <w:trPr>
          <w:trHeight w:val="199"/>
        </w:trPr>
        <w:tc>
          <w:tcPr>
            <w:tcW w:w="2353" w:type="dxa"/>
          </w:tcPr>
          <w:p w14:paraId="417EF3DA" w14:textId="79DBE8D7" w:rsidR="00734BA5" w:rsidRPr="00DA3C6E" w:rsidRDefault="00734BA5" w:rsidP="00C04BCE">
            <w:pPr>
              <w:keepNext/>
              <w:keepLines/>
              <w:spacing w:after="0" w:line="240" w:lineRule="auto"/>
              <w:ind w:left="0"/>
              <w:rPr>
                <w:rStyle w:val="SmallBold"/>
                <w:rFonts w:ascii="Arial Narrow" w:hAnsi="Arial Narrow"/>
                <w:szCs w:val="20"/>
              </w:rPr>
            </w:pPr>
            <w:r w:rsidRPr="00DA3C6E">
              <w:rPr>
                <w:rStyle w:val="SmallBold"/>
                <w:rFonts w:ascii="Arial Narrow" w:hAnsi="Arial Narrow"/>
                <w:b w:val="0"/>
                <w:szCs w:val="20"/>
              </w:rPr>
              <w:t>Federico et al. 2000</w:t>
            </w:r>
            <w:r w:rsidR="00BE7F1B">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6" w:tooltip="Federico, 2000 #20" w:history="1">
              <w:r w:rsidR="00C04BCE" w:rsidRPr="00DA3C6E">
                <w:rPr>
                  <w:rStyle w:val="SmallBold"/>
                  <w:rFonts w:ascii="Arial Narrow" w:hAnsi="Arial Narrow"/>
                  <w:b w:val="0"/>
                  <w:noProof/>
                  <w:szCs w:val="20"/>
                </w:rPr>
                <w:t>26</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279" w:type="dxa"/>
          </w:tcPr>
          <w:p w14:paraId="3E5DCBBC"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38.9 (NR)</w:t>
            </w:r>
          </w:p>
        </w:tc>
        <w:tc>
          <w:tcPr>
            <w:tcW w:w="2282" w:type="dxa"/>
          </w:tcPr>
          <w:p w14:paraId="2F5DC776"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c>
          <w:tcPr>
            <w:tcW w:w="2102" w:type="dxa"/>
          </w:tcPr>
          <w:p w14:paraId="3BB9BD61"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6.17 (4.8)</w:t>
            </w:r>
          </w:p>
        </w:tc>
      </w:tr>
      <w:tr w:rsidR="00734BA5" w:rsidRPr="00DA3C6E" w14:paraId="6FDD16E4" w14:textId="77777777" w:rsidTr="00E07080">
        <w:trPr>
          <w:trHeight w:val="199"/>
        </w:trPr>
        <w:tc>
          <w:tcPr>
            <w:tcW w:w="2353" w:type="dxa"/>
          </w:tcPr>
          <w:p w14:paraId="0B1C2393" w14:textId="41F0C4A3" w:rsidR="00734BA5" w:rsidRPr="00DA3C6E" w:rsidRDefault="00734BA5" w:rsidP="00C04BCE">
            <w:pPr>
              <w:keepNext/>
              <w:keepLines/>
              <w:spacing w:after="0" w:line="240" w:lineRule="auto"/>
              <w:ind w:left="0"/>
              <w:rPr>
                <w:rStyle w:val="SmallBold"/>
                <w:rFonts w:ascii="Arial Narrow" w:hAnsi="Arial Narrow"/>
                <w:szCs w:val="20"/>
              </w:rPr>
            </w:pPr>
            <w:r w:rsidRPr="00DA3C6E">
              <w:rPr>
                <w:rFonts w:ascii="Arial Narrow" w:hAnsi="Arial Narrow"/>
                <w:sz w:val="20"/>
              </w:rPr>
              <w:t>Leger et al. 2001</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7" w:tooltip="Leger, 2001 #39" w:history="1">
              <w:r w:rsidR="00C04BCE" w:rsidRPr="00DA3C6E">
                <w:rPr>
                  <w:rFonts w:ascii="Arial Narrow" w:hAnsi="Arial Narrow"/>
                  <w:noProof/>
                  <w:sz w:val="20"/>
                </w:rPr>
                <w:t>27</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2279" w:type="dxa"/>
          </w:tcPr>
          <w:p w14:paraId="518D69B6"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54.6 (40-65)</w:t>
            </w:r>
          </w:p>
        </w:tc>
        <w:tc>
          <w:tcPr>
            <w:tcW w:w="2282" w:type="dxa"/>
          </w:tcPr>
          <w:p w14:paraId="391D4482"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c>
          <w:tcPr>
            <w:tcW w:w="2102" w:type="dxa"/>
          </w:tcPr>
          <w:p w14:paraId="32D9FD74"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9.8 (8.7)</w:t>
            </w:r>
          </w:p>
        </w:tc>
      </w:tr>
      <w:tr w:rsidR="00734BA5" w:rsidRPr="00DA3C6E" w14:paraId="0D5EC31D" w14:textId="77777777" w:rsidTr="00E07080">
        <w:trPr>
          <w:trHeight w:val="199"/>
        </w:trPr>
        <w:tc>
          <w:tcPr>
            <w:tcW w:w="2353" w:type="dxa"/>
          </w:tcPr>
          <w:p w14:paraId="0FC41B2C" w14:textId="427FCE44" w:rsidR="00734BA5" w:rsidRPr="00DA3C6E" w:rsidRDefault="00734BA5" w:rsidP="00C04BCE">
            <w:pPr>
              <w:keepNext/>
              <w:keepLines/>
              <w:spacing w:after="0" w:line="240" w:lineRule="auto"/>
              <w:ind w:left="0"/>
              <w:rPr>
                <w:rStyle w:val="SmallBold"/>
                <w:rFonts w:ascii="Arial Narrow" w:hAnsi="Arial Narrow"/>
                <w:szCs w:val="20"/>
              </w:rPr>
            </w:pPr>
            <w:r w:rsidRPr="00DA3C6E">
              <w:rPr>
                <w:rFonts w:ascii="Arial Narrow" w:hAnsi="Arial Narrow"/>
                <w:sz w:val="20"/>
              </w:rPr>
              <w:t>Hahn et al. 2013</w:t>
            </w:r>
            <w:r w:rsidR="00BE7F1B">
              <w:rPr>
                <w:rFonts w:ascii="Arial Narrow" w:hAnsi="Arial Narrow"/>
                <w:sz w:val="20"/>
              </w:rPr>
              <w:t xml:space="preserve"> </w: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8" w:tooltip="Hahn, 2013 #26" w:history="1">
              <w:r w:rsidR="00C04BCE" w:rsidRPr="00DA3C6E">
                <w:rPr>
                  <w:rFonts w:ascii="Arial Narrow" w:hAnsi="Arial Narrow"/>
                  <w:noProof/>
                  <w:sz w:val="20"/>
                </w:rPr>
                <w:t>28</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2279" w:type="dxa"/>
          </w:tcPr>
          <w:p w14:paraId="715321A7"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51.64 (31-72)</w:t>
            </w:r>
          </w:p>
        </w:tc>
        <w:tc>
          <w:tcPr>
            <w:tcW w:w="2282" w:type="dxa"/>
          </w:tcPr>
          <w:p w14:paraId="1D3EE620"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c>
          <w:tcPr>
            <w:tcW w:w="2102" w:type="dxa"/>
          </w:tcPr>
          <w:p w14:paraId="110F272E" w14:textId="77777777" w:rsidR="00734BA5" w:rsidRPr="00DA3C6E" w:rsidRDefault="00734BA5" w:rsidP="00E07080">
            <w:pPr>
              <w:keepNext/>
              <w:keepLines/>
              <w:spacing w:after="0" w:line="240" w:lineRule="auto"/>
              <w:ind w:left="0"/>
              <w:rPr>
                <w:rStyle w:val="SmallBold"/>
                <w:rFonts w:ascii="Arial Narrow" w:hAnsi="Arial Narrow"/>
                <w:b w:val="0"/>
                <w:szCs w:val="20"/>
              </w:rPr>
            </w:pPr>
            <w:r w:rsidRPr="00DA3C6E">
              <w:rPr>
                <w:rStyle w:val="SmallBold"/>
                <w:rFonts w:ascii="Arial Narrow" w:hAnsi="Arial Narrow"/>
                <w:b w:val="0"/>
                <w:szCs w:val="20"/>
              </w:rPr>
              <w:t>NR</w:t>
            </w:r>
          </w:p>
        </w:tc>
      </w:tr>
    </w:tbl>
    <w:p w14:paraId="076FFA3E" w14:textId="77777777" w:rsidR="00734BA5" w:rsidRPr="00DA3C6E" w:rsidRDefault="00734BA5" w:rsidP="00734BA5">
      <w:pPr>
        <w:spacing w:after="0" w:line="240" w:lineRule="auto"/>
        <w:rPr>
          <w:rFonts w:ascii="Arial Narrow" w:hAnsi="Arial Narrow"/>
          <w:sz w:val="18"/>
          <w:szCs w:val="18"/>
        </w:rPr>
      </w:pPr>
      <w:r w:rsidRPr="00DA3C6E">
        <w:rPr>
          <w:rFonts w:ascii="Arial Narrow" w:hAnsi="Arial Narrow"/>
          <w:sz w:val="18"/>
          <w:szCs w:val="18"/>
        </w:rPr>
        <w:t>Abbreviations:</w:t>
      </w:r>
      <w:r w:rsidR="006160EA" w:rsidRPr="00DA3C6E">
        <w:rPr>
          <w:rFonts w:ascii="Arial Narrow" w:hAnsi="Arial Narrow"/>
          <w:sz w:val="18"/>
          <w:szCs w:val="18"/>
        </w:rPr>
        <w:t xml:space="preserve"> KG = kilograms; NR = not reported; RCTs = randomised controlled trials; SD = standard deviation. </w:t>
      </w:r>
    </w:p>
    <w:p w14:paraId="6DDFD3AB" w14:textId="77777777" w:rsidR="00734BA5" w:rsidRPr="00DA3C6E" w:rsidRDefault="00734BA5" w:rsidP="00734BA5">
      <w:pPr>
        <w:spacing w:after="0" w:line="240" w:lineRule="auto"/>
        <w:rPr>
          <w:rFonts w:ascii="Arial Narrow" w:hAnsi="Arial Narrow"/>
          <w:sz w:val="18"/>
          <w:szCs w:val="18"/>
        </w:rPr>
      </w:pPr>
      <w:r w:rsidRPr="00DA3C6E">
        <w:rPr>
          <w:rFonts w:ascii="Arial Narrow" w:hAnsi="Arial Narrow"/>
          <w:sz w:val="18"/>
          <w:szCs w:val="18"/>
        </w:rPr>
        <w:t xml:space="preserve">Note: *age at onset. </w:t>
      </w:r>
    </w:p>
    <w:p w14:paraId="3EC83B56" w14:textId="77777777" w:rsidR="006160EA" w:rsidRPr="00DA3C6E" w:rsidRDefault="006160EA" w:rsidP="006160EA">
      <w:pPr>
        <w:pStyle w:val="Heading3"/>
      </w:pPr>
      <w:bookmarkStart w:id="235" w:name="_Toc37845754"/>
      <w:r w:rsidRPr="00DA3C6E">
        <w:t>C.2.4 Outcome measurement tools</w:t>
      </w:r>
      <w:bookmarkEnd w:id="235"/>
    </w:p>
    <w:p w14:paraId="22992198" w14:textId="4DE51B6B" w:rsidR="0073229C" w:rsidRPr="00DA3C6E" w:rsidRDefault="00C965D7" w:rsidP="00C965D7">
      <w:r w:rsidRPr="00DA3C6E">
        <w:t>The different way</w:t>
      </w:r>
      <w:r w:rsidR="0030167E" w:rsidRPr="00DA3C6E">
        <w:t>s</w:t>
      </w:r>
      <w:r w:rsidRPr="00DA3C6E">
        <w:t xml:space="preserve"> outcomes </w:t>
      </w:r>
      <w:r w:rsidR="00FD7A8E" w:rsidRPr="00DA3C6E">
        <w:t xml:space="preserve">were </w:t>
      </w:r>
      <w:r w:rsidRPr="00DA3C6E">
        <w:t xml:space="preserve">measured may also </w:t>
      </w:r>
      <w:r w:rsidR="006A0222" w:rsidRPr="00DA3C6E">
        <w:t>reflect</w:t>
      </w:r>
      <w:r w:rsidRPr="00DA3C6E">
        <w:t xml:space="preserve"> a </w:t>
      </w:r>
      <w:r w:rsidR="006A0222" w:rsidRPr="00DA3C6E">
        <w:t xml:space="preserve">potential </w:t>
      </w:r>
      <w:r w:rsidRPr="00DA3C6E">
        <w:t xml:space="preserve">translational issue if this is not consistent between the trials and current practice. </w:t>
      </w:r>
      <w:r w:rsidR="006A0222" w:rsidRPr="00DA3C6E">
        <w:t xml:space="preserve">In fact, the tools used to measure the two main clinical outcomes in MMN, muscle strength and disability, differ greatly between the trials and compared to the Australian setting as well. </w:t>
      </w:r>
      <w:r w:rsidR="0073229C" w:rsidRPr="00DA3C6E">
        <w:t xml:space="preserve">The measurement tools used to measure muscle strength and disability in the RCTs and Australian setting are summarised in </w:t>
      </w:r>
      <w:r w:rsidR="0073229C" w:rsidRPr="00DA3C6E">
        <w:fldChar w:fldCharType="begin"/>
      </w:r>
      <w:r w:rsidR="0073229C" w:rsidRPr="00DA3C6E">
        <w:instrText xml:space="preserve"> REF _Ref27405787 \h </w:instrText>
      </w:r>
      <w:r w:rsidR="00E8759F" w:rsidRPr="00DA3C6E">
        <w:instrText xml:space="preserve"> \* MERGEFORMAT </w:instrText>
      </w:r>
      <w:r w:rsidR="0073229C" w:rsidRPr="00DA3C6E">
        <w:fldChar w:fldCharType="separate"/>
      </w:r>
      <w:r w:rsidR="00EA5DC1" w:rsidRPr="00DA3C6E">
        <w:t xml:space="preserve">Table </w:t>
      </w:r>
      <w:r w:rsidR="00EA5DC1">
        <w:rPr>
          <w:noProof/>
        </w:rPr>
        <w:t>23</w:t>
      </w:r>
      <w:r w:rsidR="0073229C" w:rsidRPr="00DA3C6E">
        <w:fldChar w:fldCharType="end"/>
      </w:r>
      <w:r w:rsidR="0073229C" w:rsidRPr="00DA3C6E">
        <w:t xml:space="preserve">. </w:t>
      </w:r>
    </w:p>
    <w:p w14:paraId="67AA8567" w14:textId="20800040" w:rsidR="00147F93" w:rsidRPr="00DA3C6E" w:rsidRDefault="006A0222" w:rsidP="00C965D7">
      <w:r w:rsidRPr="00DA3C6E">
        <w:t xml:space="preserve">The Criteria </w:t>
      </w:r>
      <w:r w:rsidR="0030167E" w:rsidRPr="00DA3C6E">
        <w:t>V</w:t>
      </w:r>
      <w:r w:rsidRPr="00DA3C6E">
        <w:t xml:space="preserve">3 does not specify </w:t>
      </w:r>
      <w:r w:rsidR="00B30C0D" w:rsidRPr="00DA3C6E">
        <w:t>a tool for measuring muscle strength however</w:t>
      </w:r>
      <w:r w:rsidR="00E07080" w:rsidRPr="00DA3C6E">
        <w:t>,</w:t>
      </w:r>
      <w:r w:rsidR="00B30C0D" w:rsidRPr="00DA3C6E">
        <w:t xml:space="preserve"> for disability</w:t>
      </w:r>
      <w:r w:rsidR="00E07080" w:rsidRPr="00DA3C6E">
        <w:t>,</w:t>
      </w:r>
      <w:r w:rsidR="00B30C0D" w:rsidRPr="00DA3C6E">
        <w:t xml:space="preserve"> the ONLS </w:t>
      </w:r>
      <w:r w:rsidR="00E07080" w:rsidRPr="00DA3C6E">
        <w:t xml:space="preserve">is </w:t>
      </w:r>
      <w:r w:rsidR="00B30C0D" w:rsidRPr="00DA3C6E">
        <w:t xml:space="preserve">recommended. Overall, in the current Australian setting, a patient needs to show an improvement (or remain stable) in terms of muscle strength and show an improvement in the ONLS to become eligible for continuing authorisation of </w:t>
      </w:r>
      <w:r w:rsidR="009932A3" w:rsidRPr="00DA3C6E">
        <w:t xml:space="preserve">intravenous Ig </w:t>
      </w:r>
      <w:r w:rsidR="00B30C0D" w:rsidRPr="00DA3C6E">
        <w:t xml:space="preserve">use. </w:t>
      </w:r>
      <w:r w:rsidR="007E1085" w:rsidRPr="00DA3C6E">
        <w:t xml:space="preserve">Four </w:t>
      </w:r>
      <w:r w:rsidR="0071475E" w:rsidRPr="00DA3C6E">
        <w:t xml:space="preserve">of </w:t>
      </w:r>
      <w:r w:rsidR="00B30C0D" w:rsidRPr="00DA3C6E">
        <w:t>five RCTs report</w:t>
      </w:r>
      <w:r w:rsidR="007E1085" w:rsidRPr="00DA3C6E">
        <w:t>ed</w:t>
      </w:r>
      <w:r w:rsidR="00B30C0D" w:rsidRPr="00DA3C6E">
        <w:t xml:space="preserve"> the effect of </w:t>
      </w:r>
      <w:r w:rsidR="009932A3" w:rsidRPr="00DA3C6E">
        <w:t xml:space="preserve">intravenous </w:t>
      </w:r>
      <w:r w:rsidR="00B30C0D" w:rsidRPr="00DA3C6E">
        <w:t xml:space="preserve">Ig for each outcome measure independently </w:t>
      </w:r>
      <w:r w:rsidR="007E1085" w:rsidRPr="00DA3C6E">
        <w:t xml:space="preserve">only </w:t>
      </w:r>
      <w:r w:rsidR="00B30C0D" w:rsidRPr="00DA3C6E">
        <w:t xml:space="preserve">and not as </w:t>
      </w:r>
      <w:r w:rsidR="00467DF3" w:rsidRPr="00DA3C6E">
        <w:t xml:space="preserve">a </w:t>
      </w:r>
      <w:r w:rsidR="00B30C0D" w:rsidRPr="00DA3C6E">
        <w:t xml:space="preserve">composite outcome as it would be </w:t>
      </w:r>
      <w:r w:rsidR="00A35009" w:rsidRPr="00DA3C6E">
        <w:t>assessed</w:t>
      </w:r>
      <w:r w:rsidR="00B30C0D" w:rsidRPr="00DA3C6E">
        <w:t xml:space="preserve"> in Australia</w:t>
      </w:r>
      <w:r w:rsidR="007E1085" w:rsidRPr="00DA3C6E">
        <w:t xml:space="preserve"> for </w:t>
      </w:r>
      <w:r w:rsidR="00B52F06" w:rsidRPr="00DA3C6E">
        <w:t xml:space="preserve">treatment </w:t>
      </w:r>
      <w:r w:rsidR="007E1085" w:rsidRPr="00DA3C6E">
        <w:t>contin</w:t>
      </w:r>
      <w:r w:rsidR="00B52F06" w:rsidRPr="00DA3C6E">
        <w:t>uation</w:t>
      </w:r>
      <w:r w:rsidR="00B30C0D" w:rsidRPr="00DA3C6E">
        <w:t>.</w:t>
      </w:r>
      <w:r w:rsidR="007E1085" w:rsidRPr="00DA3C6E">
        <w:t xml:space="preserve"> Leger </w:t>
      </w:r>
      <w:r w:rsidR="009932A3" w:rsidRPr="00DA3C6E">
        <w:t>et al</w:t>
      </w:r>
      <w:r w:rsidR="00FD7A8E" w:rsidRPr="00DA3C6E">
        <w:t>.</w:t>
      </w:r>
      <w:r w:rsidR="009932A3" w:rsidRPr="00DA3C6E">
        <w:t xml:space="preserve"> </w:t>
      </w:r>
      <w:r w:rsidR="007E1085" w:rsidRPr="00DA3C6E">
        <w:t xml:space="preserve">2001 </w:t>
      </w:r>
      <w:r w:rsidR="0009799C" w:rsidRPr="00DA3C6E">
        <w:t xml:space="preserve">was the only study that </w:t>
      </w:r>
      <w:r w:rsidR="009932A3" w:rsidRPr="00DA3C6E">
        <w:t xml:space="preserve">classified </w:t>
      </w:r>
      <w:r w:rsidR="007E1085" w:rsidRPr="00DA3C6E">
        <w:t xml:space="preserve">responders </w:t>
      </w:r>
      <w:r w:rsidR="005E29E5" w:rsidRPr="00DA3C6E">
        <w:t xml:space="preserve">as </w:t>
      </w:r>
      <w:r w:rsidR="009932A3" w:rsidRPr="00DA3C6E">
        <w:t>those patients</w:t>
      </w:r>
      <w:r w:rsidR="007E1085" w:rsidRPr="00DA3C6E">
        <w:t xml:space="preserve"> who had at least 1 more MRC point in two affected muscles plus 1 point less in two ADL</w:t>
      </w:r>
      <w:r w:rsidR="0030167E" w:rsidRPr="00DA3C6E">
        <w:t xml:space="preserve"> (measure of disability)</w:t>
      </w:r>
      <w:r w:rsidR="007E1085" w:rsidRPr="00DA3C6E">
        <w:t xml:space="preserve"> compared to baseline. The difference of this trial with the Australian setting is the disability tool used, a self-evaluation scale versus the ONLS respectively. </w:t>
      </w:r>
      <w:r w:rsidR="00B93378" w:rsidRPr="00DA3C6E">
        <w:t>Hahn</w:t>
      </w:r>
      <w:r w:rsidR="00736E0B" w:rsidRPr="00DA3C6E">
        <w:t xml:space="preserve"> et al</w:t>
      </w:r>
      <w:r w:rsidR="00FD7A8E" w:rsidRPr="00DA3C6E">
        <w:t>.</w:t>
      </w:r>
      <w:r w:rsidR="00736E0B" w:rsidRPr="00DA3C6E">
        <w:t xml:space="preserve"> </w:t>
      </w:r>
      <w:r w:rsidR="00B93378" w:rsidRPr="00DA3C6E">
        <w:t>2013</w:t>
      </w:r>
      <w:r w:rsidR="00736E0B" w:rsidRPr="00DA3C6E">
        <w:t xml:space="preserve">, was the </w:t>
      </w:r>
      <w:r w:rsidR="009932A3" w:rsidRPr="00DA3C6E">
        <w:t xml:space="preserve">only </w:t>
      </w:r>
      <w:r w:rsidR="00736E0B" w:rsidRPr="00DA3C6E">
        <w:t xml:space="preserve">study that used a tool similar to that used in Australia, </w:t>
      </w:r>
      <w:r w:rsidR="00B93378" w:rsidRPr="00DA3C6E">
        <w:t>the</w:t>
      </w:r>
      <w:r w:rsidR="00784696" w:rsidRPr="00DA3C6E">
        <w:t xml:space="preserve"> </w:t>
      </w:r>
      <w:r w:rsidR="007E1085" w:rsidRPr="00DA3C6E">
        <w:t>ODSS</w:t>
      </w:r>
      <w:r w:rsidR="00B93378" w:rsidRPr="00DA3C6E">
        <w:t>. The ODSS</w:t>
      </w:r>
      <w:r w:rsidR="007E1085" w:rsidRPr="00DA3C6E">
        <w:t xml:space="preserve"> was the first scale designed to assess the limitations of patients with immune-mediated peripheral neuropathies which focused on upper and lower limb functions. The ODSS was </w:t>
      </w:r>
      <w:r w:rsidR="007E1085" w:rsidRPr="00DA3C6E">
        <w:lastRenderedPageBreak/>
        <w:t xml:space="preserve">modified to include climbing stairs and running </w:t>
      </w:r>
      <w:r w:rsidR="00B93378" w:rsidRPr="00DA3C6E">
        <w:t xml:space="preserve">which </w:t>
      </w:r>
      <w:r w:rsidR="007E1085" w:rsidRPr="00DA3C6E">
        <w:t>transform</w:t>
      </w:r>
      <w:r w:rsidR="00B93378" w:rsidRPr="00DA3C6E">
        <w:t>ed it</w:t>
      </w:r>
      <w:r w:rsidR="007E1085" w:rsidRPr="00DA3C6E">
        <w:t xml:space="preserve"> into the ONLS.</w:t>
      </w:r>
      <w:r w:rsidR="00C624C9" w:rsidRPr="00DA3C6E">
        <w:t xml:space="preserve"> The latter, compared </w:t>
      </w:r>
      <w:r w:rsidR="00B52F06" w:rsidRPr="00DA3C6E">
        <w:t xml:space="preserve">with </w:t>
      </w:r>
      <w:r w:rsidR="00C624C9" w:rsidRPr="00DA3C6E">
        <w:t>the modified Rankin scale, the NDS</w:t>
      </w:r>
      <w:r w:rsidR="00784696" w:rsidRPr="00DA3C6E">
        <w:t xml:space="preserve"> </w:t>
      </w:r>
      <w:r w:rsidR="00C624C9" w:rsidRPr="00DA3C6E">
        <w:t>and the</w:t>
      </w:r>
      <w:r w:rsidR="00784696" w:rsidRPr="00DA3C6E">
        <w:t xml:space="preserve"> </w:t>
      </w:r>
      <w:r w:rsidR="00C624C9" w:rsidRPr="00DA3C6E">
        <w:t xml:space="preserve">GNDS is </w:t>
      </w:r>
      <w:r w:rsidR="00092EB0" w:rsidRPr="00DA3C6E">
        <w:t xml:space="preserve">a </w:t>
      </w:r>
      <w:r w:rsidR="00C624C9" w:rsidRPr="00DA3C6E">
        <w:t>more specific</w:t>
      </w:r>
      <w:r w:rsidR="00092EB0" w:rsidRPr="00DA3C6E">
        <w:t xml:space="preserve"> tool</w:t>
      </w:r>
      <w:r w:rsidR="00C624C9" w:rsidRPr="00DA3C6E">
        <w:t xml:space="preserve"> and would likely identify slight</w:t>
      </w:r>
      <w:r w:rsidR="00346539" w:rsidRPr="00DA3C6E">
        <w:t xml:space="preserve"> </w:t>
      </w:r>
      <w:r w:rsidR="00C624C9" w:rsidRPr="00DA3C6E">
        <w:t>changes in disability compared to the other</w:t>
      </w:r>
      <w:r w:rsidR="00092EB0" w:rsidRPr="00DA3C6E">
        <w:t xml:space="preserve"> tools</w:t>
      </w:r>
      <w:r w:rsidR="00C624C9" w:rsidRPr="00DA3C6E">
        <w:t xml:space="preserve">. </w:t>
      </w:r>
      <w:r w:rsidR="00147F93" w:rsidRPr="00DA3C6E">
        <w:t>Because different tools capture different aspect</w:t>
      </w:r>
      <w:r w:rsidR="00FD7A8E" w:rsidRPr="00DA3C6E">
        <w:t>s</w:t>
      </w:r>
      <w:r w:rsidR="00147F93" w:rsidRPr="00DA3C6E">
        <w:t xml:space="preserve"> of the disease, it is likely that for the studies by Azulay et al</w:t>
      </w:r>
      <w:r w:rsidR="00FD7A8E" w:rsidRPr="00DA3C6E">
        <w:t>.</w:t>
      </w:r>
      <w:r w:rsidR="00147F93" w:rsidRPr="00DA3C6E">
        <w:t xml:space="preserve"> 1994</w:t>
      </w:r>
      <w:r w:rsidR="009F5EF2">
        <w:t xml:space="preserve">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00147F93" w:rsidRPr="00DA3C6E">
        <w:t xml:space="preserve">, Van den Berg </w:t>
      </w:r>
      <w:r w:rsidR="0009799C" w:rsidRPr="00DA3C6E">
        <w:t>et al 1995</w:t>
      </w:r>
      <w:r w:rsidR="009F5EF2">
        <w:t xml:space="preserve"> </w:t>
      </w:r>
      <w:r w:rsidR="00DB568A" w:rsidRPr="00DA3C6E">
        <w:fldChar w:fldCharType="begin"/>
      </w:r>
      <w:r w:rsidR="00DB568A"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5" w:tooltip="Van den Berg, 1995 #77" w:history="1">
        <w:r w:rsidR="00C04BCE" w:rsidRPr="00DA3C6E">
          <w:rPr>
            <w:noProof/>
          </w:rPr>
          <w:t>25</w:t>
        </w:r>
      </w:hyperlink>
      <w:r w:rsidR="00DB568A" w:rsidRPr="00DA3C6E">
        <w:rPr>
          <w:noProof/>
        </w:rPr>
        <w:t>)</w:t>
      </w:r>
      <w:r w:rsidR="00DB568A" w:rsidRPr="00DA3C6E">
        <w:fldChar w:fldCharType="end"/>
      </w:r>
      <w:r w:rsidR="0009799C" w:rsidRPr="00DA3C6E">
        <w:t xml:space="preserve">, </w:t>
      </w:r>
      <w:r w:rsidR="00147F93" w:rsidRPr="00DA3C6E">
        <w:t>Federico et al</w:t>
      </w:r>
      <w:r w:rsidR="00FD7A8E" w:rsidRPr="00DA3C6E">
        <w:t>.</w:t>
      </w:r>
      <w:r w:rsidR="00147F93" w:rsidRPr="00DA3C6E">
        <w:t xml:space="preserve"> 2000</w:t>
      </w:r>
      <w:r w:rsidR="009F5EF2">
        <w:t xml:space="preserve"> </w:t>
      </w:r>
      <w:r w:rsidR="00DB568A" w:rsidRPr="00DA3C6E">
        <w:fldChar w:fldCharType="begin">
          <w:fldData xml:space="preserve">PEVuZE5vdGU+PENpdGU+PEF1dGhvcj5GZWRlcmljbzwvQXV0aG9yPjxZZWFyPjIwMDA8L1llYXI+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</w:fldData>
        </w:fldChar>
      </w:r>
      <w:r w:rsidR="00DB568A" w:rsidRPr="00DA3C6E">
        <w:instrText xml:space="preserve"> ADDIN EN.CITE </w:instrText>
      </w:r>
      <w:r w:rsidR="00DB568A" w:rsidRPr="00DA3C6E">
        <w:fldChar w:fldCharType="begin">
          <w:fldData xml:space="preserve">PEVuZE5vdGU+PENpdGU+PEF1dGhvcj5GZWRlcmljbzwvQXV0aG9yPjxZZWFyPjIwMDA8L1llYXI+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6" w:tooltip="Federico, 2000 #20" w:history="1">
        <w:r w:rsidR="00C04BCE" w:rsidRPr="00DA3C6E">
          <w:rPr>
            <w:noProof/>
          </w:rPr>
          <w:t>26</w:t>
        </w:r>
      </w:hyperlink>
      <w:r w:rsidR="00DB568A" w:rsidRPr="00DA3C6E">
        <w:rPr>
          <w:noProof/>
        </w:rPr>
        <w:t xml:space="preserve">, </w:t>
      </w:r>
      <w:hyperlink w:anchor="_ENREF_27" w:tooltip="Leger, 2001 #39" w:history="1">
        <w:r w:rsidR="00C04BCE" w:rsidRPr="00DA3C6E">
          <w:rPr>
            <w:noProof/>
          </w:rPr>
          <w:t>27</w:t>
        </w:r>
      </w:hyperlink>
      <w:r w:rsidR="00DB568A" w:rsidRPr="00DA3C6E">
        <w:rPr>
          <w:noProof/>
        </w:rPr>
        <w:t>)</w:t>
      </w:r>
      <w:r w:rsidR="00DB568A" w:rsidRPr="00DA3C6E">
        <w:fldChar w:fldCharType="end"/>
      </w:r>
      <w:r w:rsidR="0009799C" w:rsidRPr="00DA3C6E">
        <w:t xml:space="preserve"> and Leger et al</w:t>
      </w:r>
      <w:r w:rsidR="00FD7A8E" w:rsidRPr="00DA3C6E">
        <w:t>.</w:t>
      </w:r>
      <w:r w:rsidR="0009799C" w:rsidRPr="00DA3C6E">
        <w:t xml:space="preserve"> 2001</w:t>
      </w:r>
      <w:r w:rsidR="00147F93" w:rsidRPr="00DA3C6E">
        <w:t>, those differences could alter the interpretation of the treatment effect in terms of disability</w:t>
      </w:r>
      <w:r w:rsidR="0009799C" w:rsidRPr="00DA3C6E">
        <w:t xml:space="preserve"> compared to that observed in the Australian setting</w:t>
      </w:r>
      <w:r w:rsidR="00147F93" w:rsidRPr="00DA3C6E">
        <w:t xml:space="preserve">. </w:t>
      </w:r>
      <w:r w:rsidR="0009799C" w:rsidRPr="00DA3C6E">
        <w:t>On the other hand, for the study by Hahn et al</w:t>
      </w:r>
      <w:r w:rsidR="00FD7A8E" w:rsidRPr="00DA3C6E">
        <w:t>.</w:t>
      </w:r>
      <w:r w:rsidR="0009799C" w:rsidRPr="00DA3C6E">
        <w:t xml:space="preserve"> 2013</w:t>
      </w:r>
      <w:r w:rsidR="009F5EF2">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0009799C" w:rsidRPr="00DA3C6E">
        <w:t>, differences are unlikely to impact the treatment effect in terms of disability.</w:t>
      </w:r>
    </w:p>
    <w:p w14:paraId="13CCC1AC" w14:textId="7F2A0FF4" w:rsidR="00CA19AF" w:rsidRPr="00DA3C6E" w:rsidRDefault="00C965D7" w:rsidP="002614CC">
      <w:pPr>
        <w:pStyle w:val="Caption"/>
        <w:keepNext/>
        <w:keepLines/>
      </w:pPr>
      <w:bookmarkStart w:id="236" w:name="_Ref27405787"/>
      <w:bookmarkStart w:id="237" w:name="_Toc37845826"/>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23</w:t>
      </w:r>
      <w:r w:rsidR="00515153">
        <w:rPr>
          <w:noProof/>
        </w:rPr>
        <w:fldChar w:fldCharType="end"/>
      </w:r>
      <w:bookmarkEnd w:id="236"/>
      <w:r w:rsidRPr="00DA3C6E">
        <w:t>. Measurement tools to assess muscle strength, disability and overall response to treatment in the Australian setting compared to the clinical evidence.</w:t>
      </w:r>
      <w:bookmarkEnd w:id="237"/>
      <w:r w:rsidRPr="00DA3C6E">
        <w:t xml:space="preserve"> </w:t>
      </w:r>
    </w:p>
    <w:tbl>
      <w:tblPr>
        <w:tblStyle w:val="TableGrid"/>
        <w:tblW w:w="0" w:type="auto"/>
        <w:tblLook w:val="04A0" w:firstRow="1" w:lastRow="0" w:firstColumn="1" w:lastColumn="0" w:noHBand="0" w:noVBand="1"/>
        <w:tblCaption w:val="Table 23. Measurement tools to assess muscle strength, disability and overall response to treatment in the Australian setting compared to the clinical evidence. "/>
      </w:tblPr>
      <w:tblGrid>
        <w:gridCol w:w="1659"/>
        <w:gridCol w:w="1902"/>
        <w:gridCol w:w="1537"/>
        <w:gridCol w:w="2340"/>
        <w:gridCol w:w="1578"/>
      </w:tblGrid>
      <w:tr w:rsidR="00C624C9" w:rsidRPr="00DA3C6E" w14:paraId="791089EF" w14:textId="77777777" w:rsidTr="00D56F4F">
        <w:trPr>
          <w:tblHeader/>
        </w:trPr>
        <w:tc>
          <w:tcPr>
            <w:tcW w:w="1659" w:type="dxa"/>
            <w:vAlign w:val="center"/>
          </w:tcPr>
          <w:p w14:paraId="312EA3A0" w14:textId="77777777" w:rsidR="00C624C9" w:rsidRPr="00DA3C6E" w:rsidRDefault="00C624C9" w:rsidP="002614CC">
            <w:pPr>
              <w:keepNext/>
              <w:keepLines/>
              <w:spacing w:after="0" w:line="240" w:lineRule="auto"/>
              <w:ind w:left="0"/>
              <w:jc w:val="left"/>
              <w:rPr>
                <w:rStyle w:val="SmallBold"/>
                <w:rFonts w:ascii="Arial Narrow" w:hAnsi="Arial Narrow"/>
                <w:szCs w:val="20"/>
              </w:rPr>
            </w:pPr>
          </w:p>
        </w:tc>
        <w:tc>
          <w:tcPr>
            <w:tcW w:w="1902" w:type="dxa"/>
            <w:vAlign w:val="center"/>
          </w:tcPr>
          <w:p w14:paraId="6547F72E" w14:textId="77777777" w:rsidR="00C624C9" w:rsidRPr="00DA3C6E" w:rsidRDefault="00C624C9"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Muscle strength</w:t>
            </w:r>
          </w:p>
        </w:tc>
        <w:tc>
          <w:tcPr>
            <w:tcW w:w="1537" w:type="dxa"/>
            <w:vAlign w:val="center"/>
          </w:tcPr>
          <w:p w14:paraId="14E2998C" w14:textId="77777777" w:rsidR="00C624C9" w:rsidRPr="00DA3C6E" w:rsidRDefault="00C624C9"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Disability</w:t>
            </w:r>
          </w:p>
        </w:tc>
        <w:tc>
          <w:tcPr>
            <w:tcW w:w="2340" w:type="dxa"/>
            <w:vAlign w:val="center"/>
          </w:tcPr>
          <w:p w14:paraId="542950AC" w14:textId="77777777" w:rsidR="00C624C9" w:rsidRPr="00DA3C6E" w:rsidRDefault="00C624C9"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Continuing authorisation/ Responder/non-responder</w:t>
            </w:r>
          </w:p>
        </w:tc>
        <w:tc>
          <w:tcPr>
            <w:tcW w:w="1578" w:type="dxa"/>
            <w:vAlign w:val="center"/>
          </w:tcPr>
          <w:p w14:paraId="5008B4E5" w14:textId="77777777" w:rsidR="00C624C9" w:rsidRPr="00DA3C6E" w:rsidRDefault="00C624C9"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Outcome</w:t>
            </w:r>
          </w:p>
        </w:tc>
      </w:tr>
      <w:tr w:rsidR="00C624C9" w:rsidRPr="00DA3C6E" w14:paraId="7D8E2442" w14:textId="77777777" w:rsidTr="00346539">
        <w:tc>
          <w:tcPr>
            <w:tcW w:w="1659" w:type="dxa"/>
            <w:vAlign w:val="center"/>
          </w:tcPr>
          <w:p w14:paraId="0A888060" w14:textId="77777777" w:rsidR="00C624C9" w:rsidRPr="00DA3C6E" w:rsidRDefault="009932A3"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 xml:space="preserve">The </w:t>
            </w:r>
            <w:r w:rsidR="00C624C9" w:rsidRPr="00DA3C6E">
              <w:rPr>
                <w:rStyle w:val="SmallBold"/>
                <w:rFonts w:ascii="Arial Narrow" w:hAnsi="Arial Narrow"/>
                <w:szCs w:val="20"/>
              </w:rPr>
              <w:t>Criteria</w:t>
            </w:r>
            <w:r w:rsidRPr="00DA3C6E">
              <w:rPr>
                <w:rStyle w:val="SmallBold"/>
                <w:rFonts w:ascii="Arial Narrow" w:hAnsi="Arial Narrow"/>
                <w:szCs w:val="20"/>
              </w:rPr>
              <w:t xml:space="preserve"> V3</w:t>
            </w:r>
          </w:p>
        </w:tc>
        <w:tc>
          <w:tcPr>
            <w:tcW w:w="1902" w:type="dxa"/>
            <w:vAlign w:val="center"/>
          </w:tcPr>
          <w:p w14:paraId="31B1A1BE" w14:textId="77777777" w:rsidR="00C624C9" w:rsidRPr="00DA3C6E" w:rsidRDefault="00C624C9"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Not specified. </w:t>
            </w:r>
          </w:p>
        </w:tc>
        <w:tc>
          <w:tcPr>
            <w:tcW w:w="1537" w:type="dxa"/>
            <w:vAlign w:val="center"/>
          </w:tcPr>
          <w:p w14:paraId="0696B8B7" w14:textId="77777777" w:rsidR="00C624C9" w:rsidRPr="00DA3C6E" w:rsidRDefault="00C624C9"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ONLS</w:t>
            </w:r>
          </w:p>
        </w:tc>
        <w:tc>
          <w:tcPr>
            <w:tcW w:w="2340" w:type="dxa"/>
            <w:vAlign w:val="center"/>
          </w:tcPr>
          <w:p w14:paraId="5F38EAEB" w14:textId="77777777" w:rsidR="00C624C9" w:rsidRPr="00DA3C6E" w:rsidRDefault="00C624C9"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Improvement </w:t>
            </w:r>
            <w:r w:rsidR="0073528B" w:rsidRPr="00DA3C6E">
              <w:rPr>
                <w:rStyle w:val="SmallBold"/>
                <w:rFonts w:ascii="Arial Narrow" w:hAnsi="Arial Narrow"/>
                <w:b w:val="0"/>
                <w:szCs w:val="20"/>
              </w:rPr>
              <w:t xml:space="preserve">(after 4 months) </w:t>
            </w:r>
            <w:r w:rsidRPr="00DA3C6E">
              <w:rPr>
                <w:rStyle w:val="SmallBold"/>
                <w:rFonts w:ascii="Arial Narrow" w:hAnsi="Arial Narrow"/>
                <w:b w:val="0"/>
                <w:szCs w:val="20"/>
              </w:rPr>
              <w:t xml:space="preserve">or </w:t>
            </w:r>
            <w:r w:rsidR="00784696" w:rsidRPr="00DA3C6E">
              <w:rPr>
                <w:rStyle w:val="SmallBold"/>
                <w:rFonts w:ascii="Arial Narrow" w:hAnsi="Arial Narrow"/>
                <w:b w:val="0"/>
                <w:szCs w:val="20"/>
              </w:rPr>
              <w:t>stabilisation</w:t>
            </w:r>
            <w:r w:rsidR="0073528B" w:rsidRPr="00DA3C6E">
              <w:rPr>
                <w:rStyle w:val="SmallBold"/>
                <w:rFonts w:ascii="Arial Narrow" w:hAnsi="Arial Narrow"/>
                <w:b w:val="0"/>
                <w:szCs w:val="20"/>
              </w:rPr>
              <w:t xml:space="preserve"> (after 16 months)</w:t>
            </w:r>
            <w:r w:rsidR="00784696" w:rsidRPr="00DA3C6E">
              <w:rPr>
                <w:rStyle w:val="SmallBold"/>
                <w:rFonts w:ascii="Arial Narrow" w:hAnsi="Arial Narrow"/>
                <w:b w:val="0"/>
                <w:szCs w:val="20"/>
              </w:rPr>
              <w:t xml:space="preserve"> </w:t>
            </w:r>
            <w:r w:rsidRPr="00DA3C6E">
              <w:rPr>
                <w:rStyle w:val="SmallBold"/>
                <w:rFonts w:ascii="Arial Narrow" w:hAnsi="Arial Narrow"/>
                <w:b w:val="0"/>
                <w:szCs w:val="20"/>
              </w:rPr>
              <w:t xml:space="preserve">of weakness after previous evidence of deterioration in motor strength (very slow deterioration may occur); AND Improvement or stabilisation of disability as per the ONLS compared to the previous review score. </w:t>
            </w:r>
          </w:p>
        </w:tc>
        <w:tc>
          <w:tcPr>
            <w:tcW w:w="1578" w:type="dxa"/>
            <w:vAlign w:val="center"/>
          </w:tcPr>
          <w:p w14:paraId="25991A2E" w14:textId="77777777" w:rsidR="00C624C9" w:rsidRPr="00DA3C6E" w:rsidRDefault="00C624C9"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NA</w:t>
            </w:r>
          </w:p>
        </w:tc>
      </w:tr>
      <w:tr w:rsidR="00C624C9" w:rsidRPr="00DA3C6E" w14:paraId="3967EEAA" w14:textId="77777777" w:rsidTr="00E07080">
        <w:tc>
          <w:tcPr>
            <w:tcW w:w="9016" w:type="dxa"/>
            <w:gridSpan w:val="5"/>
            <w:vAlign w:val="center"/>
          </w:tcPr>
          <w:p w14:paraId="5111F81A" w14:textId="77777777" w:rsidR="00C624C9" w:rsidRPr="00DA3C6E" w:rsidRDefault="00C624C9" w:rsidP="002614CC">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RCTs</w:t>
            </w:r>
          </w:p>
        </w:tc>
      </w:tr>
      <w:tr w:rsidR="0009799C" w:rsidRPr="00DA3C6E" w14:paraId="09E42277" w14:textId="77777777" w:rsidTr="00596B89">
        <w:tc>
          <w:tcPr>
            <w:tcW w:w="1659" w:type="dxa"/>
            <w:vAlign w:val="center"/>
          </w:tcPr>
          <w:p w14:paraId="633BB4D7" w14:textId="18CE33D1" w:rsidR="0009799C" w:rsidRPr="00DA3C6E" w:rsidRDefault="0009799C"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Azulay et al</w:t>
            </w:r>
            <w:r w:rsidR="00C67FE5">
              <w:rPr>
                <w:rStyle w:val="SmallBold"/>
                <w:rFonts w:ascii="Arial Narrow" w:hAnsi="Arial Narrow"/>
                <w:b w:val="0"/>
                <w:szCs w:val="20"/>
              </w:rPr>
              <w:t>.</w:t>
            </w:r>
            <w:r w:rsidRPr="00DA3C6E">
              <w:rPr>
                <w:rStyle w:val="SmallBold"/>
                <w:rFonts w:ascii="Arial Narrow" w:hAnsi="Arial Narrow"/>
                <w:b w:val="0"/>
                <w:szCs w:val="20"/>
              </w:rPr>
              <w:t xml:space="preserve"> 1994</w:t>
            </w:r>
            <w:r w:rsidR="00BE7F1B">
              <w:rPr>
                <w:rStyle w:val="SmallBold"/>
                <w:rFonts w:ascii="Arial Narrow" w:hAnsi="Arial Narrow"/>
                <w:b w:val="0"/>
                <w:szCs w:val="20"/>
              </w:rPr>
              <w:t xml:space="preserve"> </w:t>
            </w:r>
            <w:r w:rsidR="00C67FE5">
              <w:rPr>
                <w:rStyle w:val="SmallBold"/>
                <w:rFonts w:ascii="Arial Narrow" w:hAnsi="Arial Narrow"/>
                <w:b w:val="0"/>
                <w:szCs w:val="20"/>
              </w:rPr>
              <w:fldChar w:fldCharType="begin"/>
            </w:r>
            <w:r w:rsidR="00C67FE5">
              <w:rPr>
                <w:rStyle w:val="SmallBold"/>
                <w:rFonts w:ascii="Arial Narrow" w:hAnsi="Arial Narrow"/>
                <w:b w:val="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C67FE5">
              <w:rPr>
                <w:rStyle w:val="SmallBold"/>
                <w:rFonts w:ascii="Arial Narrow" w:hAnsi="Arial Narrow"/>
                <w:b w:val="0"/>
                <w:szCs w:val="20"/>
              </w:rPr>
              <w:fldChar w:fldCharType="separate"/>
            </w:r>
            <w:r w:rsidR="00C67FE5">
              <w:rPr>
                <w:rStyle w:val="SmallBold"/>
                <w:rFonts w:ascii="Arial Narrow" w:hAnsi="Arial Narrow"/>
                <w:b w:val="0"/>
                <w:noProof/>
                <w:szCs w:val="20"/>
              </w:rPr>
              <w:t>(</w:t>
            </w:r>
            <w:hyperlink w:anchor="_ENREF_24" w:tooltip="Azulay, 1994 #4" w:history="1">
              <w:r w:rsidR="00C04BCE">
                <w:rPr>
                  <w:rStyle w:val="SmallBold"/>
                  <w:rFonts w:ascii="Arial Narrow" w:hAnsi="Arial Narrow"/>
                  <w:b w:val="0"/>
                  <w:noProof/>
                  <w:szCs w:val="20"/>
                </w:rPr>
                <w:t>24</w:t>
              </w:r>
            </w:hyperlink>
            <w:r w:rsidR="00C67FE5">
              <w:rPr>
                <w:rStyle w:val="SmallBold"/>
                <w:rFonts w:ascii="Arial Narrow" w:hAnsi="Arial Narrow"/>
                <w:b w:val="0"/>
                <w:noProof/>
                <w:szCs w:val="20"/>
              </w:rPr>
              <w:t>)</w:t>
            </w:r>
            <w:r w:rsidR="00C67FE5">
              <w:rPr>
                <w:rStyle w:val="SmallBold"/>
                <w:rFonts w:ascii="Arial Narrow" w:hAnsi="Arial Narrow"/>
                <w:b w:val="0"/>
                <w:szCs w:val="20"/>
              </w:rPr>
              <w:fldChar w:fldCharType="end"/>
            </w:r>
          </w:p>
        </w:tc>
        <w:tc>
          <w:tcPr>
            <w:tcW w:w="1902" w:type="dxa"/>
            <w:vAlign w:val="center"/>
          </w:tcPr>
          <w:p w14:paraId="04958815"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 xml:space="preserve">Average strength (in newtons) of a maximal isometric contraction lasting 10 secs for two selected impaired muscles using a computerized analyser. </w:t>
            </w:r>
          </w:p>
        </w:tc>
        <w:tc>
          <w:tcPr>
            <w:tcW w:w="1537" w:type="dxa"/>
            <w:vAlign w:val="center"/>
          </w:tcPr>
          <w:p w14:paraId="77923749"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Norris scale</w:t>
            </w:r>
          </w:p>
        </w:tc>
        <w:tc>
          <w:tcPr>
            <w:tcW w:w="2340" w:type="dxa"/>
            <w:vAlign w:val="center"/>
          </w:tcPr>
          <w:p w14:paraId="3F5FEB6C"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1578" w:type="dxa"/>
            <w:vMerge w:val="restart"/>
            <w:vAlign w:val="center"/>
          </w:tcPr>
          <w:p w14:paraId="59C5874B" w14:textId="0EBE2DCA" w:rsidR="0009799C" w:rsidRPr="00DA3C6E" w:rsidRDefault="0009799C" w:rsidP="005E497B">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could alter the interpretation of the treatment</w:t>
            </w:r>
            <w:r w:rsidR="005E497B">
              <w:rPr>
                <w:rStyle w:val="SmallBold"/>
                <w:rFonts w:ascii="Arial Narrow" w:hAnsi="Arial Narrow"/>
                <w:b w:val="0"/>
                <w:szCs w:val="20"/>
              </w:rPr>
              <w:t xml:space="preserve"> effect in terms of disability.</w:t>
            </w:r>
          </w:p>
        </w:tc>
      </w:tr>
      <w:tr w:rsidR="0009799C" w:rsidRPr="00DA3C6E" w14:paraId="23A1FD3E" w14:textId="77777777" w:rsidTr="00346539">
        <w:tc>
          <w:tcPr>
            <w:tcW w:w="1659" w:type="dxa"/>
            <w:vAlign w:val="center"/>
          </w:tcPr>
          <w:p w14:paraId="100AD705" w14:textId="36837DDC" w:rsidR="0009799C" w:rsidRPr="00DA3C6E" w:rsidRDefault="0009799C" w:rsidP="00C04BCE">
            <w:pPr>
              <w:keepNext/>
              <w:keepLines/>
              <w:spacing w:after="0" w:line="240" w:lineRule="auto"/>
              <w:ind w:left="0"/>
              <w:jc w:val="left"/>
              <w:rPr>
                <w:rStyle w:val="SmallBold"/>
                <w:rFonts w:ascii="Arial Narrow" w:hAnsi="Arial Narrow"/>
                <w:b w:val="0"/>
                <w:szCs w:val="20"/>
                <w:lang w:val="es-CL"/>
              </w:rPr>
            </w:pPr>
            <w:r w:rsidRPr="00DA3C6E">
              <w:rPr>
                <w:rStyle w:val="SmallBold"/>
                <w:rFonts w:ascii="Arial Narrow" w:hAnsi="Arial Narrow"/>
                <w:b w:val="0"/>
                <w:szCs w:val="20"/>
                <w:lang w:val="es-CL"/>
              </w:rPr>
              <w:t>Van den Berg et al.  1995</w:t>
            </w:r>
            <w:r w:rsidR="00C67FE5">
              <w:rPr>
                <w:rStyle w:val="SmallBold"/>
                <w:rFonts w:ascii="Arial Narrow" w:hAnsi="Arial Narrow"/>
                <w:b w:val="0"/>
                <w:szCs w:val="20"/>
                <w:lang w:val="es-CL"/>
              </w:rPr>
              <w:t xml:space="preserve"> </w:t>
            </w:r>
            <w:r w:rsidR="007810D6">
              <w:rPr>
                <w:rStyle w:val="SmallBold"/>
                <w:rFonts w:ascii="Arial Narrow" w:hAnsi="Arial Narrow"/>
                <w:b w:val="0"/>
                <w:szCs w:val="20"/>
                <w:lang w:val="es-CL"/>
              </w:rPr>
              <w:fldChar w:fldCharType="begin"/>
            </w:r>
            <w:r w:rsidR="007810D6">
              <w:rPr>
                <w:rStyle w:val="SmallBold"/>
                <w:rFonts w:ascii="Arial Narrow" w:hAnsi="Arial Narrow"/>
                <w:b w:val="0"/>
                <w:szCs w:val="20"/>
                <w:lang w:val="es-CL"/>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7810D6">
              <w:rPr>
                <w:rStyle w:val="SmallBold"/>
                <w:rFonts w:ascii="Arial Narrow" w:hAnsi="Arial Narrow"/>
                <w:b w:val="0"/>
                <w:szCs w:val="20"/>
                <w:lang w:val="es-CL"/>
              </w:rPr>
              <w:fldChar w:fldCharType="separate"/>
            </w:r>
            <w:r w:rsidR="007810D6">
              <w:rPr>
                <w:rStyle w:val="SmallBold"/>
                <w:rFonts w:ascii="Arial Narrow" w:hAnsi="Arial Narrow"/>
                <w:b w:val="0"/>
                <w:noProof/>
                <w:szCs w:val="20"/>
                <w:lang w:val="es-CL"/>
              </w:rPr>
              <w:t>(</w:t>
            </w:r>
            <w:hyperlink w:anchor="_ENREF_25" w:tooltip="Van den Berg, 1995 #77" w:history="1">
              <w:r w:rsidR="00C04BCE">
                <w:rPr>
                  <w:rStyle w:val="SmallBold"/>
                  <w:rFonts w:ascii="Arial Narrow" w:hAnsi="Arial Narrow"/>
                  <w:b w:val="0"/>
                  <w:noProof/>
                  <w:szCs w:val="20"/>
                  <w:lang w:val="es-CL"/>
                </w:rPr>
                <w:t>25</w:t>
              </w:r>
            </w:hyperlink>
            <w:r w:rsidR="007810D6">
              <w:rPr>
                <w:rStyle w:val="SmallBold"/>
                <w:rFonts w:ascii="Arial Narrow" w:hAnsi="Arial Narrow"/>
                <w:b w:val="0"/>
                <w:noProof/>
                <w:szCs w:val="20"/>
                <w:lang w:val="es-CL"/>
              </w:rPr>
              <w:t>)</w:t>
            </w:r>
            <w:r w:rsidR="007810D6">
              <w:rPr>
                <w:rStyle w:val="SmallBold"/>
                <w:rFonts w:ascii="Arial Narrow" w:hAnsi="Arial Narrow"/>
                <w:b w:val="0"/>
                <w:szCs w:val="20"/>
                <w:lang w:val="es-CL"/>
              </w:rPr>
              <w:fldChar w:fldCharType="end"/>
            </w:r>
          </w:p>
        </w:tc>
        <w:tc>
          <w:tcPr>
            <w:tcW w:w="1902" w:type="dxa"/>
            <w:vAlign w:val="center"/>
          </w:tcPr>
          <w:p w14:paraId="0AE79F9B"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 xml:space="preserve">Hand held dynamometer and the MRC scale. </w:t>
            </w:r>
          </w:p>
        </w:tc>
        <w:tc>
          <w:tcPr>
            <w:tcW w:w="1537" w:type="dxa"/>
            <w:vAlign w:val="center"/>
          </w:tcPr>
          <w:p w14:paraId="72E2A70A"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Modified Rankin scale</w:t>
            </w:r>
          </w:p>
        </w:tc>
        <w:tc>
          <w:tcPr>
            <w:tcW w:w="2340" w:type="dxa"/>
            <w:vAlign w:val="center"/>
          </w:tcPr>
          <w:p w14:paraId="7C2F3180"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A patient improved if there was an increase of ≥50% in ≥ 2 muscles without a decrease of at least 25% in &gt; one other muscle.</w:t>
            </w:r>
          </w:p>
        </w:tc>
        <w:tc>
          <w:tcPr>
            <w:tcW w:w="1578" w:type="dxa"/>
            <w:vMerge/>
            <w:vAlign w:val="center"/>
          </w:tcPr>
          <w:p w14:paraId="398AF9E8" w14:textId="77777777" w:rsidR="0009799C" w:rsidRPr="00DA3C6E" w:rsidRDefault="0009799C" w:rsidP="002614CC">
            <w:pPr>
              <w:keepNext/>
              <w:keepLines/>
              <w:tabs>
                <w:tab w:val="left" w:pos="2229"/>
              </w:tabs>
              <w:spacing w:after="0" w:line="240" w:lineRule="auto"/>
              <w:contextualSpacing/>
              <w:jc w:val="left"/>
              <w:rPr>
                <w:rFonts w:ascii="Arial Narrow" w:hAnsi="Arial Narrow"/>
                <w:i/>
                <w:sz w:val="20"/>
                <w:szCs w:val="20"/>
              </w:rPr>
            </w:pPr>
          </w:p>
        </w:tc>
      </w:tr>
      <w:tr w:rsidR="0009799C" w:rsidRPr="00DA3C6E" w14:paraId="159FE92D" w14:textId="77777777" w:rsidTr="00346539">
        <w:tc>
          <w:tcPr>
            <w:tcW w:w="1659" w:type="dxa"/>
            <w:vAlign w:val="center"/>
          </w:tcPr>
          <w:p w14:paraId="187D03B3" w14:textId="55F820AE" w:rsidR="0009799C" w:rsidRPr="00DA3C6E" w:rsidRDefault="0009799C"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Federico et al. 2000</w:t>
            </w:r>
            <w:r w:rsidR="00C67FE5">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6" w:tooltip="Federico, 2000 #20" w:history="1">
              <w:r w:rsidR="00C04BCE" w:rsidRPr="00DA3C6E">
                <w:rPr>
                  <w:rStyle w:val="SmallBold"/>
                  <w:rFonts w:ascii="Arial Narrow" w:hAnsi="Arial Narrow"/>
                  <w:b w:val="0"/>
                  <w:noProof/>
                  <w:szCs w:val="20"/>
                </w:rPr>
                <w:t>26</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1902" w:type="dxa"/>
            <w:vAlign w:val="center"/>
          </w:tcPr>
          <w:p w14:paraId="0F03AB25"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Maximal grip strength in both hands as measured by a hand dynamometer.</w:t>
            </w:r>
          </w:p>
        </w:tc>
        <w:tc>
          <w:tcPr>
            <w:tcW w:w="1537" w:type="dxa"/>
            <w:vAlign w:val="center"/>
          </w:tcPr>
          <w:p w14:paraId="1AC95800"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Modified NDS</w:t>
            </w:r>
          </w:p>
        </w:tc>
        <w:tc>
          <w:tcPr>
            <w:tcW w:w="2340" w:type="dxa"/>
            <w:vAlign w:val="center"/>
          </w:tcPr>
          <w:p w14:paraId="3941BC43"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A patient improved if there was improvement in NDS, grip strength and a subjective functional assessment.</w:t>
            </w:r>
          </w:p>
        </w:tc>
        <w:tc>
          <w:tcPr>
            <w:tcW w:w="1578" w:type="dxa"/>
            <w:vMerge/>
            <w:vAlign w:val="center"/>
          </w:tcPr>
          <w:p w14:paraId="29E01C06" w14:textId="77777777" w:rsidR="0009799C" w:rsidRPr="00DA3C6E" w:rsidRDefault="0009799C" w:rsidP="002614CC">
            <w:pPr>
              <w:keepNext/>
              <w:keepLines/>
              <w:tabs>
                <w:tab w:val="left" w:pos="2229"/>
              </w:tabs>
              <w:spacing w:after="0" w:line="240" w:lineRule="auto"/>
              <w:contextualSpacing/>
              <w:jc w:val="left"/>
              <w:rPr>
                <w:rFonts w:ascii="Arial Narrow" w:hAnsi="Arial Narrow"/>
                <w:i/>
                <w:sz w:val="20"/>
                <w:szCs w:val="20"/>
              </w:rPr>
            </w:pPr>
          </w:p>
        </w:tc>
      </w:tr>
      <w:tr w:rsidR="0009799C" w:rsidRPr="00DA3C6E" w14:paraId="0DBC7EBD" w14:textId="77777777" w:rsidTr="00346539">
        <w:tc>
          <w:tcPr>
            <w:tcW w:w="1659" w:type="dxa"/>
            <w:vAlign w:val="center"/>
          </w:tcPr>
          <w:p w14:paraId="32C11267" w14:textId="2DBE249B" w:rsidR="0009799C" w:rsidRPr="00DA3C6E" w:rsidRDefault="0009799C"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Leger et al. 2001</w:t>
            </w:r>
            <w:r w:rsidR="00C67FE5">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7" w:tooltip="Leger, 2001 #39" w:history="1">
              <w:r w:rsidR="00C04BCE" w:rsidRPr="00DA3C6E">
                <w:rPr>
                  <w:rStyle w:val="SmallBold"/>
                  <w:rFonts w:ascii="Arial Narrow" w:hAnsi="Arial Narrow"/>
                  <w:b w:val="0"/>
                  <w:noProof/>
                  <w:szCs w:val="20"/>
                </w:rPr>
                <w:t>27</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1902" w:type="dxa"/>
            <w:vAlign w:val="center"/>
          </w:tcPr>
          <w:p w14:paraId="33EBD5F5"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MRC score.</w:t>
            </w:r>
          </w:p>
        </w:tc>
        <w:tc>
          <w:tcPr>
            <w:tcW w:w="1537" w:type="dxa"/>
            <w:vAlign w:val="center"/>
          </w:tcPr>
          <w:p w14:paraId="797BD7FD" w14:textId="77777777" w:rsidR="0009799C" w:rsidRPr="00DA3C6E" w:rsidRDefault="0009799C"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Self-evaluation scale scored from 0 (normal) to 5 (impossible) for five motor ADL.</w:t>
            </w:r>
          </w:p>
        </w:tc>
        <w:tc>
          <w:tcPr>
            <w:tcW w:w="2340" w:type="dxa"/>
            <w:vAlign w:val="center"/>
          </w:tcPr>
          <w:p w14:paraId="1F1A09C3" w14:textId="77777777" w:rsidR="0009799C" w:rsidRPr="00DA3C6E" w:rsidRDefault="0009799C" w:rsidP="002614CC">
            <w:pPr>
              <w:keepNext/>
              <w:keepLines/>
              <w:tabs>
                <w:tab w:val="left" w:pos="2229"/>
              </w:tabs>
              <w:spacing w:after="0" w:line="240" w:lineRule="auto"/>
              <w:ind w:left="0"/>
              <w:contextualSpacing/>
              <w:jc w:val="left"/>
              <w:rPr>
                <w:rStyle w:val="SmallBold"/>
                <w:rFonts w:ascii="Arial Narrow" w:hAnsi="Arial Narrow"/>
                <w:b w:val="0"/>
                <w:szCs w:val="20"/>
              </w:rPr>
            </w:pPr>
            <w:r w:rsidRPr="00DA3C6E">
              <w:rPr>
                <w:rFonts w:ascii="Arial Narrow" w:hAnsi="Arial Narrow"/>
                <w:sz w:val="20"/>
                <w:szCs w:val="20"/>
              </w:rPr>
              <w:t>Responders if they had at least 1 more MRC point in two affected muscles plus 1 point less in two ADL compared to baseline.</w:t>
            </w:r>
          </w:p>
        </w:tc>
        <w:tc>
          <w:tcPr>
            <w:tcW w:w="1578" w:type="dxa"/>
            <w:vMerge/>
            <w:vAlign w:val="center"/>
          </w:tcPr>
          <w:p w14:paraId="44F53344" w14:textId="77777777" w:rsidR="0009799C" w:rsidRPr="00DA3C6E" w:rsidRDefault="0009799C" w:rsidP="002614CC">
            <w:pPr>
              <w:keepNext/>
              <w:keepLines/>
              <w:tabs>
                <w:tab w:val="left" w:pos="2229"/>
              </w:tabs>
              <w:spacing w:after="0" w:line="240" w:lineRule="auto"/>
              <w:contextualSpacing/>
              <w:jc w:val="left"/>
              <w:rPr>
                <w:rFonts w:ascii="Arial Narrow" w:hAnsi="Arial Narrow"/>
                <w:i/>
                <w:sz w:val="20"/>
                <w:szCs w:val="20"/>
              </w:rPr>
            </w:pPr>
          </w:p>
        </w:tc>
      </w:tr>
      <w:tr w:rsidR="009932A3" w:rsidRPr="00DA3C6E" w14:paraId="6D5CC80C" w14:textId="77777777" w:rsidTr="00346539">
        <w:tc>
          <w:tcPr>
            <w:tcW w:w="1659" w:type="dxa"/>
            <w:vAlign w:val="center"/>
          </w:tcPr>
          <w:p w14:paraId="1356D3A2" w14:textId="2E1D5F54" w:rsidR="009932A3" w:rsidRPr="00DA3C6E" w:rsidRDefault="009932A3"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Hahn et al. 2013</w:t>
            </w:r>
            <w:r w:rsidR="00C67FE5">
              <w:rPr>
                <w:rStyle w:val="SmallBold"/>
                <w:rFonts w:ascii="Arial Narrow" w:hAnsi="Arial Narrow"/>
                <w:b w:val="0"/>
                <w:szCs w:val="20"/>
              </w:rPr>
              <w:t xml:space="preserve"> </w: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8" w:tooltip="Hahn, 2013 #26" w:history="1">
              <w:r w:rsidR="00C04BCE" w:rsidRPr="00DA3C6E">
                <w:rPr>
                  <w:rStyle w:val="SmallBold"/>
                  <w:rFonts w:ascii="Arial Narrow" w:hAnsi="Arial Narrow"/>
                  <w:b w:val="0"/>
                  <w:noProof/>
                  <w:szCs w:val="20"/>
                </w:rPr>
                <w:t>28</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1902" w:type="dxa"/>
            <w:vAlign w:val="center"/>
          </w:tcPr>
          <w:p w14:paraId="05019F75" w14:textId="77777777" w:rsidR="009932A3" w:rsidRPr="00DA3C6E" w:rsidRDefault="009932A3" w:rsidP="002614CC">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 xml:space="preserve">Muscle grip strength measured with a DynEx digital dynamometer.  </w:t>
            </w:r>
          </w:p>
        </w:tc>
        <w:tc>
          <w:tcPr>
            <w:tcW w:w="1537" w:type="dxa"/>
            <w:vAlign w:val="center"/>
          </w:tcPr>
          <w:p w14:paraId="2A4F086C" w14:textId="77777777" w:rsidR="009932A3" w:rsidRPr="00DA3C6E" w:rsidRDefault="009932A3" w:rsidP="008B1C70">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GNDS; ODSS; VAS</w:t>
            </w:r>
            <w:r w:rsidR="008B1C70" w:rsidRPr="00DA3C6E">
              <w:rPr>
                <w:rFonts w:ascii="Arial Narrow" w:hAnsi="Arial Narrow"/>
                <w:sz w:val="20"/>
                <w:szCs w:val="20"/>
              </w:rPr>
              <w:t xml:space="preserve"> and patient global impression of change at the end of each Tx period. </w:t>
            </w:r>
          </w:p>
        </w:tc>
        <w:tc>
          <w:tcPr>
            <w:tcW w:w="2340" w:type="dxa"/>
            <w:vAlign w:val="center"/>
          </w:tcPr>
          <w:p w14:paraId="3502E490" w14:textId="77777777" w:rsidR="009932A3" w:rsidRPr="00DA3C6E" w:rsidRDefault="009932A3"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1578" w:type="dxa"/>
            <w:vAlign w:val="center"/>
          </w:tcPr>
          <w:p w14:paraId="4B072D2C" w14:textId="77777777" w:rsidR="009932A3" w:rsidRPr="00DA3C6E" w:rsidRDefault="0009799C" w:rsidP="002614CC">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Differences are unlikely to impact the Tx effect in disability.</w:t>
            </w:r>
          </w:p>
        </w:tc>
      </w:tr>
    </w:tbl>
    <w:p w14:paraId="1B73771D" w14:textId="77777777" w:rsidR="00A106C7" w:rsidRPr="00DA3C6E" w:rsidRDefault="00A106C7" w:rsidP="00B52F06">
      <w:pPr>
        <w:spacing w:line="240" w:lineRule="auto"/>
        <w:rPr>
          <w:rFonts w:ascii="Arial Narrow" w:hAnsi="Arial Narrow"/>
          <w:sz w:val="18"/>
          <w:szCs w:val="18"/>
        </w:rPr>
      </w:pPr>
      <w:r w:rsidRPr="00DA3C6E">
        <w:rPr>
          <w:rFonts w:ascii="Arial Narrow" w:hAnsi="Arial Narrow"/>
          <w:sz w:val="18"/>
          <w:szCs w:val="18"/>
        </w:rPr>
        <w:t>Abbreviations: ADL = activities of daily life;</w:t>
      </w:r>
      <w:r w:rsidR="00CA19AF" w:rsidRPr="00DA3C6E">
        <w:rPr>
          <w:rFonts w:ascii="Arial Narrow" w:hAnsi="Arial Narrow"/>
          <w:sz w:val="18"/>
          <w:szCs w:val="18"/>
        </w:rPr>
        <w:t xml:space="preserve"> GNDS = Guy's Neurological Disability Score; MRC = Medical Research Council scores; </w:t>
      </w:r>
      <w:r w:rsidR="00C624C9" w:rsidRPr="00DA3C6E">
        <w:rPr>
          <w:rFonts w:ascii="Arial Narrow" w:hAnsi="Arial Narrow"/>
          <w:sz w:val="18"/>
          <w:szCs w:val="18"/>
        </w:rPr>
        <w:t xml:space="preserve">NA = not applicable; </w:t>
      </w:r>
      <w:r w:rsidR="00CA19AF" w:rsidRPr="00DA3C6E">
        <w:rPr>
          <w:rFonts w:ascii="Arial Narrow" w:hAnsi="Arial Narrow"/>
          <w:sz w:val="18"/>
          <w:szCs w:val="18"/>
        </w:rPr>
        <w:t>NDS = neurologic disability scale;</w:t>
      </w:r>
      <w:r w:rsidR="00C624C9" w:rsidRPr="00DA3C6E">
        <w:rPr>
          <w:rFonts w:ascii="Arial Narrow" w:hAnsi="Arial Narrow"/>
          <w:sz w:val="18"/>
          <w:szCs w:val="18"/>
        </w:rPr>
        <w:t xml:space="preserve"> NR = not reported; </w:t>
      </w:r>
      <w:r w:rsidR="00CA19AF" w:rsidRPr="00DA3C6E">
        <w:rPr>
          <w:rFonts w:ascii="Arial Narrow" w:hAnsi="Arial Narrow"/>
          <w:sz w:val="18"/>
          <w:szCs w:val="18"/>
        </w:rPr>
        <w:t xml:space="preserve">ODSS = overall disability sum score; ONLS = overall neuropathy limitations scale; </w:t>
      </w:r>
      <w:r w:rsidR="00C624C9" w:rsidRPr="00DA3C6E">
        <w:rPr>
          <w:rFonts w:ascii="Arial Narrow" w:hAnsi="Arial Narrow"/>
          <w:sz w:val="18"/>
          <w:szCs w:val="18"/>
        </w:rPr>
        <w:t xml:space="preserve">Tx = treatment; </w:t>
      </w:r>
      <w:r w:rsidR="00CA19AF" w:rsidRPr="00DA3C6E">
        <w:rPr>
          <w:rFonts w:ascii="Arial Narrow" w:hAnsi="Arial Narrow"/>
          <w:sz w:val="18"/>
          <w:szCs w:val="18"/>
        </w:rPr>
        <w:t xml:space="preserve">VAS = visual analogue scale. </w:t>
      </w:r>
    </w:p>
    <w:p w14:paraId="37AD45AA" w14:textId="77777777" w:rsidR="0073229C" w:rsidRPr="00DA3C6E" w:rsidRDefault="0073229C" w:rsidP="0073229C">
      <w:pPr>
        <w:pStyle w:val="Heading3"/>
      </w:pPr>
      <w:bookmarkStart w:id="238" w:name="_Toc37845755"/>
      <w:r w:rsidRPr="00DA3C6E">
        <w:t>C.2.5 Treatment duration</w:t>
      </w:r>
      <w:bookmarkEnd w:id="238"/>
    </w:p>
    <w:p w14:paraId="0D565218" w14:textId="7C1CC6A3" w:rsidR="006B0313" w:rsidRPr="00DA3C6E" w:rsidRDefault="00E07080" w:rsidP="00A35009">
      <w:r w:rsidRPr="00DA3C6E">
        <w:t xml:space="preserve">Finally, </w:t>
      </w:r>
      <w:r w:rsidR="00596B89" w:rsidRPr="00DA3C6E">
        <w:t>an</w:t>
      </w:r>
      <w:r w:rsidRPr="00DA3C6E">
        <w:t xml:space="preserve"> applicability translation issue arise</w:t>
      </w:r>
      <w:r w:rsidR="00951B25" w:rsidRPr="00DA3C6E">
        <w:t>s</w:t>
      </w:r>
      <w:r w:rsidRPr="00DA3C6E">
        <w:t xml:space="preserve"> if the treatment duration in the clinical setting differs greatly to that expected in the current Australian population. </w:t>
      </w:r>
      <w:r w:rsidR="00A02522" w:rsidRPr="00DA3C6E">
        <w:t>The Criteria V3 does not specify a maximum duration of treatment, rather</w:t>
      </w:r>
      <w:r w:rsidR="0071475E" w:rsidRPr="00DA3C6E">
        <w:t xml:space="preserve"> it</w:t>
      </w:r>
      <w:r w:rsidR="00A02522" w:rsidRPr="00DA3C6E">
        <w:t xml:space="preserve"> guides treatment based on specific time points of clinical assessment to determine responsiveness and clinical benefit. </w:t>
      </w:r>
      <w:r w:rsidR="0073528B" w:rsidRPr="00DA3C6E">
        <w:t xml:space="preserve">Given that currently the mean treatment duration is not available from BloodSTAR, </w:t>
      </w:r>
      <w:r w:rsidRPr="00DA3C6E">
        <w:t xml:space="preserve">the duration reported in the RCTs </w:t>
      </w:r>
      <w:r w:rsidR="00A35009" w:rsidRPr="00DA3C6E">
        <w:t>was</w:t>
      </w:r>
      <w:r w:rsidRPr="00DA3C6E">
        <w:t xml:space="preserve"> compared to </w:t>
      </w:r>
      <w:r w:rsidR="00A02522" w:rsidRPr="00DA3C6E">
        <w:t xml:space="preserve">that </w:t>
      </w:r>
      <w:r w:rsidRPr="00DA3C6E">
        <w:lastRenderedPageBreak/>
        <w:t>sourced from single arm studies identified in Section B that report</w:t>
      </w:r>
      <w:r w:rsidR="00534CE6" w:rsidRPr="00DA3C6E">
        <w:t xml:space="preserve">ed </w:t>
      </w:r>
      <w:r w:rsidRPr="00DA3C6E">
        <w:t>a follow-up period greater than 1 year</w:t>
      </w:r>
      <w:r w:rsidR="00534CE6" w:rsidRPr="00DA3C6E">
        <w:t xml:space="preserve"> and treatment duration as one of its outcomes</w:t>
      </w:r>
      <w:r w:rsidR="0022396B" w:rsidRPr="00DA3C6E">
        <w:t xml:space="preserve"> (</w:t>
      </w:r>
      <w:r w:rsidR="0022396B" w:rsidRPr="00DA3C6E">
        <w:fldChar w:fldCharType="begin"/>
      </w:r>
      <w:r w:rsidR="0022396B" w:rsidRPr="00DA3C6E">
        <w:instrText xml:space="preserve"> REF _Ref27731604 \h </w:instrText>
      </w:r>
      <w:r w:rsidR="00A35009" w:rsidRPr="00DA3C6E">
        <w:instrText xml:space="preserve"> \* MERGEFORMAT </w:instrText>
      </w:r>
      <w:r w:rsidR="0022396B" w:rsidRPr="00DA3C6E">
        <w:fldChar w:fldCharType="separate"/>
      </w:r>
      <w:r w:rsidR="00EA5DC1" w:rsidRPr="00DA3C6E">
        <w:t xml:space="preserve">Table </w:t>
      </w:r>
      <w:r w:rsidR="00EA5DC1">
        <w:rPr>
          <w:noProof/>
        </w:rPr>
        <w:t>24</w:t>
      </w:r>
      <w:r w:rsidR="0022396B" w:rsidRPr="00DA3C6E">
        <w:fldChar w:fldCharType="end"/>
      </w:r>
      <w:r w:rsidR="0022396B" w:rsidRPr="00DA3C6E">
        <w:t>)</w:t>
      </w:r>
      <w:r w:rsidRPr="00DA3C6E">
        <w:t xml:space="preserve">. </w:t>
      </w:r>
    </w:p>
    <w:p w14:paraId="43981333" w14:textId="4AAE9CA5" w:rsidR="0073229C" w:rsidRPr="00DA3C6E" w:rsidRDefault="006B0313" w:rsidP="006160EA">
      <w:r w:rsidRPr="00DA3C6E">
        <w:t xml:space="preserve">The </w:t>
      </w:r>
      <w:r w:rsidR="00A35009" w:rsidRPr="00DA3C6E">
        <w:t xml:space="preserve">evidence from </w:t>
      </w:r>
      <w:r w:rsidR="00FD7A8E" w:rsidRPr="00DA3C6E">
        <w:t>RCTs</w:t>
      </w:r>
      <w:r w:rsidR="00A35009" w:rsidRPr="00DA3C6E">
        <w:t xml:space="preserve"> </w:t>
      </w:r>
      <w:r w:rsidRPr="00DA3C6E">
        <w:t xml:space="preserve">reported an </w:t>
      </w:r>
      <w:r w:rsidR="00FD7A8E" w:rsidRPr="00DA3C6E">
        <w:t xml:space="preserve">intravenous Ig </w:t>
      </w:r>
      <w:r w:rsidRPr="00DA3C6E">
        <w:t xml:space="preserve">treatment duration that varied from 28 days </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00596B89" w:rsidRPr="00DA3C6E">
        <w:t xml:space="preserve"> </w:t>
      </w:r>
      <w:r w:rsidRPr="00DA3C6E">
        <w:t>to approximately 12 months</w:t>
      </w:r>
      <w:r w:rsidR="00596B89" w:rsidRPr="00DA3C6E">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This time period was pre-specified and not conditional on an assessment of treatment response, an important difference with the way </w:t>
      </w:r>
      <w:r w:rsidR="00FD7A8E" w:rsidRPr="00DA3C6E">
        <w:t xml:space="preserve">intravenous Ig </w:t>
      </w:r>
      <w:r w:rsidRPr="00DA3C6E">
        <w:t xml:space="preserve">is currently delivered in Australia. </w:t>
      </w:r>
      <w:r w:rsidR="003D5F0A" w:rsidRPr="00DA3C6E">
        <w:t>Three of the RCTs (Azulay</w:t>
      </w:r>
      <w:r w:rsidR="00B52F06" w:rsidRPr="00DA3C6E">
        <w:t xml:space="preserve"> et al</w:t>
      </w:r>
      <w:r w:rsidR="00723E30" w:rsidRPr="00DA3C6E">
        <w:t>.</w:t>
      </w:r>
      <w:r w:rsidR="003D5F0A" w:rsidRPr="00DA3C6E">
        <w:t xml:space="preserve"> 1994, Van den Berg</w:t>
      </w:r>
      <w:r w:rsidR="00B52F06" w:rsidRPr="00DA3C6E">
        <w:t xml:space="preserve"> et al</w:t>
      </w:r>
      <w:r w:rsidR="00723E30" w:rsidRPr="00DA3C6E">
        <w:t>.</w:t>
      </w:r>
      <w:r w:rsidR="00B52F06" w:rsidRPr="00DA3C6E">
        <w:t xml:space="preserve"> </w:t>
      </w:r>
      <w:r w:rsidR="003D5F0A" w:rsidRPr="00DA3C6E">
        <w:t>1995 and Federico</w:t>
      </w:r>
      <w:r w:rsidR="00B52F06" w:rsidRPr="00DA3C6E">
        <w:t xml:space="preserve"> et al</w:t>
      </w:r>
      <w:r w:rsidR="00723E30" w:rsidRPr="00DA3C6E">
        <w:t>.</w:t>
      </w:r>
      <w:r w:rsidR="003D5F0A" w:rsidRPr="00DA3C6E">
        <w:t xml:space="preserve"> 2000</w:t>
      </w:r>
      <w:r w:rsidR="00DB568A" w:rsidRPr="00DA3C6E">
        <w:fldChar w:fldCharType="begin">
          <w:fldData xml:space="preserve">PEVuZE5vdGU+PENpdGU+PEF1dGhvcj5BenVsYXk8L0F1dGhvcj48WWVhcj4xOTk0PC9ZZWFyPjxS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PEVuZE5vdGU+PENpdGU+PEF1dGhvcj5BenVsYXk8L0F1dGhvcj48WWVhcj4xOTk0PC9ZZWFyPjxS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4" w:tooltip="Azulay, 1994 #4" w:history="1">
        <w:r w:rsidR="00C04BCE" w:rsidRPr="00DA3C6E">
          <w:rPr>
            <w:noProof/>
          </w:rPr>
          <w:t>24-26</w:t>
        </w:r>
      </w:hyperlink>
      <w:r w:rsidR="00DB568A" w:rsidRPr="00DA3C6E">
        <w:rPr>
          <w:noProof/>
        </w:rPr>
        <w:t>)</w:t>
      </w:r>
      <w:r w:rsidR="00DB568A" w:rsidRPr="00DA3C6E">
        <w:fldChar w:fldCharType="end"/>
      </w:r>
      <w:r w:rsidR="003D5F0A" w:rsidRPr="00DA3C6E">
        <w:t>) had a trial duration shorter tha</w:t>
      </w:r>
      <w:r w:rsidR="009A05AA" w:rsidRPr="00DA3C6E">
        <w:t>n</w:t>
      </w:r>
      <w:r w:rsidR="003D5F0A" w:rsidRPr="00DA3C6E">
        <w:t xml:space="preserve"> the current initial treatment phase (induction plus three maintenance cycles) recommended in The Criteria</w:t>
      </w:r>
      <w:r w:rsidR="009A05AA" w:rsidRPr="00DA3C6E">
        <w:t xml:space="preserve"> </w:t>
      </w:r>
      <w:r w:rsidR="00723E30" w:rsidRPr="00DA3C6E">
        <w:t xml:space="preserve">V3 </w:t>
      </w:r>
      <w:r w:rsidR="009A05AA" w:rsidRPr="00DA3C6E">
        <w:t>to assess for responsiveness</w:t>
      </w:r>
      <w:r w:rsidR="003D5F0A" w:rsidRPr="00DA3C6E">
        <w:t xml:space="preserve">. </w:t>
      </w:r>
      <w:r w:rsidR="009A05AA" w:rsidRPr="00DA3C6E">
        <w:t xml:space="preserve">For these three studies there are likely relevant applicability issues that may limit the interpretation of the reported results to the Australian setting. The trial duration in </w:t>
      </w:r>
      <w:r w:rsidR="001D06C9" w:rsidRPr="00DA3C6E">
        <w:t xml:space="preserve">the </w:t>
      </w:r>
      <w:r w:rsidR="009A05AA" w:rsidRPr="00DA3C6E">
        <w:t xml:space="preserve">Leger </w:t>
      </w:r>
      <w:r w:rsidR="00723E30" w:rsidRPr="00DA3C6E">
        <w:t>et al</w:t>
      </w:r>
      <w:r w:rsidR="00FD7A8E" w:rsidRPr="00DA3C6E">
        <w:t>.</w:t>
      </w:r>
      <w:r w:rsidR="00723E30" w:rsidRPr="00DA3C6E">
        <w:t xml:space="preserve"> </w:t>
      </w:r>
      <w:r w:rsidR="009A05AA" w:rsidRPr="00DA3C6E">
        <w:t>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9A05AA" w:rsidRPr="00DA3C6E">
        <w:t xml:space="preserve"> study was </w:t>
      </w:r>
      <w:r w:rsidR="00596B89" w:rsidRPr="00DA3C6E">
        <w:t xml:space="preserve">7 months but the clinical outcomes were reported for the 4-month assessment, which reflects the time period that </w:t>
      </w:r>
      <w:r w:rsidR="009A05AA" w:rsidRPr="00DA3C6E">
        <w:t>currently inform</w:t>
      </w:r>
      <w:r w:rsidR="00596B89" w:rsidRPr="00DA3C6E">
        <w:t>s</w:t>
      </w:r>
      <w:r w:rsidR="009A05AA" w:rsidRPr="00DA3C6E">
        <w:t xml:space="preserve"> responsiveness </w:t>
      </w:r>
      <w:r w:rsidR="00596B89" w:rsidRPr="00DA3C6E">
        <w:t xml:space="preserve">to Ig </w:t>
      </w:r>
      <w:r w:rsidR="009A05AA" w:rsidRPr="00DA3C6E">
        <w:t>after the initial treatment phase</w:t>
      </w:r>
      <w:r w:rsidR="00596B89" w:rsidRPr="00DA3C6E">
        <w:t xml:space="preserve"> (one induction plus three maintenance administrations delivered in 4 months) in Australia</w:t>
      </w:r>
      <w:r w:rsidR="009A05AA" w:rsidRPr="00DA3C6E">
        <w:t xml:space="preserve">. The median treatment duration in Hahn </w:t>
      </w:r>
      <w:r w:rsidR="00723E30" w:rsidRPr="00DA3C6E">
        <w:t xml:space="preserve">et al. </w:t>
      </w:r>
      <w:r w:rsidR="009A05AA" w:rsidRPr="00DA3C6E">
        <w:t>2013</w:t>
      </w:r>
      <w:r w:rsidR="00284464">
        <w:t xml:space="preserve"> </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009A05AA" w:rsidRPr="00DA3C6E">
        <w:t xml:space="preserve"> was close to a year, however it may still not capture the expected treatment duration in current practice</w:t>
      </w:r>
      <w:r w:rsidR="00596B89" w:rsidRPr="00DA3C6E">
        <w:t>. From long</w:t>
      </w:r>
      <w:r w:rsidR="002614CC" w:rsidRPr="00DA3C6E">
        <w:t>-</w:t>
      </w:r>
      <w:r w:rsidR="00596B89" w:rsidRPr="00DA3C6E">
        <w:t>term single arm studies, it has been observed that the median duration of treatment</w:t>
      </w:r>
      <w:r w:rsidR="009A05AA" w:rsidRPr="00DA3C6E">
        <w:t xml:space="preserve">, </w:t>
      </w:r>
      <w:r w:rsidR="00A02522" w:rsidRPr="00DA3C6E">
        <w:t>could vary</w:t>
      </w:r>
      <w:r w:rsidR="009A05AA" w:rsidRPr="00DA3C6E">
        <w:t xml:space="preserve"> from around 2 to 7 years</w:t>
      </w:r>
      <w:r w:rsidR="0022396B" w:rsidRPr="00DA3C6E">
        <w:t xml:space="preserve"> (</w:t>
      </w:r>
      <w:r w:rsidR="0022396B" w:rsidRPr="00DA3C6E">
        <w:fldChar w:fldCharType="begin"/>
      </w:r>
      <w:r w:rsidR="0022396B" w:rsidRPr="00DA3C6E">
        <w:instrText xml:space="preserve"> REF _Ref27731604 \h </w:instrText>
      </w:r>
      <w:r w:rsidR="00E8759F" w:rsidRPr="00DA3C6E">
        <w:instrText xml:space="preserve"> \* MERGEFORMAT </w:instrText>
      </w:r>
      <w:r w:rsidR="0022396B" w:rsidRPr="00DA3C6E">
        <w:fldChar w:fldCharType="separate"/>
      </w:r>
      <w:r w:rsidR="00EA5DC1" w:rsidRPr="00DA3C6E">
        <w:t xml:space="preserve">Table </w:t>
      </w:r>
      <w:r w:rsidR="00EA5DC1">
        <w:rPr>
          <w:noProof/>
        </w:rPr>
        <w:t>24</w:t>
      </w:r>
      <w:r w:rsidR="0022396B" w:rsidRPr="00DA3C6E">
        <w:fldChar w:fldCharType="end"/>
      </w:r>
      <w:r w:rsidR="0022396B" w:rsidRPr="00DA3C6E">
        <w:t>)</w:t>
      </w:r>
      <w:r w:rsidR="009A05AA" w:rsidRPr="00DA3C6E">
        <w:t xml:space="preserve">. </w:t>
      </w:r>
    </w:p>
    <w:p w14:paraId="3C255302" w14:textId="3F5370FC" w:rsidR="00FD5D89" w:rsidRPr="00DA3C6E" w:rsidRDefault="006B0313" w:rsidP="006160EA">
      <w:r w:rsidRPr="00DA3C6E">
        <w:t xml:space="preserve">Overall, the clinical evidence from RCTs and single arm studies was variable </w:t>
      </w:r>
      <w:r w:rsidR="002D4DC5" w:rsidRPr="00DA3C6E">
        <w:t xml:space="preserve">and not entirely consistent </w:t>
      </w:r>
      <w:r w:rsidRPr="00DA3C6E">
        <w:t>with the</w:t>
      </w:r>
      <w:r w:rsidR="002D4DC5" w:rsidRPr="00DA3C6E">
        <w:t xml:space="preserve"> expected</w:t>
      </w:r>
      <w:r w:rsidRPr="00DA3C6E">
        <w:t xml:space="preserve"> duration of </w:t>
      </w:r>
      <w:r w:rsidR="008652B6" w:rsidRPr="00DA3C6E">
        <w:t xml:space="preserve">intravenous </w:t>
      </w:r>
      <w:r w:rsidRPr="00DA3C6E">
        <w:t>I</w:t>
      </w:r>
      <w:r w:rsidR="00A02522" w:rsidRPr="00DA3C6E">
        <w:t>g treatment in Australia which limits it</w:t>
      </w:r>
      <w:r w:rsidR="00130776" w:rsidRPr="00DA3C6E">
        <w:t>s</w:t>
      </w:r>
      <w:r w:rsidR="00A02522" w:rsidRPr="00DA3C6E">
        <w:t xml:space="preserve"> applicability </w:t>
      </w:r>
      <w:r w:rsidRPr="00DA3C6E">
        <w:t xml:space="preserve">to the current Australian population. </w:t>
      </w:r>
      <w:r w:rsidR="00A35009" w:rsidRPr="00DA3C6E">
        <w:t>In addition, n</w:t>
      </w:r>
      <w:r w:rsidRPr="00DA3C6E">
        <w:t xml:space="preserve">one of the reviewed studies considered a weaning off trial phase </w:t>
      </w:r>
      <w:r w:rsidR="00B54B73" w:rsidRPr="00DA3C6E">
        <w:t xml:space="preserve">as recommended in </w:t>
      </w:r>
      <w:r w:rsidR="008652B6" w:rsidRPr="00DA3C6E">
        <w:t xml:space="preserve">The Criteria </w:t>
      </w:r>
      <w:r w:rsidR="00723E30" w:rsidRPr="00DA3C6E">
        <w:t>V</w:t>
      </w:r>
      <w:r w:rsidR="008652B6" w:rsidRPr="00DA3C6E">
        <w:t>3</w:t>
      </w:r>
      <w:r w:rsidR="002D4DC5" w:rsidRPr="00DA3C6E">
        <w:t>, where</w:t>
      </w:r>
      <w:r w:rsidR="00A02522" w:rsidRPr="00DA3C6E">
        <w:t xml:space="preserve"> responder</w:t>
      </w:r>
      <w:r w:rsidR="002D4DC5" w:rsidRPr="00DA3C6E">
        <w:t xml:space="preserve"> patients enter an off-treatment phase until they relapse</w:t>
      </w:r>
      <w:r w:rsidR="00A02522" w:rsidRPr="00DA3C6E">
        <w:t>.</w:t>
      </w:r>
      <w:r w:rsidR="00072D60" w:rsidRPr="00DA3C6E">
        <w:t xml:space="preserve"> </w:t>
      </w:r>
      <w:r w:rsidR="001F0578" w:rsidRPr="00DA3C6E">
        <w:t>Recommendations regarding time</w:t>
      </w:r>
      <w:r w:rsidR="00723E30" w:rsidRPr="00DA3C6E">
        <w:t xml:space="preserve"> </w:t>
      </w:r>
      <w:r w:rsidR="001F0578" w:rsidRPr="00DA3C6E">
        <w:t>point for weaning off</w:t>
      </w:r>
      <w:r w:rsidR="00130776" w:rsidRPr="00DA3C6E">
        <w:t>-</w:t>
      </w:r>
      <w:r w:rsidR="001F0578" w:rsidRPr="00DA3C6E">
        <w:t xml:space="preserve">treatment phase may have a direct impact on the total duration of treatment. </w:t>
      </w:r>
      <w:r w:rsidR="0073528B" w:rsidRPr="00DA3C6E">
        <w:t xml:space="preserve">Neither The Criteria V3 nor the published clinical evidence specify a time point at which this weaning off trial phase would be initiated </w:t>
      </w:r>
      <w:r w:rsidR="00A02522" w:rsidRPr="00DA3C6E">
        <w:t>and how lo</w:t>
      </w:r>
      <w:r w:rsidR="0051471E" w:rsidRPr="00DA3C6E">
        <w:t>ng this phase is likely to last</w:t>
      </w:r>
      <w:r w:rsidR="002D4DC5" w:rsidRPr="00DA3C6E">
        <w:t xml:space="preserve">. </w:t>
      </w:r>
      <w:r w:rsidR="00172AAE" w:rsidRPr="00172AAE">
        <w:t>The Criteria does however ask whether a trial of weaning has been considered each 12 months.</w:t>
      </w:r>
      <w:r w:rsidR="00172AAE">
        <w:t xml:space="preserve"> </w:t>
      </w:r>
      <w:r w:rsidR="0073528B" w:rsidRPr="00DA3C6E">
        <w:t>For patients who relapse, The Criteria V3 suggests trial of weaning at 24 months</w:t>
      </w:r>
      <w:r w:rsidR="00172AAE">
        <w:t xml:space="preserve"> in patients who are stable</w:t>
      </w:r>
      <w:r w:rsidR="0073528B" w:rsidRPr="00DA3C6E">
        <w:t xml:space="preserve">. </w:t>
      </w:r>
      <w:r w:rsidR="00FD5D89" w:rsidRPr="00DA3C6E">
        <w:t>However, b</w:t>
      </w:r>
      <w:r w:rsidR="005E495F" w:rsidRPr="00DA3C6E">
        <w:t xml:space="preserve">ased on expert opinion, it was suggested that it was more common in Australia to assess </w:t>
      </w:r>
      <w:r w:rsidR="00FD5D89" w:rsidRPr="00DA3C6E">
        <w:t xml:space="preserve">Ig treated </w:t>
      </w:r>
      <w:r w:rsidR="005E495F" w:rsidRPr="00DA3C6E">
        <w:t xml:space="preserve">patients </w:t>
      </w:r>
      <w:r w:rsidR="00FD5D89" w:rsidRPr="00DA3C6E">
        <w:t xml:space="preserve">for </w:t>
      </w:r>
      <w:r w:rsidR="00A35009" w:rsidRPr="00DA3C6E">
        <w:t>an end of dose effect</w:t>
      </w:r>
      <w:r w:rsidR="00723E30" w:rsidRPr="00DA3C6E">
        <w:t xml:space="preserve"> (i.e. </w:t>
      </w:r>
      <w:r w:rsidR="00F47DF8" w:rsidRPr="00DA3C6E">
        <w:t xml:space="preserve">patient demonstrates an improvement in symptoms </w:t>
      </w:r>
      <w:r w:rsidR="00723E30" w:rsidRPr="00DA3C6E">
        <w:t xml:space="preserve">on </w:t>
      </w:r>
      <w:r w:rsidR="00F47DF8" w:rsidRPr="00DA3C6E">
        <w:t xml:space="preserve">the </w:t>
      </w:r>
      <w:r w:rsidR="00723E30" w:rsidRPr="00DA3C6E">
        <w:t>current dose)</w:t>
      </w:r>
      <w:r w:rsidR="005E495F" w:rsidRPr="00DA3C6E">
        <w:t xml:space="preserve">. If the patient </w:t>
      </w:r>
      <w:r w:rsidR="00951B25" w:rsidRPr="00DA3C6E">
        <w:t>demonstrates such an improvement</w:t>
      </w:r>
      <w:r w:rsidR="005E495F" w:rsidRPr="00DA3C6E">
        <w:t>, a weaning off trial would not be recommended. In the case that a pa</w:t>
      </w:r>
      <w:r w:rsidR="00A35009" w:rsidRPr="00DA3C6E">
        <w:t xml:space="preserve">tient </w:t>
      </w:r>
      <w:r w:rsidR="005E495F" w:rsidRPr="00DA3C6E">
        <w:t>does not clearly have an</w:t>
      </w:r>
      <w:r w:rsidR="00A35009" w:rsidRPr="00DA3C6E">
        <w:t xml:space="preserve"> end of dose effect</w:t>
      </w:r>
      <w:r w:rsidR="00F47DF8" w:rsidRPr="00DA3C6E">
        <w:t xml:space="preserve"> (i.e. demonstrate no improvement or deterioration in symptoms (remains stable) on the current dose)</w:t>
      </w:r>
      <w:r w:rsidR="005E495F" w:rsidRPr="00DA3C6E">
        <w:t xml:space="preserve">, weaning may be implemented. Weaning usually consists of a reduction in the </w:t>
      </w:r>
      <w:r w:rsidR="00A35009" w:rsidRPr="00DA3C6E">
        <w:t xml:space="preserve">actual dose and </w:t>
      </w:r>
      <w:r w:rsidR="00FD5D89" w:rsidRPr="00DA3C6E">
        <w:t xml:space="preserve">an </w:t>
      </w:r>
      <w:r w:rsidR="00A35009" w:rsidRPr="00DA3C6E">
        <w:t>increas</w:t>
      </w:r>
      <w:r w:rsidR="00FD5D89" w:rsidRPr="00DA3C6E">
        <w:t>e in</w:t>
      </w:r>
      <w:r w:rsidR="00A35009" w:rsidRPr="00DA3C6E">
        <w:t xml:space="preserve"> the dose interval. </w:t>
      </w:r>
      <w:r w:rsidR="00FD5D89" w:rsidRPr="00DA3C6E">
        <w:t xml:space="preserve">Some of these patients may cease treatment, </w:t>
      </w:r>
      <w:r w:rsidR="00A35009" w:rsidRPr="00DA3C6E">
        <w:t>but not all.</w:t>
      </w:r>
      <w:r w:rsidR="00FD5D89" w:rsidRPr="00DA3C6E">
        <w:t xml:space="preserve"> Overall, if the proportion of patients initiating weaning is low, then it is unlikely that this aspect will have an impact on the overall treatment effect. </w:t>
      </w:r>
    </w:p>
    <w:p w14:paraId="7EEE5880" w14:textId="72A242FE" w:rsidR="00CD6085" w:rsidRPr="00DA3C6E" w:rsidRDefault="00CD6085" w:rsidP="00880E62">
      <w:pPr>
        <w:pStyle w:val="Caption"/>
        <w:keepNext/>
        <w:keepLines/>
      </w:pPr>
      <w:bookmarkStart w:id="239" w:name="_Ref27731604"/>
      <w:bookmarkStart w:id="240" w:name="_Toc37845827"/>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24</w:t>
      </w:r>
      <w:r w:rsidR="00515153">
        <w:rPr>
          <w:noProof/>
        </w:rPr>
        <w:fldChar w:fldCharType="end"/>
      </w:r>
      <w:bookmarkEnd w:id="239"/>
      <w:r w:rsidRPr="00DA3C6E">
        <w:t>. IVIg treatment duration from RCTs and single arm studies.</w:t>
      </w:r>
      <w:bookmarkEnd w:id="240"/>
      <w:r w:rsidRPr="00DA3C6E">
        <w:t xml:space="preserve"> </w:t>
      </w:r>
    </w:p>
    <w:tbl>
      <w:tblPr>
        <w:tblStyle w:val="TableGrid"/>
        <w:tblW w:w="9036" w:type="dxa"/>
        <w:tblLook w:val="04A0" w:firstRow="1" w:lastRow="0" w:firstColumn="1" w:lastColumn="0" w:noHBand="0" w:noVBand="1"/>
        <w:tblCaption w:val="Table 24. IVIg treatment duration from RCTs and single arm studies. "/>
      </w:tblPr>
      <w:tblGrid>
        <w:gridCol w:w="2122"/>
        <w:gridCol w:w="2976"/>
        <w:gridCol w:w="3938"/>
      </w:tblGrid>
      <w:tr w:rsidR="00CD6085" w:rsidRPr="00DA3C6E" w14:paraId="7C71CCF2" w14:textId="77777777" w:rsidTr="00D56F4F">
        <w:trPr>
          <w:trHeight w:val="436"/>
          <w:tblHeader/>
        </w:trPr>
        <w:tc>
          <w:tcPr>
            <w:tcW w:w="2122" w:type="dxa"/>
            <w:vAlign w:val="center"/>
          </w:tcPr>
          <w:p w14:paraId="18C63278" w14:textId="77777777" w:rsidR="00CD6085" w:rsidRPr="00DA3C6E" w:rsidRDefault="00CD6085">
            <w:pPr>
              <w:keepNext/>
              <w:keepLines/>
              <w:spacing w:after="0" w:line="240" w:lineRule="auto"/>
              <w:ind w:left="0"/>
              <w:jc w:val="left"/>
              <w:rPr>
                <w:rStyle w:val="SmallBold"/>
                <w:rFonts w:ascii="Arial Narrow" w:hAnsi="Arial Narrow"/>
                <w:b w:val="0"/>
                <w:bCs/>
                <w:szCs w:val="20"/>
              </w:rPr>
            </w:pPr>
          </w:p>
        </w:tc>
        <w:tc>
          <w:tcPr>
            <w:tcW w:w="2976" w:type="dxa"/>
            <w:vAlign w:val="center"/>
          </w:tcPr>
          <w:p w14:paraId="068AE4C3" w14:textId="77777777" w:rsidR="00CD6085" w:rsidRPr="00DA3C6E" w:rsidRDefault="00CD6085">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Time points for measurement</w:t>
            </w:r>
          </w:p>
        </w:tc>
        <w:tc>
          <w:tcPr>
            <w:tcW w:w="3938" w:type="dxa"/>
            <w:vAlign w:val="center"/>
          </w:tcPr>
          <w:p w14:paraId="1976C50A" w14:textId="77777777" w:rsidR="00CD6085" w:rsidRPr="00DA3C6E" w:rsidRDefault="00CD6085">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 xml:space="preserve">Median Tx duration; primary outcome time point. </w:t>
            </w:r>
          </w:p>
        </w:tc>
      </w:tr>
      <w:tr w:rsidR="00CD6085" w:rsidRPr="00DA3C6E" w14:paraId="3A4901F5" w14:textId="77777777" w:rsidTr="00CD6085">
        <w:trPr>
          <w:trHeight w:val="212"/>
        </w:trPr>
        <w:tc>
          <w:tcPr>
            <w:tcW w:w="9036" w:type="dxa"/>
            <w:gridSpan w:val="3"/>
            <w:vAlign w:val="center"/>
          </w:tcPr>
          <w:p w14:paraId="34D06896" w14:textId="77777777" w:rsidR="00CD6085" w:rsidRPr="00DA3C6E" w:rsidRDefault="00CD6085">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szCs w:val="20"/>
              </w:rPr>
              <w:t>RCTs</w:t>
            </w:r>
          </w:p>
        </w:tc>
      </w:tr>
      <w:tr w:rsidR="00CD6085" w:rsidRPr="00DA3C6E" w14:paraId="30628135" w14:textId="77777777" w:rsidTr="00880E62">
        <w:trPr>
          <w:trHeight w:val="212"/>
        </w:trPr>
        <w:tc>
          <w:tcPr>
            <w:tcW w:w="2122" w:type="dxa"/>
            <w:vAlign w:val="center"/>
          </w:tcPr>
          <w:p w14:paraId="1DDCE813" w14:textId="504602A9" w:rsidR="00CD6085" w:rsidRPr="00DA3C6E" w:rsidRDefault="00CD6085" w:rsidP="00C04BCE">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b w:val="0"/>
                <w:szCs w:val="20"/>
              </w:rPr>
              <w:t>Azulay et al</w:t>
            </w:r>
            <w:r w:rsidR="004D22F5" w:rsidRPr="00DA3C6E">
              <w:rPr>
                <w:rStyle w:val="SmallBold"/>
                <w:rFonts w:ascii="Arial Narrow" w:hAnsi="Arial Narrow"/>
                <w:b w:val="0"/>
                <w:szCs w:val="20"/>
              </w:rPr>
              <w:t>.</w:t>
            </w:r>
            <w:r w:rsidRPr="00DA3C6E">
              <w:rPr>
                <w:rStyle w:val="SmallBold"/>
                <w:rFonts w:ascii="Arial Narrow" w:hAnsi="Arial Narrow"/>
                <w:b w:val="0"/>
                <w:szCs w:val="20"/>
              </w:rPr>
              <w:t xml:space="preserve"> 1994</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4" w:tooltip="Azulay, 1994 #4" w:history="1">
              <w:r w:rsidR="00C04BCE" w:rsidRPr="00DA3C6E">
                <w:rPr>
                  <w:rStyle w:val="SmallBold"/>
                  <w:rFonts w:ascii="Arial Narrow" w:hAnsi="Arial Narrow"/>
                  <w:b w:val="0"/>
                  <w:noProof/>
                  <w:szCs w:val="20"/>
                </w:rPr>
                <w:t>24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3EBFF319"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0, 5, 28 and 56 days</w:t>
            </w:r>
          </w:p>
        </w:tc>
        <w:tc>
          <w:tcPr>
            <w:tcW w:w="3938" w:type="dxa"/>
            <w:vAlign w:val="center"/>
          </w:tcPr>
          <w:p w14:paraId="64DDE9E2"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 56 days</w:t>
            </w:r>
          </w:p>
        </w:tc>
      </w:tr>
      <w:tr w:rsidR="00CD6085" w:rsidRPr="00DA3C6E" w14:paraId="6ABE550B" w14:textId="77777777" w:rsidTr="00880E62">
        <w:trPr>
          <w:trHeight w:val="436"/>
        </w:trPr>
        <w:tc>
          <w:tcPr>
            <w:tcW w:w="2122" w:type="dxa"/>
            <w:vAlign w:val="center"/>
          </w:tcPr>
          <w:p w14:paraId="4E039CA1" w14:textId="42EDE19A" w:rsidR="00CD6085" w:rsidRPr="00DA3C6E" w:rsidRDefault="00CD6085" w:rsidP="00C04BCE">
            <w:pPr>
              <w:keepNext/>
              <w:keepLines/>
              <w:spacing w:after="0" w:line="240" w:lineRule="auto"/>
              <w:ind w:left="0"/>
              <w:jc w:val="left"/>
              <w:rPr>
                <w:rStyle w:val="SmallBold"/>
                <w:rFonts w:ascii="Arial Narrow" w:hAnsi="Arial Narrow"/>
                <w:szCs w:val="20"/>
                <w:lang w:val="es-CL"/>
              </w:rPr>
            </w:pPr>
            <w:r w:rsidRPr="00DA3C6E">
              <w:rPr>
                <w:rStyle w:val="SmallBold"/>
                <w:rFonts w:ascii="Arial Narrow" w:hAnsi="Arial Narrow"/>
                <w:b w:val="0"/>
                <w:szCs w:val="20"/>
                <w:lang w:val="es-CL"/>
              </w:rPr>
              <w:t>Van den Berg et al</w:t>
            </w:r>
            <w:r w:rsidR="004D22F5" w:rsidRPr="00DA3C6E">
              <w:rPr>
                <w:rStyle w:val="SmallBold"/>
                <w:rFonts w:ascii="Arial Narrow" w:hAnsi="Arial Narrow"/>
                <w:b w:val="0"/>
                <w:szCs w:val="20"/>
                <w:lang w:val="nn-NO"/>
              </w:rPr>
              <w:t>.</w:t>
            </w:r>
            <w:r w:rsidRPr="00DA3C6E">
              <w:rPr>
                <w:rStyle w:val="SmallBold"/>
                <w:rFonts w:ascii="Arial Narrow" w:hAnsi="Arial Narrow"/>
                <w:b w:val="0"/>
                <w:szCs w:val="20"/>
                <w:lang w:val="es-CL"/>
              </w:rPr>
              <w:t xml:space="preserve"> 1995</w:t>
            </w:r>
            <w:r w:rsidR="00DB568A" w:rsidRPr="00DA3C6E">
              <w:rPr>
                <w:rStyle w:val="SmallBold"/>
                <w:rFonts w:ascii="Arial Narrow" w:hAnsi="Arial Narrow"/>
                <w:b w:val="0"/>
                <w:szCs w:val="20"/>
                <w:lang w:val="es-CL"/>
              </w:rPr>
              <w:fldChar w:fldCharType="begin"/>
            </w:r>
            <w:r w:rsidR="00DB568A" w:rsidRPr="00DA3C6E">
              <w:rPr>
                <w:rStyle w:val="SmallBold"/>
                <w:rFonts w:ascii="Arial Narrow" w:hAnsi="Arial Narrow"/>
                <w:b w:val="0"/>
                <w:szCs w:val="20"/>
                <w:lang w:val="es-CL"/>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Style w:val="SmallBold"/>
                <w:rFonts w:ascii="Arial Narrow" w:hAnsi="Arial Narrow"/>
                <w:b w:val="0"/>
                <w:szCs w:val="20"/>
                <w:lang w:val="es-CL"/>
              </w:rPr>
              <w:fldChar w:fldCharType="separate"/>
            </w:r>
            <w:r w:rsidR="00DB568A" w:rsidRPr="00DA3C6E">
              <w:rPr>
                <w:rStyle w:val="SmallBold"/>
                <w:rFonts w:ascii="Arial Narrow" w:hAnsi="Arial Narrow"/>
                <w:b w:val="0"/>
                <w:noProof/>
                <w:szCs w:val="20"/>
                <w:lang w:val="es-CL"/>
              </w:rPr>
              <w:t>(</w:t>
            </w:r>
            <w:hyperlink w:anchor="_ENREF_25" w:tooltip="Van den Berg, 1995 #77" w:history="1">
              <w:r w:rsidR="00C04BCE" w:rsidRPr="00DA3C6E">
                <w:rPr>
                  <w:rStyle w:val="SmallBold"/>
                  <w:rFonts w:ascii="Arial Narrow" w:hAnsi="Arial Narrow"/>
                  <w:b w:val="0"/>
                  <w:noProof/>
                  <w:szCs w:val="20"/>
                  <w:lang w:val="es-CL"/>
                </w:rPr>
                <w:t>25</w:t>
              </w:r>
            </w:hyperlink>
            <w:r w:rsidR="00DB568A" w:rsidRPr="00DA3C6E">
              <w:rPr>
                <w:rStyle w:val="SmallBold"/>
                <w:rFonts w:ascii="Arial Narrow" w:hAnsi="Arial Narrow"/>
                <w:b w:val="0"/>
                <w:noProof/>
                <w:szCs w:val="20"/>
                <w:lang w:val="es-CL"/>
              </w:rPr>
              <w:t>)</w:t>
            </w:r>
            <w:r w:rsidR="00DB568A" w:rsidRPr="00DA3C6E">
              <w:rPr>
                <w:rStyle w:val="SmallBold"/>
                <w:rFonts w:ascii="Arial Narrow" w:hAnsi="Arial Narrow"/>
                <w:b w:val="0"/>
                <w:szCs w:val="20"/>
                <w:lang w:val="es-CL"/>
              </w:rPr>
              <w:fldChar w:fldCharType="end"/>
            </w:r>
          </w:p>
        </w:tc>
        <w:tc>
          <w:tcPr>
            <w:tcW w:w="2976" w:type="dxa"/>
            <w:vAlign w:val="center"/>
          </w:tcPr>
          <w:p w14:paraId="7B9CA62D" w14:textId="77777777" w:rsidR="00CD6085" w:rsidRPr="00DA3C6E" w:rsidRDefault="00CD6085">
            <w:pPr>
              <w:keepNext/>
              <w:keepLines/>
              <w:spacing w:after="0" w:line="240" w:lineRule="auto"/>
              <w:ind w:left="0"/>
              <w:jc w:val="left"/>
              <w:rPr>
                <w:rStyle w:val="SmallBold"/>
                <w:rFonts w:ascii="Arial Narrow" w:hAnsi="Arial Narrow"/>
                <w:b w:val="0"/>
                <w:szCs w:val="20"/>
                <w:lang w:val="es-CL"/>
              </w:rPr>
            </w:pPr>
          </w:p>
        </w:tc>
        <w:tc>
          <w:tcPr>
            <w:tcW w:w="3938" w:type="dxa"/>
            <w:vAlign w:val="center"/>
          </w:tcPr>
          <w:p w14:paraId="439FF672" w14:textId="77777777" w:rsidR="00CD6085" w:rsidRPr="00DA3C6E" w:rsidRDefault="00C05F79" w:rsidP="004D22F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Two </w:t>
            </w:r>
            <w:r w:rsidR="004D22F5" w:rsidRPr="00DA3C6E">
              <w:rPr>
                <w:rStyle w:val="SmallBold"/>
                <w:rFonts w:ascii="Arial Narrow" w:hAnsi="Arial Narrow"/>
                <w:b w:val="0"/>
                <w:szCs w:val="20"/>
              </w:rPr>
              <w:t xml:space="preserve">intravenous Ig </w:t>
            </w:r>
            <w:r w:rsidRPr="00DA3C6E">
              <w:rPr>
                <w:rStyle w:val="SmallBold"/>
                <w:rFonts w:ascii="Arial Narrow" w:hAnsi="Arial Narrow"/>
                <w:b w:val="0"/>
                <w:szCs w:val="20"/>
              </w:rPr>
              <w:t>and 2 placebo treatments per patient.</w:t>
            </w:r>
          </w:p>
        </w:tc>
      </w:tr>
      <w:tr w:rsidR="00CD6085" w:rsidRPr="00DA3C6E" w14:paraId="68BE0623" w14:textId="77777777" w:rsidTr="00880E62">
        <w:trPr>
          <w:trHeight w:val="212"/>
        </w:trPr>
        <w:tc>
          <w:tcPr>
            <w:tcW w:w="2122" w:type="dxa"/>
            <w:vAlign w:val="center"/>
          </w:tcPr>
          <w:p w14:paraId="22D17AD6" w14:textId="513C20C0" w:rsidR="00CD6085" w:rsidRPr="00DA3C6E" w:rsidRDefault="00CD6085" w:rsidP="00C04BCE">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b w:val="0"/>
                <w:szCs w:val="20"/>
              </w:rPr>
              <w:t>Federico et al</w:t>
            </w:r>
            <w:r w:rsidR="004D22F5" w:rsidRPr="00DA3C6E">
              <w:rPr>
                <w:rStyle w:val="SmallBold"/>
                <w:rFonts w:ascii="Arial Narrow" w:hAnsi="Arial Narrow"/>
                <w:b w:val="0"/>
                <w:szCs w:val="20"/>
              </w:rPr>
              <w:t>.</w:t>
            </w:r>
            <w:r w:rsidRPr="00DA3C6E">
              <w:rPr>
                <w:rStyle w:val="SmallBold"/>
                <w:rFonts w:ascii="Arial Narrow" w:hAnsi="Arial Narrow"/>
                <w:b w:val="0"/>
                <w:szCs w:val="20"/>
              </w:rPr>
              <w:t xml:space="preserve"> 2000</w: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6" w:tooltip="Federico, 2000 #20" w:history="1">
              <w:r w:rsidR="00C04BCE" w:rsidRPr="00DA3C6E">
                <w:rPr>
                  <w:rStyle w:val="SmallBold"/>
                  <w:rFonts w:ascii="Arial Narrow" w:hAnsi="Arial Narrow"/>
                  <w:b w:val="0"/>
                  <w:noProof/>
                  <w:szCs w:val="20"/>
                </w:rPr>
                <w:t>26</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59623689"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Fonts w:ascii="Arial Narrow" w:hAnsi="Arial Narrow"/>
                <w:sz w:val="20"/>
                <w:szCs w:val="20"/>
              </w:rPr>
              <w:t xml:space="preserve">1, 5 and 28 days after IVIg administration. </w:t>
            </w:r>
          </w:p>
        </w:tc>
        <w:tc>
          <w:tcPr>
            <w:tcW w:w="3938" w:type="dxa"/>
            <w:vAlign w:val="center"/>
          </w:tcPr>
          <w:p w14:paraId="27D31AF6"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NR; 28 days. </w:t>
            </w:r>
          </w:p>
        </w:tc>
      </w:tr>
      <w:tr w:rsidR="00CD6085" w:rsidRPr="00DA3C6E" w14:paraId="413E8D47" w14:textId="77777777" w:rsidTr="00880E62">
        <w:trPr>
          <w:trHeight w:val="212"/>
        </w:trPr>
        <w:tc>
          <w:tcPr>
            <w:tcW w:w="2122" w:type="dxa"/>
            <w:vAlign w:val="center"/>
          </w:tcPr>
          <w:p w14:paraId="5CFE6473" w14:textId="5CB4E9E5" w:rsidR="00CD6085" w:rsidRPr="00DA3C6E" w:rsidRDefault="00CD6085" w:rsidP="00C04BCE">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b w:val="0"/>
                <w:szCs w:val="20"/>
              </w:rPr>
              <w:t>Leger et al</w:t>
            </w:r>
            <w:r w:rsidR="004D22F5" w:rsidRPr="00DA3C6E">
              <w:rPr>
                <w:rStyle w:val="SmallBold"/>
                <w:rFonts w:ascii="Arial Narrow" w:hAnsi="Arial Narrow"/>
                <w:b w:val="0"/>
                <w:szCs w:val="20"/>
              </w:rPr>
              <w:t>.</w:t>
            </w:r>
            <w:r w:rsidRPr="00DA3C6E">
              <w:rPr>
                <w:rStyle w:val="SmallBold"/>
                <w:rFonts w:ascii="Arial Narrow" w:hAnsi="Arial Narrow"/>
                <w:b w:val="0"/>
                <w:szCs w:val="20"/>
              </w:rPr>
              <w:t xml:space="preserve"> 2001</w:t>
            </w:r>
            <w:r w:rsidR="00DB568A" w:rsidRPr="00DA3C6E">
              <w:rPr>
                <w:rStyle w:val="SmallBold"/>
                <w:rFonts w:ascii="Arial Narrow" w:hAnsi="Arial Narrow"/>
                <w:b w:val="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7" w:tooltip="Leger, 2001 #39" w:history="1">
              <w:r w:rsidR="00C04BCE" w:rsidRPr="00DA3C6E">
                <w:rPr>
                  <w:rStyle w:val="SmallBold"/>
                  <w:rFonts w:ascii="Arial Narrow" w:hAnsi="Arial Narrow"/>
                  <w:b w:val="0"/>
                  <w:noProof/>
                  <w:szCs w:val="20"/>
                </w:rPr>
                <w:t>27</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266073A9"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Month 4 and 7. </w:t>
            </w:r>
          </w:p>
        </w:tc>
        <w:tc>
          <w:tcPr>
            <w:tcW w:w="3938" w:type="dxa"/>
            <w:vAlign w:val="center"/>
          </w:tcPr>
          <w:p w14:paraId="5D41D2BD"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NR; 4 months. </w:t>
            </w:r>
          </w:p>
        </w:tc>
      </w:tr>
      <w:tr w:rsidR="00CD6085" w:rsidRPr="00DA3C6E" w14:paraId="75004D5F" w14:textId="77777777" w:rsidTr="00880E62">
        <w:trPr>
          <w:trHeight w:val="222"/>
        </w:trPr>
        <w:tc>
          <w:tcPr>
            <w:tcW w:w="2122" w:type="dxa"/>
            <w:vAlign w:val="center"/>
          </w:tcPr>
          <w:p w14:paraId="17BEB6DC" w14:textId="48681744" w:rsidR="00CD6085" w:rsidRPr="00DA3C6E" w:rsidRDefault="00CD6085" w:rsidP="00C04BCE">
            <w:pPr>
              <w:keepNext/>
              <w:keepLines/>
              <w:spacing w:after="0" w:line="240" w:lineRule="auto"/>
              <w:ind w:left="0"/>
              <w:jc w:val="left"/>
              <w:rPr>
                <w:rStyle w:val="SmallBold"/>
                <w:rFonts w:ascii="Arial Narrow" w:hAnsi="Arial Narrow"/>
                <w:szCs w:val="20"/>
              </w:rPr>
            </w:pPr>
            <w:r w:rsidRPr="00DA3C6E">
              <w:rPr>
                <w:rStyle w:val="SmallBold"/>
                <w:rFonts w:ascii="Arial Narrow" w:hAnsi="Arial Narrow"/>
                <w:b w:val="0"/>
                <w:szCs w:val="20"/>
              </w:rPr>
              <w:t>Hahn et al</w:t>
            </w:r>
            <w:r w:rsidR="004D22F5" w:rsidRPr="00DA3C6E">
              <w:rPr>
                <w:rStyle w:val="SmallBold"/>
                <w:rFonts w:ascii="Arial Narrow" w:hAnsi="Arial Narrow"/>
                <w:b w:val="0"/>
                <w:szCs w:val="20"/>
              </w:rPr>
              <w:t>.</w:t>
            </w:r>
            <w:r w:rsidRPr="00DA3C6E">
              <w:rPr>
                <w:rStyle w:val="SmallBold"/>
                <w:rFonts w:ascii="Arial Narrow" w:hAnsi="Arial Narrow"/>
                <w:b w:val="0"/>
                <w:szCs w:val="20"/>
              </w:rPr>
              <w:t xml:space="preserve"> 2013</w: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28" w:tooltip="Hahn, 2013 #26" w:history="1">
              <w:r w:rsidR="00C04BCE" w:rsidRPr="00DA3C6E">
                <w:rPr>
                  <w:rStyle w:val="SmallBold"/>
                  <w:rFonts w:ascii="Arial Narrow" w:hAnsi="Arial Narrow"/>
                  <w:b w:val="0"/>
                  <w:noProof/>
                  <w:szCs w:val="20"/>
                </w:rPr>
                <w:t>28</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0A79D624"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Day 8 (±1 day) of a 2-week treatment interval, and on day 15 (±2 days) for those treated every 3-4 weeks.</w:t>
            </w:r>
          </w:p>
        </w:tc>
        <w:tc>
          <w:tcPr>
            <w:tcW w:w="3938" w:type="dxa"/>
            <w:vAlign w:val="center"/>
          </w:tcPr>
          <w:p w14:paraId="7F18C9BD" w14:textId="77777777" w:rsidR="00CD6085" w:rsidRPr="00DA3C6E" w:rsidRDefault="00CD6085" w:rsidP="00FF294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335 days (double blinded phase, </w:t>
            </w:r>
            <w:r w:rsidR="00FF2945" w:rsidRPr="00DA3C6E">
              <w:rPr>
                <w:rStyle w:val="SmallBold"/>
                <w:rFonts w:ascii="Arial Narrow" w:hAnsi="Arial Narrow"/>
                <w:b w:val="0"/>
                <w:szCs w:val="20"/>
              </w:rPr>
              <w:t xml:space="preserve">intravenous Ig </w:t>
            </w:r>
            <w:r w:rsidRPr="00DA3C6E">
              <w:rPr>
                <w:rStyle w:val="SmallBold"/>
                <w:rFonts w:ascii="Arial Narrow" w:hAnsi="Arial Narrow"/>
                <w:b w:val="0"/>
                <w:szCs w:val="20"/>
              </w:rPr>
              <w:t xml:space="preserve">= 84 (13-91) days and placebo = 28 (7-86) days; 60 weeks. </w:t>
            </w:r>
          </w:p>
        </w:tc>
      </w:tr>
      <w:tr w:rsidR="00CD6085" w:rsidRPr="00DA3C6E" w14:paraId="045BA9A6" w14:textId="77777777" w:rsidTr="00CD6085">
        <w:trPr>
          <w:trHeight w:val="212"/>
        </w:trPr>
        <w:tc>
          <w:tcPr>
            <w:tcW w:w="9036" w:type="dxa"/>
            <w:gridSpan w:val="3"/>
            <w:vAlign w:val="center"/>
          </w:tcPr>
          <w:p w14:paraId="27A51D24"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szCs w:val="20"/>
              </w:rPr>
              <w:t>Single arm studies</w:t>
            </w:r>
          </w:p>
        </w:tc>
      </w:tr>
      <w:tr w:rsidR="00CD6085" w:rsidRPr="00DA3C6E" w14:paraId="187D075D" w14:textId="77777777" w:rsidTr="00CD6085">
        <w:trPr>
          <w:trHeight w:val="212"/>
        </w:trPr>
        <w:tc>
          <w:tcPr>
            <w:tcW w:w="2122" w:type="dxa"/>
            <w:vAlign w:val="center"/>
          </w:tcPr>
          <w:p w14:paraId="4B88084A" w14:textId="77777777" w:rsidR="00CD6085" w:rsidRPr="00DA3C6E" w:rsidRDefault="00CD6085" w:rsidP="00CD6085">
            <w:pPr>
              <w:keepNext/>
              <w:keepLines/>
              <w:spacing w:after="0" w:line="240" w:lineRule="auto"/>
              <w:jc w:val="left"/>
              <w:rPr>
                <w:rStyle w:val="SmallBold"/>
                <w:rFonts w:ascii="Arial Narrow" w:hAnsi="Arial Narrow"/>
                <w:szCs w:val="20"/>
              </w:rPr>
            </w:pPr>
          </w:p>
        </w:tc>
        <w:tc>
          <w:tcPr>
            <w:tcW w:w="2976" w:type="dxa"/>
            <w:vAlign w:val="center"/>
          </w:tcPr>
          <w:p w14:paraId="3CB2E78F" w14:textId="77777777" w:rsidR="00CD6085" w:rsidRPr="00DA3C6E" w:rsidRDefault="00CD6085" w:rsidP="00CD6085">
            <w:pPr>
              <w:keepNext/>
              <w:keepLines/>
              <w:spacing w:after="0" w:line="240" w:lineRule="auto"/>
              <w:jc w:val="left"/>
              <w:rPr>
                <w:rStyle w:val="SmallBold"/>
                <w:rFonts w:ascii="Arial Narrow" w:hAnsi="Arial Narrow"/>
                <w:szCs w:val="20"/>
              </w:rPr>
            </w:pPr>
            <w:r w:rsidRPr="00DA3C6E">
              <w:rPr>
                <w:rStyle w:val="SmallBold"/>
                <w:rFonts w:ascii="Arial Narrow" w:hAnsi="Arial Narrow"/>
                <w:szCs w:val="20"/>
              </w:rPr>
              <w:t>FUP duration</w:t>
            </w:r>
            <w:r w:rsidR="008B38BD" w:rsidRPr="00DA3C6E">
              <w:rPr>
                <w:rStyle w:val="SmallBold"/>
                <w:rFonts w:ascii="Arial Narrow" w:hAnsi="Arial Narrow"/>
                <w:szCs w:val="20"/>
              </w:rPr>
              <w:t xml:space="preserve"> </w:t>
            </w:r>
          </w:p>
          <w:p w14:paraId="366A2946" w14:textId="77777777" w:rsidR="008B38BD" w:rsidRPr="00DA3C6E" w:rsidRDefault="008B38BD" w:rsidP="00CD6085">
            <w:pPr>
              <w:keepNext/>
              <w:keepLines/>
              <w:spacing w:after="0" w:line="240" w:lineRule="auto"/>
              <w:jc w:val="left"/>
              <w:rPr>
                <w:rStyle w:val="SmallBold"/>
                <w:rFonts w:ascii="Arial Narrow" w:hAnsi="Arial Narrow"/>
                <w:szCs w:val="20"/>
              </w:rPr>
            </w:pPr>
            <w:r w:rsidRPr="00DA3C6E">
              <w:rPr>
                <w:rStyle w:val="SmallBold"/>
                <w:rFonts w:ascii="Arial Narrow" w:hAnsi="Arial Narrow"/>
                <w:szCs w:val="20"/>
              </w:rPr>
              <w:t>median (range)</w:t>
            </w:r>
          </w:p>
        </w:tc>
        <w:tc>
          <w:tcPr>
            <w:tcW w:w="3938" w:type="dxa"/>
            <w:vAlign w:val="center"/>
          </w:tcPr>
          <w:p w14:paraId="21BE317B"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szCs w:val="20"/>
              </w:rPr>
              <w:t>Median Tx duration; time at discontinuation</w:t>
            </w:r>
          </w:p>
        </w:tc>
      </w:tr>
      <w:tr w:rsidR="00CD6085" w:rsidRPr="00DA3C6E" w14:paraId="111CCA5C" w14:textId="77777777" w:rsidTr="00880E62">
        <w:trPr>
          <w:trHeight w:val="212"/>
        </w:trPr>
        <w:tc>
          <w:tcPr>
            <w:tcW w:w="2122" w:type="dxa"/>
            <w:vAlign w:val="center"/>
          </w:tcPr>
          <w:p w14:paraId="0F903FCC" w14:textId="3BCAF76D"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Azulay</w:t>
            </w:r>
            <w:r w:rsidR="00FF2945" w:rsidRPr="00DA3C6E">
              <w:rPr>
                <w:rStyle w:val="SmallBold"/>
                <w:rFonts w:ascii="Arial Narrow" w:hAnsi="Arial Narrow"/>
                <w:b w:val="0"/>
                <w:szCs w:val="20"/>
              </w:rPr>
              <w:t xml:space="preserve"> et al.</w:t>
            </w:r>
            <w:r w:rsidRPr="00DA3C6E">
              <w:rPr>
                <w:rStyle w:val="SmallBold"/>
                <w:rFonts w:ascii="Arial Narrow" w:hAnsi="Arial Narrow"/>
                <w:b w:val="0"/>
                <w:szCs w:val="20"/>
              </w:rPr>
              <w:t xml:space="preserve"> 1997</w:t>
            </w:r>
            <w:r w:rsidR="00DB568A" w:rsidRPr="00DA3C6E">
              <w:rPr>
                <w:rStyle w:val="SmallBold"/>
                <w:rFonts w:ascii="Arial Narrow" w:hAnsi="Arial Narrow"/>
                <w:b w:val="0"/>
                <w:szCs w:val="20"/>
              </w:rPr>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8" w:tooltip="Azulay, 1997 #5" w:history="1">
              <w:r w:rsidR="00C04BCE" w:rsidRPr="00DA3C6E">
                <w:rPr>
                  <w:rStyle w:val="SmallBold"/>
                  <w:rFonts w:ascii="Arial Narrow" w:hAnsi="Arial Narrow"/>
                  <w:b w:val="0"/>
                  <w:noProof/>
                  <w:szCs w:val="20"/>
                </w:rPr>
                <w:t>38</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2BEC33C0"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25.3 months (9 months and 4 years)</w:t>
            </w:r>
          </w:p>
        </w:tc>
        <w:tc>
          <w:tcPr>
            <w:tcW w:w="3938" w:type="dxa"/>
            <w:vAlign w:val="center"/>
          </w:tcPr>
          <w:p w14:paraId="1F8A20E6"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6.3</w:t>
            </w:r>
            <w:r w:rsidR="008B38BD" w:rsidRPr="00DA3C6E">
              <w:rPr>
                <w:rStyle w:val="SmallBold"/>
                <w:rFonts w:ascii="Arial Narrow" w:hAnsi="Arial Narrow"/>
                <w:b w:val="0"/>
                <w:szCs w:val="20"/>
              </w:rPr>
              <w:t xml:space="preserve"> (range 2-15)</w:t>
            </w:r>
            <w:r w:rsidR="008B38BD" w:rsidRPr="00DA3C6E">
              <w:rPr>
                <w:rStyle w:val="SmallBold"/>
                <w:rFonts w:ascii="Arial Narrow" w:hAnsi="Arial Narrow"/>
                <w:b w:val="0"/>
                <w:szCs w:val="20"/>
                <w:vertAlign w:val="superscript"/>
              </w:rPr>
              <w:t>a</w:t>
            </w:r>
            <w:r w:rsidRPr="00DA3C6E">
              <w:rPr>
                <w:rStyle w:val="SmallBold"/>
                <w:rFonts w:ascii="Arial Narrow" w:hAnsi="Arial Narrow"/>
                <w:b w:val="0"/>
                <w:szCs w:val="20"/>
              </w:rPr>
              <w:t xml:space="preserve"> infusions every 53 days; NR</w:t>
            </w:r>
            <w:r w:rsidR="003D5F0A" w:rsidRPr="00DA3C6E">
              <w:rPr>
                <w:rStyle w:val="SmallBold"/>
                <w:rFonts w:ascii="Arial Narrow" w:hAnsi="Arial Narrow"/>
                <w:b w:val="0"/>
                <w:szCs w:val="20"/>
              </w:rPr>
              <w:t>.</w:t>
            </w:r>
          </w:p>
        </w:tc>
      </w:tr>
      <w:tr w:rsidR="00CD6085" w:rsidRPr="00DA3C6E" w14:paraId="17DEB5E9" w14:textId="77777777" w:rsidTr="00880E62">
        <w:trPr>
          <w:trHeight w:val="222"/>
        </w:trPr>
        <w:tc>
          <w:tcPr>
            <w:tcW w:w="2122" w:type="dxa"/>
            <w:vAlign w:val="center"/>
          </w:tcPr>
          <w:p w14:paraId="188BE4BF" w14:textId="1DBFD69A"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Cats</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2010</w:t>
            </w:r>
            <w:r w:rsidR="00DB568A" w:rsidRPr="00DA3C6E">
              <w:rPr>
                <w:rStyle w:val="SmallBold"/>
                <w:rFonts w:ascii="Arial Narrow" w:hAnsi="Arial Narrow"/>
                <w:b w:val="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14" w:tooltip="Cats, 2010 #13" w:history="1">
              <w:r w:rsidR="00C04BCE" w:rsidRPr="00DA3C6E">
                <w:rPr>
                  <w:rStyle w:val="SmallBold"/>
                  <w:rFonts w:ascii="Arial Narrow" w:hAnsi="Arial Narrow"/>
                  <w:b w:val="0"/>
                  <w:noProof/>
                  <w:szCs w:val="20"/>
                </w:rPr>
                <w:t>14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49D32524"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938" w:type="dxa"/>
            <w:vAlign w:val="center"/>
          </w:tcPr>
          <w:p w14:paraId="4444A0EE"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6 years (0-17); NR</w:t>
            </w:r>
            <w:r w:rsidR="003D5F0A" w:rsidRPr="00DA3C6E">
              <w:rPr>
                <w:rStyle w:val="SmallBold"/>
                <w:rFonts w:ascii="Arial Narrow" w:hAnsi="Arial Narrow"/>
                <w:b w:val="0"/>
                <w:szCs w:val="20"/>
              </w:rPr>
              <w:t>.</w:t>
            </w:r>
          </w:p>
        </w:tc>
      </w:tr>
      <w:tr w:rsidR="00CD6085" w:rsidRPr="00DA3C6E" w14:paraId="2EF92047" w14:textId="77777777" w:rsidTr="00880E62">
        <w:trPr>
          <w:trHeight w:val="222"/>
        </w:trPr>
        <w:tc>
          <w:tcPr>
            <w:tcW w:w="2122" w:type="dxa"/>
            <w:vAlign w:val="center"/>
          </w:tcPr>
          <w:p w14:paraId="55F57140" w14:textId="421687A1"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Chia</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2019</w:t>
            </w:r>
            <w:r w:rsidR="00DB568A" w:rsidRPr="00DA3C6E">
              <w:rPr>
                <w:rStyle w:val="SmallBold"/>
                <w:rFonts w:ascii="Arial Narrow" w:hAnsi="Arial Narrow"/>
                <w:b w:val="0"/>
                <w:szCs w:val="20"/>
              </w:rPr>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4" w:tooltip="Chia, 2019 #15" w:history="1">
              <w:r w:rsidR="00C04BCE" w:rsidRPr="00DA3C6E">
                <w:rPr>
                  <w:rStyle w:val="SmallBold"/>
                  <w:rFonts w:ascii="Arial Narrow" w:hAnsi="Arial Narrow"/>
                  <w:b w:val="0"/>
                  <w:noProof/>
                  <w:szCs w:val="20"/>
                </w:rPr>
                <w:t>34</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44069AA3"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938" w:type="dxa"/>
            <w:vAlign w:val="center"/>
          </w:tcPr>
          <w:p w14:paraId="4C6738C1"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48.1 (15-156) months; NR</w:t>
            </w:r>
            <w:r w:rsidR="003D5F0A" w:rsidRPr="00DA3C6E">
              <w:rPr>
                <w:rStyle w:val="SmallBold"/>
                <w:rFonts w:ascii="Arial Narrow" w:hAnsi="Arial Narrow"/>
                <w:b w:val="0"/>
                <w:szCs w:val="20"/>
              </w:rPr>
              <w:t>.</w:t>
            </w:r>
          </w:p>
        </w:tc>
      </w:tr>
      <w:tr w:rsidR="00CD6085" w:rsidRPr="00DA3C6E" w14:paraId="1ABD0358" w14:textId="77777777" w:rsidTr="00880E62">
        <w:trPr>
          <w:trHeight w:val="222"/>
        </w:trPr>
        <w:tc>
          <w:tcPr>
            <w:tcW w:w="2122" w:type="dxa"/>
            <w:vAlign w:val="center"/>
          </w:tcPr>
          <w:p w14:paraId="2658074E" w14:textId="6805FD3E"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Grehl</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1997</w:t>
            </w:r>
            <w:r w:rsidR="00DB568A" w:rsidRPr="00DA3C6E">
              <w:rPr>
                <w:rStyle w:val="SmallBold"/>
                <w:rFonts w:ascii="Arial Narrow" w:hAnsi="Arial Narrow"/>
                <w:b w:val="0"/>
                <w:szCs w:val="20"/>
              </w:rPr>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9" w:tooltip="Grehl, 1997 #24" w:history="1">
              <w:r w:rsidR="00C04BCE" w:rsidRPr="00DA3C6E">
                <w:rPr>
                  <w:rStyle w:val="SmallBold"/>
                  <w:rFonts w:ascii="Arial Narrow" w:hAnsi="Arial Narrow"/>
                  <w:b w:val="0"/>
                  <w:noProof/>
                  <w:szCs w:val="20"/>
                </w:rPr>
                <w:t>39</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1A1D0811"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c>
          <w:tcPr>
            <w:tcW w:w="3938" w:type="dxa"/>
            <w:vAlign w:val="center"/>
          </w:tcPr>
          <w:p w14:paraId="66CB27A6"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i/>
                <w:szCs w:val="20"/>
              </w:rPr>
              <w:t>26</w:t>
            </w:r>
            <w:r w:rsidRPr="00DA3C6E">
              <w:rPr>
                <w:rStyle w:val="SmallBold"/>
                <w:rFonts w:ascii="Arial Narrow" w:hAnsi="Arial Narrow"/>
                <w:b w:val="0"/>
                <w:szCs w:val="20"/>
              </w:rPr>
              <w:t xml:space="preserve"> (9-41) months</w:t>
            </w:r>
            <w:r w:rsidRPr="00DA3C6E">
              <w:rPr>
                <w:rStyle w:val="SmallBold"/>
                <w:rFonts w:ascii="Arial Narrow" w:hAnsi="Arial Narrow"/>
                <w:b w:val="0"/>
                <w:szCs w:val="20"/>
                <w:vertAlign w:val="superscript"/>
              </w:rPr>
              <w:t>a</w:t>
            </w:r>
            <w:r w:rsidRPr="00DA3C6E">
              <w:rPr>
                <w:rStyle w:val="SmallBold"/>
                <w:rFonts w:ascii="Arial Narrow" w:hAnsi="Arial Narrow"/>
                <w:b w:val="0"/>
                <w:szCs w:val="20"/>
              </w:rPr>
              <w:t>; NR</w:t>
            </w:r>
            <w:r w:rsidR="003D5F0A" w:rsidRPr="00DA3C6E">
              <w:rPr>
                <w:rStyle w:val="SmallBold"/>
                <w:rFonts w:ascii="Arial Narrow" w:hAnsi="Arial Narrow"/>
                <w:b w:val="0"/>
                <w:szCs w:val="20"/>
              </w:rPr>
              <w:t>.</w:t>
            </w:r>
          </w:p>
        </w:tc>
      </w:tr>
      <w:tr w:rsidR="00CD6085" w:rsidRPr="00DA3C6E" w14:paraId="13104E9D" w14:textId="77777777" w:rsidTr="00880E62">
        <w:trPr>
          <w:trHeight w:val="222"/>
        </w:trPr>
        <w:tc>
          <w:tcPr>
            <w:tcW w:w="2122" w:type="dxa"/>
            <w:vAlign w:val="center"/>
          </w:tcPr>
          <w:p w14:paraId="6035F9FE" w14:textId="0CDFB928"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Jaspert</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1996</w:t>
            </w:r>
            <w:r w:rsidR="00DB568A" w:rsidRPr="00DA3C6E">
              <w:rPr>
                <w:rStyle w:val="SmallBold"/>
                <w:rFonts w:ascii="Arial Narrow" w:hAnsi="Arial Narrow"/>
                <w:b w:val="0"/>
                <w:szCs w:val="20"/>
              </w:rPr>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7" w:tooltip="Jaspert, 1996 #31" w:history="1">
              <w:r w:rsidR="00C04BCE" w:rsidRPr="00DA3C6E">
                <w:rPr>
                  <w:rStyle w:val="SmallBold"/>
                  <w:rFonts w:ascii="Arial Narrow" w:hAnsi="Arial Narrow"/>
                  <w:b w:val="0"/>
                  <w:noProof/>
                  <w:szCs w:val="20"/>
                </w:rPr>
                <w:t>37</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11C479DD" w14:textId="77777777" w:rsidR="00CD6085" w:rsidRPr="00DA3C6E" w:rsidRDefault="008B38BD" w:rsidP="008B38BD">
            <w:pPr>
              <w:keepNext/>
              <w:keepLines/>
              <w:spacing w:after="0" w:line="240" w:lineRule="auto"/>
              <w:ind w:left="0"/>
              <w:jc w:val="left"/>
              <w:rPr>
                <w:rStyle w:val="SmallBold"/>
                <w:rFonts w:ascii="Arial Narrow" w:hAnsi="Arial Narrow"/>
                <w:b w:val="0"/>
                <w:szCs w:val="20"/>
              </w:rPr>
            </w:pPr>
            <w:r w:rsidRPr="00DA3C6E">
              <w:rPr>
                <w:rFonts w:ascii="Arial Narrow" w:hAnsi="Arial Narrow"/>
                <w:color w:val="000000"/>
                <w:sz w:val="20"/>
                <w:szCs w:val="20"/>
              </w:rPr>
              <w:t>NR (</w:t>
            </w:r>
            <w:r w:rsidR="00CD6085" w:rsidRPr="00DA3C6E">
              <w:rPr>
                <w:rFonts w:ascii="Arial Narrow" w:hAnsi="Arial Narrow"/>
                <w:color w:val="000000"/>
                <w:sz w:val="20"/>
                <w:szCs w:val="20"/>
              </w:rPr>
              <w:t xml:space="preserve">3 months </w:t>
            </w:r>
            <w:r w:rsidRPr="00DA3C6E">
              <w:rPr>
                <w:rFonts w:ascii="Arial Narrow" w:hAnsi="Arial Narrow"/>
                <w:color w:val="000000"/>
                <w:sz w:val="20"/>
                <w:szCs w:val="20"/>
              </w:rPr>
              <w:t>-</w:t>
            </w:r>
            <w:r w:rsidR="00CD6085" w:rsidRPr="00DA3C6E">
              <w:rPr>
                <w:rFonts w:ascii="Arial Narrow" w:hAnsi="Arial Narrow"/>
                <w:color w:val="000000"/>
                <w:sz w:val="20"/>
                <w:szCs w:val="20"/>
              </w:rPr>
              <w:t xml:space="preserve"> 4.5 years</w:t>
            </w:r>
            <w:r w:rsidRPr="00DA3C6E">
              <w:rPr>
                <w:rFonts w:ascii="Arial Narrow" w:hAnsi="Arial Narrow"/>
                <w:color w:val="000000"/>
                <w:sz w:val="20"/>
                <w:szCs w:val="20"/>
              </w:rPr>
              <w:t>)</w:t>
            </w:r>
          </w:p>
        </w:tc>
        <w:tc>
          <w:tcPr>
            <w:tcW w:w="3938" w:type="dxa"/>
            <w:vAlign w:val="center"/>
          </w:tcPr>
          <w:p w14:paraId="3983DF0A" w14:textId="77777777" w:rsidR="00CD6085" w:rsidRPr="00DA3C6E" w:rsidRDefault="00CD6085">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i/>
                <w:szCs w:val="20"/>
              </w:rPr>
              <w:t>12</w:t>
            </w:r>
            <w:r w:rsidRPr="00DA3C6E">
              <w:rPr>
                <w:rStyle w:val="SmallBold"/>
                <w:rFonts w:ascii="Arial Narrow" w:hAnsi="Arial Narrow"/>
                <w:b w:val="0"/>
                <w:szCs w:val="20"/>
              </w:rPr>
              <w:t xml:space="preserve"> (2-32) months</w:t>
            </w:r>
            <w:r w:rsidRPr="00DA3C6E">
              <w:rPr>
                <w:rStyle w:val="SmallBold"/>
                <w:rFonts w:ascii="Arial Narrow" w:hAnsi="Arial Narrow"/>
                <w:b w:val="0"/>
                <w:szCs w:val="20"/>
                <w:vertAlign w:val="superscript"/>
              </w:rPr>
              <w:t>a</w:t>
            </w:r>
            <w:r w:rsidRPr="00DA3C6E">
              <w:rPr>
                <w:rStyle w:val="SmallBold"/>
                <w:rFonts w:ascii="Arial Narrow" w:hAnsi="Arial Narrow"/>
                <w:b w:val="0"/>
                <w:szCs w:val="20"/>
              </w:rPr>
              <w:t>; NR</w:t>
            </w:r>
            <w:r w:rsidR="003D5F0A" w:rsidRPr="00DA3C6E">
              <w:rPr>
                <w:rStyle w:val="SmallBold"/>
                <w:rFonts w:ascii="Arial Narrow" w:hAnsi="Arial Narrow"/>
                <w:b w:val="0"/>
                <w:szCs w:val="20"/>
              </w:rPr>
              <w:t>.</w:t>
            </w:r>
            <w:r w:rsidRPr="00DA3C6E" w:rsidDel="003F0E89">
              <w:rPr>
                <w:rStyle w:val="SmallBold"/>
                <w:rFonts w:ascii="Arial Narrow" w:hAnsi="Arial Narrow"/>
                <w:b w:val="0"/>
                <w:szCs w:val="20"/>
              </w:rPr>
              <w:t xml:space="preserve"> </w:t>
            </w:r>
          </w:p>
        </w:tc>
      </w:tr>
      <w:tr w:rsidR="00CD6085" w:rsidRPr="00DA3C6E" w14:paraId="1F48D939" w14:textId="77777777" w:rsidTr="00880E62">
        <w:trPr>
          <w:trHeight w:val="222"/>
        </w:trPr>
        <w:tc>
          <w:tcPr>
            <w:tcW w:w="2122" w:type="dxa"/>
            <w:vAlign w:val="center"/>
          </w:tcPr>
          <w:p w14:paraId="73A4978D" w14:textId="41C0F115"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Kuwabara</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2018</w:t>
            </w:r>
            <w:r w:rsidR="00DB568A" w:rsidRPr="00DA3C6E">
              <w:rPr>
                <w:rStyle w:val="SmallBold"/>
                <w:rFonts w:ascii="Arial Narrow" w:hAnsi="Arial Narrow"/>
                <w:b w:val="0"/>
                <w:szCs w:val="20"/>
              </w:rPr>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2" w:tooltip="Kuwabara, 2018 #37" w:history="1">
              <w:r w:rsidR="00C04BCE" w:rsidRPr="00DA3C6E">
                <w:rPr>
                  <w:rStyle w:val="SmallBold"/>
                  <w:rFonts w:ascii="Arial Narrow" w:hAnsi="Arial Narrow"/>
                  <w:b w:val="0"/>
                  <w:noProof/>
                  <w:szCs w:val="20"/>
                </w:rPr>
                <w:t>32</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0C56F71C"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52 weeks</w:t>
            </w:r>
            <w:r w:rsidR="00C0024A" w:rsidRPr="00DA3C6E">
              <w:rPr>
                <w:rStyle w:val="SmallBold"/>
                <w:rFonts w:ascii="Arial Narrow" w:hAnsi="Arial Narrow"/>
                <w:b w:val="0"/>
                <w:szCs w:val="20"/>
              </w:rPr>
              <w:t xml:space="preserve"> (NR)</w:t>
            </w:r>
          </w:p>
        </w:tc>
        <w:tc>
          <w:tcPr>
            <w:tcW w:w="3938" w:type="dxa"/>
            <w:vAlign w:val="center"/>
          </w:tcPr>
          <w:p w14:paraId="7F529C73"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w:t>
            </w:r>
          </w:p>
        </w:tc>
      </w:tr>
      <w:tr w:rsidR="00CD6085" w:rsidRPr="00DA3C6E" w14:paraId="71E29454" w14:textId="77777777" w:rsidTr="00880E62">
        <w:trPr>
          <w:trHeight w:val="222"/>
        </w:trPr>
        <w:tc>
          <w:tcPr>
            <w:tcW w:w="2122" w:type="dxa"/>
            <w:vAlign w:val="center"/>
          </w:tcPr>
          <w:p w14:paraId="48C2137B" w14:textId="39E4080B"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Leger</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2008</w:t>
            </w:r>
            <w:r w:rsidR="00DB568A" w:rsidRPr="00DA3C6E">
              <w:rPr>
                <w:rStyle w:val="SmallBold"/>
                <w:rFonts w:ascii="Arial Narrow" w:hAnsi="Arial Narrow"/>
                <w:b w:val="0"/>
                <w:szCs w:val="20"/>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rPr>
                <w:rStyle w:val="SmallBold"/>
                <w:rFonts w:ascii="Arial Narrow" w:hAnsi="Arial Narrow"/>
                <w:b w:val="0"/>
                <w:szCs w:val="20"/>
              </w:rPr>
              <w:instrText xml:space="preserve"> ADDIN EN.CITE </w:instrText>
            </w:r>
            <w:r w:rsidR="00DB568A" w:rsidRPr="00DA3C6E">
              <w:rPr>
                <w:rStyle w:val="SmallBold"/>
                <w:rFonts w:ascii="Arial Narrow" w:hAnsi="Arial Narrow"/>
                <w:b w:val="0"/>
                <w:szCs w:val="20"/>
              </w:rPr>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rPr>
                <w:rStyle w:val="SmallBold"/>
                <w:rFonts w:ascii="Arial Narrow" w:hAnsi="Arial Narrow"/>
                <w:b w:val="0"/>
                <w:szCs w:val="20"/>
              </w:rPr>
              <w:instrText xml:space="preserve"> ADDIN EN.CITE.DATA </w:instrText>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19" w:tooltip="Leger, 2008 #40" w:history="1">
              <w:r w:rsidR="00C04BCE" w:rsidRPr="00DA3C6E">
                <w:rPr>
                  <w:rStyle w:val="SmallBold"/>
                  <w:rFonts w:ascii="Arial Narrow" w:hAnsi="Arial Narrow"/>
                  <w:b w:val="0"/>
                  <w:noProof/>
                  <w:szCs w:val="20"/>
                </w:rPr>
                <w:t>19</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5872433A"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2.2±2.0 years</w:t>
            </w:r>
          </w:p>
        </w:tc>
        <w:tc>
          <w:tcPr>
            <w:tcW w:w="3938" w:type="dxa"/>
            <w:vAlign w:val="center"/>
          </w:tcPr>
          <w:p w14:paraId="3289F757"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At the end of FUP, 68% required periodic IVIg infusions to maintain good clinical condition; NR.</w:t>
            </w:r>
          </w:p>
        </w:tc>
      </w:tr>
      <w:tr w:rsidR="00CD6085" w:rsidRPr="00DA3C6E" w14:paraId="6ECC5ED8" w14:textId="77777777" w:rsidTr="00880E62">
        <w:trPr>
          <w:trHeight w:val="222"/>
        </w:trPr>
        <w:tc>
          <w:tcPr>
            <w:tcW w:w="2122" w:type="dxa"/>
            <w:vAlign w:val="center"/>
          </w:tcPr>
          <w:p w14:paraId="1C613E8C" w14:textId="1B765876"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Slee</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2007</w:t>
            </w:r>
            <w:r w:rsidR="00DB568A" w:rsidRPr="00DA3C6E">
              <w:rPr>
                <w:rStyle w:val="SmallBold"/>
                <w:rFonts w:ascii="Arial Narrow" w:hAnsi="Arial Narrow"/>
                <w:b w:val="0"/>
                <w:szCs w:val="20"/>
              </w:rPr>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rPr>
                <w:rStyle w:val="SmallBold"/>
                <w:rFonts w:ascii="Arial Narrow" w:hAnsi="Arial Narrow"/>
                <w:b w:val="0"/>
                <w:szCs w:val="20"/>
              </w:rPr>
              <w:instrText xml:space="preserve"> ADDIN EN.CITE </w:instrText>
            </w:r>
            <w:r w:rsidR="007810D6">
              <w:rPr>
                <w:rStyle w:val="SmallBold"/>
                <w:rFonts w:ascii="Arial Narrow" w:hAnsi="Arial Narrow"/>
                <w:b w:val="0"/>
                <w:szCs w:val="20"/>
              </w:rPr>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rPr>
                <w:rStyle w:val="SmallBold"/>
                <w:rFonts w:ascii="Arial Narrow" w:hAnsi="Arial Narrow"/>
                <w:b w:val="0"/>
                <w:szCs w:val="20"/>
              </w:rPr>
              <w:instrText xml:space="preserve"> ADDIN EN.CITE.DATA </w:instrText>
            </w:r>
            <w:r w:rsidR="007810D6">
              <w:rPr>
                <w:rStyle w:val="SmallBold"/>
                <w:rFonts w:ascii="Arial Narrow" w:hAnsi="Arial Narrow"/>
                <w:b w:val="0"/>
                <w:szCs w:val="20"/>
              </w:rPr>
            </w:r>
            <w:r w:rsidR="007810D6">
              <w:rPr>
                <w:rStyle w:val="SmallBold"/>
                <w:rFonts w:ascii="Arial Narrow" w:hAnsi="Arial Narrow"/>
                <w:b w:val="0"/>
                <w:szCs w:val="20"/>
              </w:rPr>
              <w:fldChar w:fldCharType="end"/>
            </w:r>
            <w:r w:rsidR="00DB568A" w:rsidRPr="00DA3C6E">
              <w:rPr>
                <w:rStyle w:val="SmallBold"/>
                <w:rFonts w:ascii="Arial Narrow" w:hAnsi="Arial Narrow"/>
                <w:b w:val="0"/>
                <w:szCs w:val="20"/>
              </w:rPr>
            </w:r>
            <w:r w:rsidR="00DB568A" w:rsidRPr="00DA3C6E">
              <w:rPr>
                <w:rStyle w:val="SmallBold"/>
                <w:rFonts w:ascii="Arial Narrow" w:hAnsi="Arial Narrow"/>
                <w:b w:val="0"/>
                <w:szCs w:val="20"/>
              </w:rPr>
              <w:fldChar w:fldCharType="separate"/>
            </w:r>
            <w:r w:rsidR="007810D6">
              <w:rPr>
                <w:rStyle w:val="SmallBold"/>
                <w:rFonts w:ascii="Arial Narrow" w:hAnsi="Arial Narrow"/>
                <w:b w:val="0"/>
                <w:noProof/>
                <w:szCs w:val="20"/>
              </w:rPr>
              <w:t>(</w:t>
            </w:r>
            <w:hyperlink w:anchor="_ENREF_56" w:tooltip="Slee, 2007 #60" w:history="1">
              <w:r w:rsidR="00C04BCE">
                <w:rPr>
                  <w:rStyle w:val="SmallBold"/>
                  <w:rFonts w:ascii="Arial Narrow" w:hAnsi="Arial Narrow"/>
                  <w:b w:val="0"/>
                  <w:noProof/>
                  <w:szCs w:val="20"/>
                </w:rPr>
                <w:t>56</w:t>
              </w:r>
            </w:hyperlink>
            <w:r w:rsidR="007810D6">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59A94737"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6.4 (1-16) years</w:t>
            </w:r>
          </w:p>
        </w:tc>
        <w:tc>
          <w:tcPr>
            <w:tcW w:w="3938" w:type="dxa"/>
            <w:vAlign w:val="center"/>
          </w:tcPr>
          <w:p w14:paraId="4E1DF853"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3 (1-8) years; NR</w:t>
            </w:r>
          </w:p>
        </w:tc>
      </w:tr>
      <w:tr w:rsidR="00CD6085" w:rsidRPr="00DA3C6E" w14:paraId="48FA2B91" w14:textId="77777777" w:rsidTr="00880E62">
        <w:trPr>
          <w:trHeight w:val="222"/>
        </w:trPr>
        <w:tc>
          <w:tcPr>
            <w:tcW w:w="2122" w:type="dxa"/>
            <w:vAlign w:val="center"/>
          </w:tcPr>
          <w:p w14:paraId="315F6461" w14:textId="3ABA7F1A"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Terenghi</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2004</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&lt;EndNote&gt;&lt;Cite&gt;&lt;Author&gt;Terenghi&lt;/Author&gt;&lt;Year&gt;2004&lt;/Year&gt;&lt;RecNum&gt;62&lt;/RecNum&gt;&lt;DisplayText&gt;(33)&lt;/DisplayText&gt;&lt;record&gt;&lt;rec-number&gt;62&lt;/rec-number&gt;&lt;foreign-keys&gt;&lt;key app="EN" db-id="0992p2ztn5fez9e2wvnpw2xstd20f9w2dezz" timestamp="1586818281"&gt;62&lt;/key&gt;&lt;/foreign-keys&gt;&lt;ref-type name="Journal Article"&gt;17&lt;/ref-type&gt;&lt;contributors&gt;&lt;authors&gt;&lt;author&gt;Terenghi, F.&lt;/author&gt;&lt;author&gt;Cappellari, A.&lt;/author&gt;&lt;author&gt;Bersano, A.&lt;/author&gt;&lt;author&gt;Carpo, M.&lt;/author&gt;&lt;author&gt;Barbieri, S.&lt;/author&gt;&lt;author&gt;Nobile-Orazio, E.&lt;/author&gt;&lt;/authors&gt;&lt;/contributors&gt;&lt;auth-address&gt;Giorgio Spagnol Service of Clinical Neuroimmunology, Dino Ferrari Centre, Department of Neurological Sciences, Milan University, IRCCS Ospedale Maggiore Policlinico, Milan, Italy.&lt;/auth-address&gt;&lt;titles&gt;&lt;title&gt;How long is IVIg effective in multifocal motor neuropathy?&lt;/title&gt;&lt;secondary-title&gt;Neurology&lt;/secondary-title&gt;&lt;/titles&gt;&lt;periodical&gt;&lt;full-title&gt;Neurology&lt;/full-title&gt;&lt;/periodical&gt;&lt;pages&gt;666-8&lt;/pages&gt;&lt;volume&gt;62&lt;/volume&gt;&lt;number&gt;4&lt;/number&gt;&lt;keywords&gt;&lt;keyword&gt;Adult&lt;/keyword&gt;&lt;keyword&gt;Axons/pathology&lt;/keyword&gt;&lt;keyword&gt;Female&lt;/keyword&gt;&lt;keyword&gt;Follow-Up Studies&lt;/keyword&gt;&lt;keyword&gt;Humans&lt;/keyword&gt;&lt;keyword&gt;Immunoglobulins, Intravenous/ therapeutic use&lt;/keyword&gt;&lt;keyword&gt;Male&lt;/keyword&gt;&lt;keyword&gt;Middle Aged&lt;/keyword&gt;&lt;keyword&gt;Nerve Degeneration/etiology/pathology&lt;/keyword&gt;&lt;keyword&gt;Polyneuropathies/pathology/ therapy&lt;/keyword&gt;&lt;keyword&gt;Recurrence&lt;/keyword&gt;&lt;keyword&gt;Retrospective Studies&lt;/keyword&gt;&lt;keyword&gt;Time Factors&lt;/keyword&gt;&lt;/keywords&gt;&lt;dates&gt;&lt;year&gt;2004&lt;/year&gt;&lt;pub-dates&gt;&lt;date&gt;Feb 24&lt;/date&gt;&lt;/pub-dates&gt;&lt;/dates&gt;&lt;accession-num&gt;14981195&lt;/accession-num&gt;&lt;urls&gt;&lt;related-urls&gt;&lt;url&gt;https://n.neurology.org/content/62/4/666.long&lt;/url&gt;&lt;/related-urls&gt;&lt;/urls&gt;&lt;research-notes&gt;C. included Tx with cyclophosphamide 10 patients with MMN. &lt;/research-notes&gt;&lt;/record&gt;&lt;/Cite&gt;&lt;/EndNote&gt;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3" w:tooltip="Terenghi, 2004 #62" w:history="1">
              <w:r w:rsidR="00C04BCE" w:rsidRPr="00DA3C6E">
                <w:rPr>
                  <w:rStyle w:val="SmallBold"/>
                  <w:rFonts w:ascii="Arial Narrow" w:hAnsi="Arial Narrow"/>
                  <w:b w:val="0"/>
                  <w:noProof/>
                  <w:szCs w:val="20"/>
                </w:rPr>
                <w:t>33</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339AA3E6"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8.2 (5-12) years</w:t>
            </w:r>
          </w:p>
        </w:tc>
        <w:tc>
          <w:tcPr>
            <w:tcW w:w="3938" w:type="dxa"/>
            <w:vAlign w:val="center"/>
          </w:tcPr>
          <w:p w14:paraId="4E8E6D0B"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NR; decline occurred after a mean period of 4.8 (3-7) years.</w:t>
            </w:r>
          </w:p>
        </w:tc>
      </w:tr>
      <w:tr w:rsidR="00CD6085" w:rsidRPr="00DA3C6E" w14:paraId="635301A8" w14:textId="77777777" w:rsidTr="00880E62">
        <w:trPr>
          <w:trHeight w:val="222"/>
        </w:trPr>
        <w:tc>
          <w:tcPr>
            <w:tcW w:w="2122" w:type="dxa"/>
            <w:vAlign w:val="center"/>
          </w:tcPr>
          <w:p w14:paraId="40663B15" w14:textId="019C66E8" w:rsidR="00CD6085" w:rsidRPr="00DA3C6E" w:rsidRDefault="00CD6085" w:rsidP="00C04BCE">
            <w:pPr>
              <w:keepNext/>
              <w:keepLines/>
              <w:spacing w:after="0" w:line="240" w:lineRule="auto"/>
              <w:ind w:left="0"/>
              <w:jc w:val="left"/>
              <w:rPr>
                <w:rStyle w:val="SmallBold"/>
                <w:rFonts w:ascii="Arial Narrow" w:hAnsi="Arial Narrow"/>
                <w:b w:val="0"/>
                <w:szCs w:val="20"/>
                <w:lang w:val="nn-NO"/>
              </w:rPr>
            </w:pPr>
            <w:r w:rsidRPr="00DA3C6E">
              <w:rPr>
                <w:rStyle w:val="SmallBold"/>
                <w:rFonts w:ascii="Arial Narrow" w:hAnsi="Arial Narrow"/>
                <w:b w:val="0"/>
                <w:szCs w:val="20"/>
                <w:lang w:val="nn-NO"/>
              </w:rPr>
              <w:t>Van den Berg</w:t>
            </w:r>
            <w:r w:rsidR="00FF2945" w:rsidRPr="00DA3C6E">
              <w:rPr>
                <w:rStyle w:val="Heading2Char"/>
                <w:rFonts w:ascii="Arial Narrow" w:hAnsi="Arial Narrow"/>
                <w:b w:val="0"/>
                <w:szCs w:val="20"/>
                <w:lang w:val="nn-NO"/>
              </w:rPr>
              <w:t xml:space="preserve"> </w:t>
            </w:r>
            <w:r w:rsidR="00FF2945" w:rsidRPr="00DA3C6E">
              <w:rPr>
                <w:rStyle w:val="SmallBold"/>
                <w:rFonts w:ascii="Arial Narrow" w:hAnsi="Arial Narrow"/>
                <w:b w:val="0"/>
                <w:szCs w:val="20"/>
                <w:lang w:val="nn-NO"/>
              </w:rPr>
              <w:t>et al.</w:t>
            </w:r>
            <w:r w:rsidRPr="00DA3C6E">
              <w:rPr>
                <w:rStyle w:val="SmallBold"/>
                <w:rFonts w:ascii="Arial Narrow" w:hAnsi="Arial Narrow"/>
                <w:b w:val="0"/>
                <w:szCs w:val="20"/>
                <w:lang w:val="nn-NO"/>
              </w:rPr>
              <w:t xml:space="preserve"> 1998</w:t>
            </w:r>
            <w:r w:rsidR="00DB568A" w:rsidRPr="00DA3C6E">
              <w:rPr>
                <w:rStyle w:val="SmallBold"/>
                <w:rFonts w:ascii="Arial Narrow" w:hAnsi="Arial Narrow"/>
                <w:b w:val="0"/>
                <w:szCs w:val="20"/>
                <w:lang w:val="nn-NO"/>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00DB568A" w:rsidRPr="00DA3C6E">
              <w:rPr>
                <w:rStyle w:val="SmallBold"/>
                <w:rFonts w:ascii="Arial Narrow" w:hAnsi="Arial Narrow"/>
                <w:b w:val="0"/>
                <w:szCs w:val="20"/>
                <w:lang w:val="nn-NO"/>
              </w:rPr>
              <w:instrText xml:space="preserve"> ADDIN EN.CITE </w:instrText>
            </w:r>
            <w:r w:rsidR="00DB568A" w:rsidRPr="00DA3C6E">
              <w:rPr>
                <w:rStyle w:val="SmallBold"/>
                <w:rFonts w:ascii="Arial Narrow" w:hAnsi="Arial Narrow"/>
                <w:b w:val="0"/>
                <w:szCs w:val="20"/>
                <w:lang w:val="nn-NO"/>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00DB568A" w:rsidRPr="00DA3C6E">
              <w:rPr>
                <w:rStyle w:val="SmallBold"/>
                <w:rFonts w:ascii="Arial Narrow" w:hAnsi="Arial Narrow"/>
                <w:b w:val="0"/>
                <w:szCs w:val="20"/>
                <w:lang w:val="nn-NO"/>
              </w:rPr>
              <w:instrText xml:space="preserve"> ADDIN EN.CITE.DATA </w:instrText>
            </w:r>
            <w:r w:rsidR="00DB568A" w:rsidRPr="00DA3C6E">
              <w:rPr>
                <w:rStyle w:val="SmallBold"/>
                <w:rFonts w:ascii="Arial Narrow" w:hAnsi="Arial Narrow"/>
                <w:b w:val="0"/>
                <w:szCs w:val="20"/>
                <w:lang w:val="nn-NO"/>
              </w:rPr>
            </w:r>
            <w:r w:rsidR="00DB568A" w:rsidRPr="00DA3C6E">
              <w:rPr>
                <w:rStyle w:val="SmallBold"/>
                <w:rFonts w:ascii="Arial Narrow" w:hAnsi="Arial Narrow"/>
                <w:b w:val="0"/>
                <w:szCs w:val="20"/>
                <w:lang w:val="nn-NO"/>
              </w:rPr>
              <w:fldChar w:fldCharType="end"/>
            </w:r>
            <w:r w:rsidR="00DB568A" w:rsidRPr="00DA3C6E">
              <w:rPr>
                <w:rStyle w:val="SmallBold"/>
                <w:rFonts w:ascii="Arial Narrow" w:hAnsi="Arial Narrow"/>
                <w:b w:val="0"/>
                <w:szCs w:val="20"/>
                <w:lang w:val="nn-NO"/>
              </w:rPr>
            </w:r>
            <w:r w:rsidR="00DB568A" w:rsidRPr="00DA3C6E">
              <w:rPr>
                <w:rStyle w:val="SmallBold"/>
                <w:rFonts w:ascii="Arial Narrow" w:hAnsi="Arial Narrow"/>
                <w:b w:val="0"/>
                <w:szCs w:val="20"/>
                <w:lang w:val="nn-NO"/>
              </w:rPr>
              <w:fldChar w:fldCharType="separate"/>
            </w:r>
            <w:r w:rsidR="00DB568A" w:rsidRPr="00DA3C6E">
              <w:rPr>
                <w:rStyle w:val="SmallBold"/>
                <w:rFonts w:ascii="Arial Narrow" w:hAnsi="Arial Narrow"/>
                <w:b w:val="0"/>
                <w:noProof/>
                <w:szCs w:val="20"/>
                <w:lang w:val="nn-NO"/>
              </w:rPr>
              <w:t>(</w:t>
            </w:r>
            <w:hyperlink w:anchor="_ENREF_29" w:tooltip="Van Den Berg, 1998 #66" w:history="1">
              <w:r w:rsidR="00C04BCE" w:rsidRPr="00DA3C6E">
                <w:rPr>
                  <w:rStyle w:val="SmallBold"/>
                  <w:rFonts w:ascii="Arial Narrow" w:hAnsi="Arial Narrow"/>
                  <w:b w:val="0"/>
                  <w:noProof/>
                  <w:szCs w:val="20"/>
                  <w:lang w:val="nn-NO"/>
                </w:rPr>
                <w:t>29</w:t>
              </w:r>
            </w:hyperlink>
            <w:r w:rsidR="00DB568A" w:rsidRPr="00DA3C6E">
              <w:rPr>
                <w:rStyle w:val="SmallBold"/>
                <w:rFonts w:ascii="Arial Narrow" w:hAnsi="Arial Narrow"/>
                <w:b w:val="0"/>
                <w:noProof/>
                <w:szCs w:val="20"/>
                <w:lang w:val="nn-NO"/>
              </w:rPr>
              <w:t>)</w:t>
            </w:r>
            <w:r w:rsidR="00DB568A" w:rsidRPr="00DA3C6E">
              <w:rPr>
                <w:rStyle w:val="SmallBold"/>
                <w:rFonts w:ascii="Arial Narrow" w:hAnsi="Arial Narrow"/>
                <w:b w:val="0"/>
                <w:szCs w:val="20"/>
                <w:lang w:val="nn-NO"/>
              </w:rPr>
              <w:fldChar w:fldCharType="end"/>
            </w:r>
          </w:p>
        </w:tc>
        <w:tc>
          <w:tcPr>
            <w:tcW w:w="2976" w:type="dxa"/>
            <w:vAlign w:val="center"/>
          </w:tcPr>
          <w:p w14:paraId="2CF57391"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2-4 years</w:t>
            </w:r>
          </w:p>
        </w:tc>
        <w:tc>
          <w:tcPr>
            <w:tcW w:w="3938" w:type="dxa"/>
            <w:vAlign w:val="center"/>
          </w:tcPr>
          <w:p w14:paraId="5F5F3A78" w14:textId="77777777" w:rsidR="00CD6085" w:rsidRPr="00DA3C6E" w:rsidRDefault="00CD6085" w:rsidP="00880E62">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 xml:space="preserve">NR; 50% progressed after a mean of 2.1 (1.5-3) years. </w:t>
            </w:r>
          </w:p>
        </w:tc>
      </w:tr>
      <w:tr w:rsidR="00CD6085" w:rsidRPr="00DA3C6E" w14:paraId="2F677379" w14:textId="77777777" w:rsidTr="00880E62">
        <w:trPr>
          <w:trHeight w:val="222"/>
        </w:trPr>
        <w:tc>
          <w:tcPr>
            <w:tcW w:w="2122" w:type="dxa"/>
            <w:vAlign w:val="center"/>
          </w:tcPr>
          <w:p w14:paraId="027371BC" w14:textId="172AC16C" w:rsidR="00CD6085" w:rsidRPr="00DA3C6E" w:rsidRDefault="00CD6085" w:rsidP="00C04BCE">
            <w:pPr>
              <w:keepNext/>
              <w:keepLines/>
              <w:spacing w:after="0" w:line="240" w:lineRule="auto"/>
              <w:ind w:left="0"/>
              <w:jc w:val="left"/>
              <w:rPr>
                <w:rStyle w:val="SmallBold"/>
                <w:rFonts w:ascii="Arial Narrow" w:hAnsi="Arial Narrow"/>
                <w:b w:val="0"/>
                <w:szCs w:val="20"/>
              </w:rPr>
            </w:pPr>
            <w:r w:rsidRPr="00DA3C6E">
              <w:rPr>
                <w:rStyle w:val="SmallBold"/>
                <w:rFonts w:ascii="Arial Narrow" w:hAnsi="Arial Narrow"/>
                <w:b w:val="0"/>
                <w:szCs w:val="20"/>
              </w:rPr>
              <w:t>Vucic</w:t>
            </w:r>
            <w:r w:rsidR="00FF2945" w:rsidRPr="00DA3C6E">
              <w:rPr>
                <w:rStyle w:val="Heading2Char"/>
                <w:rFonts w:ascii="Arial Narrow" w:hAnsi="Arial Narrow"/>
                <w:b w:val="0"/>
                <w:szCs w:val="20"/>
              </w:rPr>
              <w:t xml:space="preserve"> </w:t>
            </w:r>
            <w:r w:rsidR="00FF2945" w:rsidRPr="00DA3C6E">
              <w:rPr>
                <w:rStyle w:val="SmallBold"/>
                <w:rFonts w:ascii="Arial Narrow" w:hAnsi="Arial Narrow"/>
                <w:b w:val="0"/>
                <w:szCs w:val="20"/>
              </w:rPr>
              <w:t>et al.</w:t>
            </w:r>
            <w:r w:rsidRPr="00DA3C6E">
              <w:rPr>
                <w:rStyle w:val="SmallBold"/>
                <w:rFonts w:ascii="Arial Narrow" w:hAnsi="Arial Narrow"/>
                <w:b w:val="0"/>
                <w:szCs w:val="20"/>
              </w:rPr>
              <w:t xml:space="preserve"> 2004</w:t>
            </w:r>
            <w:r w:rsidR="00DB568A" w:rsidRPr="00DA3C6E">
              <w:rPr>
                <w:rStyle w:val="SmallBold"/>
                <w:rFonts w:ascii="Arial Narrow" w:hAnsi="Arial Narrow"/>
                <w:b w:val="0"/>
                <w:szCs w:val="20"/>
              </w:rPr>
              <w:fldChar w:fldCharType="begin"/>
            </w:r>
            <w:r w:rsidR="00DB568A" w:rsidRPr="00DA3C6E">
              <w:rPr>
                <w:rStyle w:val="SmallBold"/>
                <w:rFonts w:ascii="Arial Narrow" w:hAnsi="Arial Narrow"/>
                <w:b w:val="0"/>
                <w:szCs w:val="20"/>
              </w:rPr>
              <w:instrText xml:space="preserve"> ADDIN EN.CITE &lt;EndNote&gt;&lt;Cite&gt;&lt;Author&gt;Vucic&lt;/Author&gt;&lt;Year&gt;2004&lt;/Year&gt;&lt;RecNum&gt;71&lt;/RecNum&gt;&lt;DisplayText&gt;(31)&lt;/DisplayText&gt;&lt;record&gt;&lt;rec-number&gt;71&lt;/rec-number&gt;&lt;foreign-keys&gt;&lt;key app="EN" db-id="0992p2ztn5fez9e2wvnpw2xstd20f9w2dezz" timestamp="1586818281"&gt;71&lt;/key&gt;&lt;/foreign-keys&gt;&lt;ref-type name="Journal Article"&gt;17&lt;/ref-type&gt;&lt;contributors&gt;&lt;authors&gt;&lt;author&gt;Vucic, S.&lt;/author&gt;&lt;author&gt;Black, K. R.&lt;/author&gt;&lt;author&gt;Chong, P. S.&lt;/author&gt;&lt;author&gt;Cros, D.&lt;/author&gt;&lt;/authors&gt;&lt;/contributors&gt;&lt;auth-address&gt;Department of Neurology, Massachusetts General Hospital, Boston, MA, USA.&lt;/auth-address&gt;&lt;titles&gt;&lt;title&gt;Multifocal motor neuropathy: decrease in conduction blocks and reinnervation with long-term IVIg&lt;/title&gt;&lt;secondary-title&gt;Neurology&lt;/secondary-title&gt;&lt;/titles&gt;&lt;periodical&gt;&lt;full-title&gt;Neurology&lt;/full-title&gt;&lt;/periodical&gt;&lt;pages&gt;1264-9&lt;/pages&gt;&lt;volume&gt;63&lt;/volume&gt;&lt;number&gt;7&lt;/number&gt;&lt;keywords&gt;&lt;keyword&gt;Action Potentials/drug effects&lt;/keyword&gt;&lt;keyword&gt;Adult&lt;/keyword&gt;&lt;keyword&gt;Axons/drug effects/physiology&lt;/keyword&gt;&lt;keyword&gt;Drug Administration Schedule&lt;/keyword&gt;&lt;keyword&gt;Female&lt;/keyword&gt;&lt;keyword&gt;Follow-Up Studies&lt;/keyword&gt;&lt;keyword&gt;Humans&lt;/keyword&gt;&lt;keyword&gt;Immunoglobulins, Intravenous/administration &amp;amp; dosage/ therapeutic use&lt;/keyword&gt;&lt;keyword&gt;Male&lt;/keyword&gt;&lt;keyword&gt;Middle Aged&lt;/keyword&gt;&lt;keyword&gt;Motor Neuron Disease/physiopathology/ therapy&lt;/keyword&gt;&lt;keyword&gt;Muscle Weakness/physiopathology/therapy&lt;/keyword&gt;&lt;keyword&gt;Muscles/drug effects/physiopathology&lt;/keyword&gt;&lt;keyword&gt;Nerve Degeneration/physiopathology&lt;/keyword&gt;&lt;keyword&gt;Neural Conduction/ drug effects&lt;/keyword&gt;&lt;keyword&gt;Polyneuropathies/physiopathology/ therapy&lt;/keyword&gt;&lt;/keywords&gt;&lt;dates&gt;&lt;year&gt;2004&lt;/year&gt;&lt;pub-dates&gt;&lt;date&gt;Oct 12&lt;/date&gt;&lt;/pub-dates&gt;&lt;/dates&gt;&lt;accession-num&gt;15477549&lt;/accession-num&gt;&lt;urls&gt;&lt;related-urls&gt;&lt;url&gt;https://n.neurology.org/content/63/7/1264.long&lt;/url&gt;&lt;/related-urls&gt;&lt;/urls&gt;&lt;research-notes&gt;B. 10 patients with MMN and CB&lt;/research-notes&gt;&lt;/record&gt;&lt;/Cite&gt;&lt;/EndNote&gt;</w:instrText>
            </w:r>
            <w:r w:rsidR="00DB568A" w:rsidRPr="00DA3C6E">
              <w:rPr>
                <w:rStyle w:val="SmallBold"/>
                <w:rFonts w:ascii="Arial Narrow" w:hAnsi="Arial Narrow"/>
                <w:b w:val="0"/>
                <w:szCs w:val="20"/>
              </w:rPr>
              <w:fldChar w:fldCharType="separate"/>
            </w:r>
            <w:r w:rsidR="00DB568A" w:rsidRPr="00DA3C6E">
              <w:rPr>
                <w:rStyle w:val="SmallBold"/>
                <w:rFonts w:ascii="Arial Narrow" w:hAnsi="Arial Narrow"/>
                <w:b w:val="0"/>
                <w:noProof/>
                <w:szCs w:val="20"/>
              </w:rPr>
              <w:t>(</w:t>
            </w:r>
            <w:hyperlink w:anchor="_ENREF_31" w:tooltip="Vucic, 2004 #71" w:history="1">
              <w:r w:rsidR="00C04BCE" w:rsidRPr="00DA3C6E">
                <w:rPr>
                  <w:rStyle w:val="SmallBold"/>
                  <w:rFonts w:ascii="Arial Narrow" w:hAnsi="Arial Narrow"/>
                  <w:b w:val="0"/>
                  <w:noProof/>
                  <w:szCs w:val="20"/>
                </w:rPr>
                <w:t>31</w:t>
              </w:r>
            </w:hyperlink>
            <w:r w:rsidR="00DB568A" w:rsidRPr="00DA3C6E">
              <w:rPr>
                <w:rStyle w:val="SmallBold"/>
                <w:rFonts w:ascii="Arial Narrow" w:hAnsi="Arial Narrow"/>
                <w:b w:val="0"/>
                <w:noProof/>
                <w:szCs w:val="20"/>
              </w:rPr>
              <w:t>)</w:t>
            </w:r>
            <w:r w:rsidR="00DB568A" w:rsidRPr="00DA3C6E">
              <w:rPr>
                <w:rStyle w:val="SmallBold"/>
                <w:rFonts w:ascii="Arial Narrow" w:hAnsi="Arial Narrow"/>
                <w:b w:val="0"/>
                <w:szCs w:val="20"/>
              </w:rPr>
              <w:fldChar w:fldCharType="end"/>
            </w:r>
          </w:p>
        </w:tc>
        <w:tc>
          <w:tcPr>
            <w:tcW w:w="2976" w:type="dxa"/>
            <w:vAlign w:val="center"/>
          </w:tcPr>
          <w:p w14:paraId="21DEFBC3" w14:textId="77777777" w:rsidR="00CD6085" w:rsidRPr="00DA3C6E" w:rsidRDefault="00CD6085" w:rsidP="00880E62">
            <w:pPr>
              <w:keepNext/>
              <w:keepLines/>
              <w:spacing w:after="0" w:line="240" w:lineRule="auto"/>
              <w:ind w:left="0"/>
              <w:jc w:val="left"/>
              <w:rPr>
                <w:rStyle w:val="SmallBold"/>
                <w:rFonts w:ascii="Arial Narrow" w:hAnsi="Arial Narrow"/>
                <w:b w:val="0"/>
                <w:szCs w:val="20"/>
                <w:vertAlign w:val="superscript"/>
              </w:rPr>
            </w:pPr>
            <w:r w:rsidRPr="00DA3C6E">
              <w:rPr>
                <w:rStyle w:val="SmallBold"/>
                <w:rFonts w:ascii="Arial Narrow" w:hAnsi="Arial Narrow"/>
                <w:b w:val="0"/>
                <w:szCs w:val="20"/>
              </w:rPr>
              <w:t>7.25 (3.5-12) years</w:t>
            </w:r>
            <w:r w:rsidRPr="00DA3C6E">
              <w:rPr>
                <w:rStyle w:val="SmallBold"/>
                <w:rFonts w:ascii="Arial Narrow" w:hAnsi="Arial Narrow"/>
                <w:b w:val="0"/>
                <w:szCs w:val="20"/>
                <w:vertAlign w:val="superscript"/>
              </w:rPr>
              <w:t>a</w:t>
            </w:r>
          </w:p>
        </w:tc>
        <w:tc>
          <w:tcPr>
            <w:tcW w:w="3938" w:type="dxa"/>
            <w:vAlign w:val="center"/>
          </w:tcPr>
          <w:p w14:paraId="026D1FBE" w14:textId="77777777" w:rsidR="00CD6085" w:rsidRPr="00DA3C6E" w:rsidRDefault="00CD6085" w:rsidP="00880E62">
            <w:pPr>
              <w:keepNext/>
              <w:keepLines/>
              <w:spacing w:after="0" w:line="240" w:lineRule="auto"/>
              <w:ind w:left="0"/>
              <w:jc w:val="left"/>
              <w:rPr>
                <w:rStyle w:val="SmallBold"/>
                <w:rFonts w:ascii="Arial Narrow" w:hAnsi="Arial Narrow"/>
                <w:b w:val="0"/>
                <w:szCs w:val="20"/>
                <w:vertAlign w:val="superscript"/>
              </w:rPr>
            </w:pPr>
            <w:r w:rsidRPr="00DA3C6E">
              <w:rPr>
                <w:rStyle w:val="SmallBold"/>
                <w:rFonts w:ascii="Arial Narrow" w:hAnsi="Arial Narrow"/>
                <w:b w:val="0"/>
                <w:szCs w:val="20"/>
              </w:rPr>
              <w:t>7.25 (3.5-12) years</w:t>
            </w:r>
            <w:r w:rsidRPr="00DA3C6E">
              <w:rPr>
                <w:rStyle w:val="SmallBold"/>
                <w:rFonts w:ascii="Arial Narrow" w:hAnsi="Arial Narrow"/>
                <w:b w:val="0"/>
                <w:szCs w:val="20"/>
                <w:vertAlign w:val="superscript"/>
              </w:rPr>
              <w:t>a</w:t>
            </w:r>
            <w:r w:rsidRPr="00DA3C6E">
              <w:rPr>
                <w:rStyle w:val="SmallBold"/>
                <w:rFonts w:ascii="Arial Narrow" w:hAnsi="Arial Narrow"/>
                <w:b w:val="0"/>
                <w:szCs w:val="20"/>
              </w:rPr>
              <w:t>; NR.</w:t>
            </w:r>
          </w:p>
        </w:tc>
      </w:tr>
    </w:tbl>
    <w:p w14:paraId="2EC5AC52" w14:textId="77777777" w:rsidR="002F196C" w:rsidRPr="00DA3C6E" w:rsidRDefault="002F196C" w:rsidP="002F196C">
      <w:pPr>
        <w:spacing w:after="0" w:line="240" w:lineRule="auto"/>
        <w:rPr>
          <w:rFonts w:ascii="Arial Narrow" w:hAnsi="Arial Narrow"/>
          <w:sz w:val="18"/>
          <w:szCs w:val="18"/>
        </w:rPr>
      </w:pPr>
      <w:r w:rsidRPr="00DA3C6E">
        <w:rPr>
          <w:rFonts w:ascii="Arial Narrow" w:hAnsi="Arial Narrow"/>
          <w:sz w:val="18"/>
          <w:szCs w:val="18"/>
        </w:rPr>
        <w:t xml:space="preserve">Abbreviations: </w:t>
      </w:r>
      <w:r w:rsidR="00D54442" w:rsidRPr="00DA3C6E">
        <w:rPr>
          <w:rFonts w:ascii="Arial Narrow" w:hAnsi="Arial Narrow"/>
          <w:sz w:val="18"/>
          <w:szCs w:val="18"/>
        </w:rPr>
        <w:t>FUP = follow-up period; NR = not reported; T</w:t>
      </w:r>
      <w:r w:rsidR="00FF2945" w:rsidRPr="00DA3C6E">
        <w:rPr>
          <w:rFonts w:ascii="Arial Narrow" w:hAnsi="Arial Narrow"/>
          <w:sz w:val="18"/>
          <w:szCs w:val="18"/>
        </w:rPr>
        <w:t>x</w:t>
      </w:r>
      <w:r w:rsidR="00D54442" w:rsidRPr="00DA3C6E">
        <w:rPr>
          <w:rFonts w:ascii="Arial Narrow" w:hAnsi="Arial Narrow"/>
          <w:sz w:val="18"/>
          <w:szCs w:val="18"/>
        </w:rPr>
        <w:t xml:space="preserve"> = treatment. </w:t>
      </w:r>
    </w:p>
    <w:p w14:paraId="70709B94" w14:textId="77777777" w:rsidR="002F196C" w:rsidRPr="00DA3C6E" w:rsidRDefault="002F196C" w:rsidP="00FD5D89">
      <w:pPr>
        <w:spacing w:line="240" w:lineRule="auto"/>
        <w:rPr>
          <w:rFonts w:ascii="Arial Narrow" w:hAnsi="Arial Narrow"/>
          <w:sz w:val="18"/>
          <w:szCs w:val="18"/>
        </w:rPr>
      </w:pPr>
      <w:r w:rsidRPr="00DA3C6E">
        <w:rPr>
          <w:rFonts w:ascii="Arial Narrow" w:hAnsi="Arial Narrow"/>
          <w:sz w:val="18"/>
          <w:szCs w:val="18"/>
        </w:rPr>
        <w:t xml:space="preserve">Note: </w:t>
      </w:r>
      <w:r w:rsidR="003F0E89" w:rsidRPr="00DA3C6E">
        <w:rPr>
          <w:rFonts w:ascii="Arial Narrow" w:hAnsi="Arial Narrow"/>
          <w:sz w:val="18"/>
          <w:szCs w:val="18"/>
          <w:vertAlign w:val="superscript"/>
        </w:rPr>
        <w:t>a</w:t>
      </w:r>
      <w:r w:rsidRPr="00DA3C6E">
        <w:rPr>
          <w:rFonts w:ascii="Arial Narrow" w:hAnsi="Arial Narrow"/>
          <w:sz w:val="18"/>
          <w:szCs w:val="18"/>
        </w:rPr>
        <w:t>mean</w:t>
      </w:r>
      <w:r w:rsidR="00C0024A" w:rsidRPr="00DA3C6E">
        <w:rPr>
          <w:rFonts w:ascii="Arial Narrow" w:hAnsi="Arial Narrow"/>
          <w:sz w:val="18"/>
          <w:szCs w:val="18"/>
        </w:rPr>
        <w:t>; italic font represent numbers estimate during the evaluation using data reported in the trial.</w:t>
      </w:r>
      <w:r w:rsidR="003F0E89" w:rsidRPr="00DA3C6E">
        <w:rPr>
          <w:rFonts w:ascii="Arial Narrow" w:hAnsi="Arial Narrow"/>
          <w:sz w:val="18"/>
          <w:szCs w:val="18"/>
        </w:rPr>
        <w:t xml:space="preserve"> </w:t>
      </w:r>
    </w:p>
    <w:p w14:paraId="2B0D7C25" w14:textId="77777777" w:rsidR="00CC78C2" w:rsidRPr="00DA3C6E" w:rsidRDefault="00CC78C2" w:rsidP="0073359F">
      <w:pPr>
        <w:pStyle w:val="Heading2"/>
        <w:numPr>
          <w:ilvl w:val="2"/>
          <w:numId w:val="50"/>
        </w:numPr>
        <w:jc w:val="left"/>
      </w:pPr>
      <w:bookmarkStart w:id="241" w:name="_Toc426968185"/>
      <w:bookmarkStart w:id="242" w:name="_Toc37845756"/>
      <w:r w:rsidRPr="00DA3C6E">
        <w:t>Extrapolation translation issues</w:t>
      </w:r>
      <w:bookmarkEnd w:id="241"/>
      <w:bookmarkEnd w:id="242"/>
    </w:p>
    <w:p w14:paraId="3F606930" w14:textId="77777777" w:rsidR="007D68BE" w:rsidRPr="00DA3C6E" w:rsidRDefault="007D68BE" w:rsidP="007D68BE">
      <w:pPr>
        <w:pStyle w:val="Heading3"/>
      </w:pPr>
      <w:bookmarkStart w:id="243" w:name="_Toc37845757"/>
      <w:r w:rsidRPr="00DA3C6E">
        <w:t>C.3.1 Treatment effect duration</w:t>
      </w:r>
      <w:bookmarkEnd w:id="243"/>
    </w:p>
    <w:p w14:paraId="70B036CB" w14:textId="77777777" w:rsidR="00E2296D" w:rsidRPr="00DA3C6E" w:rsidRDefault="0064723F" w:rsidP="007D68BE">
      <w:r w:rsidRPr="00DA3C6E">
        <w:t>The economic model in Section D assume</w:t>
      </w:r>
      <w:r w:rsidR="009D25B7" w:rsidRPr="00DA3C6E">
        <w:t>s</w:t>
      </w:r>
      <w:r w:rsidRPr="00DA3C6E">
        <w:t xml:space="preserve"> that while patients are receiving </w:t>
      </w:r>
      <w:r w:rsidR="002614CC" w:rsidRPr="00DA3C6E">
        <w:t xml:space="preserve">intravenous </w:t>
      </w:r>
      <w:r w:rsidRPr="00DA3C6E">
        <w:t xml:space="preserve">Ig they are stable </w:t>
      </w:r>
      <w:r w:rsidR="00CE6DCE" w:rsidRPr="00DA3C6E">
        <w:t xml:space="preserve">in </w:t>
      </w:r>
      <w:r w:rsidRPr="00DA3C6E">
        <w:t xml:space="preserve">their disease and will discontinue treatment if they suffer an </w:t>
      </w:r>
      <w:r w:rsidR="002614CC" w:rsidRPr="00DA3C6E">
        <w:t>AE</w:t>
      </w:r>
      <w:r w:rsidRPr="00DA3C6E">
        <w:t xml:space="preserve"> </w:t>
      </w:r>
      <w:r w:rsidR="00ED0047" w:rsidRPr="00DA3C6E">
        <w:t>or if a weaning off trial phase is initiated</w:t>
      </w:r>
      <w:r w:rsidRPr="00DA3C6E">
        <w:t>.</w:t>
      </w:r>
      <w:r w:rsidR="003C29C7" w:rsidRPr="00DA3C6E">
        <w:t xml:space="preserve"> </w:t>
      </w:r>
      <w:r w:rsidR="00ED0047" w:rsidRPr="00DA3C6E">
        <w:t>On the other hand, if a patient becomes a non-responder or require</w:t>
      </w:r>
      <w:r w:rsidR="00154231" w:rsidRPr="00DA3C6E">
        <w:t>s</w:t>
      </w:r>
      <w:r w:rsidR="00ED0047" w:rsidRPr="00DA3C6E">
        <w:t xml:space="preserve"> treatment discontinuation, it was assumed this patient can only die due to other causes </w:t>
      </w:r>
      <w:r w:rsidR="007F58F4" w:rsidRPr="00DA3C6E">
        <w:t xml:space="preserve">(further discussed in Section </w:t>
      </w:r>
      <w:r w:rsidR="003C29C7" w:rsidRPr="00DA3C6E">
        <w:t>D</w:t>
      </w:r>
      <w:r w:rsidR="007F58F4" w:rsidRPr="00DA3C6E">
        <w:t>.</w:t>
      </w:r>
      <w:r w:rsidR="003C29C7" w:rsidRPr="00DA3C6E">
        <w:t>3</w:t>
      </w:r>
      <w:r w:rsidR="007F58F4" w:rsidRPr="00DA3C6E">
        <w:t>)</w:t>
      </w:r>
      <w:r w:rsidRPr="00DA3C6E">
        <w:t xml:space="preserve">. </w:t>
      </w:r>
    </w:p>
    <w:p w14:paraId="3332FA37" w14:textId="2FA7B134" w:rsidR="00CB03A2" w:rsidRPr="00DA3C6E" w:rsidRDefault="00736E0B">
      <w:r w:rsidRPr="00DA3C6E">
        <w:t>T</w:t>
      </w:r>
      <w:r w:rsidR="005E3971" w:rsidRPr="00DA3C6E">
        <w:t>he treatment duration reported from the RCTs presented in Section B and further described in Section C.2.5 (up to 12 months)</w:t>
      </w:r>
      <w:r w:rsidR="002B7DFD" w:rsidRPr="00DA3C6E">
        <w:t>,</w:t>
      </w:r>
      <w:r w:rsidR="005E3971" w:rsidRPr="00DA3C6E">
        <w:t xml:space="preserve"> </w:t>
      </w:r>
      <w:r w:rsidRPr="00DA3C6E">
        <w:t>do</w:t>
      </w:r>
      <w:r w:rsidR="00D65924" w:rsidRPr="00DA3C6E">
        <w:t>es</w:t>
      </w:r>
      <w:r w:rsidRPr="00DA3C6E">
        <w:t xml:space="preserve"> not represent </w:t>
      </w:r>
      <w:r w:rsidR="005E3971" w:rsidRPr="00DA3C6E">
        <w:t xml:space="preserve">the actual treatment duration </w:t>
      </w:r>
      <w:r w:rsidR="002614CC" w:rsidRPr="00DA3C6E">
        <w:t xml:space="preserve">likely to be observed </w:t>
      </w:r>
      <w:r w:rsidR="005E3971" w:rsidRPr="00DA3C6E">
        <w:t>in the Australian setting</w:t>
      </w:r>
      <w:r w:rsidR="002B7DFD" w:rsidRPr="00DA3C6E">
        <w:t xml:space="preserve">. In fact, it </w:t>
      </w:r>
      <w:r w:rsidR="00EF1DF1" w:rsidRPr="00DA3C6E">
        <w:t xml:space="preserve">is likely that a responder patient will receive active treatment for many years. The latter means that an assumption needs to be </w:t>
      </w:r>
      <w:r w:rsidR="00D65924" w:rsidRPr="00DA3C6E">
        <w:t xml:space="preserve">made </w:t>
      </w:r>
      <w:r w:rsidR="00EF1DF1" w:rsidRPr="00DA3C6E">
        <w:t xml:space="preserve">on how to best model treatment </w:t>
      </w:r>
      <w:r w:rsidR="002B7DFD" w:rsidRPr="00DA3C6E">
        <w:t xml:space="preserve">duration as </w:t>
      </w:r>
      <w:r w:rsidR="00AE13F7" w:rsidRPr="00DA3C6E">
        <w:t xml:space="preserve">a </w:t>
      </w:r>
      <w:r w:rsidR="002B7DFD" w:rsidRPr="00DA3C6E">
        <w:t xml:space="preserve">proxy </w:t>
      </w:r>
      <w:r w:rsidR="00D65924" w:rsidRPr="00DA3C6E">
        <w:t xml:space="preserve">for </w:t>
      </w:r>
      <w:r w:rsidR="002B7DFD" w:rsidRPr="00DA3C6E">
        <w:t xml:space="preserve">how long patients remain stable while on treatment </w:t>
      </w:r>
      <w:r w:rsidR="0016324D" w:rsidRPr="00DA3C6E">
        <w:t>(treatment effect duration) beyond the time period available from the RCTs</w:t>
      </w:r>
      <w:r w:rsidR="00AE13F7" w:rsidRPr="00DA3C6E">
        <w:t>.</w:t>
      </w:r>
      <w:r w:rsidR="0016324D" w:rsidRPr="00DA3C6E">
        <w:t xml:space="preserve"> Based on the recommendations established in The Criteria V3, the model allows for patients on active treatment to initiate a weaning off trial phase where dose reductions and less frequent dose intervals may be </w:t>
      </w:r>
      <w:r w:rsidR="0016324D" w:rsidRPr="00DA3C6E">
        <w:lastRenderedPageBreak/>
        <w:t>implemented before a proportion of patients ce</w:t>
      </w:r>
      <w:r w:rsidR="00B43E4D" w:rsidRPr="00DA3C6E">
        <w:t>a</w:t>
      </w:r>
      <w:r w:rsidR="0016324D" w:rsidRPr="00DA3C6E">
        <w:t>s</w:t>
      </w:r>
      <w:r w:rsidR="00B43E4D" w:rsidRPr="00DA3C6E">
        <w:t>e treatment</w:t>
      </w:r>
      <w:r w:rsidR="0016324D" w:rsidRPr="00DA3C6E">
        <w:t xml:space="preserve"> (off-treatment). This pathway of care has not been assessed in the available RCTs or single arm studies, </w:t>
      </w:r>
      <w:r w:rsidR="00A8187C" w:rsidRPr="00DA3C6E">
        <w:t>hence an assumption had to be made to model the long</w:t>
      </w:r>
      <w:r w:rsidR="00B43E4D" w:rsidRPr="00DA3C6E">
        <w:t>-</w:t>
      </w:r>
      <w:r w:rsidR="00A8187C" w:rsidRPr="00DA3C6E">
        <w:t>term impact of initiating weaning. It was advised by the Ig Review Reference group that MMN patients were rarely weaned</w:t>
      </w:r>
      <w:r w:rsidR="00AE13F7" w:rsidRPr="00DA3C6E">
        <w:t>,</w:t>
      </w:r>
      <w:r w:rsidR="00A8187C" w:rsidRPr="00DA3C6E">
        <w:t xml:space="preserve"> hence it was likely that a proportion of patients will receive treatment for a lifetime. In order to capture the long</w:t>
      </w:r>
      <w:r w:rsidR="00B43E4D" w:rsidRPr="00DA3C6E">
        <w:t>-</w:t>
      </w:r>
      <w:r w:rsidR="00A8187C" w:rsidRPr="00DA3C6E">
        <w:t xml:space="preserve">term impact of patients that remain stable while on treatment and of patients that initiate weaning but eventually reinitiate active treatment, an extrapolation of treatment duration (as a proxy to treatment effect duration) was required. </w:t>
      </w:r>
    </w:p>
    <w:p w14:paraId="45B5DC2F" w14:textId="4085AF61" w:rsidR="007D68BE" w:rsidRPr="00DA3C6E" w:rsidRDefault="006E3921">
      <w:r w:rsidRPr="00DA3C6E">
        <w:t xml:space="preserve">The effect of extrapolation is to extend the period from which patients derive clinical benefit (and quality of life) from the intervention therefore delaying the </w:t>
      </w:r>
      <w:r w:rsidR="00A8187C" w:rsidRPr="00DA3C6E">
        <w:t xml:space="preserve">transition to the </w:t>
      </w:r>
      <w:r w:rsidRPr="00DA3C6E">
        <w:t xml:space="preserve">health state of continuing progression. </w:t>
      </w:r>
      <w:r w:rsidR="00154231" w:rsidRPr="00DA3C6E">
        <w:t xml:space="preserve">Because it is unknown how patients progress </w:t>
      </w:r>
      <w:r w:rsidR="00CE6DCE" w:rsidRPr="00DA3C6E">
        <w:t xml:space="preserve">over </w:t>
      </w:r>
      <w:r w:rsidR="00154231" w:rsidRPr="00DA3C6E">
        <w:t xml:space="preserve">time, it was assumed that the treatment effect reported </w:t>
      </w:r>
      <w:r w:rsidR="00D65924" w:rsidRPr="00DA3C6E">
        <w:t xml:space="preserve">by </w:t>
      </w:r>
      <w:r w:rsidR="00154231" w:rsidRPr="00DA3C6E">
        <w:t>Leger et al</w:t>
      </w:r>
      <w:r w:rsidR="00FF2945" w:rsidRPr="00DA3C6E">
        <w:t>.</w:t>
      </w:r>
      <w:r w:rsidR="00154231" w:rsidRPr="00DA3C6E">
        <w:t xml:space="preserve">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154231" w:rsidRPr="00DA3C6E">
        <w:t xml:space="preserve"> was maintained constant throughout the assessed time horizon. It should be noted that, a</w:t>
      </w:r>
      <w:r w:rsidRPr="00DA3C6E">
        <w:t xml:space="preserve">lthough extrapolating the treatment effect is likely to </w:t>
      </w:r>
      <w:r w:rsidR="00AE13F7" w:rsidRPr="00DA3C6E">
        <w:t xml:space="preserve">better </w:t>
      </w:r>
      <w:r w:rsidRPr="00DA3C6E">
        <w:t xml:space="preserve">represent the current Australian setting, it introduces a level of uncertainty in regard to the overall accrued health benefits given that </w:t>
      </w:r>
      <w:r w:rsidR="002E075F" w:rsidRPr="00DA3C6E">
        <w:t xml:space="preserve">some </w:t>
      </w:r>
      <w:r w:rsidRPr="00DA3C6E">
        <w:t xml:space="preserve">patients stop deriving treatment benefit later </w:t>
      </w:r>
      <w:r w:rsidR="00CE6DCE" w:rsidRPr="00DA3C6E">
        <w:t xml:space="preserve">over </w:t>
      </w:r>
      <w:r w:rsidRPr="00DA3C6E">
        <w:t xml:space="preserve">time. </w:t>
      </w:r>
    </w:p>
    <w:p w14:paraId="6CCCC67F" w14:textId="77777777" w:rsidR="00CC78C2" w:rsidRPr="00DA3C6E" w:rsidRDefault="00CC78C2" w:rsidP="0073359F">
      <w:pPr>
        <w:pStyle w:val="Heading2"/>
        <w:numPr>
          <w:ilvl w:val="2"/>
          <w:numId w:val="50"/>
        </w:numPr>
        <w:jc w:val="left"/>
      </w:pPr>
      <w:bookmarkStart w:id="244" w:name="_Toc426968186"/>
      <w:bookmarkStart w:id="245" w:name="_Toc37845758"/>
      <w:r w:rsidRPr="00DA3C6E">
        <w:t>Transformation issues</w:t>
      </w:r>
      <w:bookmarkEnd w:id="244"/>
      <w:bookmarkEnd w:id="245"/>
    </w:p>
    <w:p w14:paraId="06E7E4A9" w14:textId="77777777" w:rsidR="00785413" w:rsidRPr="00DA3C6E" w:rsidRDefault="00785413" w:rsidP="00785413">
      <w:pPr>
        <w:pStyle w:val="Heading3"/>
      </w:pPr>
      <w:bookmarkStart w:id="246" w:name="_Toc37845759"/>
      <w:r w:rsidRPr="00DA3C6E">
        <w:t>C.4.1 Transformation of clinical outcome to a patient relevant outcome</w:t>
      </w:r>
      <w:bookmarkEnd w:id="246"/>
    </w:p>
    <w:p w14:paraId="093BD7E0" w14:textId="77777777" w:rsidR="004A7550" w:rsidRPr="00DA3C6E" w:rsidRDefault="00255AE2" w:rsidP="004A7550">
      <w:pPr>
        <w:pStyle w:val="Heading4"/>
      </w:pPr>
      <w:r w:rsidRPr="00DA3C6E">
        <w:t>Transformation of</w:t>
      </w:r>
      <w:r w:rsidR="004A7550" w:rsidRPr="00DA3C6E">
        <w:t xml:space="preserve"> clinical evidence into a </w:t>
      </w:r>
      <w:r w:rsidRPr="00DA3C6E">
        <w:t>common patient-relevant outcome</w:t>
      </w:r>
      <w:r w:rsidR="004A7550" w:rsidRPr="00DA3C6E">
        <w:t xml:space="preserve"> </w:t>
      </w:r>
    </w:p>
    <w:p w14:paraId="57D573DB" w14:textId="1B50A1A3" w:rsidR="00B6331D" w:rsidRPr="00DA3C6E" w:rsidRDefault="00355FBE" w:rsidP="00B6331D">
      <w:r w:rsidRPr="00DA3C6E">
        <w:t xml:space="preserve">The first aspect to be considered is the way that clinical outcomes were reported in the RCTs and </w:t>
      </w:r>
      <w:r w:rsidR="00D65924" w:rsidRPr="00DA3C6E">
        <w:t xml:space="preserve">whether </w:t>
      </w:r>
      <w:r w:rsidRPr="00DA3C6E">
        <w:t>these reflect how patients would be assessed in clinical practice in Australia. In fact, the only study that considered responders as a composite outcome</w:t>
      </w:r>
      <w:r w:rsidR="00CE6DCE" w:rsidRPr="00DA3C6E">
        <w:t>,</w:t>
      </w:r>
      <w:r w:rsidRPr="00DA3C6E">
        <w:t xml:space="preserve"> considering both improvement of muscle strength and reduced disability as it would in Australia, was Leger </w:t>
      </w:r>
      <w:r w:rsidR="00640486" w:rsidRPr="00DA3C6E">
        <w:t xml:space="preserve">et al. </w:t>
      </w:r>
      <w:r w:rsidRPr="00DA3C6E">
        <w:t xml:space="preserve">2001. </w:t>
      </w:r>
      <w:r w:rsidR="006A2B33" w:rsidRPr="00DA3C6E">
        <w:t>Although this study used a different tool to measure disability, it was considered the evidence that best captured the fact that clinical response to treatment needs to consider both, disability and muscle strength. For this reason, t</w:t>
      </w:r>
      <w:r w:rsidRPr="00DA3C6E">
        <w:t xml:space="preserve">his study was used in the base case analysis in the economic evaluation </w:t>
      </w:r>
      <w:r w:rsidR="00FF2945" w:rsidRPr="00DA3C6E">
        <w:t xml:space="preserve">(Section D) </w:t>
      </w:r>
      <w:r w:rsidRPr="00DA3C6E">
        <w:t xml:space="preserve">to model the treatment effect after treatment initiation (4-month treatment phase). </w:t>
      </w:r>
      <w:r w:rsidR="00B6331D" w:rsidRPr="00DA3C6E">
        <w:t>Although the study by Leger et al</w:t>
      </w:r>
      <w:r w:rsidR="00FF2945" w:rsidRPr="00DA3C6E">
        <w:t>.</w:t>
      </w:r>
      <w:r w:rsidR="00B6331D" w:rsidRPr="00DA3C6E">
        <w:t xml:space="preserve">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B6331D" w:rsidRPr="00DA3C6E">
        <w:t xml:space="preserve"> measured response as </w:t>
      </w:r>
      <w:r w:rsidR="00AE104D" w:rsidRPr="00DA3C6E">
        <w:t xml:space="preserve">a </w:t>
      </w:r>
      <w:r w:rsidR="00B6331D" w:rsidRPr="00DA3C6E">
        <w:t>composite outcome as it would in Australia, it may still not capture the patient relevant outcome which is improvement in QoL.</w:t>
      </w:r>
      <w:r w:rsidR="00AE104D" w:rsidRPr="00DA3C6E">
        <w:t xml:space="preserve"> In fact, none </w:t>
      </w:r>
      <w:r w:rsidR="00B6331D" w:rsidRPr="00DA3C6E">
        <w:t>of the RCTs capture</w:t>
      </w:r>
      <w:r w:rsidR="00AE104D" w:rsidRPr="00DA3C6E">
        <w:t>d</w:t>
      </w:r>
      <w:r w:rsidR="00B6331D" w:rsidRPr="00DA3C6E">
        <w:t xml:space="preserve"> how these clinical outcomes translate into an improvement in the QoL for patients with MMN. </w:t>
      </w:r>
    </w:p>
    <w:p w14:paraId="32CA7D57" w14:textId="77777777" w:rsidR="00355FBE" w:rsidRPr="00DA3C6E" w:rsidRDefault="00355FBE" w:rsidP="00CC78C2">
      <w:r w:rsidRPr="00DA3C6E">
        <w:t xml:space="preserve">This outcome measure </w:t>
      </w:r>
      <w:r w:rsidR="00AE104D" w:rsidRPr="00DA3C6E">
        <w:t xml:space="preserve">(QoL) </w:t>
      </w:r>
      <w:r w:rsidRPr="00DA3C6E">
        <w:t>was sourced from other single arm studies (see Section B.6)</w:t>
      </w:r>
      <w:r w:rsidR="00CD2EB9" w:rsidRPr="00DA3C6E">
        <w:t>. The</w:t>
      </w:r>
      <w:r w:rsidRPr="00DA3C6E">
        <w:t xml:space="preserve"> most commonly </w:t>
      </w:r>
      <w:r w:rsidR="00CD2EB9" w:rsidRPr="00DA3C6E">
        <w:t xml:space="preserve">used questionnaire to capture potential differences in QoL due to treatment was </w:t>
      </w:r>
      <w:r w:rsidRPr="00DA3C6E">
        <w:t xml:space="preserve">the SF-36 followed by the LQI. It should be noted that most studies compared different forms </w:t>
      </w:r>
      <w:r w:rsidR="00640486" w:rsidRPr="00DA3C6E">
        <w:t xml:space="preserve">of </w:t>
      </w:r>
      <w:r w:rsidRPr="00DA3C6E">
        <w:t>Ig administration</w:t>
      </w:r>
      <w:r w:rsidR="00AE104D" w:rsidRPr="00DA3C6E">
        <w:t xml:space="preserve"> (</w:t>
      </w:r>
      <w:r w:rsidRPr="00DA3C6E">
        <w:t>intravenous versus subcutaneous</w:t>
      </w:r>
      <w:r w:rsidR="00AE104D" w:rsidRPr="00DA3C6E">
        <w:t>)</w:t>
      </w:r>
      <w:r w:rsidRPr="00DA3C6E">
        <w:t xml:space="preserve">, and not the </w:t>
      </w:r>
      <w:r w:rsidR="005C69F5" w:rsidRPr="00DA3C6E">
        <w:t>potential</w:t>
      </w:r>
      <w:r w:rsidRPr="00DA3C6E">
        <w:t xml:space="preserve"> difference between receiving and not receiving Ig therapy. </w:t>
      </w:r>
      <w:r w:rsidR="005C69F5" w:rsidRPr="00DA3C6E">
        <w:t xml:space="preserve">The latter was identified as one potential transformation issue. </w:t>
      </w:r>
    </w:p>
    <w:p w14:paraId="1D3731D9" w14:textId="6B83FFBA" w:rsidR="006A2B33" w:rsidRPr="00DA3C6E" w:rsidRDefault="00255AE2" w:rsidP="006A2B33">
      <w:pPr>
        <w:pStyle w:val="Heading4"/>
      </w:pPr>
      <w:r w:rsidRPr="00DA3C6E">
        <w:lastRenderedPageBreak/>
        <w:t>S</w:t>
      </w:r>
      <w:r w:rsidR="006A2B33" w:rsidRPr="00DA3C6E">
        <w:t xml:space="preserve">ources that provide QoL weights (utility values) to derive QoL for patients with MMN </w:t>
      </w:r>
      <w:r w:rsidRPr="00DA3C6E">
        <w:t xml:space="preserve">and </w:t>
      </w:r>
      <w:r w:rsidR="00D65924" w:rsidRPr="00DA3C6E">
        <w:t xml:space="preserve">their </w:t>
      </w:r>
      <w:r w:rsidR="006A2B33" w:rsidRPr="00DA3C6E">
        <w:t>applicab</w:t>
      </w:r>
      <w:r w:rsidRPr="00DA3C6E">
        <w:t>ility to the Australian context</w:t>
      </w:r>
    </w:p>
    <w:p w14:paraId="698010FF" w14:textId="77777777" w:rsidR="006A2B33" w:rsidRPr="00DA3C6E" w:rsidRDefault="006A2B33" w:rsidP="006A2B33">
      <w:r w:rsidRPr="00DA3C6E">
        <w:t xml:space="preserve">The outcomes reported in the RCTs (mainly overall treatment response, improved muscle strength, reduced disability and adverse events) require transformation to become informative for an economic model. Because MMN is a disease that does not affect mortality but has an important QoL component, the quality adjusted life year (QALYs) was considered to be an appropriate outcome measure to capture the health benefit associated with the intervention. </w:t>
      </w:r>
    </w:p>
    <w:p w14:paraId="7118E532" w14:textId="5C4A02CB" w:rsidR="00E60D9F" w:rsidRPr="00DA3C6E" w:rsidRDefault="00AE104D" w:rsidP="00E60D9F">
      <w:r w:rsidRPr="00DA3C6E">
        <w:t>A QoL outcome needs to be measured in a suitable way so that, directly or indirectly, the obtained scores can be transformed into utility values</w:t>
      </w:r>
      <w:r w:rsidR="00B606BB" w:rsidRPr="00DA3C6E">
        <w:t xml:space="preserve"> suitable for an economic evaluation</w:t>
      </w:r>
      <w:r w:rsidRPr="00DA3C6E">
        <w:t>. From the studies identified in the extended literature search described in Section B.6 (</w:t>
      </w:r>
      <w:r w:rsidRPr="00DA3C6E">
        <w:fldChar w:fldCharType="begin"/>
      </w:r>
      <w:r w:rsidRPr="00DA3C6E">
        <w:instrText xml:space="preserve"> REF _Ref28008327 \h </w:instrText>
      </w:r>
      <w:r w:rsidR="00E8759F" w:rsidRPr="00DA3C6E">
        <w:instrText xml:space="preserve"> \* MERGEFORMAT </w:instrText>
      </w:r>
      <w:r w:rsidRPr="00DA3C6E">
        <w:fldChar w:fldCharType="separate"/>
      </w:r>
      <w:r w:rsidR="00EA5DC1" w:rsidRPr="00DA3C6E">
        <w:t xml:space="preserve">Table </w:t>
      </w:r>
      <w:r w:rsidR="00EA5DC1">
        <w:rPr>
          <w:noProof/>
        </w:rPr>
        <w:t>19</w:t>
      </w:r>
      <w:r w:rsidRPr="00DA3C6E">
        <w:fldChar w:fldCharType="end"/>
      </w:r>
      <w:r w:rsidRPr="00DA3C6E">
        <w:t xml:space="preserve">), </w:t>
      </w:r>
      <w:r w:rsidR="005C69F5" w:rsidRPr="00DA3C6E">
        <w:t>o</w:t>
      </w:r>
      <w:r w:rsidR="00564867" w:rsidRPr="00DA3C6E">
        <w:t xml:space="preserve">nly one reported direct utility </w:t>
      </w:r>
      <w:r w:rsidR="001D06C9" w:rsidRPr="00DA3C6E">
        <w:t xml:space="preserve">values </w:t>
      </w:r>
      <w:r w:rsidR="005C69F5" w:rsidRPr="00DA3C6E">
        <w:t>derived from</w:t>
      </w:r>
      <w:r w:rsidR="00564867" w:rsidRPr="00DA3C6E">
        <w:t xml:space="preserve"> using </w:t>
      </w:r>
      <w:r w:rsidR="00CD2EB9" w:rsidRPr="00DA3C6E">
        <w:t xml:space="preserve">the </w:t>
      </w:r>
      <w:r w:rsidR="00564867" w:rsidRPr="00DA3C6E">
        <w:t xml:space="preserve">EQ-5D </w:t>
      </w:r>
      <w:r w:rsidRPr="00DA3C6E">
        <w:t xml:space="preserve">questionnaire </w:t>
      </w:r>
      <w:r w:rsidR="00DB568A" w:rsidRPr="00DA3C6E">
        <w:fldChar w:fldCharType="begin"/>
      </w:r>
      <w:r w:rsidR="007810D6">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fldChar w:fldCharType="separate"/>
      </w:r>
      <w:r w:rsidR="007810D6">
        <w:rPr>
          <w:noProof/>
        </w:rPr>
        <w:t>(</w:t>
      </w:r>
      <w:hyperlink w:anchor="_ENREF_53" w:tooltip="Mahdi-Rogers, 2014 #42" w:history="1">
        <w:r w:rsidR="00C04BCE">
          <w:rPr>
            <w:noProof/>
          </w:rPr>
          <w:t>53</w:t>
        </w:r>
      </w:hyperlink>
      <w:r w:rsidR="007810D6">
        <w:rPr>
          <w:noProof/>
        </w:rPr>
        <w:t>)</w:t>
      </w:r>
      <w:r w:rsidR="00DB568A" w:rsidRPr="00DA3C6E">
        <w:fldChar w:fldCharType="end"/>
      </w:r>
      <w:r w:rsidR="005C69F5" w:rsidRPr="00DA3C6E">
        <w:t>. This study evaluated patients with MMN</w:t>
      </w:r>
      <w:r w:rsidR="00FE1873" w:rsidRPr="00DA3C6E">
        <w:t>, CI</w:t>
      </w:r>
      <w:r w:rsidR="00FF2945" w:rsidRPr="00DA3C6E">
        <w:t>DP</w:t>
      </w:r>
      <w:r w:rsidR="005C69F5" w:rsidRPr="00DA3C6E">
        <w:t xml:space="preserve"> </w:t>
      </w:r>
      <w:r w:rsidR="00564867" w:rsidRPr="00DA3C6E">
        <w:t>and</w:t>
      </w:r>
      <w:r w:rsidR="00CD2EB9" w:rsidRPr="00DA3C6E">
        <w:t xml:space="preserve"> </w:t>
      </w:r>
      <w:r w:rsidR="00FE1873" w:rsidRPr="00DA3C6E">
        <w:t>PDN</w:t>
      </w:r>
      <w:r w:rsidR="00564867" w:rsidRPr="00DA3C6E">
        <w:t xml:space="preserve"> receiving treatment with </w:t>
      </w:r>
      <w:r w:rsidR="00CD2EB9" w:rsidRPr="00DA3C6E">
        <w:t xml:space="preserve">intravenous </w:t>
      </w:r>
      <w:r w:rsidR="00564867" w:rsidRPr="00DA3C6E">
        <w:t>Ig. Unfortunately, this study did not report utility values differentiated by diagnos</w:t>
      </w:r>
      <w:r w:rsidR="00FE1873" w:rsidRPr="00DA3C6E">
        <w:t>is</w:t>
      </w:r>
      <w:r w:rsidR="00564867" w:rsidRPr="00DA3C6E">
        <w:t xml:space="preserve"> </w:t>
      </w:r>
      <w:r w:rsidR="00640486" w:rsidRPr="00DA3C6E">
        <w:t>for when</w:t>
      </w:r>
      <w:r w:rsidR="00564867" w:rsidRPr="00DA3C6E">
        <w:t xml:space="preserve"> </w:t>
      </w:r>
      <w:r w:rsidR="005C69F5" w:rsidRPr="00DA3C6E">
        <w:t xml:space="preserve">patients </w:t>
      </w:r>
      <w:r w:rsidR="00564867" w:rsidRPr="00DA3C6E">
        <w:t>were off-treatment.</w:t>
      </w:r>
      <w:r w:rsidR="00FE1873" w:rsidRPr="00DA3C6E">
        <w:t xml:space="preserve"> It only reported utility value</w:t>
      </w:r>
      <w:r w:rsidR="00CD2EB9" w:rsidRPr="00DA3C6E">
        <w:t>s</w:t>
      </w:r>
      <w:r w:rsidR="00FE1873" w:rsidRPr="00DA3C6E">
        <w:t xml:space="preserve"> for MMN patients who received </w:t>
      </w:r>
      <w:r w:rsidR="00CD2EB9" w:rsidRPr="00DA3C6E">
        <w:t xml:space="preserve">intravenous </w:t>
      </w:r>
      <w:r w:rsidR="00FE1873" w:rsidRPr="00DA3C6E">
        <w:t xml:space="preserve">Ig therapy (0.72), all patients who received </w:t>
      </w:r>
      <w:r w:rsidR="00CD2EB9" w:rsidRPr="00DA3C6E">
        <w:t xml:space="preserve">intravenous </w:t>
      </w:r>
      <w:r w:rsidR="00FE1873" w:rsidRPr="00DA3C6E">
        <w:t xml:space="preserve">Ig therapy (0.65) and all patients who did not receive Ig therapy (0.63). </w:t>
      </w:r>
      <w:r w:rsidR="00E60D9F" w:rsidRPr="00DA3C6E">
        <w:t>In comparative terms, the utility value reported for MMN patients was lower than the average population in the UK of 0.86 (</w:t>
      </w:r>
      <w:r w:rsidR="00FF2945" w:rsidRPr="00DA3C6E">
        <w:t>SD=</w:t>
      </w:r>
      <w:r w:rsidR="00E60D9F" w:rsidRPr="00DA3C6E">
        <w:t xml:space="preserve">0.28) </w:t>
      </w:r>
      <w:r w:rsidR="00DB568A" w:rsidRPr="00DA3C6E">
        <w:fldChar w:fldCharType="begin"/>
      </w:r>
      <w:r w:rsidR="007810D6">
        <w:instrText xml:space="preserve"> ADDIN EN.CITE &lt;EndNote&gt;&lt;Cite&gt;&lt;Author&gt;Kind&lt;/Author&gt;&lt;Year&gt;1999&lt;/Year&gt;&lt;RecNum&gt;34&lt;/RecNum&gt;&lt;DisplayText&gt;(57)&lt;/DisplayText&gt;&lt;record&gt;&lt;rec-number&gt;34&lt;/rec-number&gt;&lt;foreign-keys&gt;&lt;key app="EN" db-id="0992p2ztn5fez9e2wvnpw2xstd20f9w2dezz" timestamp="1586818281"&gt;34&lt;/key&gt;&lt;/foreign-keys&gt;&lt;ref-type name="Report"&gt;27&lt;/ref-type&gt;&lt;contributors&gt;&lt;authors&gt;&lt;author&gt;Kind, P&lt;/author&gt;&lt;author&gt;Hardman, G&lt;/author&gt;&lt;author&gt;Macran, S&lt;/author&gt;&lt;/authors&gt;&lt;/contributors&gt;&lt;titles&gt;&lt;title&gt;UK Population Norms for EQ-5D&lt;/title&gt;&lt;secondary-title&gt;Discussion paper 172&lt;/secondary-title&gt;&lt;/titles&gt;&lt;dates&gt;&lt;year&gt;1999&lt;/year&gt;&lt;/dates&gt;&lt;pub-location&gt;York&lt;/pub-location&gt;&lt;publisher&gt;University of York&lt;/publisher&gt;&lt;urls&gt;&lt;/urls&gt;&lt;/record&gt;&lt;/Cite&gt;&lt;/EndNote&gt;</w:instrText>
      </w:r>
      <w:r w:rsidR="00DB568A" w:rsidRPr="00DA3C6E">
        <w:fldChar w:fldCharType="separate"/>
      </w:r>
      <w:r w:rsidR="007810D6">
        <w:rPr>
          <w:noProof/>
        </w:rPr>
        <w:t>(</w:t>
      </w:r>
      <w:hyperlink w:anchor="_ENREF_57" w:tooltip="Kind, 1999 #34" w:history="1">
        <w:r w:rsidR="00C04BCE">
          <w:rPr>
            <w:noProof/>
          </w:rPr>
          <w:t>57</w:t>
        </w:r>
      </w:hyperlink>
      <w:r w:rsidR="007810D6">
        <w:rPr>
          <w:noProof/>
        </w:rPr>
        <w:t>)</w:t>
      </w:r>
      <w:r w:rsidR="00DB568A" w:rsidRPr="00DA3C6E">
        <w:fldChar w:fldCharType="end"/>
      </w:r>
      <w:r w:rsidR="00E60D9F" w:rsidRPr="00DA3C6E">
        <w:t xml:space="preserve"> but higher than the score reported for patients with multiple sclerosis (0.55 (</w:t>
      </w:r>
      <w:r w:rsidR="00FF2945" w:rsidRPr="00DA3C6E">
        <w:t>SD=</w:t>
      </w:r>
      <w:r w:rsidR="00E60D9F" w:rsidRPr="00DA3C6E">
        <w:t xml:space="preserve">0.33)) </w:t>
      </w:r>
      <w:r w:rsidR="00DB568A" w:rsidRPr="00DA3C6E">
        <w:fldChar w:fldCharType="begin">
          <w:fldData xml:space="preserve">PEVuZE5vdGU+PENpdGU+PEF1dGhvcj5Lb2JlbHQ8L0F1dGhvcj48WWVhcj4yMDA2PC9ZZWFyPjxS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</w:fldData>
        </w:fldChar>
      </w:r>
      <w:r w:rsidR="007810D6">
        <w:instrText xml:space="preserve"> ADDIN EN.CITE </w:instrText>
      </w:r>
      <w:r w:rsidR="007810D6">
        <w:fldChar w:fldCharType="begin">
          <w:fldData xml:space="preserve">PEVuZE5vdGU+PENpdGU+PEF1dGhvcj5Lb2JlbHQ8L0F1dGhvcj48WWVhcj4yMDA2PC9ZZWFyPjxS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8" w:tooltip="Kobelt, 2006 #35" w:history="1">
        <w:r w:rsidR="00C04BCE">
          <w:rPr>
            <w:noProof/>
          </w:rPr>
          <w:t>58</w:t>
        </w:r>
      </w:hyperlink>
      <w:r w:rsidR="007810D6">
        <w:rPr>
          <w:noProof/>
        </w:rPr>
        <w:t>)</w:t>
      </w:r>
      <w:r w:rsidR="00DB568A" w:rsidRPr="00DA3C6E">
        <w:fldChar w:fldCharType="end"/>
      </w:r>
      <w:r w:rsidR="00E60D9F" w:rsidRPr="00DA3C6E">
        <w:t xml:space="preserve"> and patients with Parkinson’s disease (0.54 (</w:t>
      </w:r>
      <w:r w:rsidR="00FF2945" w:rsidRPr="00DA3C6E">
        <w:t>SD=</w:t>
      </w:r>
      <w:r w:rsidR="00E60D9F" w:rsidRPr="00DA3C6E">
        <w:t xml:space="preserve">0.40)) </w:t>
      </w:r>
      <w:r w:rsidR="00DB568A" w:rsidRPr="00DA3C6E">
        <w:fldChar w:fldCharType="begin">
          <w:fldData xml:space="preserve">PEVuZE5vdGU+PENpdGU+PEF1dGhvcj5TY2hyYWc8L0F1dGhvcj48WWVhcj4yMDAwPC9ZZWFyPjxS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</w:fldData>
        </w:fldChar>
      </w:r>
      <w:r w:rsidR="007810D6">
        <w:instrText xml:space="preserve"> ADDIN EN.CITE </w:instrText>
      </w:r>
      <w:r w:rsidR="007810D6">
        <w:fldChar w:fldCharType="begin">
          <w:fldData xml:space="preserve">PEVuZE5vdGU+PENpdGU+PEF1dGhvcj5TY2hyYWc8L0F1dGhvcj48WWVhcj4yMDAwPC9ZZWFyPjxS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9" w:tooltip="Schrag, 2000 #59" w:history="1">
        <w:r w:rsidR="00C04BCE">
          <w:rPr>
            <w:noProof/>
          </w:rPr>
          <w:t>59</w:t>
        </w:r>
      </w:hyperlink>
      <w:r w:rsidR="007810D6">
        <w:rPr>
          <w:noProof/>
        </w:rPr>
        <w:t>)</w:t>
      </w:r>
      <w:r w:rsidR="00DB568A" w:rsidRPr="00DA3C6E">
        <w:fldChar w:fldCharType="end"/>
      </w:r>
      <w:r w:rsidR="00E60D9F" w:rsidRPr="00DA3C6E">
        <w:t>.</w:t>
      </w:r>
    </w:p>
    <w:p w14:paraId="631D91D8" w14:textId="476850C9" w:rsidR="006B6B09" w:rsidRPr="00DA3C6E" w:rsidRDefault="006B6B09" w:rsidP="00CC78C2">
      <w:r w:rsidRPr="00DA3C6E">
        <w:t xml:space="preserve">Overall, </w:t>
      </w:r>
      <w:r w:rsidR="00B447FB" w:rsidRPr="00DA3C6E">
        <w:t xml:space="preserve">all </w:t>
      </w:r>
      <w:r w:rsidRPr="00DA3C6E">
        <w:t xml:space="preserve">the studies described in Section B.6 did not report the change in QoL in patients before and after initiating treatment with </w:t>
      </w:r>
      <w:r w:rsidR="00B447FB" w:rsidRPr="00DA3C6E">
        <w:t>i</w:t>
      </w:r>
      <w:r w:rsidRPr="00DA3C6E">
        <w:t>ntravenous Ig</w:t>
      </w:r>
      <w:r w:rsidR="00B447FB" w:rsidRPr="00DA3C6E">
        <w:t xml:space="preserve">. For this reason, </w:t>
      </w:r>
      <w:r w:rsidR="00B606BB" w:rsidRPr="00DA3C6E">
        <w:t xml:space="preserve">a manual search to identify studies that measured QoL in conditions similar to MMN that could also be useful to inform utility values to be used in the economic model in Section D, mainly CIDP, </w:t>
      </w:r>
      <w:r w:rsidR="00CD2EB9" w:rsidRPr="00DA3C6E">
        <w:t>P</w:t>
      </w:r>
      <w:r w:rsidR="00B606BB" w:rsidRPr="00DA3C6E">
        <w:t>DN and MND</w:t>
      </w:r>
      <w:r w:rsidRPr="00DA3C6E">
        <w:t xml:space="preserve"> (</w:t>
      </w:r>
      <w:r w:rsidRPr="00DA3C6E">
        <w:fldChar w:fldCharType="begin"/>
      </w:r>
      <w:r w:rsidRPr="00DA3C6E">
        <w:instrText xml:space="preserve"> REF _Ref29204365 \h </w:instrText>
      </w:r>
      <w:r w:rsidR="00E8759F" w:rsidRPr="00DA3C6E">
        <w:instrText xml:space="preserve"> \* MERGEFORMAT </w:instrText>
      </w:r>
      <w:r w:rsidRPr="00DA3C6E">
        <w:fldChar w:fldCharType="separate"/>
      </w:r>
      <w:r w:rsidR="00EA5DC1" w:rsidRPr="00DA3C6E">
        <w:t xml:space="preserve">Table </w:t>
      </w:r>
      <w:r w:rsidR="00EA5DC1">
        <w:rPr>
          <w:noProof/>
        </w:rPr>
        <w:t>27</w:t>
      </w:r>
      <w:r w:rsidRPr="00DA3C6E">
        <w:fldChar w:fldCharType="end"/>
      </w:r>
      <w:r w:rsidRPr="00DA3C6E">
        <w:t>)</w:t>
      </w:r>
      <w:r w:rsidR="00B447FB" w:rsidRPr="00DA3C6E">
        <w:t xml:space="preserve"> was conducted</w:t>
      </w:r>
      <w:r w:rsidR="00B606BB" w:rsidRPr="00DA3C6E">
        <w:t xml:space="preserve">. </w:t>
      </w:r>
      <w:r w:rsidRPr="00DA3C6E">
        <w:t xml:space="preserve">The latter </w:t>
      </w:r>
      <w:r w:rsidR="005C69F5" w:rsidRPr="00DA3C6E">
        <w:t xml:space="preserve">introduces an additional transformation issue. </w:t>
      </w:r>
    </w:p>
    <w:p w14:paraId="0070EDDB" w14:textId="3B6089F1" w:rsidR="00232A7F" w:rsidRPr="00DA3C6E" w:rsidRDefault="006B6B09" w:rsidP="00CC78C2">
      <w:r w:rsidRPr="00DA3C6E">
        <w:t>The manual search identified three studies of which two were actually additional to the literature search reported in Section B.6 (</w:t>
      </w:r>
      <w:r w:rsidRPr="00DA3C6E">
        <w:fldChar w:fldCharType="begin"/>
      </w:r>
      <w:r w:rsidRPr="00DA3C6E">
        <w:instrText xml:space="preserve"> REF _Ref28008327 \h </w:instrText>
      </w:r>
      <w:r w:rsidR="00E8759F" w:rsidRPr="00DA3C6E">
        <w:instrText xml:space="preserve"> \* MERGEFORMAT </w:instrText>
      </w:r>
      <w:r w:rsidRPr="00DA3C6E">
        <w:fldChar w:fldCharType="separate"/>
      </w:r>
      <w:r w:rsidR="00EA5DC1" w:rsidRPr="00DA3C6E">
        <w:t xml:space="preserve">Table </w:t>
      </w:r>
      <w:r w:rsidR="00EA5DC1">
        <w:rPr>
          <w:noProof/>
        </w:rPr>
        <w:t>19</w:t>
      </w:r>
      <w:r w:rsidRPr="00DA3C6E">
        <w:fldChar w:fldCharType="end"/>
      </w:r>
      <w:r w:rsidRPr="00DA3C6E">
        <w:t xml:space="preserve">). </w:t>
      </w:r>
      <w:r w:rsidR="00B447FB" w:rsidRPr="00DA3C6E">
        <w:t xml:space="preserve">All three studies used the generic instrument EQ-5D to directly derive utility values. McCrone et al. 2003 </w:t>
      </w:r>
      <w:r w:rsidR="00DB568A" w:rsidRPr="00DA3C6E">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 </w:instrText>
      </w:r>
      <w:r w:rsidR="007810D6">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60" w:tooltip="McCrone, 2003 #43" w:history="1">
        <w:r w:rsidR="00C04BCE">
          <w:rPr>
            <w:noProof/>
          </w:rPr>
          <w:t>60</w:t>
        </w:r>
      </w:hyperlink>
      <w:r w:rsidR="007810D6">
        <w:rPr>
          <w:noProof/>
        </w:rPr>
        <w:t>)</w:t>
      </w:r>
      <w:r w:rsidR="00DB568A" w:rsidRPr="00DA3C6E">
        <w:fldChar w:fldCharType="end"/>
      </w:r>
      <w:r w:rsidR="00B447FB" w:rsidRPr="00DA3C6E">
        <w:t xml:space="preserve"> measured QoL at baseline (no treatment) and at 12 weeks in patients with CI</w:t>
      </w:r>
      <w:r w:rsidR="00CD2EB9" w:rsidRPr="00DA3C6E">
        <w:t>DP who required treatment with i</w:t>
      </w:r>
      <w:r w:rsidR="00B447FB" w:rsidRPr="00DA3C6E">
        <w:t>ntravenous Ig. The effec</w:t>
      </w:r>
      <w:r w:rsidR="00E60D9F" w:rsidRPr="00DA3C6E">
        <w:t>t of initiating treatment with i</w:t>
      </w:r>
      <w:r w:rsidR="00B447FB" w:rsidRPr="00DA3C6E">
        <w:t xml:space="preserve">ntravenous Ig resulted in a non-statistically significant gain in QoL of 0.12 (p= 0.072). </w:t>
      </w:r>
      <w:r w:rsidR="00E60D9F" w:rsidRPr="00DA3C6E">
        <w:t xml:space="preserve">This source was used in </w:t>
      </w:r>
      <w:r w:rsidR="00640486" w:rsidRPr="00DA3C6E">
        <w:t>the economic evaluation</w:t>
      </w:r>
      <w:r w:rsidR="00E60D9F" w:rsidRPr="00DA3C6E">
        <w:t xml:space="preserve">, which has an underlying assumption that patients with MMN have a comparable QoL profile </w:t>
      </w:r>
      <w:r w:rsidR="00D65924" w:rsidRPr="00DA3C6E">
        <w:t xml:space="preserve">to </w:t>
      </w:r>
      <w:r w:rsidR="00E60D9F" w:rsidRPr="00DA3C6E">
        <w:t xml:space="preserve">patients with CIDP. </w:t>
      </w:r>
    </w:p>
    <w:p w14:paraId="07618AA2" w14:textId="2BDAD5CB" w:rsidR="00B606BB" w:rsidRPr="00DA3C6E" w:rsidRDefault="00B606BB" w:rsidP="00CD2EB9">
      <w:pPr>
        <w:pStyle w:val="Caption"/>
        <w:keepNext/>
        <w:keepLines/>
      </w:pPr>
      <w:bookmarkStart w:id="247" w:name="_Toc37845828"/>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25</w:t>
      </w:r>
      <w:r w:rsidR="00515153">
        <w:rPr>
          <w:noProof/>
        </w:rPr>
        <w:fldChar w:fldCharType="end"/>
      </w:r>
      <w:r w:rsidRPr="00DA3C6E">
        <w:t>. List of studies that reported QoL outcomes in patients with CIDP.</w:t>
      </w:r>
      <w:bookmarkEnd w:id="247"/>
      <w:r w:rsidRPr="00DA3C6E">
        <w:t xml:space="preserve"> </w:t>
      </w:r>
    </w:p>
    <w:tbl>
      <w:tblPr>
        <w:tblStyle w:val="TableGrid"/>
        <w:tblW w:w="0" w:type="auto"/>
        <w:tblLook w:val="04A0" w:firstRow="1" w:lastRow="0" w:firstColumn="1" w:lastColumn="0" w:noHBand="0" w:noVBand="1"/>
        <w:tblCaption w:val="Table 25. List of studies that reported QoL outcomes in patients with CIDP. "/>
      </w:tblPr>
      <w:tblGrid>
        <w:gridCol w:w="1638"/>
        <w:gridCol w:w="1805"/>
        <w:gridCol w:w="2081"/>
        <w:gridCol w:w="1701"/>
        <w:gridCol w:w="1791"/>
      </w:tblGrid>
      <w:tr w:rsidR="00B606BB" w:rsidRPr="00DA3C6E" w14:paraId="2D3C5A50" w14:textId="77777777" w:rsidTr="00D56F4F">
        <w:trPr>
          <w:tblHeader/>
        </w:trPr>
        <w:tc>
          <w:tcPr>
            <w:tcW w:w="1638" w:type="dxa"/>
            <w:vAlign w:val="center"/>
          </w:tcPr>
          <w:p w14:paraId="44101270" w14:textId="77777777" w:rsidR="00B606BB" w:rsidRPr="00DA3C6E" w:rsidRDefault="00B606BB" w:rsidP="00CD2EB9">
            <w:pPr>
              <w:keepNext/>
              <w:keepLines/>
              <w:spacing w:after="0" w:line="240" w:lineRule="auto"/>
              <w:ind w:left="0"/>
              <w:rPr>
                <w:rFonts w:ascii="Arial Narrow" w:hAnsi="Arial Narrow"/>
                <w:b/>
                <w:sz w:val="20"/>
                <w:szCs w:val="20"/>
              </w:rPr>
            </w:pPr>
            <w:r w:rsidRPr="00DA3C6E">
              <w:rPr>
                <w:rFonts w:ascii="Arial Narrow" w:hAnsi="Arial Narrow"/>
                <w:b/>
                <w:sz w:val="20"/>
                <w:szCs w:val="20"/>
              </w:rPr>
              <w:t>Study</w:t>
            </w:r>
          </w:p>
        </w:tc>
        <w:tc>
          <w:tcPr>
            <w:tcW w:w="1805" w:type="dxa"/>
            <w:vAlign w:val="center"/>
          </w:tcPr>
          <w:p w14:paraId="37A030C3" w14:textId="77777777" w:rsidR="00B606BB" w:rsidRPr="00DA3C6E" w:rsidRDefault="00B606BB" w:rsidP="00CD2EB9">
            <w:pPr>
              <w:keepNext/>
              <w:keepLines/>
              <w:spacing w:after="0" w:line="240" w:lineRule="auto"/>
              <w:ind w:left="0"/>
              <w:rPr>
                <w:rFonts w:ascii="Arial Narrow" w:hAnsi="Arial Narrow"/>
                <w:b/>
                <w:sz w:val="20"/>
                <w:szCs w:val="20"/>
              </w:rPr>
            </w:pPr>
            <w:r w:rsidRPr="00DA3C6E">
              <w:rPr>
                <w:rFonts w:ascii="Arial Narrow" w:hAnsi="Arial Narrow"/>
                <w:b/>
                <w:sz w:val="20"/>
                <w:szCs w:val="20"/>
              </w:rPr>
              <w:t>QoL tool</w:t>
            </w:r>
          </w:p>
        </w:tc>
        <w:tc>
          <w:tcPr>
            <w:tcW w:w="2081" w:type="dxa"/>
            <w:vAlign w:val="center"/>
          </w:tcPr>
          <w:p w14:paraId="177B7160" w14:textId="77777777" w:rsidR="00B606BB" w:rsidRPr="00DA3C6E" w:rsidRDefault="00B606BB" w:rsidP="00CD2EB9">
            <w:pPr>
              <w:keepNext/>
              <w:keepLines/>
              <w:spacing w:after="0" w:line="240" w:lineRule="auto"/>
              <w:ind w:left="0"/>
              <w:rPr>
                <w:rFonts w:ascii="Arial Narrow" w:hAnsi="Arial Narrow"/>
                <w:b/>
                <w:sz w:val="20"/>
                <w:szCs w:val="20"/>
              </w:rPr>
            </w:pPr>
            <w:r w:rsidRPr="00DA3C6E">
              <w:rPr>
                <w:rFonts w:ascii="Arial Narrow" w:hAnsi="Arial Narrow"/>
                <w:b/>
                <w:sz w:val="20"/>
                <w:szCs w:val="20"/>
              </w:rPr>
              <w:t>Intravenous Ig</w:t>
            </w:r>
          </w:p>
        </w:tc>
        <w:tc>
          <w:tcPr>
            <w:tcW w:w="1701" w:type="dxa"/>
            <w:vAlign w:val="center"/>
          </w:tcPr>
          <w:p w14:paraId="75B91CC1" w14:textId="77777777" w:rsidR="00B606BB" w:rsidRPr="00DA3C6E" w:rsidRDefault="00B606BB" w:rsidP="00CD2EB9">
            <w:pPr>
              <w:keepNext/>
              <w:keepLines/>
              <w:spacing w:after="0" w:line="240" w:lineRule="auto"/>
              <w:ind w:left="0"/>
              <w:rPr>
                <w:rFonts w:ascii="Arial Narrow" w:hAnsi="Arial Narrow"/>
                <w:sz w:val="20"/>
                <w:szCs w:val="20"/>
              </w:rPr>
            </w:pPr>
            <w:r w:rsidRPr="00DA3C6E">
              <w:rPr>
                <w:rFonts w:ascii="Arial Narrow" w:hAnsi="Arial Narrow"/>
                <w:b/>
                <w:sz w:val="20"/>
                <w:szCs w:val="20"/>
              </w:rPr>
              <w:t>Placebo</w:t>
            </w:r>
          </w:p>
        </w:tc>
        <w:tc>
          <w:tcPr>
            <w:tcW w:w="1791" w:type="dxa"/>
            <w:vAlign w:val="center"/>
          </w:tcPr>
          <w:p w14:paraId="599110BF" w14:textId="77777777" w:rsidR="00B606BB" w:rsidRPr="00DA3C6E" w:rsidRDefault="00B606BB" w:rsidP="00CD2EB9">
            <w:pPr>
              <w:keepNext/>
              <w:keepLines/>
              <w:spacing w:after="0" w:line="240" w:lineRule="auto"/>
              <w:ind w:left="0"/>
              <w:jc w:val="left"/>
              <w:rPr>
                <w:rFonts w:ascii="Arial Narrow" w:hAnsi="Arial Narrow"/>
                <w:sz w:val="20"/>
                <w:szCs w:val="20"/>
              </w:rPr>
            </w:pPr>
            <w:r w:rsidRPr="00DA3C6E">
              <w:rPr>
                <w:rFonts w:ascii="Arial Narrow" w:hAnsi="Arial Narrow"/>
                <w:b/>
                <w:sz w:val="20"/>
                <w:szCs w:val="20"/>
              </w:rPr>
              <w:t>Significance</w:t>
            </w:r>
          </w:p>
        </w:tc>
      </w:tr>
      <w:tr w:rsidR="00B606BB" w:rsidRPr="00DA3C6E" w14:paraId="771EC267" w14:textId="77777777" w:rsidTr="008C7B4F">
        <w:tc>
          <w:tcPr>
            <w:tcW w:w="1638" w:type="dxa"/>
            <w:vAlign w:val="center"/>
          </w:tcPr>
          <w:p w14:paraId="7F616A41" w14:textId="7C07821A" w:rsidR="00B606BB" w:rsidRPr="00DA3C6E" w:rsidRDefault="00B606BB" w:rsidP="00C04BCE">
            <w:pPr>
              <w:keepNext/>
              <w:keepLines/>
              <w:spacing w:after="0" w:line="240" w:lineRule="auto"/>
              <w:ind w:left="0"/>
              <w:rPr>
                <w:rFonts w:ascii="Arial Narrow" w:hAnsi="Arial Narrow"/>
                <w:sz w:val="20"/>
                <w:szCs w:val="20"/>
              </w:rPr>
            </w:pPr>
            <w:r w:rsidRPr="00DA3C6E">
              <w:rPr>
                <w:rFonts w:ascii="Arial Narrow" w:hAnsi="Arial Narrow"/>
                <w:sz w:val="20"/>
                <w:szCs w:val="20"/>
              </w:rPr>
              <w:t>McCrone et al</w:t>
            </w:r>
            <w:r w:rsidR="00D65924" w:rsidRPr="00DA3C6E">
              <w:rPr>
                <w:rFonts w:ascii="Arial Narrow" w:hAnsi="Arial Narrow"/>
                <w:sz w:val="20"/>
                <w:szCs w:val="20"/>
              </w:rPr>
              <w:t>.</w:t>
            </w:r>
            <w:r w:rsidRPr="00DA3C6E">
              <w:rPr>
                <w:rFonts w:ascii="Arial Narrow" w:hAnsi="Arial Narrow"/>
                <w:sz w:val="20"/>
                <w:szCs w:val="20"/>
              </w:rPr>
              <w:t xml:space="preserve"> 2003</w:t>
            </w:r>
            <w:r w:rsidR="00DB568A" w:rsidRPr="00DA3C6E">
              <w:rPr>
                <w:rFonts w:ascii="Arial Narrow" w:hAnsi="Arial Narrow"/>
                <w:sz w:val="20"/>
                <w:szCs w:val="20"/>
              </w:rPr>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60" w:tooltip="McCrone, 2003 #43" w:history="1">
              <w:r w:rsidR="00C04BCE">
                <w:rPr>
                  <w:rFonts w:ascii="Arial Narrow" w:hAnsi="Arial Narrow"/>
                  <w:noProof/>
                  <w:sz w:val="20"/>
                  <w:szCs w:val="20"/>
                </w:rPr>
                <w:t>60</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57362C7C" w14:textId="77777777" w:rsidR="00B606BB" w:rsidRPr="00DA3C6E" w:rsidRDefault="00B606BB" w:rsidP="00CD2EB9">
            <w:pPr>
              <w:keepNext/>
              <w:keepLines/>
              <w:spacing w:after="0" w:line="240" w:lineRule="auto"/>
              <w:ind w:left="0"/>
              <w:rPr>
                <w:rFonts w:ascii="Arial Narrow" w:hAnsi="Arial Narrow" w:cs="AdvTimes"/>
                <w:sz w:val="20"/>
                <w:szCs w:val="20"/>
              </w:rPr>
            </w:pPr>
            <w:r w:rsidRPr="00DA3C6E">
              <w:rPr>
                <w:rFonts w:ascii="Arial Narrow" w:hAnsi="Arial Narrow" w:cs="AdvTimes"/>
                <w:sz w:val="20"/>
                <w:szCs w:val="20"/>
              </w:rPr>
              <w:t>EQ-5D</w:t>
            </w:r>
          </w:p>
        </w:tc>
        <w:tc>
          <w:tcPr>
            <w:tcW w:w="2081" w:type="dxa"/>
            <w:vAlign w:val="center"/>
          </w:tcPr>
          <w:p w14:paraId="5455680A"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0.69</w:t>
            </w:r>
          </w:p>
        </w:tc>
        <w:tc>
          <w:tcPr>
            <w:tcW w:w="1701" w:type="dxa"/>
            <w:vAlign w:val="center"/>
          </w:tcPr>
          <w:p w14:paraId="6B851D0C"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sz w:val="20"/>
                <w:szCs w:val="20"/>
              </w:rPr>
              <w:t>0.57</w:t>
            </w:r>
          </w:p>
        </w:tc>
        <w:tc>
          <w:tcPr>
            <w:tcW w:w="1791" w:type="dxa"/>
            <w:vAlign w:val="center"/>
          </w:tcPr>
          <w:p w14:paraId="6CB85842" w14:textId="77777777" w:rsidR="00B606BB" w:rsidRPr="00DA3C6E" w:rsidRDefault="00B606BB" w:rsidP="00CD2EB9">
            <w:pPr>
              <w:keepNext/>
              <w:keepLines/>
              <w:spacing w:after="0" w:line="240" w:lineRule="auto"/>
              <w:ind w:left="0"/>
              <w:jc w:val="center"/>
              <w:rPr>
                <w:rFonts w:ascii="Arial Narrow" w:hAnsi="Arial Narrow" w:cs="AdvTimes-i"/>
                <w:sz w:val="20"/>
                <w:szCs w:val="20"/>
              </w:rPr>
            </w:pPr>
            <w:r w:rsidRPr="00DA3C6E">
              <w:rPr>
                <w:rFonts w:ascii="Arial Narrow" w:hAnsi="Arial Narrow" w:cs="AdvTimes-i"/>
                <w:sz w:val="20"/>
                <w:szCs w:val="20"/>
              </w:rPr>
              <w:t xml:space="preserve">p </w:t>
            </w:r>
            <w:r w:rsidRPr="00DA3C6E">
              <w:rPr>
                <w:rFonts w:ascii="Arial Narrow" w:hAnsi="Arial Narrow" w:cs="AdvP4C4E74"/>
                <w:sz w:val="20"/>
                <w:szCs w:val="20"/>
              </w:rPr>
              <w:t xml:space="preserve">= </w:t>
            </w:r>
            <w:r w:rsidRPr="00DA3C6E">
              <w:rPr>
                <w:rFonts w:ascii="Arial Narrow" w:hAnsi="Arial Narrow" w:cs="AdvTimes"/>
                <w:sz w:val="20"/>
                <w:szCs w:val="20"/>
              </w:rPr>
              <w:t>0.072</w:t>
            </w:r>
          </w:p>
        </w:tc>
      </w:tr>
      <w:tr w:rsidR="00B606BB" w:rsidRPr="00DA3C6E" w14:paraId="5B131E15" w14:textId="77777777" w:rsidTr="00B606BB">
        <w:tc>
          <w:tcPr>
            <w:tcW w:w="1638" w:type="dxa"/>
            <w:vMerge w:val="restart"/>
            <w:vAlign w:val="center"/>
          </w:tcPr>
          <w:p w14:paraId="7214CEF1" w14:textId="676CAB51" w:rsidR="00B606BB" w:rsidRPr="00DA3C6E" w:rsidRDefault="00B606BB" w:rsidP="00C04BCE">
            <w:pPr>
              <w:keepNext/>
              <w:keepLines/>
              <w:spacing w:after="0" w:line="240" w:lineRule="auto"/>
              <w:ind w:left="0"/>
              <w:rPr>
                <w:rFonts w:ascii="Arial Narrow" w:hAnsi="Arial Narrow"/>
                <w:sz w:val="20"/>
                <w:szCs w:val="20"/>
              </w:rPr>
            </w:pPr>
            <w:r w:rsidRPr="00DA3C6E">
              <w:rPr>
                <w:rFonts w:ascii="Arial Narrow" w:hAnsi="Arial Narrow"/>
                <w:sz w:val="20"/>
                <w:szCs w:val="20"/>
              </w:rPr>
              <w:t xml:space="preserve">Blackhouse </w:t>
            </w:r>
            <w:r w:rsidR="008C7B4F" w:rsidRPr="00DA3C6E">
              <w:rPr>
                <w:rFonts w:ascii="Arial Narrow" w:hAnsi="Arial Narrow"/>
                <w:sz w:val="20"/>
                <w:szCs w:val="20"/>
              </w:rPr>
              <w:t>et al</w:t>
            </w:r>
            <w:r w:rsidR="00D65924" w:rsidRPr="00DA3C6E">
              <w:rPr>
                <w:rFonts w:ascii="Arial Narrow" w:hAnsi="Arial Narrow"/>
                <w:sz w:val="20"/>
                <w:szCs w:val="20"/>
              </w:rPr>
              <w:t>.</w:t>
            </w:r>
            <w:r w:rsidR="008C7B4F" w:rsidRPr="00DA3C6E">
              <w:rPr>
                <w:rFonts w:ascii="Arial Narrow" w:hAnsi="Arial Narrow"/>
                <w:sz w:val="20"/>
                <w:szCs w:val="20"/>
              </w:rPr>
              <w:t xml:space="preserve"> </w:t>
            </w:r>
            <w:r w:rsidRPr="00DA3C6E">
              <w:rPr>
                <w:rFonts w:ascii="Arial Narrow" w:hAnsi="Arial Narrow"/>
                <w:sz w:val="20"/>
                <w:szCs w:val="20"/>
              </w:rPr>
              <w:t>2010</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&lt;EndNote&gt;&lt;Cite&gt;&lt;Author&gt;Blackhouse&lt;/Author&gt;&lt;Year&gt;2010&lt;/Year&gt;&lt;RecNum&gt;8&lt;/RecNum&gt;&lt;DisplayText&gt;(61)&lt;/DisplayText&gt;&lt;record&gt;&lt;rec-number&gt;8&lt;/rec-number&gt;&lt;foreign-keys&gt;&lt;key app="EN" db-id="0992p2ztn5fez9e2wvnpw2xstd20f9w2dezz" timestamp="1586818281"&gt;8&lt;/key&gt;&lt;/foreign-keys&gt;&lt;ref-type name="Journal Article"&gt;17&lt;/ref-type&gt;&lt;contributors&gt;&lt;authors&gt;&lt;author&gt;Blackhouse, G.&lt;/author&gt;&lt;author&gt;Gaebel, K.&lt;/author&gt;&lt;author&gt;Xie, F.&lt;/author&gt;&lt;author&gt;Campbell, K.&lt;/author&gt;&lt;author&gt;Assasi, N.&lt;/author&gt;&lt;author&gt;Tarride, J. E.&lt;/author&gt;&lt;author&gt;O&amp;apos;Reilly, D.&lt;/author&gt;&lt;author&gt;Chalk, C.&lt;/author&gt;&lt;author&gt;Levine, M.&lt;/author&gt;&lt;author&gt;Goeree, R.&lt;/author&gt;&lt;/authors&gt;&lt;/contributors&gt;&lt;auth-address&gt;PATH Research Institute, McMaster University, Hamilton, Ontario, Canada. blackhou@mcmaster.ca.&lt;/auth-address&gt;&lt;titles&gt;&lt;title&gt;Cost-utility of Intravenous Immunoglobulin (IVIG) compared with corticosteroids for the treatment of Chronic Inflammatory Demyelinating Polyneuropathy (CIDP) in Canada&lt;/title&gt;&lt;secondary-title&gt;Cost Eff Resour Alloc&lt;/secondary-title&gt;&lt;alt-title&gt;Cost effectiveness and resource allocation : C/E&lt;/alt-title&gt;&lt;/titles&gt;&lt;periodical&gt;&lt;full-title&gt;Cost Eff Resour Alloc&lt;/full-title&gt;&lt;abbr-1&gt;Cost effectiveness and resource allocation : C/E&lt;/abbr-1&gt;&lt;/periodical&gt;&lt;alt-periodical&gt;&lt;full-title&gt;Cost Eff Resour Alloc&lt;/full-title&gt;&lt;abbr-1&gt;Cost effectiveness and resource allocation : C/E&lt;/abbr-1&gt;&lt;/alt-periodical&gt;&lt;pages&gt;14&lt;/pages&gt;&lt;volume&gt;8&lt;/volume&gt;&lt;edition&gt;2010/06/23&lt;/edition&gt;&lt;dates&gt;&lt;year&gt;2010&lt;/year&gt;&lt;pub-dates&gt;&lt;date&gt;Jun 17&lt;/date&gt;&lt;/pub-dates&gt;&lt;/dates&gt;&lt;isbn&gt;1478-7547&lt;/isbn&gt;&lt;accession-num&gt;20565778&lt;/accession-num&gt;&lt;urls&gt;&lt;/urls&gt;&lt;custom2&gt;PMC2903512&lt;/custom2&gt;&lt;electronic-resource-num&gt;10.1186/1478-7547-8-14&lt;/electronic-resource-num&gt;&lt;remote-database-provider&gt;NLM&lt;/remote-database-provider&gt;&lt;language&gt;eng&lt;/language&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61" w:tooltip="Blackhouse, 2010 #8" w:history="1">
              <w:r w:rsidR="00C04BCE">
                <w:rPr>
                  <w:rFonts w:ascii="Arial Narrow" w:hAnsi="Arial Narrow"/>
                  <w:noProof/>
                  <w:sz w:val="20"/>
                  <w:szCs w:val="20"/>
                </w:rPr>
                <w:t>61</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Merge w:val="restart"/>
            <w:vAlign w:val="center"/>
          </w:tcPr>
          <w:p w14:paraId="2353F88D" w14:textId="77777777" w:rsidR="00B606BB" w:rsidRPr="00DA3C6E" w:rsidRDefault="00B606BB" w:rsidP="00CD2EB9">
            <w:pPr>
              <w:keepNext/>
              <w:keepLines/>
              <w:spacing w:after="0" w:line="240" w:lineRule="auto"/>
              <w:ind w:left="0"/>
              <w:rPr>
                <w:rFonts w:ascii="Arial Narrow" w:hAnsi="Arial Narrow"/>
                <w:sz w:val="20"/>
                <w:szCs w:val="20"/>
              </w:rPr>
            </w:pPr>
            <w:r w:rsidRPr="00DA3C6E">
              <w:rPr>
                <w:rFonts w:ascii="Arial Narrow" w:hAnsi="Arial Narrow" w:cs="AdvTimes"/>
                <w:sz w:val="20"/>
                <w:szCs w:val="20"/>
              </w:rPr>
              <w:t>General UK population EQ-5D</w:t>
            </w:r>
          </w:p>
        </w:tc>
        <w:tc>
          <w:tcPr>
            <w:tcW w:w="2081" w:type="dxa"/>
            <w:vMerge w:val="restart"/>
            <w:vAlign w:val="center"/>
          </w:tcPr>
          <w:p w14:paraId="6772FC95" w14:textId="77777777" w:rsidR="00B606BB" w:rsidRPr="00DA3C6E" w:rsidRDefault="00B606BB" w:rsidP="009038A0">
            <w:pPr>
              <w:keepNext/>
              <w:keepLines/>
              <w:spacing w:after="0" w:line="240" w:lineRule="auto"/>
              <w:ind w:left="0"/>
              <w:rPr>
                <w:rFonts w:ascii="Arial Narrow" w:hAnsi="Arial Narrow"/>
                <w:sz w:val="20"/>
                <w:szCs w:val="20"/>
              </w:rPr>
            </w:pPr>
            <w:r w:rsidRPr="00DA3C6E">
              <w:rPr>
                <w:rFonts w:ascii="Arial Narrow" w:hAnsi="Arial Narrow" w:cs="NddtkvWarnockPro-Regular"/>
                <w:sz w:val="20"/>
                <w:szCs w:val="20"/>
              </w:rPr>
              <w:t xml:space="preserve">Utility gains from </w:t>
            </w:r>
            <w:r w:rsidR="009038A0" w:rsidRPr="00DA3C6E">
              <w:rPr>
                <w:rFonts w:ascii="Arial Narrow" w:hAnsi="Arial Narrow" w:cs="NddtkvWarnockPro-Regular"/>
                <w:sz w:val="20"/>
                <w:szCs w:val="20"/>
              </w:rPr>
              <w:t>i</w:t>
            </w:r>
            <w:r w:rsidRPr="00DA3C6E">
              <w:rPr>
                <w:rFonts w:ascii="Arial Narrow" w:hAnsi="Arial Narrow" w:cs="NddtkvWarnockPro-Regular"/>
                <w:sz w:val="20"/>
                <w:szCs w:val="20"/>
              </w:rPr>
              <w:t xml:space="preserve">ntravenous Ig (McCrone et al 2003) were added to the background utility values. </w:t>
            </w:r>
          </w:p>
        </w:tc>
        <w:tc>
          <w:tcPr>
            <w:tcW w:w="1701" w:type="dxa"/>
            <w:vAlign w:val="center"/>
          </w:tcPr>
          <w:p w14:paraId="4150C548"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cs="KdrrqvMyriadPro-Regular"/>
                <w:sz w:val="20"/>
                <w:szCs w:val="20"/>
              </w:rPr>
              <w:t>Male</w:t>
            </w:r>
          </w:p>
        </w:tc>
        <w:tc>
          <w:tcPr>
            <w:tcW w:w="1791" w:type="dxa"/>
            <w:vAlign w:val="center"/>
          </w:tcPr>
          <w:p w14:paraId="52AD3D3D" w14:textId="77777777" w:rsidR="00B606BB" w:rsidRPr="00DA3C6E" w:rsidRDefault="00B606BB" w:rsidP="00CD2EB9">
            <w:pPr>
              <w:keepNext/>
              <w:keepLines/>
              <w:spacing w:after="0" w:line="240" w:lineRule="auto"/>
              <w:ind w:left="0"/>
              <w:jc w:val="left"/>
              <w:rPr>
                <w:rFonts w:ascii="Arial Narrow" w:hAnsi="Arial Narrow"/>
                <w:sz w:val="20"/>
                <w:szCs w:val="20"/>
              </w:rPr>
            </w:pPr>
            <w:r w:rsidRPr="00DA3C6E">
              <w:rPr>
                <w:rFonts w:ascii="Arial Narrow" w:hAnsi="Arial Narrow"/>
                <w:sz w:val="20"/>
                <w:szCs w:val="20"/>
              </w:rPr>
              <w:t>Female</w:t>
            </w:r>
          </w:p>
        </w:tc>
      </w:tr>
      <w:tr w:rsidR="00B606BB" w:rsidRPr="00DA3C6E" w14:paraId="43A37CEA" w14:textId="77777777" w:rsidTr="008C7B4F">
        <w:tc>
          <w:tcPr>
            <w:tcW w:w="1638" w:type="dxa"/>
            <w:vMerge/>
            <w:vAlign w:val="center"/>
          </w:tcPr>
          <w:p w14:paraId="0775EC11" w14:textId="77777777" w:rsidR="00B606BB" w:rsidRPr="00DA3C6E" w:rsidRDefault="00B606BB" w:rsidP="00CD2EB9">
            <w:pPr>
              <w:keepNext/>
              <w:keepLines/>
              <w:spacing w:after="0" w:line="240" w:lineRule="auto"/>
              <w:rPr>
                <w:rFonts w:ascii="Arial Narrow" w:hAnsi="Arial Narrow"/>
                <w:sz w:val="20"/>
                <w:szCs w:val="20"/>
              </w:rPr>
            </w:pPr>
          </w:p>
        </w:tc>
        <w:tc>
          <w:tcPr>
            <w:tcW w:w="1805" w:type="dxa"/>
            <w:vMerge/>
            <w:vAlign w:val="center"/>
          </w:tcPr>
          <w:p w14:paraId="51EDF2E2" w14:textId="77777777" w:rsidR="00B606BB" w:rsidRPr="00DA3C6E" w:rsidRDefault="00B606BB" w:rsidP="00CD2EB9">
            <w:pPr>
              <w:keepNext/>
              <w:keepLines/>
              <w:spacing w:after="0" w:line="240" w:lineRule="auto"/>
              <w:rPr>
                <w:rFonts w:ascii="Arial Narrow" w:hAnsi="Arial Narrow"/>
                <w:sz w:val="20"/>
                <w:szCs w:val="20"/>
              </w:rPr>
            </w:pPr>
          </w:p>
        </w:tc>
        <w:tc>
          <w:tcPr>
            <w:tcW w:w="2081" w:type="dxa"/>
            <w:vMerge/>
            <w:vAlign w:val="center"/>
          </w:tcPr>
          <w:p w14:paraId="308BB679" w14:textId="77777777" w:rsidR="00B606BB" w:rsidRPr="00DA3C6E" w:rsidRDefault="00B606BB" w:rsidP="00CD2EB9">
            <w:pPr>
              <w:keepNext/>
              <w:keepLines/>
              <w:spacing w:after="0" w:line="240" w:lineRule="auto"/>
              <w:rPr>
                <w:rFonts w:ascii="Arial Narrow" w:hAnsi="Arial Narrow"/>
                <w:sz w:val="20"/>
                <w:szCs w:val="20"/>
              </w:rPr>
            </w:pPr>
          </w:p>
        </w:tc>
        <w:tc>
          <w:tcPr>
            <w:tcW w:w="1701" w:type="dxa"/>
            <w:vAlign w:val="center"/>
          </w:tcPr>
          <w:p w14:paraId="7AE408C9"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35-44: 0.91</w:t>
            </w:r>
          </w:p>
          <w:p w14:paraId="1931F624"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45-54: 0.85</w:t>
            </w:r>
          </w:p>
          <w:p w14:paraId="2CBC84F1"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55-64: 0.81</w:t>
            </w:r>
          </w:p>
          <w:p w14:paraId="5744DE6D"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65-74: 0.78</w:t>
            </w:r>
          </w:p>
          <w:p w14:paraId="0815E361"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cs="KdrrqvMyriadPro-Regular"/>
                <w:sz w:val="20"/>
                <w:szCs w:val="20"/>
              </w:rPr>
              <w:t>75+ :   0.71</w:t>
            </w:r>
          </w:p>
        </w:tc>
        <w:tc>
          <w:tcPr>
            <w:tcW w:w="1791" w:type="dxa"/>
            <w:vAlign w:val="center"/>
          </w:tcPr>
          <w:p w14:paraId="4AC0A34E"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0.91</w:t>
            </w:r>
          </w:p>
          <w:p w14:paraId="5B45C179"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0.84</w:t>
            </w:r>
          </w:p>
          <w:p w14:paraId="1E1C2C81"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0.78</w:t>
            </w:r>
          </w:p>
          <w:p w14:paraId="39E419C5" w14:textId="77777777" w:rsidR="00B606BB" w:rsidRPr="00DA3C6E" w:rsidRDefault="00B606BB" w:rsidP="00CD2EB9">
            <w:pPr>
              <w:keepNext/>
              <w:keepLines/>
              <w:autoSpaceDE w:val="0"/>
              <w:autoSpaceDN w:val="0"/>
              <w:adjustRightInd w:val="0"/>
              <w:spacing w:after="0" w:line="240" w:lineRule="auto"/>
              <w:ind w:left="0"/>
              <w:jc w:val="center"/>
              <w:rPr>
                <w:rFonts w:ascii="Arial Narrow" w:hAnsi="Arial Narrow" w:cs="KdrrqvMyriadPro-Regular"/>
                <w:sz w:val="20"/>
                <w:szCs w:val="20"/>
              </w:rPr>
            </w:pPr>
            <w:r w:rsidRPr="00DA3C6E">
              <w:rPr>
                <w:rFonts w:ascii="Arial Narrow" w:hAnsi="Arial Narrow" w:cs="KdrrqvMyriadPro-Regular"/>
                <w:sz w:val="20"/>
                <w:szCs w:val="20"/>
              </w:rPr>
              <w:t>0.78</w:t>
            </w:r>
          </w:p>
          <w:p w14:paraId="7EBD6A49"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cs="KdrrqvMyriadPro-Regular"/>
                <w:sz w:val="20"/>
                <w:szCs w:val="20"/>
              </w:rPr>
              <w:t>0.75</w:t>
            </w:r>
          </w:p>
        </w:tc>
      </w:tr>
      <w:tr w:rsidR="00B606BB" w:rsidRPr="00DA3C6E" w14:paraId="4C2184A1" w14:textId="77777777" w:rsidTr="008C7B4F">
        <w:tc>
          <w:tcPr>
            <w:tcW w:w="1638" w:type="dxa"/>
            <w:vAlign w:val="center"/>
          </w:tcPr>
          <w:p w14:paraId="71FBE35D" w14:textId="67767630" w:rsidR="00B606BB" w:rsidRPr="00DA3C6E" w:rsidRDefault="00B606BB" w:rsidP="00C04BCE">
            <w:pPr>
              <w:keepNext/>
              <w:keepLines/>
              <w:spacing w:after="0" w:line="240" w:lineRule="auto"/>
              <w:ind w:left="0"/>
              <w:rPr>
                <w:rFonts w:ascii="Arial Narrow" w:hAnsi="Arial Narrow"/>
                <w:sz w:val="20"/>
                <w:szCs w:val="20"/>
              </w:rPr>
            </w:pPr>
            <w:r w:rsidRPr="00DA3C6E">
              <w:rPr>
                <w:rFonts w:ascii="Arial Narrow" w:hAnsi="Arial Narrow"/>
                <w:sz w:val="20"/>
                <w:szCs w:val="20"/>
              </w:rPr>
              <w:t>Mahdi-Rogers et al</w:t>
            </w:r>
            <w:r w:rsidR="00D65924" w:rsidRPr="00DA3C6E">
              <w:rPr>
                <w:rFonts w:ascii="Arial Narrow" w:hAnsi="Arial Narrow"/>
                <w:sz w:val="20"/>
                <w:szCs w:val="20"/>
              </w:rPr>
              <w:t>.</w:t>
            </w:r>
            <w:r w:rsidRPr="00DA3C6E">
              <w:rPr>
                <w:rFonts w:ascii="Arial Narrow" w:hAnsi="Arial Narrow"/>
                <w:sz w:val="20"/>
                <w:szCs w:val="20"/>
              </w:rPr>
              <w:t xml:space="preserve"> 201</w:t>
            </w:r>
            <w:r w:rsidR="00D65924" w:rsidRPr="00DA3C6E">
              <w:rPr>
                <w:rFonts w:ascii="Arial Narrow" w:hAnsi="Arial Narrow"/>
                <w:sz w:val="20"/>
                <w:szCs w:val="20"/>
              </w:rPr>
              <w:t>4</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3" w:tooltip="Mahdi-Rogers, 2014 #42" w:history="1">
              <w:r w:rsidR="00C04BCE">
                <w:rPr>
                  <w:rFonts w:ascii="Arial Narrow" w:hAnsi="Arial Narrow"/>
                  <w:noProof/>
                  <w:sz w:val="20"/>
                  <w:szCs w:val="20"/>
                </w:rPr>
                <w:t>53</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c>
          <w:tcPr>
            <w:tcW w:w="1805" w:type="dxa"/>
            <w:vAlign w:val="center"/>
          </w:tcPr>
          <w:p w14:paraId="674E5620" w14:textId="77777777" w:rsidR="00B606BB" w:rsidRPr="00DA3C6E" w:rsidRDefault="00B606BB" w:rsidP="00CD2EB9">
            <w:pPr>
              <w:keepNext/>
              <w:keepLines/>
              <w:spacing w:after="0" w:line="240" w:lineRule="auto"/>
              <w:ind w:left="0"/>
              <w:rPr>
                <w:rFonts w:ascii="Arial Narrow" w:hAnsi="Arial Narrow"/>
                <w:sz w:val="20"/>
                <w:szCs w:val="20"/>
              </w:rPr>
            </w:pPr>
            <w:r w:rsidRPr="00DA3C6E">
              <w:rPr>
                <w:rFonts w:ascii="Arial Narrow" w:hAnsi="Arial Narrow" w:cs="AdvTimes"/>
                <w:sz w:val="20"/>
                <w:szCs w:val="20"/>
              </w:rPr>
              <w:t>EQ-5D</w:t>
            </w:r>
          </w:p>
        </w:tc>
        <w:tc>
          <w:tcPr>
            <w:tcW w:w="2081" w:type="dxa"/>
            <w:vAlign w:val="center"/>
          </w:tcPr>
          <w:p w14:paraId="434B06D5" w14:textId="77777777" w:rsidR="00B606BB" w:rsidRPr="00DA3C6E" w:rsidRDefault="00B606BB" w:rsidP="00CD2EB9">
            <w:pPr>
              <w:keepNext/>
              <w:keepLines/>
              <w:spacing w:after="0" w:line="240" w:lineRule="auto"/>
              <w:ind w:left="0"/>
              <w:rPr>
                <w:rFonts w:ascii="Arial Narrow" w:hAnsi="Arial Narrow"/>
                <w:sz w:val="20"/>
                <w:szCs w:val="20"/>
              </w:rPr>
            </w:pPr>
            <w:r w:rsidRPr="00DA3C6E">
              <w:rPr>
                <w:rFonts w:ascii="Arial Narrow" w:hAnsi="Arial Narrow" w:cs="AdvTimes"/>
                <w:sz w:val="20"/>
                <w:szCs w:val="20"/>
              </w:rPr>
              <w:t>0.62 (SD=0.23)</w:t>
            </w:r>
          </w:p>
        </w:tc>
        <w:tc>
          <w:tcPr>
            <w:tcW w:w="1701" w:type="dxa"/>
            <w:vAlign w:val="center"/>
          </w:tcPr>
          <w:p w14:paraId="3051E0DD"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cs="KdrrqvMyriadPro-Regular"/>
                <w:sz w:val="20"/>
                <w:szCs w:val="20"/>
              </w:rPr>
              <w:t>NR</w:t>
            </w:r>
          </w:p>
        </w:tc>
        <w:tc>
          <w:tcPr>
            <w:tcW w:w="1791" w:type="dxa"/>
            <w:vAlign w:val="center"/>
          </w:tcPr>
          <w:p w14:paraId="502C3CB3" w14:textId="77777777" w:rsidR="00B606BB" w:rsidRPr="00DA3C6E" w:rsidRDefault="00B606BB" w:rsidP="00CD2EB9">
            <w:pPr>
              <w:keepNext/>
              <w:keepLines/>
              <w:spacing w:after="0" w:line="240" w:lineRule="auto"/>
              <w:ind w:left="0"/>
              <w:jc w:val="center"/>
              <w:rPr>
                <w:rFonts w:ascii="Arial Narrow" w:hAnsi="Arial Narrow"/>
                <w:sz w:val="20"/>
                <w:szCs w:val="20"/>
              </w:rPr>
            </w:pPr>
            <w:r w:rsidRPr="00DA3C6E">
              <w:rPr>
                <w:rFonts w:ascii="Arial Narrow" w:hAnsi="Arial Narrow" w:cs="AdvTimes-i"/>
                <w:sz w:val="20"/>
                <w:szCs w:val="20"/>
              </w:rPr>
              <w:t>NR</w:t>
            </w:r>
          </w:p>
        </w:tc>
      </w:tr>
    </w:tbl>
    <w:p w14:paraId="3CE9FA04" w14:textId="77777777" w:rsidR="006B6B09" w:rsidRPr="00DA3C6E" w:rsidRDefault="006B6B09" w:rsidP="000643D3">
      <w:pPr>
        <w:rPr>
          <w:rFonts w:ascii="Arial Narrow" w:hAnsi="Arial Narrow"/>
          <w:sz w:val="18"/>
          <w:szCs w:val="18"/>
        </w:rPr>
      </w:pPr>
      <w:r w:rsidRPr="00DA3C6E">
        <w:rPr>
          <w:rFonts w:ascii="Arial Narrow" w:hAnsi="Arial Narrow"/>
          <w:sz w:val="18"/>
          <w:szCs w:val="18"/>
        </w:rPr>
        <w:t>Abbreviations:</w:t>
      </w:r>
      <w:r w:rsidR="008C7B4F" w:rsidRPr="00DA3C6E">
        <w:rPr>
          <w:rFonts w:ascii="Arial Narrow" w:hAnsi="Arial Narrow"/>
          <w:sz w:val="18"/>
          <w:szCs w:val="18"/>
        </w:rPr>
        <w:t xml:space="preserve"> EQ-5D = Euroqol 5 dimension; Ig = immunoglobulin; NR = not reported; SD = standard deviation. </w:t>
      </w:r>
    </w:p>
    <w:p w14:paraId="77294A02" w14:textId="67360895" w:rsidR="000643D3" w:rsidRPr="00DA3C6E" w:rsidRDefault="000643D3" w:rsidP="000643D3">
      <w:r w:rsidRPr="00DA3C6E">
        <w:t xml:space="preserve">The use of these sources to account for the potential for differences in </w:t>
      </w:r>
      <w:r w:rsidR="00E60D9F" w:rsidRPr="00DA3C6E">
        <w:t>QoL</w:t>
      </w:r>
      <w:r w:rsidRPr="00DA3C6E">
        <w:t xml:space="preserve"> before and after initiating treatment with </w:t>
      </w:r>
      <w:r w:rsidR="00E60D9F" w:rsidRPr="00DA3C6E">
        <w:t>i</w:t>
      </w:r>
      <w:r w:rsidRPr="00DA3C6E">
        <w:t>ntravenous Ig in patients with MMN, is prone to uncertainty. The main limitation found was that the source</w:t>
      </w:r>
      <w:r w:rsidR="00E60D9F" w:rsidRPr="00DA3C6E">
        <w:t xml:space="preserve"> that accounts for the </w:t>
      </w:r>
      <w:r w:rsidRPr="00DA3C6E">
        <w:t>incremental benefit of treatment, targeted patients with CIDP. Differences in QoL are likely to occur in these two patient populations due to the nature and natural history of the disease. In fact, the study by Mahdi-</w:t>
      </w:r>
      <w:r w:rsidR="00D65924" w:rsidRPr="00DA3C6E">
        <w:t>R</w:t>
      </w:r>
      <w:r w:rsidRPr="00DA3C6E">
        <w:t>ogers et al</w:t>
      </w:r>
      <w:r w:rsidR="003C2838" w:rsidRPr="00DA3C6E">
        <w:t>.</w:t>
      </w:r>
      <w:r w:rsidRPr="00DA3C6E">
        <w:t xml:space="preserve"> 201</w:t>
      </w:r>
      <w:r w:rsidR="00D65924" w:rsidRPr="00DA3C6E">
        <w:t>4</w:t>
      </w:r>
      <w:r w:rsidR="00DB568A" w:rsidRPr="00DA3C6E">
        <w:fldChar w:fldCharType="begin"/>
      </w:r>
      <w:r w:rsidR="007810D6">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fldChar w:fldCharType="separate"/>
      </w:r>
      <w:r w:rsidR="007810D6">
        <w:rPr>
          <w:noProof/>
        </w:rPr>
        <w:t>(</w:t>
      </w:r>
      <w:hyperlink w:anchor="_ENREF_53" w:tooltip="Mahdi-Rogers, 2014 #42" w:history="1">
        <w:r w:rsidR="00C04BCE">
          <w:rPr>
            <w:noProof/>
          </w:rPr>
          <w:t>53</w:t>
        </w:r>
      </w:hyperlink>
      <w:r w:rsidR="007810D6">
        <w:rPr>
          <w:noProof/>
        </w:rPr>
        <w:t>)</w:t>
      </w:r>
      <w:r w:rsidR="00DB568A" w:rsidRPr="00DA3C6E">
        <w:fldChar w:fldCharType="end"/>
      </w:r>
      <w:r w:rsidRPr="00DA3C6E">
        <w:t xml:space="preserve"> that enrolled patients with different diagnoses (MMN, CIDP, PDN), identified differences within patients where the average utility for of all three diagnoses (0.65) was lower than the utility value reported specifically for patients with MMN (0.72). This difference could be interpreted as patients with CIDP and/or PDN may have a worse </w:t>
      </w:r>
      <w:r w:rsidR="00CD2EB9" w:rsidRPr="00DA3C6E">
        <w:t xml:space="preserve">baseline </w:t>
      </w:r>
      <w:r w:rsidR="00E60D9F" w:rsidRPr="00DA3C6E">
        <w:t>QoL</w:t>
      </w:r>
      <w:r w:rsidRPr="00DA3C6E">
        <w:t xml:space="preserve"> compared to patients with MMN. Due to the potential for uncertainties around these utility estimates, a sensitivity analysis </w:t>
      </w:r>
      <w:r w:rsidR="00CD2EB9" w:rsidRPr="00DA3C6E">
        <w:t>was</w:t>
      </w:r>
      <w:r w:rsidRPr="00DA3C6E">
        <w:t xml:space="preserve"> conducted to assess the potential impact on the results (Section D.6). </w:t>
      </w:r>
    </w:p>
    <w:p w14:paraId="060937C6" w14:textId="77777777" w:rsidR="00CC78C2" w:rsidRPr="00DA3C6E" w:rsidRDefault="00CC78C2" w:rsidP="0073359F">
      <w:pPr>
        <w:pStyle w:val="Heading2"/>
        <w:numPr>
          <w:ilvl w:val="2"/>
          <w:numId w:val="50"/>
        </w:numPr>
        <w:jc w:val="left"/>
      </w:pPr>
      <w:bookmarkStart w:id="248" w:name="_Toc426968188"/>
      <w:bookmarkStart w:id="249" w:name="_Toc37845760"/>
      <w:r w:rsidRPr="00DA3C6E">
        <w:t>Relationship of each Pre-Modelling Study to the Economic Evaluation</w:t>
      </w:r>
      <w:bookmarkEnd w:id="248"/>
      <w:bookmarkEnd w:id="249"/>
    </w:p>
    <w:p w14:paraId="2AAD62F3" w14:textId="28AA47DC" w:rsidR="006964F1" w:rsidRPr="00DA3C6E" w:rsidRDefault="006964F1" w:rsidP="00E16E87">
      <w:r w:rsidRPr="00DA3C6E">
        <w:t xml:space="preserve">A summary of the pre-modelling studies and their relationship to the model conducted in Section D is presented in </w:t>
      </w:r>
      <w:r w:rsidRPr="00DA3C6E">
        <w:fldChar w:fldCharType="begin"/>
      </w:r>
      <w:r w:rsidRPr="00DA3C6E">
        <w:instrText xml:space="preserve"> REF _Ref27752431 \h  \* MERGEFORMAT </w:instrText>
      </w:r>
      <w:r w:rsidRPr="00DA3C6E">
        <w:fldChar w:fldCharType="separate"/>
      </w:r>
      <w:r w:rsidR="00EA5DC1" w:rsidRPr="00DA3C6E">
        <w:t xml:space="preserve">Table </w:t>
      </w:r>
      <w:r w:rsidR="00EA5DC1">
        <w:t>26</w:t>
      </w:r>
      <w:r w:rsidRPr="00DA3C6E">
        <w:fldChar w:fldCharType="end"/>
      </w:r>
      <w:r w:rsidRPr="00DA3C6E">
        <w:t>.</w:t>
      </w:r>
    </w:p>
    <w:p w14:paraId="58B9CAB5" w14:textId="224D2EE9" w:rsidR="00CC78C2" w:rsidRPr="00DA3C6E" w:rsidRDefault="006964F1" w:rsidP="00CC78C2">
      <w:pPr>
        <w:pStyle w:val="Caption"/>
        <w:keepNext/>
      </w:pPr>
      <w:bookmarkStart w:id="250" w:name="_Ref27752431"/>
      <w:bookmarkStart w:id="251" w:name="_Toc37845829"/>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26</w:t>
      </w:r>
      <w:r w:rsidR="00515153">
        <w:rPr>
          <w:noProof/>
        </w:rPr>
        <w:fldChar w:fldCharType="end"/>
      </w:r>
      <w:bookmarkEnd w:id="250"/>
      <w:r w:rsidRPr="00DA3C6E">
        <w:t xml:space="preserve">. </w:t>
      </w:r>
      <w:bookmarkStart w:id="252" w:name="_Toc399251137"/>
      <w:bookmarkStart w:id="253" w:name="_Toc423451461"/>
      <w:r w:rsidR="003313E4" w:rsidRPr="00DA3C6E">
        <w:t>S</w:t>
      </w:r>
      <w:r w:rsidR="00CC78C2" w:rsidRPr="00DA3C6E">
        <w:t>ummary of results of pre-modelling studies and their uses in the economic evaluation</w:t>
      </w:r>
      <w:bookmarkEnd w:id="252"/>
      <w:bookmarkEnd w:id="253"/>
      <w:bookmarkEnd w:id="251"/>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Caption w:val="Table 18 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440"/>
        <w:gridCol w:w="1559"/>
        <w:gridCol w:w="4394"/>
        <w:gridCol w:w="1515"/>
      </w:tblGrid>
      <w:tr w:rsidR="00B64610" w:rsidRPr="00DA3C6E" w14:paraId="577DCDF4" w14:textId="77777777" w:rsidTr="00E8759F">
        <w:trPr>
          <w:cantSplit/>
          <w:trHeight w:val="53"/>
        </w:trPr>
        <w:tc>
          <w:tcPr>
            <w:tcW w:w="1440" w:type="dxa"/>
            <w:shd w:val="clear" w:color="auto" w:fill="auto"/>
            <w:vAlign w:val="center"/>
          </w:tcPr>
          <w:p w14:paraId="6AA27810" w14:textId="77777777" w:rsidR="00B64610" w:rsidRPr="00DA3C6E" w:rsidRDefault="00B64610" w:rsidP="00B64610">
            <w:pPr>
              <w:pStyle w:val="TableHeading"/>
              <w:jc w:val="left"/>
            </w:pPr>
            <w:r w:rsidRPr="00DA3C6E">
              <w:t>Section</w:t>
            </w:r>
          </w:p>
        </w:tc>
        <w:tc>
          <w:tcPr>
            <w:tcW w:w="1559" w:type="dxa"/>
            <w:shd w:val="clear" w:color="auto" w:fill="auto"/>
            <w:vAlign w:val="center"/>
          </w:tcPr>
          <w:p w14:paraId="75E4F6BE" w14:textId="77777777" w:rsidR="00B64610" w:rsidRPr="00DA3C6E" w:rsidRDefault="00B64610" w:rsidP="00B64610">
            <w:pPr>
              <w:pStyle w:val="TableHeading"/>
              <w:jc w:val="left"/>
            </w:pPr>
            <w:r w:rsidRPr="00DA3C6E">
              <w:t>Pre-modelling study</w:t>
            </w:r>
          </w:p>
        </w:tc>
        <w:tc>
          <w:tcPr>
            <w:tcW w:w="4394" w:type="dxa"/>
            <w:shd w:val="clear" w:color="auto" w:fill="auto"/>
            <w:vAlign w:val="center"/>
          </w:tcPr>
          <w:p w14:paraId="6BDADDAB" w14:textId="77777777" w:rsidR="00B64610" w:rsidRPr="00DA3C6E" w:rsidRDefault="00B64610" w:rsidP="00B64610">
            <w:pPr>
              <w:pStyle w:val="TableHeading"/>
              <w:jc w:val="left"/>
            </w:pPr>
            <w:r w:rsidRPr="00DA3C6E">
              <w:t>Results used in Section D</w:t>
            </w:r>
          </w:p>
        </w:tc>
        <w:tc>
          <w:tcPr>
            <w:tcW w:w="1515" w:type="dxa"/>
            <w:vAlign w:val="center"/>
          </w:tcPr>
          <w:p w14:paraId="4676D2B2" w14:textId="77777777" w:rsidR="00B64610" w:rsidRPr="00DA3C6E" w:rsidRDefault="00B64610" w:rsidP="00B64610">
            <w:pPr>
              <w:pStyle w:val="TableHeading"/>
              <w:jc w:val="left"/>
            </w:pPr>
            <w:r w:rsidRPr="00DA3C6E">
              <w:t>Overall impact in the results</w:t>
            </w:r>
          </w:p>
        </w:tc>
      </w:tr>
      <w:tr w:rsidR="00B64610" w:rsidRPr="00DA3C6E" w14:paraId="7B9A386C" w14:textId="77777777" w:rsidTr="00E8759F">
        <w:trPr>
          <w:cantSplit/>
          <w:trHeight w:val="490"/>
        </w:trPr>
        <w:tc>
          <w:tcPr>
            <w:tcW w:w="1440" w:type="dxa"/>
            <w:vMerge w:val="restart"/>
            <w:shd w:val="clear" w:color="auto" w:fill="auto"/>
            <w:vAlign w:val="center"/>
          </w:tcPr>
          <w:p w14:paraId="1052FAEF" w14:textId="77777777" w:rsidR="00B64610" w:rsidRPr="00DA3C6E" w:rsidRDefault="00B64610" w:rsidP="00B64610">
            <w:pPr>
              <w:pStyle w:val="Tabletext1"/>
              <w:jc w:val="left"/>
            </w:pPr>
            <w:r w:rsidRPr="00DA3C6E">
              <w:t>Applicability</w:t>
            </w:r>
          </w:p>
        </w:tc>
        <w:tc>
          <w:tcPr>
            <w:tcW w:w="1559" w:type="dxa"/>
            <w:shd w:val="clear" w:color="auto" w:fill="auto"/>
            <w:vAlign w:val="center"/>
          </w:tcPr>
          <w:p w14:paraId="5A716EE0" w14:textId="77777777" w:rsidR="00B64610" w:rsidRPr="00DA3C6E" w:rsidRDefault="00B64610" w:rsidP="00B64610">
            <w:pPr>
              <w:pStyle w:val="Tabletext1"/>
              <w:jc w:val="left"/>
            </w:pPr>
            <w:r w:rsidRPr="00DA3C6E">
              <w:t>Inclusion and exclusion criteria</w:t>
            </w:r>
          </w:p>
        </w:tc>
        <w:tc>
          <w:tcPr>
            <w:tcW w:w="4394" w:type="dxa"/>
            <w:shd w:val="clear" w:color="auto" w:fill="auto"/>
            <w:vAlign w:val="center"/>
          </w:tcPr>
          <w:p w14:paraId="4CB76F3A" w14:textId="53C53A99" w:rsidR="00B64610" w:rsidRPr="00DA3C6E" w:rsidRDefault="00B64610" w:rsidP="00B64610">
            <w:pPr>
              <w:pStyle w:val="Tabletext1"/>
              <w:jc w:val="left"/>
            </w:pPr>
            <w:r w:rsidRPr="00DA3C6E">
              <w:t>Some differences were found between the trial population and the Australian</w:t>
            </w:r>
            <w:r w:rsidR="00D65924" w:rsidRPr="00DA3C6E">
              <w:t xml:space="preserve"> population</w:t>
            </w:r>
            <w:r w:rsidRPr="00DA3C6E">
              <w:t xml:space="preserve"> in all five RCTs, mainly: </w:t>
            </w:r>
          </w:p>
          <w:p w14:paraId="3432D478" w14:textId="77777777" w:rsidR="00B64610" w:rsidRPr="00DA3C6E" w:rsidRDefault="00B64610" w:rsidP="00B64610">
            <w:pPr>
              <w:pStyle w:val="Tabletext1"/>
              <w:numPr>
                <w:ilvl w:val="0"/>
                <w:numId w:val="56"/>
              </w:numPr>
              <w:jc w:val="left"/>
            </w:pPr>
            <w:r w:rsidRPr="00DA3C6E">
              <w:t xml:space="preserve">All five RCTs considered the presence of CB within the inclusion criteria which differs to The Criteria V3. Because there is some evidence suggesting that patients with and without CB show a similar response to Ig, it is unlikely that this difference will result in a variation of the Tx effect. </w:t>
            </w:r>
          </w:p>
          <w:p w14:paraId="1D0DD59D" w14:textId="77777777" w:rsidR="00B64610" w:rsidRPr="00DA3C6E" w:rsidRDefault="00B64610" w:rsidP="00B64610">
            <w:pPr>
              <w:pStyle w:val="Tabletext1"/>
              <w:numPr>
                <w:ilvl w:val="0"/>
                <w:numId w:val="56"/>
              </w:numPr>
              <w:jc w:val="left"/>
            </w:pPr>
            <w:r w:rsidRPr="00DA3C6E">
              <w:t xml:space="preserve">RCTs did not take into account the baseline disability as required in The Criteria V3 where patients are required to present with a level of significant disability (ONLS≥2). </w:t>
            </w:r>
          </w:p>
          <w:p w14:paraId="36C8AF98" w14:textId="482BD346" w:rsidR="00B64610" w:rsidRPr="00DA3C6E" w:rsidRDefault="00B64610" w:rsidP="00C04BCE">
            <w:pPr>
              <w:pStyle w:val="Tabletext1"/>
              <w:numPr>
                <w:ilvl w:val="0"/>
                <w:numId w:val="56"/>
              </w:numPr>
              <w:jc w:val="left"/>
            </w:pPr>
            <w:r w:rsidRPr="00DA3C6E">
              <w:t>Azulay et al</w:t>
            </w:r>
            <w:r w:rsidR="00D65924" w:rsidRPr="00DA3C6E">
              <w:t>.</w:t>
            </w:r>
            <w:r w:rsidRPr="00DA3C6E">
              <w:t xml:space="preserve"> 1994</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Pr="00DA3C6E">
              <w:t xml:space="preserve"> recruited patients who may not be considered MMN under the current diagnostic criteria. </w:t>
            </w:r>
          </w:p>
        </w:tc>
        <w:tc>
          <w:tcPr>
            <w:tcW w:w="1515" w:type="dxa"/>
            <w:vAlign w:val="center"/>
          </w:tcPr>
          <w:p w14:paraId="4C051F9A" w14:textId="77777777" w:rsidR="00B64610" w:rsidRPr="00DA3C6E" w:rsidRDefault="00B64610" w:rsidP="00B64610">
            <w:pPr>
              <w:pStyle w:val="Tabletext1"/>
              <w:jc w:val="left"/>
            </w:pPr>
            <w:r w:rsidRPr="00DA3C6E">
              <w:t xml:space="preserve">Overall, the differences were considered minor hence unlikely to impact the treatment effect. </w:t>
            </w:r>
          </w:p>
        </w:tc>
      </w:tr>
      <w:tr w:rsidR="00B64610" w:rsidRPr="00DA3C6E" w14:paraId="525348F3" w14:textId="77777777" w:rsidTr="00E8759F">
        <w:trPr>
          <w:cantSplit/>
          <w:trHeight w:val="505"/>
        </w:trPr>
        <w:tc>
          <w:tcPr>
            <w:tcW w:w="1440" w:type="dxa"/>
            <w:vMerge/>
            <w:shd w:val="clear" w:color="auto" w:fill="auto"/>
            <w:vAlign w:val="center"/>
          </w:tcPr>
          <w:p w14:paraId="66739380" w14:textId="77777777" w:rsidR="00B64610" w:rsidRPr="00DA3C6E" w:rsidRDefault="00B64610" w:rsidP="00B64610">
            <w:pPr>
              <w:pStyle w:val="Tabletext1"/>
              <w:jc w:val="left"/>
            </w:pPr>
          </w:p>
        </w:tc>
        <w:tc>
          <w:tcPr>
            <w:tcW w:w="1559" w:type="dxa"/>
            <w:shd w:val="clear" w:color="auto" w:fill="auto"/>
            <w:vAlign w:val="center"/>
          </w:tcPr>
          <w:p w14:paraId="7AEE7089" w14:textId="77777777" w:rsidR="00B64610" w:rsidRPr="00DA3C6E" w:rsidRDefault="00B64610" w:rsidP="00B64610">
            <w:pPr>
              <w:pStyle w:val="Tabletext1"/>
              <w:jc w:val="left"/>
            </w:pPr>
            <w:r w:rsidRPr="00DA3C6E">
              <w:t>Intravenous Ig dosing and frequency of administration</w:t>
            </w:r>
          </w:p>
        </w:tc>
        <w:tc>
          <w:tcPr>
            <w:tcW w:w="4394" w:type="dxa"/>
            <w:shd w:val="clear" w:color="auto" w:fill="auto"/>
            <w:vAlign w:val="center"/>
          </w:tcPr>
          <w:p w14:paraId="28602C36" w14:textId="77777777" w:rsidR="00B64610" w:rsidRPr="00DA3C6E" w:rsidRDefault="00B64610" w:rsidP="00B64610">
            <w:pPr>
              <w:pStyle w:val="Tabletext1"/>
              <w:jc w:val="left"/>
            </w:pPr>
            <w:r w:rsidRPr="00DA3C6E">
              <w:t xml:space="preserve">Some dosing and frequency of administration were found between the RCTs and the Australian setting, mainly: </w:t>
            </w:r>
          </w:p>
          <w:p w14:paraId="0C8CD196" w14:textId="77777777" w:rsidR="00B64610" w:rsidRPr="00DA3C6E" w:rsidRDefault="00B64610" w:rsidP="00B64610">
            <w:pPr>
              <w:pStyle w:val="Tabletext1"/>
              <w:numPr>
                <w:ilvl w:val="0"/>
                <w:numId w:val="57"/>
              </w:numPr>
              <w:jc w:val="left"/>
            </w:pPr>
            <w:r w:rsidRPr="00DA3C6E">
              <w:t xml:space="preserve">Induction and maintenance recommended were undifferentiated in the RCTs, which may lead to higher doses used in the clinical trial setting compared to Australia. </w:t>
            </w:r>
          </w:p>
          <w:p w14:paraId="1151234A" w14:textId="080D2B52" w:rsidR="00B64610" w:rsidRPr="00DA3C6E" w:rsidRDefault="00B64610" w:rsidP="00B64610">
            <w:pPr>
              <w:pStyle w:val="Tabletext1"/>
              <w:numPr>
                <w:ilvl w:val="0"/>
                <w:numId w:val="57"/>
              </w:numPr>
              <w:jc w:val="left"/>
            </w:pPr>
            <w:r w:rsidRPr="00DA3C6E">
              <w:t>Hahn et al</w:t>
            </w:r>
            <w:r w:rsidR="003C2838" w:rsidRPr="00DA3C6E">
              <w:t>.</w:t>
            </w:r>
            <w:r w:rsidRPr="00DA3C6E">
              <w:t xml:space="preserve">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suggests a dose range consistent to that recommended in The Criteria </w:t>
            </w:r>
            <w:r w:rsidR="003C2838" w:rsidRPr="00DA3C6E">
              <w:t xml:space="preserve">V3 </w:t>
            </w:r>
            <w:r w:rsidRPr="00DA3C6E">
              <w:t>for both the induction and maintenance phase of Tx (0.4–2 g/kg). However, the average monthly dose was higher (1.17 g/kg) compared to that as informed by the NBA (0.</w:t>
            </w:r>
            <w:r w:rsidR="003C2838" w:rsidRPr="00DA3C6E">
              <w:t xml:space="preserve">41 </w:t>
            </w:r>
            <w:r w:rsidRPr="00DA3C6E">
              <w:t xml:space="preserve">g/kg) for the 2018-2019 period. </w:t>
            </w:r>
          </w:p>
          <w:p w14:paraId="70C37F68" w14:textId="25736A83" w:rsidR="00B64610" w:rsidRPr="00DA3C6E" w:rsidRDefault="00B64610" w:rsidP="00C04BCE">
            <w:pPr>
              <w:pStyle w:val="Tabletext1"/>
              <w:numPr>
                <w:ilvl w:val="0"/>
                <w:numId w:val="57"/>
              </w:numPr>
              <w:jc w:val="left"/>
            </w:pPr>
            <w:r w:rsidRPr="00DA3C6E">
              <w:t>The biggest difference in frequency was compared to Azulay et al</w:t>
            </w:r>
            <w:r w:rsidR="003C2838" w:rsidRPr="00DA3C6E">
              <w:t>.</w:t>
            </w:r>
            <w:r w:rsidRPr="00DA3C6E">
              <w:t xml:space="preserve"> 1994</w:t>
            </w:r>
            <w:r w:rsidR="00DB568A" w:rsidRPr="00DA3C6E">
              <w:fldChar w:fldCharType="begin"/>
            </w:r>
            <w:r w:rsidR="00DB568A"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fldChar w:fldCharType="separate"/>
            </w:r>
            <w:r w:rsidR="00DB568A" w:rsidRPr="00DA3C6E">
              <w:rPr>
                <w:noProof/>
              </w:rPr>
              <w:t>(</w:t>
            </w:r>
            <w:hyperlink w:anchor="_ENREF_24" w:tooltip="Azulay, 1994 #4" w:history="1">
              <w:r w:rsidR="00C04BCE" w:rsidRPr="00DA3C6E">
                <w:rPr>
                  <w:noProof/>
                </w:rPr>
                <w:t>24</w:t>
              </w:r>
            </w:hyperlink>
            <w:r w:rsidR="00DB568A" w:rsidRPr="00DA3C6E">
              <w:rPr>
                <w:noProof/>
              </w:rPr>
              <w:t>)</w:t>
            </w:r>
            <w:r w:rsidR="00DB568A" w:rsidRPr="00DA3C6E">
              <w:fldChar w:fldCharType="end"/>
            </w:r>
            <w:r w:rsidRPr="00DA3C6E">
              <w:t xml:space="preserve"> (8 weeks).</w:t>
            </w:r>
          </w:p>
        </w:tc>
        <w:tc>
          <w:tcPr>
            <w:tcW w:w="1515" w:type="dxa"/>
            <w:vAlign w:val="center"/>
          </w:tcPr>
          <w:p w14:paraId="16FBBB76" w14:textId="77777777" w:rsidR="00B64610" w:rsidRPr="00DA3C6E" w:rsidRDefault="002B1C24" w:rsidP="00B64610">
            <w:pPr>
              <w:pStyle w:val="Tabletext1"/>
              <w:jc w:val="left"/>
            </w:pPr>
            <w:r w:rsidRPr="00DA3C6E">
              <w:t xml:space="preserve">Overall </w:t>
            </w:r>
            <w:r w:rsidR="009A0A42" w:rsidRPr="00DA3C6E">
              <w:t>differences</w:t>
            </w:r>
            <w:r w:rsidRPr="00DA3C6E">
              <w:t xml:space="preserve"> were u</w:t>
            </w:r>
            <w:r w:rsidR="00B64610" w:rsidRPr="00DA3C6E">
              <w:t xml:space="preserve">nlikely to impact the treatment </w:t>
            </w:r>
            <w:r w:rsidRPr="00DA3C6E">
              <w:t xml:space="preserve">effect. Potential treatment effect differences could arise from undifferentiated doses in RCTs compared to Australian clinical setting.  </w:t>
            </w:r>
          </w:p>
        </w:tc>
      </w:tr>
      <w:tr w:rsidR="00B64610" w:rsidRPr="00DA3C6E" w14:paraId="394D9DF4" w14:textId="77777777" w:rsidTr="00E8759F">
        <w:trPr>
          <w:cantSplit/>
          <w:trHeight w:val="505"/>
        </w:trPr>
        <w:tc>
          <w:tcPr>
            <w:tcW w:w="1440" w:type="dxa"/>
            <w:vMerge/>
            <w:shd w:val="clear" w:color="auto" w:fill="auto"/>
            <w:vAlign w:val="center"/>
          </w:tcPr>
          <w:p w14:paraId="60227D20" w14:textId="77777777" w:rsidR="00B64610" w:rsidRPr="00DA3C6E" w:rsidRDefault="00B64610" w:rsidP="00B64610">
            <w:pPr>
              <w:pStyle w:val="Tabletext1"/>
              <w:jc w:val="left"/>
            </w:pPr>
          </w:p>
        </w:tc>
        <w:tc>
          <w:tcPr>
            <w:tcW w:w="1559" w:type="dxa"/>
            <w:shd w:val="clear" w:color="auto" w:fill="auto"/>
            <w:vAlign w:val="center"/>
          </w:tcPr>
          <w:p w14:paraId="26270F37" w14:textId="77777777" w:rsidR="00B64610" w:rsidRPr="00DA3C6E" w:rsidRDefault="00B64610" w:rsidP="00B64610">
            <w:pPr>
              <w:pStyle w:val="Tabletext1"/>
              <w:jc w:val="left"/>
            </w:pPr>
            <w:r w:rsidRPr="00DA3C6E">
              <w:t>Patients demographics and settings</w:t>
            </w:r>
          </w:p>
        </w:tc>
        <w:tc>
          <w:tcPr>
            <w:tcW w:w="4394" w:type="dxa"/>
            <w:shd w:val="clear" w:color="auto" w:fill="auto"/>
            <w:vAlign w:val="center"/>
          </w:tcPr>
          <w:p w14:paraId="437F7B9C" w14:textId="56132A2E" w:rsidR="00B64610" w:rsidRPr="00DA3C6E" w:rsidRDefault="00B64610" w:rsidP="007251AD">
            <w:pPr>
              <w:pStyle w:val="Tabletext1"/>
              <w:jc w:val="left"/>
            </w:pPr>
            <w:r w:rsidRPr="00DA3C6E">
              <w:t>Although the patient characteristics is not available in a consistent</w:t>
            </w:r>
            <w:r w:rsidR="00D65924" w:rsidRPr="00DA3C6E">
              <w:t xml:space="preserve"> manner</w:t>
            </w:r>
            <w:r w:rsidRPr="00DA3C6E">
              <w:t xml:space="preserve"> to facilitate a proper comparison, it is unlikely that any difference </w:t>
            </w:r>
            <w:r w:rsidR="007251AD" w:rsidRPr="00DA3C6E">
              <w:t xml:space="preserve">would </w:t>
            </w:r>
            <w:r w:rsidRPr="00DA3C6E">
              <w:t>lead to differences in the outcomes of interest.</w:t>
            </w:r>
          </w:p>
        </w:tc>
        <w:tc>
          <w:tcPr>
            <w:tcW w:w="1515" w:type="dxa"/>
            <w:vAlign w:val="center"/>
          </w:tcPr>
          <w:p w14:paraId="0CB5E638" w14:textId="77777777" w:rsidR="00B64610" w:rsidRPr="00DA3C6E" w:rsidRDefault="00B64610" w:rsidP="00B64610">
            <w:pPr>
              <w:pStyle w:val="Tabletext1"/>
              <w:jc w:val="left"/>
            </w:pPr>
            <w:r w:rsidRPr="00DA3C6E">
              <w:t>Unlikely to impact the treatment effect.</w:t>
            </w:r>
          </w:p>
        </w:tc>
      </w:tr>
      <w:tr w:rsidR="00B64610" w:rsidRPr="00DA3C6E" w14:paraId="450CA8B5" w14:textId="77777777" w:rsidTr="00E8759F">
        <w:trPr>
          <w:cantSplit/>
          <w:trHeight w:val="505"/>
        </w:trPr>
        <w:tc>
          <w:tcPr>
            <w:tcW w:w="1440" w:type="dxa"/>
            <w:vMerge/>
            <w:shd w:val="clear" w:color="auto" w:fill="auto"/>
            <w:vAlign w:val="center"/>
          </w:tcPr>
          <w:p w14:paraId="71B1688A" w14:textId="77777777" w:rsidR="00B64610" w:rsidRPr="00DA3C6E" w:rsidRDefault="00B64610" w:rsidP="00B64610">
            <w:pPr>
              <w:pStyle w:val="Tabletext1"/>
              <w:jc w:val="left"/>
            </w:pPr>
          </w:p>
        </w:tc>
        <w:tc>
          <w:tcPr>
            <w:tcW w:w="1559" w:type="dxa"/>
            <w:shd w:val="clear" w:color="auto" w:fill="auto"/>
            <w:vAlign w:val="center"/>
          </w:tcPr>
          <w:p w14:paraId="3E045A3D" w14:textId="77777777" w:rsidR="00B64610" w:rsidRPr="00DA3C6E" w:rsidRDefault="00B64610" w:rsidP="00B64610">
            <w:pPr>
              <w:pStyle w:val="Tabletext1"/>
              <w:jc w:val="left"/>
            </w:pPr>
            <w:r w:rsidRPr="00DA3C6E">
              <w:t>Outcome measurement tools</w:t>
            </w:r>
          </w:p>
        </w:tc>
        <w:tc>
          <w:tcPr>
            <w:tcW w:w="4394" w:type="dxa"/>
            <w:shd w:val="clear" w:color="auto" w:fill="auto"/>
            <w:vAlign w:val="center"/>
          </w:tcPr>
          <w:p w14:paraId="4806A369" w14:textId="77777777" w:rsidR="00B64610" w:rsidRPr="00DA3C6E" w:rsidRDefault="00B64610" w:rsidP="00B64610">
            <w:pPr>
              <w:pStyle w:val="Tabletext1"/>
              <w:jc w:val="left"/>
            </w:pPr>
            <w:r w:rsidRPr="00DA3C6E">
              <w:t>The tools used to measure the two main clinical outcomes in MMN, muscle strength and disability, differ between the RCTs and compared to the Australian setting.</w:t>
            </w:r>
          </w:p>
          <w:p w14:paraId="41B7D766" w14:textId="271E14E3" w:rsidR="00B64610" w:rsidRPr="00DA3C6E" w:rsidRDefault="00B64610" w:rsidP="00B64610">
            <w:pPr>
              <w:pStyle w:val="Tabletext1"/>
              <w:numPr>
                <w:ilvl w:val="0"/>
                <w:numId w:val="58"/>
              </w:numPr>
              <w:jc w:val="left"/>
            </w:pPr>
            <w:r w:rsidRPr="00DA3C6E">
              <w:t xml:space="preserve">4/5 RCTs reported the effect of intravenous Ig for each outcome measure independently only and not as </w:t>
            </w:r>
            <w:r w:rsidR="007251AD" w:rsidRPr="00DA3C6E">
              <w:t xml:space="preserve">a </w:t>
            </w:r>
            <w:r w:rsidRPr="00DA3C6E">
              <w:t>composite outcome as it would in Australia to assess for continuance of Tx.</w:t>
            </w:r>
          </w:p>
          <w:p w14:paraId="44CF3F3E" w14:textId="5F4D5D17" w:rsidR="00B64610" w:rsidRPr="00DA3C6E" w:rsidRDefault="00B64610" w:rsidP="00C04BCE">
            <w:pPr>
              <w:pStyle w:val="Tabletext1"/>
              <w:numPr>
                <w:ilvl w:val="0"/>
                <w:numId w:val="58"/>
              </w:numPr>
              <w:jc w:val="left"/>
            </w:pPr>
            <w:r w:rsidRPr="00DA3C6E">
              <w:t xml:space="preserve">Similar to the ONLS (include climbing stairs and running), Hahn </w:t>
            </w:r>
            <w:r w:rsidR="007251AD" w:rsidRPr="00DA3C6E">
              <w:t xml:space="preserve">et al. </w:t>
            </w:r>
            <w:r w:rsidRPr="00DA3C6E">
              <w:t>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used the ODSS. The ODSS compared to, the modified Rankin scale, the NDS and the GNDS is a more specific tool and would likely identify slighter changes in disability compared to the other tools.</w:t>
            </w:r>
          </w:p>
        </w:tc>
        <w:tc>
          <w:tcPr>
            <w:tcW w:w="1515" w:type="dxa"/>
            <w:vAlign w:val="center"/>
          </w:tcPr>
          <w:p w14:paraId="5DBA0989" w14:textId="77777777" w:rsidR="00B64610" w:rsidRPr="00DA3C6E" w:rsidRDefault="00B64610" w:rsidP="00B64610">
            <w:pPr>
              <w:pStyle w:val="Tabletext1"/>
              <w:jc w:val="left"/>
            </w:pPr>
            <w:r w:rsidRPr="00DA3C6E">
              <w:rPr>
                <w:rStyle w:val="SmallBold"/>
                <w:rFonts w:ascii="Arial Narrow" w:hAnsi="Arial Narrow"/>
                <w:b w:val="0"/>
              </w:rPr>
              <w:t>Differences could alter the interpretation of the treatment effect. The pooled effect was not used in the economic model</w:t>
            </w:r>
          </w:p>
        </w:tc>
      </w:tr>
      <w:tr w:rsidR="00B64610" w:rsidRPr="00DA3C6E" w14:paraId="2DF6AC3C" w14:textId="77777777" w:rsidTr="00E8759F">
        <w:trPr>
          <w:cantSplit/>
          <w:trHeight w:val="505"/>
        </w:trPr>
        <w:tc>
          <w:tcPr>
            <w:tcW w:w="1440" w:type="dxa"/>
            <w:vMerge/>
            <w:shd w:val="clear" w:color="auto" w:fill="auto"/>
            <w:vAlign w:val="center"/>
          </w:tcPr>
          <w:p w14:paraId="11B0FCBA" w14:textId="77777777" w:rsidR="00B64610" w:rsidRPr="00DA3C6E" w:rsidRDefault="00B64610" w:rsidP="00B64610">
            <w:pPr>
              <w:pStyle w:val="Tabletext1"/>
              <w:jc w:val="left"/>
            </w:pPr>
          </w:p>
        </w:tc>
        <w:tc>
          <w:tcPr>
            <w:tcW w:w="1559" w:type="dxa"/>
            <w:shd w:val="clear" w:color="auto" w:fill="auto"/>
            <w:vAlign w:val="center"/>
          </w:tcPr>
          <w:p w14:paraId="4DDC1E4C" w14:textId="77777777" w:rsidR="00B64610" w:rsidRPr="00DA3C6E" w:rsidRDefault="00B64610" w:rsidP="00B64610">
            <w:pPr>
              <w:pStyle w:val="Tabletext1"/>
              <w:jc w:val="left"/>
            </w:pPr>
            <w:r w:rsidRPr="00DA3C6E">
              <w:t>Treatment duration</w:t>
            </w:r>
          </w:p>
        </w:tc>
        <w:tc>
          <w:tcPr>
            <w:tcW w:w="4394" w:type="dxa"/>
            <w:shd w:val="clear" w:color="auto" w:fill="auto"/>
            <w:vAlign w:val="center"/>
          </w:tcPr>
          <w:p w14:paraId="10832254" w14:textId="77777777" w:rsidR="00B64610" w:rsidRPr="00DA3C6E" w:rsidRDefault="00B64610" w:rsidP="00B64610">
            <w:pPr>
              <w:pStyle w:val="Tabletext1"/>
              <w:jc w:val="left"/>
            </w:pPr>
            <w:r w:rsidRPr="00DA3C6E">
              <w:t>Tx duration in the clinical setting differs to that expected in the current Australian population, mainly:</w:t>
            </w:r>
          </w:p>
          <w:p w14:paraId="11C8A664" w14:textId="77777777" w:rsidR="00B64610" w:rsidRPr="00DA3C6E" w:rsidRDefault="00B64610" w:rsidP="00B64610">
            <w:pPr>
              <w:pStyle w:val="Tabletext1"/>
              <w:numPr>
                <w:ilvl w:val="0"/>
                <w:numId w:val="59"/>
              </w:numPr>
              <w:jc w:val="left"/>
            </w:pPr>
            <w:r w:rsidRPr="00DA3C6E">
              <w:t>RCTs showed that Tx duration varied from 28 days to approximately 12 months. This time period was pre-specified and not conditional on an assessment of response, an important difference with the way intravenous Ig is currently delivered in Australia.</w:t>
            </w:r>
          </w:p>
          <w:p w14:paraId="59A414CE" w14:textId="77777777" w:rsidR="00B64610" w:rsidRPr="00DA3C6E" w:rsidRDefault="00B64610" w:rsidP="00B64610">
            <w:pPr>
              <w:pStyle w:val="Tabletext1"/>
              <w:numPr>
                <w:ilvl w:val="0"/>
                <w:numId w:val="59"/>
              </w:numPr>
              <w:jc w:val="left"/>
            </w:pPr>
            <w:r w:rsidRPr="00DA3C6E">
              <w:t>3/5 of the RCTs had a trial duration shorter than the current initial Tx phase (induction plus three maintenance cycles) recommended in The Criteria to assess for responsiveness.</w:t>
            </w:r>
          </w:p>
          <w:p w14:paraId="06BF11CF" w14:textId="790DEE0D" w:rsidR="00B64610" w:rsidRPr="00DA3C6E" w:rsidRDefault="00B64610" w:rsidP="00B64610">
            <w:pPr>
              <w:pStyle w:val="Tabletext1"/>
              <w:numPr>
                <w:ilvl w:val="0"/>
                <w:numId w:val="59"/>
              </w:numPr>
              <w:jc w:val="left"/>
            </w:pPr>
            <w:r w:rsidRPr="00DA3C6E">
              <w:t xml:space="preserve">The median Tx duration in Hahn </w:t>
            </w:r>
            <w:r w:rsidR="007251AD" w:rsidRPr="00DA3C6E">
              <w:t xml:space="preserve">et al. </w:t>
            </w:r>
            <w:r w:rsidRPr="00DA3C6E">
              <w:t>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was close to a year, however it may still not capture the expected Tx duration in current practice, which if extrapolated from long term data from single arm studies, could vary from around 2 to 7 years.</w:t>
            </w:r>
          </w:p>
          <w:p w14:paraId="6B1AE60C" w14:textId="77777777" w:rsidR="00B64610" w:rsidRPr="00DA3C6E" w:rsidRDefault="00B64610" w:rsidP="00B64610">
            <w:pPr>
              <w:pStyle w:val="Tabletext1"/>
              <w:numPr>
                <w:ilvl w:val="0"/>
                <w:numId w:val="59"/>
              </w:numPr>
              <w:jc w:val="left"/>
            </w:pPr>
            <w:r w:rsidRPr="00DA3C6E">
              <w:t>None of the reviewed RCTs considered a weaning off trial phase as recommended in The Criteria, which could directly impact the duration of treatment.</w:t>
            </w:r>
          </w:p>
        </w:tc>
        <w:tc>
          <w:tcPr>
            <w:tcW w:w="1515" w:type="dxa"/>
            <w:vAlign w:val="center"/>
          </w:tcPr>
          <w:p w14:paraId="01F84EE1" w14:textId="77777777" w:rsidR="00B64610" w:rsidRPr="00DA3C6E" w:rsidRDefault="00B64610" w:rsidP="00B64610">
            <w:pPr>
              <w:pStyle w:val="Tabletext1"/>
              <w:jc w:val="left"/>
            </w:pPr>
            <w:r w:rsidRPr="00DA3C6E">
              <w:rPr>
                <w:rStyle w:val="SmallBold"/>
                <w:rFonts w:ascii="Arial Narrow" w:hAnsi="Arial Narrow"/>
                <w:b w:val="0"/>
              </w:rPr>
              <w:t xml:space="preserve">Differences could alter the interpretation of the treatment effect. Assumption on weaning was tested in a SA. </w:t>
            </w:r>
          </w:p>
        </w:tc>
      </w:tr>
      <w:tr w:rsidR="00B64610" w:rsidRPr="00DA3C6E" w14:paraId="2FBE395F" w14:textId="77777777" w:rsidTr="00E8759F">
        <w:trPr>
          <w:cantSplit/>
          <w:trHeight w:val="490"/>
        </w:trPr>
        <w:tc>
          <w:tcPr>
            <w:tcW w:w="1440" w:type="dxa"/>
            <w:shd w:val="clear" w:color="auto" w:fill="auto"/>
            <w:vAlign w:val="center"/>
          </w:tcPr>
          <w:p w14:paraId="6B3A50DD" w14:textId="77777777" w:rsidR="00B64610" w:rsidRPr="00DA3C6E" w:rsidRDefault="00B64610" w:rsidP="00B64610">
            <w:pPr>
              <w:pStyle w:val="Tabletext1"/>
              <w:jc w:val="left"/>
            </w:pPr>
            <w:r w:rsidRPr="00DA3C6E">
              <w:t>Extrapolation</w:t>
            </w:r>
          </w:p>
        </w:tc>
        <w:tc>
          <w:tcPr>
            <w:tcW w:w="1559" w:type="dxa"/>
            <w:shd w:val="clear" w:color="auto" w:fill="auto"/>
            <w:vAlign w:val="center"/>
          </w:tcPr>
          <w:p w14:paraId="373D21AD" w14:textId="77777777" w:rsidR="00B64610" w:rsidRPr="00DA3C6E" w:rsidRDefault="00B64610" w:rsidP="00B64610">
            <w:pPr>
              <w:pStyle w:val="Tabletext1"/>
              <w:jc w:val="left"/>
            </w:pPr>
            <w:r w:rsidRPr="00DA3C6E">
              <w:t>Treatment effect duration</w:t>
            </w:r>
          </w:p>
        </w:tc>
        <w:tc>
          <w:tcPr>
            <w:tcW w:w="4394" w:type="dxa"/>
            <w:shd w:val="clear" w:color="auto" w:fill="auto"/>
            <w:vAlign w:val="center"/>
          </w:tcPr>
          <w:p w14:paraId="3F41B932" w14:textId="77777777" w:rsidR="00B64610" w:rsidRPr="00DA3C6E" w:rsidRDefault="00B64610" w:rsidP="00B64610">
            <w:pPr>
              <w:pStyle w:val="Tabletext1"/>
              <w:jc w:val="left"/>
            </w:pPr>
            <w:r w:rsidRPr="00DA3C6E">
              <w:t xml:space="preserve">The Tx duration reported from the RCTs is unlikely to reflect the actual treatment duration in the Australian setting, hence an extrapolation is required. The treatment effect was kept constant throughout the whole time horizon in order to account for patients that remain as responders (hence stable in their disease). </w:t>
            </w:r>
          </w:p>
        </w:tc>
        <w:tc>
          <w:tcPr>
            <w:tcW w:w="1515" w:type="dxa"/>
            <w:vAlign w:val="center"/>
          </w:tcPr>
          <w:p w14:paraId="576A9AB7" w14:textId="77777777" w:rsidR="00B64610" w:rsidRPr="00DA3C6E" w:rsidRDefault="00B64610" w:rsidP="00B64610">
            <w:pPr>
              <w:pStyle w:val="Tabletext1"/>
              <w:jc w:val="left"/>
            </w:pPr>
            <w:r w:rsidRPr="00DA3C6E">
              <w:t>Likely to impact the overall results. Different time horizons were tested in a SA.</w:t>
            </w:r>
          </w:p>
        </w:tc>
      </w:tr>
      <w:tr w:rsidR="00B64610" w:rsidRPr="00DA3C6E" w14:paraId="38E5AA6B" w14:textId="77777777" w:rsidTr="00E8759F">
        <w:trPr>
          <w:cantSplit/>
          <w:trHeight w:val="490"/>
        </w:trPr>
        <w:tc>
          <w:tcPr>
            <w:tcW w:w="1440" w:type="dxa"/>
            <w:vMerge w:val="restart"/>
            <w:shd w:val="clear" w:color="auto" w:fill="auto"/>
            <w:vAlign w:val="center"/>
          </w:tcPr>
          <w:p w14:paraId="2FABB1A7" w14:textId="77777777" w:rsidR="00B64610" w:rsidRPr="00DA3C6E" w:rsidRDefault="00B64610" w:rsidP="00B64610">
            <w:pPr>
              <w:pStyle w:val="Tabletext1"/>
              <w:jc w:val="left"/>
            </w:pPr>
            <w:r w:rsidRPr="00DA3C6E">
              <w:t>Transformation</w:t>
            </w:r>
          </w:p>
        </w:tc>
        <w:tc>
          <w:tcPr>
            <w:tcW w:w="1559" w:type="dxa"/>
            <w:shd w:val="clear" w:color="auto" w:fill="auto"/>
            <w:vAlign w:val="center"/>
          </w:tcPr>
          <w:p w14:paraId="68CB19B9" w14:textId="77777777" w:rsidR="00B64610" w:rsidRPr="00DA3C6E" w:rsidRDefault="00B64610" w:rsidP="00B64610">
            <w:pPr>
              <w:pStyle w:val="Tabletext1"/>
              <w:jc w:val="left"/>
            </w:pPr>
            <w:r w:rsidRPr="00DA3C6E">
              <w:t>Transformation of clinical outcome to a patient relevant outcome</w:t>
            </w:r>
          </w:p>
        </w:tc>
        <w:tc>
          <w:tcPr>
            <w:tcW w:w="4394" w:type="dxa"/>
            <w:shd w:val="clear" w:color="auto" w:fill="auto"/>
            <w:vAlign w:val="center"/>
          </w:tcPr>
          <w:p w14:paraId="52A6C80A" w14:textId="196329F2" w:rsidR="00B64610" w:rsidRPr="00DA3C6E" w:rsidRDefault="00B64610" w:rsidP="00B64610">
            <w:pPr>
              <w:pStyle w:val="Tabletext1"/>
              <w:numPr>
                <w:ilvl w:val="0"/>
                <w:numId w:val="60"/>
              </w:numPr>
              <w:jc w:val="left"/>
            </w:pPr>
            <w:r w:rsidRPr="00DA3C6E">
              <w:t xml:space="preserve">Only one study considered responders as a composite outcome (improvement of muscle strength and reduced disability) as it would in Australia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This study was used in the base case analysis </w:t>
            </w:r>
            <w:r w:rsidR="007251AD" w:rsidRPr="00DA3C6E">
              <w:t xml:space="preserve">of </w:t>
            </w:r>
            <w:r w:rsidRPr="00DA3C6E">
              <w:t xml:space="preserve">the economic evaluation to model the treatment effect after treatment initiation. </w:t>
            </w:r>
          </w:p>
          <w:p w14:paraId="63550ECF" w14:textId="1E6A0E95" w:rsidR="00B64610" w:rsidRPr="00DA3C6E" w:rsidRDefault="00B64610" w:rsidP="007251AD">
            <w:pPr>
              <w:pStyle w:val="Tabletext1"/>
              <w:numPr>
                <w:ilvl w:val="0"/>
                <w:numId w:val="60"/>
              </w:numPr>
              <w:jc w:val="left"/>
            </w:pPr>
            <w:r w:rsidRPr="00DA3C6E">
              <w:t>None of the RCTs reported the impact of intravenous Ig on the QoL of patients</w:t>
            </w:r>
            <w:r w:rsidR="007251AD" w:rsidRPr="00DA3C6E">
              <w:t xml:space="preserve"> as secondary outcomes</w:t>
            </w:r>
            <w:r w:rsidRPr="00DA3C6E">
              <w:t>.</w:t>
            </w:r>
          </w:p>
        </w:tc>
        <w:tc>
          <w:tcPr>
            <w:tcW w:w="1515" w:type="dxa"/>
            <w:vAlign w:val="center"/>
          </w:tcPr>
          <w:p w14:paraId="5125F99C" w14:textId="77777777" w:rsidR="00B64610" w:rsidRPr="00DA3C6E" w:rsidRDefault="00B64610" w:rsidP="00B64610">
            <w:pPr>
              <w:pStyle w:val="Tabletext1"/>
              <w:jc w:val="left"/>
            </w:pPr>
            <w:r w:rsidRPr="00DA3C6E">
              <w:t>Unlikely to impact the treatment effect.</w:t>
            </w:r>
          </w:p>
        </w:tc>
      </w:tr>
      <w:tr w:rsidR="00B64610" w:rsidRPr="00DA3C6E" w14:paraId="3A679189" w14:textId="77777777" w:rsidTr="00E8759F">
        <w:trPr>
          <w:cantSplit/>
          <w:trHeight w:val="490"/>
        </w:trPr>
        <w:tc>
          <w:tcPr>
            <w:tcW w:w="1440" w:type="dxa"/>
            <w:vMerge/>
            <w:shd w:val="clear" w:color="auto" w:fill="auto"/>
            <w:vAlign w:val="center"/>
          </w:tcPr>
          <w:p w14:paraId="5DC78F0E" w14:textId="77777777" w:rsidR="00B64610" w:rsidRPr="00DA3C6E" w:rsidRDefault="00B64610" w:rsidP="00B64610">
            <w:pPr>
              <w:pStyle w:val="Tabletext1"/>
              <w:jc w:val="left"/>
            </w:pPr>
          </w:p>
        </w:tc>
        <w:tc>
          <w:tcPr>
            <w:tcW w:w="1559" w:type="dxa"/>
            <w:shd w:val="clear" w:color="auto" w:fill="auto"/>
            <w:vAlign w:val="center"/>
          </w:tcPr>
          <w:p w14:paraId="4BC7F12A" w14:textId="15C37497" w:rsidR="00B64610" w:rsidRPr="00DA3C6E" w:rsidRDefault="00B64610" w:rsidP="007251AD">
            <w:pPr>
              <w:pStyle w:val="Tabletext1"/>
              <w:jc w:val="left"/>
            </w:pPr>
            <w:r w:rsidRPr="00DA3C6E">
              <w:t xml:space="preserve">Sources that provide utility values to derive QoL for patients with MMN and </w:t>
            </w:r>
            <w:r w:rsidR="007251AD" w:rsidRPr="00DA3C6E">
              <w:t xml:space="preserve">their </w:t>
            </w:r>
            <w:r w:rsidRPr="00DA3C6E">
              <w:t>applicability to the Australian context</w:t>
            </w:r>
          </w:p>
        </w:tc>
        <w:tc>
          <w:tcPr>
            <w:tcW w:w="4394" w:type="dxa"/>
            <w:shd w:val="clear" w:color="auto" w:fill="auto"/>
            <w:vAlign w:val="center"/>
          </w:tcPr>
          <w:p w14:paraId="507BB35F" w14:textId="77777777" w:rsidR="00B64610" w:rsidRPr="00DA3C6E" w:rsidRDefault="00B64610" w:rsidP="00B64610">
            <w:pPr>
              <w:pStyle w:val="Tabletext1"/>
              <w:jc w:val="left"/>
            </w:pPr>
            <w:r w:rsidRPr="00DA3C6E">
              <w:t xml:space="preserve">MMN is a disease that does not affect mortality but has an important QoL component, hence QALYs were considered the appropriate outcome. </w:t>
            </w:r>
          </w:p>
          <w:p w14:paraId="349D188E" w14:textId="77777777" w:rsidR="00B64610" w:rsidRPr="00DA3C6E" w:rsidRDefault="00B64610" w:rsidP="00B64610">
            <w:pPr>
              <w:pStyle w:val="Tabletext1"/>
              <w:jc w:val="left"/>
            </w:pPr>
            <w:r w:rsidRPr="00DA3C6E">
              <w:t>Information on QoL in MMN patients is scarce and only available from single arm studies. This information had to be complemented with the incremental utility from CIDP to derive a baseline utility from patients who are not receiving intravenous Ig.</w:t>
            </w:r>
          </w:p>
        </w:tc>
        <w:tc>
          <w:tcPr>
            <w:tcW w:w="1515" w:type="dxa"/>
            <w:vAlign w:val="center"/>
          </w:tcPr>
          <w:p w14:paraId="09C3DFA6" w14:textId="77777777" w:rsidR="00B64610" w:rsidRPr="00DA3C6E" w:rsidRDefault="00B64610" w:rsidP="00B64610">
            <w:pPr>
              <w:pStyle w:val="Tabletext1"/>
              <w:jc w:val="left"/>
            </w:pPr>
            <w:r w:rsidRPr="00DA3C6E">
              <w:t xml:space="preserve">Likely to impact the overall results. Utility values were tested in a SA. </w:t>
            </w:r>
          </w:p>
        </w:tc>
      </w:tr>
    </w:tbl>
    <w:p w14:paraId="6B72A38E" w14:textId="5960CAE0" w:rsidR="00CC78C2" w:rsidRPr="00633640" w:rsidRDefault="00A245AA" w:rsidP="00633640">
      <w:pPr>
        <w:spacing w:line="240" w:lineRule="auto"/>
        <w:rPr>
          <w:rFonts w:ascii="Arial Narrow" w:hAnsi="Arial Narrow"/>
          <w:sz w:val="18"/>
          <w:szCs w:val="18"/>
        </w:rPr>
      </w:pPr>
      <w:r w:rsidRPr="00DA3C6E">
        <w:rPr>
          <w:rFonts w:ascii="Arial Narrow" w:hAnsi="Arial Narrow"/>
          <w:sz w:val="18"/>
          <w:szCs w:val="18"/>
        </w:rPr>
        <w:t xml:space="preserve">Abbreviations: </w:t>
      </w:r>
      <w:r w:rsidR="00C05698" w:rsidRPr="00DA3C6E">
        <w:rPr>
          <w:rFonts w:ascii="Arial Narrow" w:hAnsi="Arial Narrow"/>
          <w:sz w:val="18"/>
          <w:szCs w:val="18"/>
        </w:rPr>
        <w:t xml:space="preserve">CB = conduction block; </w:t>
      </w:r>
      <w:r w:rsidRPr="00DA3C6E">
        <w:rPr>
          <w:rFonts w:ascii="Arial Narrow" w:hAnsi="Arial Narrow"/>
          <w:sz w:val="18"/>
          <w:szCs w:val="18"/>
        </w:rPr>
        <w:t xml:space="preserve">GNDS = Guy's Neurological Disability Score; Ig = immunoglobulin; MMN = multifocal motor neuropathy; </w:t>
      </w:r>
      <w:r w:rsidR="00C05698" w:rsidRPr="00DA3C6E">
        <w:rPr>
          <w:rFonts w:ascii="Arial Narrow" w:hAnsi="Arial Narrow"/>
          <w:sz w:val="18"/>
          <w:szCs w:val="18"/>
        </w:rPr>
        <w:t xml:space="preserve">NBA = National Blood Authority; </w:t>
      </w:r>
      <w:r w:rsidRPr="00DA3C6E">
        <w:rPr>
          <w:rFonts w:ascii="Arial Narrow" w:hAnsi="Arial Narrow"/>
          <w:sz w:val="18"/>
          <w:szCs w:val="18"/>
        </w:rPr>
        <w:t>NDS = neurologic disability scale; QALYs = quality adjusted life year; ODSS = overall disability sum score; ONLS = overall neuropathy limitations scale; QoL = quality of life; RCT = randomised controlled trial; T</w:t>
      </w:r>
      <w:r w:rsidR="003C2838" w:rsidRPr="00DA3C6E">
        <w:rPr>
          <w:rFonts w:ascii="Arial Narrow" w:hAnsi="Arial Narrow"/>
          <w:sz w:val="18"/>
          <w:szCs w:val="18"/>
        </w:rPr>
        <w:t>x</w:t>
      </w:r>
      <w:r w:rsidR="00633640">
        <w:rPr>
          <w:rFonts w:ascii="Arial Narrow" w:hAnsi="Arial Narrow"/>
          <w:sz w:val="18"/>
          <w:szCs w:val="18"/>
        </w:rPr>
        <w:t xml:space="preserve"> = treatment. </w:t>
      </w:r>
    </w:p>
    <w:p w14:paraId="27F97F51" w14:textId="77777777" w:rsidR="00101A38" w:rsidRPr="00DA3C6E" w:rsidRDefault="00101A38">
      <w:pPr>
        <w:spacing w:after="0" w:line="240" w:lineRule="auto"/>
        <w:jc w:val="left"/>
        <w:rPr>
          <w:rFonts w:cs="Arial"/>
          <w:snapToGrid w:val="0"/>
          <w:sz w:val="18"/>
          <w:szCs w:val="20"/>
          <w:lang w:eastAsia="en-US"/>
        </w:rPr>
      </w:pPr>
      <w:r w:rsidRPr="00DA3C6E">
        <w:rPr>
          <w:rFonts w:cs="Arial"/>
          <w:snapToGrid w:val="0"/>
          <w:sz w:val="18"/>
          <w:szCs w:val="20"/>
          <w:lang w:eastAsia="en-US"/>
        </w:rPr>
        <w:br w:type="page"/>
      </w:r>
    </w:p>
    <w:p w14:paraId="2995FC4D" w14:textId="77777777" w:rsidR="00101A38" w:rsidRPr="00DA3C6E" w:rsidRDefault="00101A38" w:rsidP="00E359A5">
      <w:pPr>
        <w:pStyle w:val="Heading1"/>
      </w:pPr>
      <w:bookmarkStart w:id="254" w:name="_Toc379118086"/>
      <w:bookmarkStart w:id="255" w:name="_Toc381796473"/>
      <w:bookmarkStart w:id="256" w:name="_Toc37845761"/>
      <w:r w:rsidRPr="00DA3C6E">
        <w:lastRenderedPageBreak/>
        <w:t>Section D</w:t>
      </w:r>
      <w:r w:rsidRPr="00DA3C6E">
        <w:tab/>
        <w:t>Economic Evaluation</w:t>
      </w:r>
      <w:bookmarkEnd w:id="254"/>
      <w:bookmarkEnd w:id="255"/>
      <w:bookmarkEnd w:id="256"/>
    </w:p>
    <w:p w14:paraId="79FCE073" w14:textId="77777777" w:rsidR="00101A38" w:rsidRPr="00DA3C6E" w:rsidRDefault="00101A38" w:rsidP="0073359F">
      <w:pPr>
        <w:pStyle w:val="Heading2"/>
        <w:numPr>
          <w:ilvl w:val="3"/>
          <w:numId w:val="61"/>
        </w:numPr>
        <w:jc w:val="left"/>
      </w:pPr>
      <w:bookmarkStart w:id="257" w:name="_Toc381796475"/>
      <w:bookmarkStart w:id="258" w:name="_Toc37845762"/>
      <w:r w:rsidRPr="00DA3C6E">
        <w:t>Overview</w:t>
      </w:r>
      <w:bookmarkEnd w:id="257"/>
      <w:bookmarkEnd w:id="258"/>
    </w:p>
    <w:p w14:paraId="753B8ABE" w14:textId="0F0A5BCA" w:rsidR="00101A38" w:rsidRPr="00DA3C6E" w:rsidRDefault="00101A38" w:rsidP="00CE7D7A">
      <w:r w:rsidRPr="00DA3C6E">
        <w:t xml:space="preserve">The clinical evaluation presented in Section B, suggested that intravenous Ig has superior effectiveness and inferior safety compared to ‘No Ig with BSC’ in patients with MMN based on the evidence profile presented </w:t>
      </w:r>
      <w:r w:rsidR="007251AD" w:rsidRPr="00DA3C6E">
        <w:t xml:space="preserve">in </w:t>
      </w:r>
      <w:r w:rsidRPr="00DA3C6E">
        <w:t xml:space="preserve">Section B.6. The framework used to classify the clinical evidence in Section B so that a decision could be made about the type of economic analysis to undertake in this Section, is presented in </w:t>
      </w:r>
      <w:r w:rsidRPr="00DA3C6E">
        <w:fldChar w:fldCharType="begin"/>
      </w:r>
      <w:r w:rsidRPr="00DA3C6E">
        <w:instrText xml:space="preserve"> REF _Ref29204365 \h  \* MERGEFORMAT </w:instrText>
      </w:r>
      <w:r w:rsidRPr="00DA3C6E">
        <w:fldChar w:fldCharType="separate"/>
      </w:r>
      <w:r w:rsidR="00EA5DC1" w:rsidRPr="00DA3C6E">
        <w:t xml:space="preserve">Table </w:t>
      </w:r>
      <w:r w:rsidR="00EA5DC1">
        <w:t>27</w:t>
      </w:r>
      <w:r w:rsidRPr="00DA3C6E">
        <w:fldChar w:fldCharType="end"/>
      </w:r>
      <w:r w:rsidRPr="00DA3C6E">
        <w:t xml:space="preserve"> below. </w:t>
      </w:r>
    </w:p>
    <w:p w14:paraId="08469BAE" w14:textId="1F60AB40" w:rsidR="00101A38" w:rsidRPr="00DA3C6E" w:rsidRDefault="00101A38" w:rsidP="00880E62">
      <w:pPr>
        <w:pStyle w:val="Caption"/>
      </w:pPr>
      <w:bookmarkStart w:id="259" w:name="_Ref29204365"/>
      <w:bookmarkStart w:id="260" w:name="_Toc30497474"/>
      <w:bookmarkStart w:id="261" w:name="_Toc33449605"/>
      <w:bookmarkStart w:id="262" w:name="_Toc37845830"/>
      <w:r w:rsidRPr="00DA3C6E">
        <w:t xml:space="preserve">Table </w:t>
      </w:r>
      <w:r w:rsidR="00515153">
        <w:fldChar w:fldCharType="begin"/>
      </w:r>
      <w:r w:rsidR="00515153">
        <w:instrText xml:space="preserve"> SEQ Table \* ARABIC </w:instrText>
      </w:r>
      <w:r w:rsidR="00515153">
        <w:fldChar w:fldCharType="separate"/>
      </w:r>
      <w:r w:rsidR="00EA5DC1">
        <w:rPr>
          <w:noProof/>
        </w:rPr>
        <w:t>27</w:t>
      </w:r>
      <w:r w:rsidR="00515153">
        <w:rPr>
          <w:noProof/>
        </w:rPr>
        <w:fldChar w:fldCharType="end"/>
      </w:r>
      <w:bookmarkEnd w:id="259"/>
      <w:r w:rsidRPr="00DA3C6E">
        <w:t>. Classification of the comparative effectiveness and safety of the proposed therapeutic medical service compared with its main comparator and guide to the suitable type of economic evaluation</w:t>
      </w:r>
      <w:bookmarkEnd w:id="260"/>
      <w:bookmarkEnd w:id="261"/>
      <w:bookmarkEnd w:id="262"/>
    </w:p>
    <w:tbl>
      <w:tblPr>
        <w:tblW w:w="5000" w:type="pct"/>
        <w:tblInd w:w="-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38"/>
        <w:gridCol w:w="1817"/>
        <w:gridCol w:w="1885"/>
        <w:gridCol w:w="1580"/>
        <w:gridCol w:w="1696"/>
      </w:tblGrid>
      <w:tr w:rsidR="00101A38" w:rsidRPr="00DA3C6E" w14:paraId="53B1DED7" w14:textId="77777777" w:rsidTr="00840481">
        <w:trPr>
          <w:cantSplit/>
          <w:trHeight w:val="542"/>
        </w:trPr>
        <w:tc>
          <w:tcPr>
            <w:tcW w:w="2038" w:type="dxa"/>
            <w:vMerge w:val="restart"/>
            <w:tcBorders>
              <w:top w:val="single" w:sz="4" w:space="0" w:color="auto"/>
              <w:left w:val="single" w:sz="4" w:space="0" w:color="auto"/>
              <w:right w:val="single" w:sz="4" w:space="0" w:color="auto"/>
            </w:tcBorders>
            <w:vAlign w:val="center"/>
          </w:tcPr>
          <w:p w14:paraId="17CF110B" w14:textId="77777777" w:rsidR="00101A38" w:rsidRPr="00DA3C6E" w:rsidRDefault="00101A38" w:rsidP="00880E62">
            <w:pPr>
              <w:pStyle w:val="TableHeading"/>
              <w:ind w:left="-94"/>
              <w:jc w:val="left"/>
            </w:pPr>
            <w:r w:rsidRPr="00DA3C6E">
              <w:t>Comparative safety of IVIg</w:t>
            </w:r>
          </w:p>
        </w:tc>
        <w:tc>
          <w:tcPr>
            <w:tcW w:w="6978" w:type="dxa"/>
            <w:gridSpan w:val="4"/>
            <w:tcBorders>
              <w:top w:val="single" w:sz="4" w:space="0" w:color="auto"/>
              <w:left w:val="single" w:sz="4" w:space="0" w:color="auto"/>
              <w:bottom w:val="single" w:sz="4" w:space="0" w:color="auto"/>
              <w:right w:val="single" w:sz="4" w:space="0" w:color="auto"/>
            </w:tcBorders>
            <w:vAlign w:val="center"/>
          </w:tcPr>
          <w:p w14:paraId="7DCD9AA0" w14:textId="77777777" w:rsidR="00101A38" w:rsidRPr="00DA3C6E" w:rsidRDefault="00101A38" w:rsidP="00880E62">
            <w:pPr>
              <w:pStyle w:val="TableHeading"/>
              <w:jc w:val="left"/>
            </w:pPr>
            <w:r w:rsidRPr="00DA3C6E">
              <w:t>Comparative effectiveness of IVIg</w:t>
            </w:r>
          </w:p>
        </w:tc>
      </w:tr>
      <w:tr w:rsidR="00101A38" w:rsidRPr="00DA3C6E" w14:paraId="5DAA83A0" w14:textId="77777777" w:rsidTr="00537B56">
        <w:trPr>
          <w:cantSplit/>
          <w:trHeight w:val="315"/>
        </w:trPr>
        <w:tc>
          <w:tcPr>
            <w:tcW w:w="2038" w:type="dxa"/>
            <w:vMerge/>
            <w:tcBorders>
              <w:left w:val="single" w:sz="4" w:space="0" w:color="auto"/>
              <w:bottom w:val="single" w:sz="4" w:space="0" w:color="auto"/>
              <w:right w:val="single" w:sz="4" w:space="0" w:color="auto"/>
            </w:tcBorders>
            <w:vAlign w:val="center"/>
          </w:tcPr>
          <w:p w14:paraId="69BEBB8A" w14:textId="77777777" w:rsidR="00101A38" w:rsidRPr="00DA3C6E" w:rsidRDefault="00101A38" w:rsidP="00880E62">
            <w:pPr>
              <w:pStyle w:val="TableHeading"/>
              <w:jc w:val="left"/>
            </w:pPr>
          </w:p>
        </w:tc>
        <w:tc>
          <w:tcPr>
            <w:tcW w:w="1817" w:type="dxa"/>
            <w:tcBorders>
              <w:left w:val="single" w:sz="4" w:space="0" w:color="auto"/>
              <w:bottom w:val="single" w:sz="4" w:space="0" w:color="auto"/>
              <w:right w:val="single" w:sz="4" w:space="0" w:color="auto"/>
            </w:tcBorders>
            <w:vAlign w:val="center"/>
          </w:tcPr>
          <w:p w14:paraId="552D8A61" w14:textId="77777777" w:rsidR="00101A38" w:rsidRPr="00DA3C6E" w:rsidRDefault="00101A38" w:rsidP="00537B56">
            <w:pPr>
              <w:pStyle w:val="TableHeading"/>
              <w:jc w:val="center"/>
            </w:pPr>
            <w:r w:rsidRPr="00DA3C6E">
              <w:t>Inferior</w:t>
            </w:r>
          </w:p>
        </w:tc>
        <w:tc>
          <w:tcPr>
            <w:tcW w:w="1885" w:type="dxa"/>
            <w:tcBorders>
              <w:top w:val="single" w:sz="4" w:space="0" w:color="auto"/>
              <w:left w:val="single" w:sz="4" w:space="0" w:color="auto"/>
              <w:bottom w:val="single" w:sz="4" w:space="0" w:color="auto"/>
              <w:right w:val="single" w:sz="4" w:space="0" w:color="auto"/>
            </w:tcBorders>
            <w:vAlign w:val="center"/>
          </w:tcPr>
          <w:p w14:paraId="4F227EA2" w14:textId="77777777" w:rsidR="00101A38" w:rsidRPr="00DA3C6E" w:rsidRDefault="00101A38" w:rsidP="00537B56">
            <w:pPr>
              <w:pStyle w:val="TableHeading"/>
              <w:jc w:val="center"/>
            </w:pPr>
            <w:r w:rsidRPr="00DA3C6E">
              <w:t>Uncertain</w:t>
            </w:r>
            <w:r w:rsidRPr="00DA3C6E">
              <w:rPr>
                <w:vertAlign w:val="superscript"/>
              </w:rPr>
              <w:t>a</w:t>
            </w:r>
          </w:p>
        </w:tc>
        <w:tc>
          <w:tcPr>
            <w:tcW w:w="1580" w:type="dxa"/>
            <w:tcBorders>
              <w:top w:val="single" w:sz="4" w:space="0" w:color="auto"/>
              <w:left w:val="single" w:sz="4" w:space="0" w:color="auto"/>
              <w:bottom w:val="single" w:sz="4" w:space="0" w:color="auto"/>
              <w:right w:val="single" w:sz="4" w:space="0" w:color="auto"/>
            </w:tcBorders>
            <w:vAlign w:val="center"/>
          </w:tcPr>
          <w:p w14:paraId="7960ED0E" w14:textId="77777777" w:rsidR="00101A38" w:rsidRPr="00DA3C6E" w:rsidRDefault="00101A38" w:rsidP="00537B56">
            <w:pPr>
              <w:pStyle w:val="TableHeading"/>
              <w:jc w:val="center"/>
            </w:pPr>
            <w:r w:rsidRPr="00DA3C6E">
              <w:t>Non-inferior</w:t>
            </w:r>
            <w:r w:rsidRPr="00DA3C6E">
              <w:rPr>
                <w:vertAlign w:val="superscript"/>
              </w:rPr>
              <w:t>b</w:t>
            </w:r>
          </w:p>
        </w:tc>
        <w:tc>
          <w:tcPr>
            <w:tcW w:w="1696" w:type="dxa"/>
            <w:tcBorders>
              <w:top w:val="single" w:sz="4" w:space="0" w:color="auto"/>
              <w:left w:val="single" w:sz="4" w:space="0" w:color="auto"/>
              <w:bottom w:val="single" w:sz="4" w:space="0" w:color="auto"/>
              <w:right w:val="single" w:sz="4" w:space="0" w:color="auto"/>
            </w:tcBorders>
            <w:vAlign w:val="center"/>
          </w:tcPr>
          <w:p w14:paraId="16733AFC" w14:textId="77777777" w:rsidR="00101A38" w:rsidRPr="00DA3C6E" w:rsidRDefault="00101A38" w:rsidP="00537B56">
            <w:pPr>
              <w:pStyle w:val="TableHeading"/>
              <w:jc w:val="center"/>
            </w:pPr>
            <w:r w:rsidRPr="00DA3C6E">
              <w:t>Superior</w:t>
            </w:r>
          </w:p>
        </w:tc>
      </w:tr>
      <w:tr w:rsidR="00101A38" w:rsidRPr="00DA3C6E" w14:paraId="3E638EEA" w14:textId="77777777" w:rsidTr="00880E62">
        <w:trPr>
          <w:trHeight w:val="315"/>
        </w:trPr>
        <w:tc>
          <w:tcPr>
            <w:tcW w:w="2038" w:type="dxa"/>
            <w:tcBorders>
              <w:top w:val="single" w:sz="4" w:space="0" w:color="auto"/>
              <w:left w:val="single" w:sz="4" w:space="0" w:color="auto"/>
              <w:bottom w:val="single" w:sz="4" w:space="0" w:color="auto"/>
              <w:right w:val="single" w:sz="4" w:space="0" w:color="auto"/>
            </w:tcBorders>
            <w:vAlign w:val="center"/>
          </w:tcPr>
          <w:p w14:paraId="71888629" w14:textId="77777777" w:rsidR="00101A38" w:rsidRPr="00DA3C6E" w:rsidRDefault="00101A38" w:rsidP="00880E62">
            <w:pPr>
              <w:pStyle w:val="Tabletext1"/>
              <w:jc w:val="left"/>
            </w:pPr>
            <w:r w:rsidRPr="00DA3C6E">
              <w:t>Inferior</w:t>
            </w:r>
          </w:p>
        </w:tc>
        <w:tc>
          <w:tcPr>
            <w:tcW w:w="1817" w:type="dxa"/>
            <w:tcBorders>
              <w:top w:val="single" w:sz="4" w:space="0" w:color="auto"/>
              <w:left w:val="single" w:sz="4" w:space="0" w:color="auto"/>
              <w:bottom w:val="single" w:sz="4" w:space="0" w:color="auto"/>
              <w:right w:val="single" w:sz="4" w:space="0" w:color="auto"/>
            </w:tcBorders>
            <w:vAlign w:val="center"/>
          </w:tcPr>
          <w:p w14:paraId="1D8FC876" w14:textId="77777777" w:rsidR="00101A38" w:rsidRPr="00DA3C6E" w:rsidRDefault="00101A38" w:rsidP="008C652F">
            <w:pPr>
              <w:pStyle w:val="Tabletext1"/>
              <w:jc w:val="center"/>
            </w:pPr>
            <w:r w:rsidRPr="00DA3C6E">
              <w:t>×</w:t>
            </w:r>
          </w:p>
        </w:tc>
        <w:tc>
          <w:tcPr>
            <w:tcW w:w="1885" w:type="dxa"/>
            <w:tcBorders>
              <w:top w:val="single" w:sz="4" w:space="0" w:color="auto"/>
              <w:left w:val="single" w:sz="4" w:space="0" w:color="auto"/>
              <w:bottom w:val="single" w:sz="4" w:space="0" w:color="auto"/>
              <w:right w:val="single" w:sz="4" w:space="0" w:color="auto"/>
            </w:tcBorders>
            <w:vAlign w:val="center"/>
          </w:tcPr>
          <w:p w14:paraId="300A0A32" w14:textId="77777777" w:rsidR="00101A38" w:rsidRPr="00DA3C6E" w:rsidRDefault="00101A38" w:rsidP="008C652F">
            <w:pPr>
              <w:pStyle w:val="Tabletext1"/>
              <w:jc w:val="center"/>
            </w:pPr>
            <w:r w:rsidRPr="00DA3C6E">
              <w:t>?</w:t>
            </w:r>
          </w:p>
        </w:tc>
        <w:tc>
          <w:tcPr>
            <w:tcW w:w="1580" w:type="dxa"/>
            <w:tcBorders>
              <w:top w:val="single" w:sz="4" w:space="0" w:color="auto"/>
              <w:left w:val="single" w:sz="4" w:space="0" w:color="auto"/>
              <w:bottom w:val="single" w:sz="4" w:space="0" w:color="auto"/>
              <w:right w:val="single" w:sz="4" w:space="0" w:color="auto"/>
            </w:tcBorders>
            <w:vAlign w:val="center"/>
          </w:tcPr>
          <w:p w14:paraId="0C35E3E7" w14:textId="77777777" w:rsidR="00101A38" w:rsidRPr="00DA3C6E" w:rsidRDefault="00101A38" w:rsidP="008C652F">
            <w:pPr>
              <w:pStyle w:val="Tabletext1"/>
              <w:jc w:val="center"/>
            </w:pPr>
            <w:r w:rsidRPr="00DA3C6E">
              <w:t>×</w:t>
            </w:r>
          </w:p>
        </w:tc>
        <w:tc>
          <w:tcPr>
            <w:tcW w:w="1696" w:type="dxa"/>
            <w:tcBorders>
              <w:top w:val="single" w:sz="4" w:space="0" w:color="auto"/>
              <w:left w:val="single" w:sz="4" w:space="0" w:color="auto"/>
              <w:bottom w:val="single" w:sz="4" w:space="0" w:color="auto"/>
              <w:right w:val="single" w:sz="4" w:space="0" w:color="auto"/>
            </w:tcBorders>
            <w:vAlign w:val="center"/>
          </w:tcPr>
          <w:p w14:paraId="0A74D031" w14:textId="77777777" w:rsidR="00101A38" w:rsidRPr="00DA3C6E" w:rsidRDefault="00101A38" w:rsidP="008C652F">
            <w:pPr>
              <w:pStyle w:val="Tabletext1"/>
              <w:jc w:val="center"/>
            </w:pPr>
            <w:r w:rsidRPr="00DA3C6E">
              <w:t>? Likely CUA</w:t>
            </w:r>
          </w:p>
        </w:tc>
      </w:tr>
      <w:tr w:rsidR="00101A38" w:rsidRPr="00DA3C6E" w14:paraId="1D3A08B2" w14:textId="77777777" w:rsidTr="00880E62">
        <w:trPr>
          <w:trHeight w:val="304"/>
        </w:trPr>
        <w:tc>
          <w:tcPr>
            <w:tcW w:w="2038" w:type="dxa"/>
            <w:tcBorders>
              <w:top w:val="single" w:sz="4" w:space="0" w:color="auto"/>
              <w:left w:val="single" w:sz="4" w:space="0" w:color="auto"/>
              <w:bottom w:val="single" w:sz="4" w:space="0" w:color="auto"/>
              <w:right w:val="single" w:sz="4" w:space="0" w:color="auto"/>
            </w:tcBorders>
            <w:vAlign w:val="center"/>
          </w:tcPr>
          <w:p w14:paraId="0C6E79CF" w14:textId="77777777" w:rsidR="00101A38" w:rsidRPr="00DA3C6E" w:rsidRDefault="00101A38" w:rsidP="00880E62">
            <w:pPr>
              <w:pStyle w:val="Tabletext1"/>
              <w:jc w:val="left"/>
            </w:pPr>
            <w:r w:rsidRPr="00DA3C6E">
              <w:t>Uncertain</w:t>
            </w:r>
            <w:r w:rsidRPr="00DA3C6E">
              <w:rPr>
                <w:vertAlign w:val="superscript"/>
              </w:rPr>
              <w:t>a</w:t>
            </w:r>
          </w:p>
        </w:tc>
        <w:tc>
          <w:tcPr>
            <w:tcW w:w="1817" w:type="dxa"/>
            <w:tcBorders>
              <w:top w:val="single" w:sz="4" w:space="0" w:color="auto"/>
              <w:left w:val="single" w:sz="4" w:space="0" w:color="auto"/>
              <w:bottom w:val="single" w:sz="4" w:space="0" w:color="auto"/>
              <w:right w:val="single" w:sz="4" w:space="0" w:color="auto"/>
            </w:tcBorders>
            <w:vAlign w:val="center"/>
          </w:tcPr>
          <w:p w14:paraId="0543A2AA" w14:textId="77777777" w:rsidR="00101A38" w:rsidRPr="00DA3C6E" w:rsidRDefault="00101A38" w:rsidP="008C652F">
            <w:pPr>
              <w:pStyle w:val="Tabletext1"/>
              <w:jc w:val="center"/>
            </w:pPr>
            <w:r w:rsidRPr="00DA3C6E">
              <w:t>×</w:t>
            </w:r>
          </w:p>
        </w:tc>
        <w:tc>
          <w:tcPr>
            <w:tcW w:w="1885" w:type="dxa"/>
            <w:tcBorders>
              <w:top w:val="single" w:sz="4" w:space="0" w:color="auto"/>
              <w:left w:val="single" w:sz="4" w:space="0" w:color="auto"/>
              <w:bottom w:val="single" w:sz="4" w:space="0" w:color="auto"/>
              <w:right w:val="single" w:sz="4" w:space="0" w:color="auto"/>
            </w:tcBorders>
            <w:vAlign w:val="center"/>
          </w:tcPr>
          <w:p w14:paraId="0EC40A89" w14:textId="77777777" w:rsidR="00101A38" w:rsidRPr="00DA3C6E" w:rsidRDefault="00101A38" w:rsidP="008C652F">
            <w:pPr>
              <w:pStyle w:val="Tabletext1"/>
              <w:jc w:val="center"/>
            </w:pPr>
            <w:r w:rsidRPr="00DA3C6E">
              <w:t>?</w:t>
            </w:r>
          </w:p>
        </w:tc>
        <w:tc>
          <w:tcPr>
            <w:tcW w:w="1580" w:type="dxa"/>
            <w:tcBorders>
              <w:top w:val="single" w:sz="4" w:space="0" w:color="auto"/>
              <w:left w:val="single" w:sz="4" w:space="0" w:color="auto"/>
              <w:bottom w:val="single" w:sz="4" w:space="0" w:color="auto"/>
              <w:right w:val="single" w:sz="4" w:space="0" w:color="auto"/>
            </w:tcBorders>
            <w:vAlign w:val="center"/>
          </w:tcPr>
          <w:p w14:paraId="11D4D4C8" w14:textId="77777777" w:rsidR="00101A38" w:rsidRPr="00DA3C6E" w:rsidRDefault="00101A38" w:rsidP="008C652F">
            <w:pPr>
              <w:pStyle w:val="Tabletext1"/>
              <w:jc w:val="center"/>
            </w:pPr>
            <w:r w:rsidRPr="00DA3C6E">
              <w:t>?</w:t>
            </w:r>
          </w:p>
        </w:tc>
        <w:tc>
          <w:tcPr>
            <w:tcW w:w="1696" w:type="dxa"/>
            <w:tcBorders>
              <w:top w:val="single" w:sz="4" w:space="0" w:color="auto"/>
              <w:left w:val="single" w:sz="4" w:space="0" w:color="auto"/>
              <w:bottom w:val="single" w:sz="4" w:space="0" w:color="auto"/>
              <w:right w:val="single" w:sz="4" w:space="0" w:color="auto"/>
            </w:tcBorders>
            <w:vAlign w:val="center"/>
          </w:tcPr>
          <w:p w14:paraId="2CF3BA2D" w14:textId="77777777" w:rsidR="00101A38" w:rsidRPr="00DA3C6E" w:rsidRDefault="00101A38" w:rsidP="008C652F">
            <w:pPr>
              <w:pStyle w:val="Tabletext1"/>
              <w:jc w:val="center"/>
            </w:pPr>
            <w:r w:rsidRPr="00DA3C6E">
              <w:t>? Likely CEA/CUA</w:t>
            </w:r>
          </w:p>
        </w:tc>
      </w:tr>
      <w:tr w:rsidR="00101A38" w:rsidRPr="00DA3C6E" w14:paraId="0A7CA1E5" w14:textId="77777777" w:rsidTr="00880E62">
        <w:trPr>
          <w:trHeight w:val="315"/>
        </w:trPr>
        <w:tc>
          <w:tcPr>
            <w:tcW w:w="2038" w:type="dxa"/>
            <w:tcBorders>
              <w:top w:val="single" w:sz="4" w:space="0" w:color="auto"/>
              <w:left w:val="single" w:sz="4" w:space="0" w:color="auto"/>
              <w:bottom w:val="single" w:sz="4" w:space="0" w:color="auto"/>
              <w:right w:val="single" w:sz="4" w:space="0" w:color="auto"/>
            </w:tcBorders>
            <w:vAlign w:val="center"/>
          </w:tcPr>
          <w:p w14:paraId="566C5EEB" w14:textId="77777777" w:rsidR="00101A38" w:rsidRPr="00DA3C6E" w:rsidRDefault="00101A38" w:rsidP="00880E62">
            <w:pPr>
              <w:pStyle w:val="Tabletext1"/>
              <w:jc w:val="left"/>
            </w:pPr>
            <w:r w:rsidRPr="00DA3C6E">
              <w:t>Non-inferior</w:t>
            </w:r>
            <w:r w:rsidRPr="00DA3C6E">
              <w:rPr>
                <w:vertAlign w:val="superscript"/>
              </w:rPr>
              <w:t>b</w:t>
            </w:r>
          </w:p>
        </w:tc>
        <w:tc>
          <w:tcPr>
            <w:tcW w:w="1817" w:type="dxa"/>
            <w:tcBorders>
              <w:top w:val="single" w:sz="4" w:space="0" w:color="auto"/>
              <w:left w:val="single" w:sz="4" w:space="0" w:color="auto"/>
              <w:bottom w:val="single" w:sz="4" w:space="0" w:color="auto"/>
              <w:right w:val="single" w:sz="4" w:space="0" w:color="auto"/>
            </w:tcBorders>
            <w:vAlign w:val="center"/>
          </w:tcPr>
          <w:p w14:paraId="16823770" w14:textId="77777777" w:rsidR="00101A38" w:rsidRPr="00DA3C6E" w:rsidRDefault="00101A38" w:rsidP="008C652F">
            <w:pPr>
              <w:pStyle w:val="Tabletext1"/>
              <w:jc w:val="center"/>
            </w:pPr>
            <w:r w:rsidRPr="00DA3C6E">
              <w:t>×</w:t>
            </w:r>
          </w:p>
        </w:tc>
        <w:tc>
          <w:tcPr>
            <w:tcW w:w="1885" w:type="dxa"/>
            <w:tcBorders>
              <w:top w:val="single" w:sz="4" w:space="0" w:color="auto"/>
              <w:left w:val="single" w:sz="4" w:space="0" w:color="auto"/>
              <w:bottom w:val="single" w:sz="4" w:space="0" w:color="auto"/>
              <w:right w:val="single" w:sz="4" w:space="0" w:color="auto"/>
            </w:tcBorders>
            <w:vAlign w:val="center"/>
          </w:tcPr>
          <w:p w14:paraId="1C9583E7" w14:textId="77777777" w:rsidR="00101A38" w:rsidRPr="00DA3C6E" w:rsidRDefault="00101A38" w:rsidP="008C652F">
            <w:pPr>
              <w:pStyle w:val="Tabletext1"/>
              <w:jc w:val="center"/>
            </w:pPr>
            <w:r w:rsidRPr="00DA3C6E">
              <w:t>?</w:t>
            </w:r>
          </w:p>
        </w:tc>
        <w:tc>
          <w:tcPr>
            <w:tcW w:w="1580" w:type="dxa"/>
            <w:tcBorders>
              <w:top w:val="single" w:sz="4" w:space="0" w:color="auto"/>
              <w:left w:val="single" w:sz="4" w:space="0" w:color="auto"/>
              <w:bottom w:val="single" w:sz="4" w:space="0" w:color="auto"/>
              <w:right w:val="single" w:sz="4" w:space="0" w:color="auto"/>
            </w:tcBorders>
            <w:vAlign w:val="center"/>
          </w:tcPr>
          <w:p w14:paraId="2EF201F2" w14:textId="77777777" w:rsidR="00101A38" w:rsidRPr="00DA3C6E" w:rsidRDefault="00101A38" w:rsidP="008C652F">
            <w:pPr>
              <w:pStyle w:val="Tabletext1"/>
              <w:jc w:val="center"/>
            </w:pPr>
            <w:r w:rsidRPr="00DA3C6E">
              <w:t>CMA</w:t>
            </w:r>
          </w:p>
        </w:tc>
        <w:tc>
          <w:tcPr>
            <w:tcW w:w="1696" w:type="dxa"/>
            <w:tcBorders>
              <w:top w:val="single" w:sz="4" w:space="0" w:color="auto"/>
              <w:left w:val="single" w:sz="4" w:space="0" w:color="auto"/>
              <w:bottom w:val="single" w:sz="4" w:space="0" w:color="auto"/>
              <w:right w:val="single" w:sz="4" w:space="0" w:color="auto"/>
            </w:tcBorders>
            <w:vAlign w:val="center"/>
          </w:tcPr>
          <w:p w14:paraId="15417044" w14:textId="77777777" w:rsidR="00101A38" w:rsidRPr="00DA3C6E" w:rsidRDefault="00101A38" w:rsidP="008C652F">
            <w:pPr>
              <w:pStyle w:val="Tabletext1"/>
              <w:jc w:val="center"/>
            </w:pPr>
            <w:r w:rsidRPr="00DA3C6E">
              <w:t>CEA/CUA</w:t>
            </w:r>
          </w:p>
        </w:tc>
      </w:tr>
      <w:tr w:rsidR="00101A38" w:rsidRPr="00DA3C6E" w14:paraId="0A1E3D15" w14:textId="77777777" w:rsidTr="00880E62">
        <w:trPr>
          <w:trHeight w:val="315"/>
        </w:trPr>
        <w:tc>
          <w:tcPr>
            <w:tcW w:w="2038" w:type="dxa"/>
            <w:tcBorders>
              <w:top w:val="single" w:sz="4" w:space="0" w:color="auto"/>
              <w:left w:val="single" w:sz="4" w:space="0" w:color="auto"/>
              <w:bottom w:val="single" w:sz="4" w:space="0" w:color="auto"/>
              <w:right w:val="single" w:sz="4" w:space="0" w:color="auto"/>
            </w:tcBorders>
            <w:vAlign w:val="center"/>
          </w:tcPr>
          <w:p w14:paraId="6A5B82B7" w14:textId="77777777" w:rsidR="00101A38" w:rsidRPr="00DA3C6E" w:rsidRDefault="00101A38" w:rsidP="00880E62">
            <w:pPr>
              <w:pStyle w:val="Tabletext1"/>
              <w:jc w:val="left"/>
            </w:pPr>
            <w:r w:rsidRPr="00DA3C6E">
              <w:t>Superior</w:t>
            </w:r>
          </w:p>
        </w:tc>
        <w:tc>
          <w:tcPr>
            <w:tcW w:w="1817" w:type="dxa"/>
            <w:tcBorders>
              <w:top w:val="single" w:sz="4" w:space="0" w:color="auto"/>
              <w:left w:val="single" w:sz="4" w:space="0" w:color="auto"/>
              <w:bottom w:val="single" w:sz="4" w:space="0" w:color="auto"/>
              <w:right w:val="single" w:sz="4" w:space="0" w:color="auto"/>
            </w:tcBorders>
            <w:vAlign w:val="center"/>
          </w:tcPr>
          <w:p w14:paraId="53B28CFB" w14:textId="77777777" w:rsidR="00101A38" w:rsidRPr="00DA3C6E" w:rsidRDefault="00101A38" w:rsidP="008C652F">
            <w:pPr>
              <w:pStyle w:val="Tabletext1"/>
              <w:jc w:val="center"/>
            </w:pPr>
            <w:r w:rsidRPr="00DA3C6E">
              <w:t>? Likely CUA</w:t>
            </w:r>
          </w:p>
        </w:tc>
        <w:tc>
          <w:tcPr>
            <w:tcW w:w="1885" w:type="dxa"/>
            <w:tcBorders>
              <w:top w:val="single" w:sz="4" w:space="0" w:color="auto"/>
              <w:left w:val="single" w:sz="4" w:space="0" w:color="auto"/>
              <w:bottom w:val="single" w:sz="4" w:space="0" w:color="auto"/>
              <w:right w:val="single" w:sz="4" w:space="0" w:color="auto"/>
            </w:tcBorders>
            <w:vAlign w:val="center"/>
          </w:tcPr>
          <w:p w14:paraId="03D7659C" w14:textId="77777777" w:rsidR="00101A38" w:rsidRPr="00DA3C6E" w:rsidRDefault="00101A38" w:rsidP="008C652F">
            <w:pPr>
              <w:pStyle w:val="Tabletext1"/>
              <w:jc w:val="center"/>
            </w:pPr>
            <w:r w:rsidRPr="00DA3C6E">
              <w:t>? Likely CEA/CUA</w:t>
            </w:r>
          </w:p>
        </w:tc>
        <w:tc>
          <w:tcPr>
            <w:tcW w:w="1580" w:type="dxa"/>
            <w:tcBorders>
              <w:top w:val="single" w:sz="4" w:space="0" w:color="auto"/>
              <w:left w:val="single" w:sz="4" w:space="0" w:color="auto"/>
              <w:bottom w:val="single" w:sz="4" w:space="0" w:color="auto"/>
              <w:right w:val="single" w:sz="4" w:space="0" w:color="auto"/>
            </w:tcBorders>
            <w:vAlign w:val="center"/>
          </w:tcPr>
          <w:p w14:paraId="7961BEC7" w14:textId="77777777" w:rsidR="00101A38" w:rsidRPr="00DA3C6E" w:rsidRDefault="00101A38" w:rsidP="008C652F">
            <w:pPr>
              <w:pStyle w:val="Tabletext1"/>
              <w:jc w:val="center"/>
            </w:pPr>
            <w:r w:rsidRPr="00DA3C6E">
              <w:t>CEA/CUA</w:t>
            </w:r>
          </w:p>
        </w:tc>
        <w:tc>
          <w:tcPr>
            <w:tcW w:w="1696" w:type="dxa"/>
            <w:tcBorders>
              <w:top w:val="single" w:sz="4" w:space="0" w:color="auto"/>
              <w:left w:val="single" w:sz="4" w:space="0" w:color="auto"/>
              <w:bottom w:val="single" w:sz="4" w:space="0" w:color="auto"/>
              <w:right w:val="single" w:sz="4" w:space="0" w:color="auto"/>
            </w:tcBorders>
            <w:vAlign w:val="center"/>
          </w:tcPr>
          <w:p w14:paraId="35E0BF78" w14:textId="77777777" w:rsidR="00101A38" w:rsidRPr="00DA3C6E" w:rsidRDefault="00101A38" w:rsidP="008C652F">
            <w:pPr>
              <w:pStyle w:val="Tabletext1"/>
              <w:jc w:val="center"/>
            </w:pPr>
            <w:r w:rsidRPr="00DA3C6E">
              <w:t>CEA/CUA</w:t>
            </w:r>
          </w:p>
        </w:tc>
      </w:tr>
    </w:tbl>
    <w:p w14:paraId="451A03FA" w14:textId="77777777" w:rsidR="00101A38" w:rsidRPr="00DA3C6E" w:rsidRDefault="00101A38" w:rsidP="00E16E87">
      <w:pPr>
        <w:pStyle w:val="Tablenotes0"/>
        <w:spacing w:after="0"/>
        <w:rPr>
          <w:szCs w:val="18"/>
        </w:rPr>
      </w:pPr>
      <w:r w:rsidRPr="00DA3C6E">
        <w:rPr>
          <w:szCs w:val="18"/>
        </w:rPr>
        <w:t xml:space="preserve">Abbreviations: CEA = cost-effectiveness analysis; CMA = cost-minimisation analysis; CUA=cost-utility analysis; IVIg = intravenous immunoglobulins. </w:t>
      </w:r>
    </w:p>
    <w:p w14:paraId="12177440" w14:textId="77777777" w:rsidR="00101A38" w:rsidRPr="00DA3C6E" w:rsidRDefault="00101A38" w:rsidP="00E16E87">
      <w:pPr>
        <w:pStyle w:val="Tablenotes0"/>
        <w:spacing w:after="240"/>
        <w:rPr>
          <w:szCs w:val="18"/>
        </w:rPr>
      </w:pPr>
      <w:r w:rsidRPr="00DA3C6E">
        <w:rPr>
          <w:szCs w:val="18"/>
        </w:rPr>
        <w:t xml:space="preserve">Notes: × = health forgone (at a cost). Under this situation, an economic evaluation is not warranted and the continued use of IVIg should not occur unless there are other supportive factors; ? = reflects uncertainties and any identified health trade-offs in the economic evaluation, as a minimum in a cost-consequences analysis; </w:t>
      </w:r>
      <w:r w:rsidRPr="00DA3C6E">
        <w:rPr>
          <w:szCs w:val="18"/>
          <w:vertAlign w:val="superscript"/>
        </w:rPr>
        <w:t>a</w:t>
      </w:r>
      <w:r w:rsidRPr="00DA3C6E">
        <w:rPr>
          <w:szCs w:val="18"/>
        </w:rPr>
        <w:t xml:space="preserve">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 </w:t>
      </w:r>
      <w:r w:rsidRPr="00DA3C6E">
        <w:rPr>
          <w:szCs w:val="18"/>
          <w:vertAlign w:val="superscript"/>
        </w:rPr>
        <w:t>b</w:t>
      </w:r>
      <w:r w:rsidRPr="00DA3C6E">
        <w:rPr>
          <w:szCs w:val="18"/>
        </w:rPr>
        <w:t> An adequate assessment of ‘non-inferiority’ is the preferred basis for demonstrating equivalence.</w:t>
      </w:r>
    </w:p>
    <w:p w14:paraId="28D37A57" w14:textId="36E215BD" w:rsidR="00101A38" w:rsidRPr="00DA3C6E" w:rsidRDefault="00101A38" w:rsidP="00E16E87">
      <w:r w:rsidRPr="00DA3C6E">
        <w:t>Based on this information, a cost-utility analysis was undertaken using data from Leger et al.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as the main source of treatment effect (further arguments for the selection of this source are provided in Section C.4.1). Where data was not available and/or not reported </w:t>
      </w:r>
      <w:r w:rsidR="007251AD" w:rsidRPr="00DA3C6E">
        <w:t xml:space="preserve">by </w:t>
      </w:r>
      <w:r w:rsidRPr="00DA3C6E">
        <w:t>Leger et al. 2001, the model relied on data from Hahn et al.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and other non-randomised single arm studies presented in Section B. Detailed information in regard to the model inputs is provided in Section D.4. The base case (Step 2) was generated using a modelled stepped evaluation detailed in </w:t>
      </w:r>
      <w:r w:rsidRPr="00DA3C6E">
        <w:fldChar w:fldCharType="begin"/>
      </w:r>
      <w:r w:rsidRPr="00DA3C6E">
        <w:instrText xml:space="preserve"> REF _Ref29205008 \h  \* MERGEFORMAT </w:instrText>
      </w:r>
      <w:r w:rsidRPr="00DA3C6E">
        <w:fldChar w:fldCharType="separate"/>
      </w:r>
      <w:r w:rsidR="00EA5DC1" w:rsidRPr="00DA3C6E">
        <w:t xml:space="preserve">Table </w:t>
      </w:r>
      <w:r w:rsidR="00EA5DC1">
        <w:t>28</w:t>
      </w:r>
      <w:r w:rsidRPr="00DA3C6E">
        <w:fldChar w:fldCharType="end"/>
      </w:r>
      <w:r w:rsidRPr="00DA3C6E">
        <w:t xml:space="preserve">. </w:t>
      </w:r>
    </w:p>
    <w:p w14:paraId="54093332" w14:textId="129B7052" w:rsidR="00101A38" w:rsidRPr="00DA3C6E" w:rsidRDefault="00101A38" w:rsidP="00537B56">
      <w:pPr>
        <w:pStyle w:val="Caption"/>
        <w:keepNext/>
        <w:keepLines/>
      </w:pPr>
      <w:bookmarkStart w:id="263" w:name="_Ref29205008"/>
      <w:bookmarkStart w:id="264" w:name="_Toc30497475"/>
      <w:bookmarkStart w:id="265" w:name="_Toc33449606"/>
      <w:bookmarkStart w:id="266" w:name="_Toc37845831"/>
      <w:r w:rsidRPr="00DA3C6E">
        <w:t xml:space="preserve">Table </w:t>
      </w:r>
      <w:r w:rsidR="00515153">
        <w:fldChar w:fldCharType="begin"/>
      </w:r>
      <w:r w:rsidR="00515153">
        <w:instrText xml:space="preserve"> SEQ Table \* ARABIC </w:instrText>
      </w:r>
      <w:r w:rsidR="00515153">
        <w:fldChar w:fldCharType="separate"/>
      </w:r>
      <w:r w:rsidR="00EA5DC1">
        <w:rPr>
          <w:noProof/>
        </w:rPr>
        <w:t>28</w:t>
      </w:r>
      <w:r w:rsidR="00515153">
        <w:rPr>
          <w:noProof/>
        </w:rPr>
        <w:fldChar w:fldCharType="end"/>
      </w:r>
      <w:bookmarkEnd w:id="263"/>
      <w:r w:rsidRPr="00DA3C6E">
        <w:t>. Stepped economic evaluation</w:t>
      </w:r>
      <w:bookmarkEnd w:id="264"/>
      <w:bookmarkEnd w:id="265"/>
      <w:bookmarkEnd w:id="266"/>
    </w:p>
    <w:tbl>
      <w:tblPr>
        <w:tblStyle w:val="TableGrid"/>
        <w:tblW w:w="0" w:type="auto"/>
        <w:tblLook w:val="04A0" w:firstRow="1" w:lastRow="0" w:firstColumn="1" w:lastColumn="0" w:noHBand="0" w:noVBand="1"/>
        <w:tblCaption w:val="Table 28. Stepped economic evaluation"/>
      </w:tblPr>
      <w:tblGrid>
        <w:gridCol w:w="1129"/>
        <w:gridCol w:w="7887"/>
      </w:tblGrid>
      <w:tr w:rsidR="00101A38" w:rsidRPr="00DA3C6E" w14:paraId="2E20F0D2" w14:textId="77777777" w:rsidTr="00D56F4F">
        <w:trPr>
          <w:tblHeader/>
        </w:trPr>
        <w:tc>
          <w:tcPr>
            <w:tcW w:w="1129" w:type="dxa"/>
            <w:vAlign w:val="center"/>
          </w:tcPr>
          <w:p w14:paraId="7FFDEBF6" w14:textId="77777777" w:rsidR="00101A38" w:rsidRPr="00DA3C6E" w:rsidRDefault="00101A38" w:rsidP="00537B56">
            <w:pPr>
              <w:pStyle w:val="Tabletext1"/>
              <w:keepNext/>
              <w:keepLines/>
              <w:ind w:left="0"/>
              <w:jc w:val="left"/>
              <w:rPr>
                <w:b/>
              </w:rPr>
            </w:pPr>
            <w:r w:rsidRPr="00DA3C6E">
              <w:rPr>
                <w:b/>
              </w:rPr>
              <w:t>Steps</w:t>
            </w:r>
          </w:p>
        </w:tc>
        <w:tc>
          <w:tcPr>
            <w:tcW w:w="7887" w:type="dxa"/>
            <w:vAlign w:val="center"/>
          </w:tcPr>
          <w:p w14:paraId="4B5244A9" w14:textId="77777777" w:rsidR="00101A38" w:rsidRPr="00DA3C6E" w:rsidRDefault="00101A38" w:rsidP="00537B56">
            <w:pPr>
              <w:pStyle w:val="Tabletext1"/>
              <w:keepNext/>
              <w:keepLines/>
              <w:ind w:left="0"/>
              <w:jc w:val="left"/>
              <w:rPr>
                <w:b/>
              </w:rPr>
            </w:pPr>
            <w:r w:rsidRPr="00DA3C6E">
              <w:rPr>
                <w:b/>
              </w:rPr>
              <w:t>Description</w:t>
            </w:r>
          </w:p>
        </w:tc>
      </w:tr>
      <w:tr w:rsidR="00101A38" w:rsidRPr="00DA3C6E" w14:paraId="0F3DABF3" w14:textId="77777777" w:rsidTr="00C45858">
        <w:tc>
          <w:tcPr>
            <w:tcW w:w="1129" w:type="dxa"/>
            <w:vAlign w:val="center"/>
          </w:tcPr>
          <w:p w14:paraId="40C37192" w14:textId="77777777" w:rsidR="00101A38" w:rsidRPr="00DA3C6E" w:rsidRDefault="00101A38" w:rsidP="00537B56">
            <w:pPr>
              <w:pStyle w:val="Tabletext1"/>
              <w:keepNext/>
              <w:keepLines/>
              <w:ind w:left="0"/>
              <w:jc w:val="left"/>
            </w:pPr>
            <w:r w:rsidRPr="00DA3C6E">
              <w:t>Step 1</w:t>
            </w:r>
          </w:p>
        </w:tc>
        <w:tc>
          <w:tcPr>
            <w:tcW w:w="7887" w:type="dxa"/>
            <w:vAlign w:val="center"/>
          </w:tcPr>
          <w:p w14:paraId="24E8BA3E" w14:textId="70DB7A79" w:rsidR="00101A38" w:rsidRPr="00DA3C6E" w:rsidRDefault="00101A38" w:rsidP="00025612">
            <w:pPr>
              <w:pStyle w:val="Tabletext1"/>
              <w:keepNext/>
              <w:keepLines/>
              <w:ind w:left="0"/>
              <w:jc w:val="left"/>
            </w:pPr>
            <w:r w:rsidRPr="00DA3C6E">
              <w:t xml:space="preserve">Presents a trial-based economic evaluation which spanned the randomised trial time horizon of </w:t>
            </w:r>
            <w:r w:rsidR="00025612">
              <w:t>7</w:t>
            </w:r>
            <w:r w:rsidRPr="00DA3C6E">
              <w:t xml:space="preserve"> months (Leger et al</w:t>
            </w:r>
            <w:r w:rsidR="007251AD" w:rsidRPr="00DA3C6E">
              <w:t>.</w:t>
            </w:r>
            <w:r w:rsidRPr="00DA3C6E">
              <w:t xml:space="preserve">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outcome reported as the incremental cost per QALY.</w:t>
            </w:r>
          </w:p>
        </w:tc>
      </w:tr>
      <w:tr w:rsidR="00101A38" w:rsidRPr="00DA3C6E" w14:paraId="3911E73C" w14:textId="77777777" w:rsidTr="00C45858">
        <w:tc>
          <w:tcPr>
            <w:tcW w:w="1129" w:type="dxa"/>
            <w:vAlign w:val="center"/>
          </w:tcPr>
          <w:p w14:paraId="7B716D62" w14:textId="77777777" w:rsidR="00101A38" w:rsidRDefault="00101A38" w:rsidP="00537B56">
            <w:pPr>
              <w:pStyle w:val="Tabletext1"/>
              <w:keepNext/>
              <w:keepLines/>
              <w:ind w:left="0"/>
              <w:jc w:val="left"/>
            </w:pPr>
            <w:r w:rsidRPr="00DA3C6E">
              <w:t>Step 2</w:t>
            </w:r>
            <w:r w:rsidR="004F5B99">
              <w:t xml:space="preserve"> </w:t>
            </w:r>
          </w:p>
          <w:p w14:paraId="4BFA516F" w14:textId="1210D123" w:rsidR="004F5B99" w:rsidRPr="00DA3C6E" w:rsidRDefault="004F5B99" w:rsidP="00537B56">
            <w:pPr>
              <w:pStyle w:val="Tabletext1"/>
              <w:keepNext/>
              <w:keepLines/>
              <w:ind w:left="0"/>
              <w:jc w:val="left"/>
            </w:pPr>
            <w:r>
              <w:t>(base case)</w:t>
            </w:r>
          </w:p>
        </w:tc>
        <w:tc>
          <w:tcPr>
            <w:tcW w:w="7887" w:type="dxa"/>
            <w:vAlign w:val="center"/>
          </w:tcPr>
          <w:p w14:paraId="5D12E617" w14:textId="77777777" w:rsidR="00101A38" w:rsidRPr="00DA3C6E" w:rsidRDefault="00101A38" w:rsidP="00537B56">
            <w:pPr>
              <w:pStyle w:val="Tabletext1"/>
              <w:keepNext/>
              <w:keepLines/>
              <w:ind w:left="0"/>
              <w:jc w:val="left"/>
            </w:pPr>
            <w:r w:rsidRPr="00DA3C6E">
              <w:t>Presents a modelled economic evaluation over a 15 years’ time horizon (extrapolated to 15 years) and estimates the incremental cost per QALY gained.</w:t>
            </w:r>
          </w:p>
        </w:tc>
      </w:tr>
      <w:tr w:rsidR="00101A38" w:rsidRPr="00DA3C6E" w14:paraId="531211EF" w14:textId="77777777" w:rsidTr="00C45858">
        <w:tc>
          <w:tcPr>
            <w:tcW w:w="1129" w:type="dxa"/>
            <w:vAlign w:val="center"/>
          </w:tcPr>
          <w:p w14:paraId="7EE0AB54" w14:textId="633281B2" w:rsidR="00101A38" w:rsidRPr="00DA3C6E" w:rsidRDefault="00101A38" w:rsidP="004F5B99">
            <w:pPr>
              <w:pStyle w:val="Tabletext1"/>
              <w:keepNext/>
              <w:keepLines/>
              <w:ind w:left="0"/>
              <w:jc w:val="left"/>
            </w:pPr>
            <w:r w:rsidRPr="00DA3C6E">
              <w:t xml:space="preserve">Step 3 </w:t>
            </w:r>
          </w:p>
        </w:tc>
        <w:tc>
          <w:tcPr>
            <w:tcW w:w="7887" w:type="dxa"/>
            <w:vAlign w:val="center"/>
          </w:tcPr>
          <w:p w14:paraId="0C19C11C" w14:textId="77777777" w:rsidR="00101A38" w:rsidRPr="00DA3C6E" w:rsidRDefault="00101A38" w:rsidP="00537B56">
            <w:pPr>
              <w:pStyle w:val="Tabletext1"/>
              <w:keepNext/>
              <w:keepLines/>
              <w:ind w:left="0"/>
              <w:jc w:val="left"/>
            </w:pPr>
            <w:r w:rsidRPr="00DA3C6E">
              <w:t>Presents a modelled economic evaluation over a lifetime time horizon and estimates the incremental cost per QALY gained.</w:t>
            </w:r>
          </w:p>
        </w:tc>
      </w:tr>
    </w:tbl>
    <w:p w14:paraId="7746D197" w14:textId="77777777" w:rsidR="00101A38" w:rsidRPr="00DA3C6E" w:rsidRDefault="00101A38" w:rsidP="0048371A">
      <w:pPr>
        <w:spacing w:after="0" w:line="240" w:lineRule="auto"/>
        <w:rPr>
          <w:rFonts w:ascii="Arial Narrow" w:hAnsi="Arial Narrow"/>
          <w:sz w:val="18"/>
        </w:rPr>
      </w:pPr>
      <w:r w:rsidRPr="00DA3C6E">
        <w:rPr>
          <w:rFonts w:ascii="Arial Narrow" w:hAnsi="Arial Narrow"/>
          <w:sz w:val="18"/>
        </w:rPr>
        <w:t>Abbreviations: QALY = quality adjusted life years.</w:t>
      </w:r>
    </w:p>
    <w:p w14:paraId="72E390E7" w14:textId="0880D40B" w:rsidR="00101A38" w:rsidRPr="00DA3C6E" w:rsidRDefault="00101A38" w:rsidP="0048371A">
      <w:pPr>
        <w:spacing w:line="240" w:lineRule="auto"/>
        <w:rPr>
          <w:rFonts w:ascii="Arial Narrow" w:hAnsi="Arial Narrow"/>
          <w:sz w:val="18"/>
        </w:rPr>
      </w:pPr>
      <w:r w:rsidRPr="00DA3C6E">
        <w:rPr>
          <w:rFonts w:ascii="Arial Narrow" w:hAnsi="Arial Narrow"/>
          <w:sz w:val="18"/>
        </w:rPr>
        <w:t xml:space="preserve">Note: The stepped evaluation </w:t>
      </w:r>
      <w:r w:rsidR="007251AD" w:rsidRPr="00DA3C6E">
        <w:rPr>
          <w:rFonts w:ascii="Arial Narrow" w:hAnsi="Arial Narrow"/>
          <w:sz w:val="18"/>
        </w:rPr>
        <w:t xml:space="preserve">does </w:t>
      </w:r>
      <w:r w:rsidRPr="00DA3C6E">
        <w:rPr>
          <w:rFonts w:ascii="Arial Narrow" w:hAnsi="Arial Narrow"/>
          <w:sz w:val="18"/>
        </w:rPr>
        <w:t>not include steps that evaluated incremental cost per life years because the results are not informative as both treatment arms experience the same rate of death (i.e. death due to all causes using the Australian life tables).</w:t>
      </w:r>
    </w:p>
    <w:p w14:paraId="1F3AE249" w14:textId="77777777" w:rsidR="00101A38" w:rsidRPr="00DA3C6E" w:rsidRDefault="00101A38" w:rsidP="0073359F">
      <w:pPr>
        <w:pStyle w:val="Heading2"/>
        <w:numPr>
          <w:ilvl w:val="3"/>
          <w:numId w:val="61"/>
        </w:numPr>
        <w:jc w:val="left"/>
      </w:pPr>
      <w:bookmarkStart w:id="267" w:name="_Toc381796477"/>
      <w:bookmarkStart w:id="268" w:name="_Toc37845763"/>
      <w:r w:rsidRPr="00DA3C6E">
        <w:lastRenderedPageBreak/>
        <w:t>Populations and settings</w:t>
      </w:r>
      <w:bookmarkEnd w:id="267"/>
      <w:bookmarkEnd w:id="268"/>
    </w:p>
    <w:p w14:paraId="3107C171" w14:textId="4D2D2AB1" w:rsidR="00101A38" w:rsidRPr="00DA3C6E" w:rsidRDefault="00101A38" w:rsidP="00E359A5">
      <w:r w:rsidRPr="00DA3C6E">
        <w:t>The aim of the economic evaluation is to reflect the Australian MMN patient population, hence the modelled patient cohort was assumed to match that represented from the diagnostic criteria and treatment use recommended in The Criteria V3. The current approved indication is as first-line and maintenance therapy and for patients who relapse within six months of commencement of a trial off intravenous Ig in patients who fulfil the diagnostic criteria for MMN. Although the patient demographic characteristic</w:t>
      </w:r>
      <w:r w:rsidR="007251AD" w:rsidRPr="00DA3C6E">
        <w:t>s</w:t>
      </w:r>
      <w:r w:rsidRPr="00DA3C6E">
        <w:t xml:space="preserve"> were generally not well reported from the BloodSTAR database, a comparison of Australian MMN patients currently receiving intravenous Ig treatment with patients in the RCTs was presented in Section C.2.3. Based on the literature, it was assumed that more males than females are diagnosed with MMN in Australia (76.3% versus 23.7%) with an average age of 59 years (as per data provided by the NBA). It was assumed that patients diagnosed with MMN in Australia under The Criteria V3 match the patient population from the randomised study conducted by Leger et al. 2001</w:t>
      </w:r>
      <w:r w:rsidR="00284464">
        <w:t xml:space="preserve"> </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This means that the treatment effect of intravenous Ig from this study was used in the base case analysis to determine the probability of a patient responding to IVIg after initial and subsequent maintenance treatment.</w:t>
      </w:r>
    </w:p>
    <w:p w14:paraId="1194EB5D" w14:textId="360EE150" w:rsidR="00101A38" w:rsidRPr="00DA3C6E" w:rsidRDefault="00101A38" w:rsidP="00E359A5">
      <w:r w:rsidRPr="00DA3C6E">
        <w:t>Based on the BloodSTAR database, a patient in Australia receives, on average, 0.41g/kg of intravenous Ig per treatment episode</w:t>
      </w:r>
      <w:r w:rsidR="0073528B" w:rsidRPr="00DA3C6E">
        <w:t xml:space="preserve"> for MMN</w:t>
      </w:r>
      <w:r w:rsidRPr="00DA3C6E">
        <w:t xml:space="preserve">. </w:t>
      </w:r>
      <w:r w:rsidR="001F166F" w:rsidRPr="00DA3C6E">
        <w:t>This dose equates to an expected monthly dose of approximately 0.64 g/</w:t>
      </w:r>
      <w:r w:rsidR="0073528B" w:rsidRPr="00DA3C6E">
        <w:t>k</w:t>
      </w:r>
      <w:r w:rsidR="001F166F" w:rsidRPr="00DA3C6E">
        <w:t xml:space="preserve">g. </w:t>
      </w:r>
      <w:r w:rsidRPr="00DA3C6E">
        <w:t xml:space="preserve">This dose is consistent with that suggested in The Criteria V3 of 2 g/kg divided into 2-5 doses for the induction phase. This dose is also consistent with that recommended in the randomised clinical trials as described in Section C.2.2, however, the trial dose did not distinguish between induction and maintenance doses, which may result in higher doses used in the clinical trials compared to the Australian setting. The average intravenous Ig dose used in this population as reported by BloodSTAR is consistent with the recommendation from The Criteria V3, which specifies that the lowest possible dose that achieves the appropriate clinical outcome for the patient should be used. Based on this and the fact that there is substantial experience with the use of intravenous Ig in patients with MMN in Australia, the dose reported in the BloodSTAR database was used to capture utilisation in the economic and budget impact model. Although some differences in terms of dosing were found between the Australian setting and the RCTs (Section C.2.2), it was assumed that these would not impact the treatment effect. </w:t>
      </w:r>
    </w:p>
    <w:p w14:paraId="19160410" w14:textId="00CE48F1" w:rsidR="00101A38" w:rsidRPr="00DA3C6E" w:rsidRDefault="00101A38" w:rsidP="00E359A5">
      <w:r w:rsidRPr="00DA3C6E">
        <w:t>In addition, The Criteria V3 does not specify in its recommendations a maximum duration of treatment, rather</w:t>
      </w:r>
      <w:r w:rsidR="007251AD" w:rsidRPr="00DA3C6E">
        <w:t xml:space="preserve"> it</w:t>
      </w:r>
      <w:r w:rsidRPr="00DA3C6E">
        <w:t xml:space="preserve"> guides treatment based on specific time points of clinical assessment to determine responsiveness and clinical benefit. For this reason, the modelled cohort of patients will receive treatment based on probabilities of discontinuation due to adverse events (hence no longer receiving </w:t>
      </w:r>
      <w:r w:rsidR="001F166F" w:rsidRPr="00DA3C6E">
        <w:t>i</w:t>
      </w:r>
      <w:r w:rsidRPr="00DA3C6E">
        <w:t xml:space="preserve">ntravenous Ig treatment) and the probability of being a responder and having had initiated a weaning off trial phase. The latter allows for a patient reinitiating treatment with no time limit at a constant probability. </w:t>
      </w:r>
    </w:p>
    <w:p w14:paraId="7CA692E8" w14:textId="77777777" w:rsidR="00101A38" w:rsidRPr="00DA3C6E" w:rsidRDefault="00101A38" w:rsidP="0073359F">
      <w:pPr>
        <w:pStyle w:val="Heading2"/>
        <w:numPr>
          <w:ilvl w:val="3"/>
          <w:numId w:val="61"/>
        </w:numPr>
        <w:jc w:val="left"/>
      </w:pPr>
      <w:bookmarkStart w:id="269" w:name="_Toc381796478"/>
      <w:bookmarkStart w:id="270" w:name="_Toc37845764"/>
      <w:r w:rsidRPr="00DA3C6E">
        <w:lastRenderedPageBreak/>
        <w:t>Structure and rationale of the economic evaluation</w:t>
      </w:r>
      <w:bookmarkEnd w:id="269"/>
      <w:bookmarkEnd w:id="270"/>
    </w:p>
    <w:p w14:paraId="1D5EB7DC" w14:textId="0BB24ABF" w:rsidR="00101A38" w:rsidRPr="00DA3C6E" w:rsidRDefault="00101A38" w:rsidP="00E359A5">
      <w:r w:rsidRPr="00DA3C6E">
        <w:t xml:space="preserve">A summary of the key characteristics of the economic evaluation is given in </w:t>
      </w:r>
      <w:r w:rsidRPr="00DA3C6E">
        <w:fldChar w:fldCharType="begin"/>
      </w:r>
      <w:r w:rsidRPr="00DA3C6E">
        <w:instrText xml:space="preserve"> REF _Ref29218242 \h </w:instrText>
      </w:r>
      <w:r w:rsidR="00E8759F" w:rsidRPr="00DA3C6E">
        <w:instrText xml:space="preserve"> \* MERGEFORMAT </w:instrText>
      </w:r>
      <w:r w:rsidRPr="00DA3C6E">
        <w:fldChar w:fldCharType="separate"/>
      </w:r>
      <w:r w:rsidR="00EA5DC1" w:rsidRPr="00DA3C6E">
        <w:t xml:space="preserve">Table </w:t>
      </w:r>
      <w:r w:rsidR="00EA5DC1">
        <w:rPr>
          <w:noProof/>
        </w:rPr>
        <w:t>29</w:t>
      </w:r>
      <w:r w:rsidRPr="00DA3C6E">
        <w:fldChar w:fldCharType="end"/>
      </w:r>
      <w:r w:rsidRPr="00DA3C6E">
        <w:t>.</w:t>
      </w:r>
    </w:p>
    <w:p w14:paraId="55C023D9" w14:textId="1783EFA8" w:rsidR="00101A38" w:rsidRPr="00DA3C6E" w:rsidRDefault="00101A38" w:rsidP="00880E62">
      <w:pPr>
        <w:pStyle w:val="Caption"/>
      </w:pPr>
      <w:bookmarkStart w:id="271" w:name="_Ref29218242"/>
      <w:bookmarkStart w:id="272" w:name="_Toc30497476"/>
      <w:bookmarkStart w:id="273" w:name="_Toc33449607"/>
      <w:bookmarkStart w:id="274" w:name="_Toc37845832"/>
      <w:r w:rsidRPr="00DA3C6E">
        <w:t xml:space="preserve">Table </w:t>
      </w:r>
      <w:r w:rsidR="00515153">
        <w:fldChar w:fldCharType="begin"/>
      </w:r>
      <w:r w:rsidR="00515153">
        <w:instrText xml:space="preserve"> SEQ Table \* ARABIC </w:instrText>
      </w:r>
      <w:r w:rsidR="00515153">
        <w:fldChar w:fldCharType="separate"/>
      </w:r>
      <w:r w:rsidR="00EA5DC1">
        <w:rPr>
          <w:noProof/>
        </w:rPr>
        <w:t>29</w:t>
      </w:r>
      <w:r w:rsidR="00515153">
        <w:rPr>
          <w:noProof/>
        </w:rPr>
        <w:fldChar w:fldCharType="end"/>
      </w:r>
      <w:bookmarkEnd w:id="271"/>
      <w:r w:rsidRPr="00DA3C6E">
        <w:t>. Summary of the economic evaluation</w:t>
      </w:r>
      <w:bookmarkEnd w:id="272"/>
      <w:bookmarkEnd w:id="273"/>
      <w:bookmarkEnd w:id="274"/>
      <w:r w:rsidRPr="00DA3C6E">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89"/>
        <w:gridCol w:w="5832"/>
      </w:tblGrid>
      <w:tr w:rsidR="00101A38" w:rsidRPr="00DA3C6E" w14:paraId="1EDD04B3" w14:textId="77777777" w:rsidTr="00ED17AF">
        <w:trPr>
          <w:trHeight w:val="20"/>
          <w:tblHeader/>
        </w:trPr>
        <w:tc>
          <w:tcPr>
            <w:tcW w:w="3189" w:type="dxa"/>
            <w:tcBorders>
              <w:top w:val="single" w:sz="4" w:space="0" w:color="auto"/>
              <w:left w:val="single" w:sz="4" w:space="0" w:color="auto"/>
              <w:bottom w:val="single" w:sz="4" w:space="0" w:color="auto"/>
              <w:right w:val="single" w:sz="4" w:space="0" w:color="auto"/>
            </w:tcBorders>
            <w:vAlign w:val="center"/>
          </w:tcPr>
          <w:p w14:paraId="472C2D20" w14:textId="77777777" w:rsidR="00101A38" w:rsidRPr="00DA3C6E" w:rsidRDefault="00101A38" w:rsidP="00ED17AF">
            <w:pPr>
              <w:pStyle w:val="Tabletext1"/>
              <w:jc w:val="left"/>
              <w:rPr>
                <w:b/>
              </w:rPr>
            </w:pPr>
            <w:r w:rsidRPr="00DA3C6E">
              <w:rPr>
                <w:b/>
              </w:rPr>
              <w:t>Model characteristics</w:t>
            </w:r>
          </w:p>
        </w:tc>
        <w:tc>
          <w:tcPr>
            <w:tcW w:w="5832" w:type="dxa"/>
            <w:tcBorders>
              <w:top w:val="single" w:sz="4" w:space="0" w:color="auto"/>
              <w:left w:val="single" w:sz="4" w:space="0" w:color="auto"/>
              <w:bottom w:val="single" w:sz="4" w:space="0" w:color="auto"/>
              <w:right w:val="single" w:sz="4" w:space="0" w:color="auto"/>
            </w:tcBorders>
            <w:vAlign w:val="center"/>
          </w:tcPr>
          <w:p w14:paraId="04CBF0AE" w14:textId="77777777" w:rsidR="00101A38" w:rsidRPr="00DA3C6E" w:rsidRDefault="00101A38" w:rsidP="00ED17AF">
            <w:pPr>
              <w:pStyle w:val="Tabletext1"/>
              <w:jc w:val="left"/>
              <w:rPr>
                <w:b/>
              </w:rPr>
            </w:pPr>
            <w:r w:rsidRPr="00DA3C6E">
              <w:rPr>
                <w:b/>
              </w:rPr>
              <w:t>Inputs used in the base case model</w:t>
            </w:r>
          </w:p>
        </w:tc>
      </w:tr>
      <w:tr w:rsidR="00101A38" w:rsidRPr="00DA3C6E" w14:paraId="0D0622F5"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200A176D" w14:textId="77777777" w:rsidR="00101A38" w:rsidRPr="00DA3C6E" w:rsidRDefault="00101A38" w:rsidP="00ED17AF">
            <w:pPr>
              <w:pStyle w:val="Tabletext1"/>
              <w:jc w:val="left"/>
              <w:rPr>
                <w:b/>
              </w:rPr>
            </w:pPr>
            <w:r w:rsidRPr="00DA3C6E">
              <w:rPr>
                <w:b/>
              </w:rPr>
              <w:t>Perspective</w:t>
            </w:r>
          </w:p>
        </w:tc>
        <w:tc>
          <w:tcPr>
            <w:tcW w:w="5832" w:type="dxa"/>
            <w:tcBorders>
              <w:top w:val="single" w:sz="4" w:space="0" w:color="auto"/>
              <w:left w:val="single" w:sz="4" w:space="0" w:color="auto"/>
              <w:bottom w:val="single" w:sz="4" w:space="0" w:color="auto"/>
              <w:right w:val="single" w:sz="4" w:space="0" w:color="auto"/>
            </w:tcBorders>
            <w:vAlign w:val="center"/>
          </w:tcPr>
          <w:p w14:paraId="3E31869E"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Australian health care system</w:t>
            </w:r>
          </w:p>
        </w:tc>
      </w:tr>
      <w:tr w:rsidR="00101A38" w:rsidRPr="00DA3C6E" w14:paraId="096E7C52"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3F77D663" w14:textId="77777777" w:rsidR="00101A38" w:rsidRPr="00DA3C6E" w:rsidRDefault="00101A38" w:rsidP="00ED17AF">
            <w:pPr>
              <w:pStyle w:val="Tabletext1"/>
              <w:jc w:val="left"/>
              <w:rPr>
                <w:b/>
              </w:rPr>
            </w:pPr>
            <w:r w:rsidRPr="00DA3C6E">
              <w:rPr>
                <w:b/>
              </w:rPr>
              <w:t>Comparator</w:t>
            </w:r>
          </w:p>
        </w:tc>
        <w:tc>
          <w:tcPr>
            <w:tcW w:w="5832" w:type="dxa"/>
            <w:tcBorders>
              <w:top w:val="single" w:sz="4" w:space="0" w:color="auto"/>
              <w:left w:val="single" w:sz="4" w:space="0" w:color="auto"/>
              <w:bottom w:val="single" w:sz="4" w:space="0" w:color="auto"/>
              <w:right w:val="single" w:sz="4" w:space="0" w:color="auto"/>
            </w:tcBorders>
            <w:vAlign w:val="center"/>
          </w:tcPr>
          <w:p w14:paraId="73687572" w14:textId="77777777" w:rsidR="00101A38" w:rsidRPr="00DA3C6E" w:rsidRDefault="00101A38" w:rsidP="00B134F9">
            <w:pPr>
              <w:spacing w:after="0" w:line="240" w:lineRule="auto"/>
              <w:jc w:val="left"/>
              <w:rPr>
                <w:rFonts w:ascii="Arial Narrow" w:hAnsi="Arial Narrow"/>
                <w:sz w:val="20"/>
                <w:szCs w:val="20"/>
              </w:rPr>
            </w:pPr>
            <w:r w:rsidRPr="00DA3C6E">
              <w:rPr>
                <w:rFonts w:ascii="Arial Narrow" w:hAnsi="Arial Narrow"/>
                <w:sz w:val="20"/>
                <w:szCs w:val="20"/>
              </w:rPr>
              <w:t>No Ig with BSC</w:t>
            </w:r>
          </w:p>
        </w:tc>
      </w:tr>
      <w:tr w:rsidR="00101A38" w:rsidRPr="00DA3C6E" w14:paraId="7199A5AA"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6EA40A76" w14:textId="77777777" w:rsidR="00101A38" w:rsidRPr="00DA3C6E" w:rsidRDefault="00101A38" w:rsidP="00ED17AF">
            <w:pPr>
              <w:pStyle w:val="Tabletext1"/>
              <w:jc w:val="left"/>
              <w:rPr>
                <w:b/>
              </w:rPr>
            </w:pPr>
            <w:r w:rsidRPr="00DA3C6E">
              <w:rPr>
                <w:b/>
              </w:rPr>
              <w:t>Type of economic evaluation</w:t>
            </w:r>
          </w:p>
        </w:tc>
        <w:tc>
          <w:tcPr>
            <w:tcW w:w="5832" w:type="dxa"/>
            <w:tcBorders>
              <w:top w:val="single" w:sz="4" w:space="0" w:color="auto"/>
              <w:left w:val="single" w:sz="4" w:space="0" w:color="auto"/>
              <w:bottom w:val="single" w:sz="4" w:space="0" w:color="auto"/>
              <w:right w:val="single" w:sz="4" w:space="0" w:color="auto"/>
            </w:tcBorders>
            <w:vAlign w:val="center"/>
          </w:tcPr>
          <w:p w14:paraId="2632454F"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Cost utility analysis</w:t>
            </w:r>
          </w:p>
        </w:tc>
      </w:tr>
      <w:tr w:rsidR="00101A38" w:rsidRPr="00DA3C6E" w14:paraId="5F41079B"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2E754CEA" w14:textId="77777777" w:rsidR="00101A38" w:rsidRPr="00DA3C6E" w:rsidRDefault="00101A38" w:rsidP="00ED17AF">
            <w:pPr>
              <w:pStyle w:val="Tabletext1"/>
              <w:jc w:val="left"/>
              <w:rPr>
                <w:b/>
              </w:rPr>
            </w:pPr>
            <w:r w:rsidRPr="00DA3C6E">
              <w:rPr>
                <w:b/>
              </w:rPr>
              <w:t>Sources of evidence</w:t>
            </w:r>
          </w:p>
        </w:tc>
        <w:tc>
          <w:tcPr>
            <w:tcW w:w="5832" w:type="dxa"/>
            <w:tcBorders>
              <w:top w:val="single" w:sz="4" w:space="0" w:color="auto"/>
              <w:left w:val="single" w:sz="4" w:space="0" w:color="auto"/>
              <w:bottom w:val="single" w:sz="4" w:space="0" w:color="auto"/>
              <w:right w:val="single" w:sz="4" w:space="0" w:color="auto"/>
            </w:tcBorders>
            <w:vAlign w:val="center"/>
          </w:tcPr>
          <w:p w14:paraId="6514850C"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Systematic review, expert opinion (Ig review reference group), NBA.</w:t>
            </w:r>
          </w:p>
        </w:tc>
      </w:tr>
      <w:tr w:rsidR="00101A38" w:rsidRPr="00DA3C6E" w14:paraId="68E38400"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5CCDB4E0" w14:textId="77777777" w:rsidR="00101A38" w:rsidRPr="00DA3C6E" w:rsidRDefault="00101A38" w:rsidP="00ED17AF">
            <w:pPr>
              <w:pStyle w:val="Tabletext1"/>
              <w:jc w:val="left"/>
              <w:rPr>
                <w:b/>
              </w:rPr>
            </w:pPr>
            <w:r w:rsidRPr="00DA3C6E">
              <w:rPr>
                <w:b/>
              </w:rPr>
              <w:t>Time horizon</w:t>
            </w:r>
          </w:p>
        </w:tc>
        <w:tc>
          <w:tcPr>
            <w:tcW w:w="5832" w:type="dxa"/>
            <w:tcBorders>
              <w:top w:val="single" w:sz="4" w:space="0" w:color="auto"/>
              <w:left w:val="single" w:sz="4" w:space="0" w:color="auto"/>
              <w:bottom w:val="single" w:sz="4" w:space="0" w:color="auto"/>
              <w:right w:val="single" w:sz="4" w:space="0" w:color="auto"/>
            </w:tcBorders>
            <w:vAlign w:val="center"/>
            <w:hideMark/>
          </w:tcPr>
          <w:p w14:paraId="5AA0E0F9"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 xml:space="preserve">15 years </w:t>
            </w:r>
          </w:p>
        </w:tc>
      </w:tr>
      <w:tr w:rsidR="00101A38" w:rsidRPr="00DA3C6E" w14:paraId="1E43FE21"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7B4BE224" w14:textId="77777777" w:rsidR="00101A38" w:rsidRPr="00DA3C6E" w:rsidRDefault="00101A38" w:rsidP="00ED17AF">
            <w:pPr>
              <w:pStyle w:val="Tabletext1"/>
              <w:jc w:val="left"/>
              <w:rPr>
                <w:b/>
              </w:rPr>
            </w:pPr>
            <w:r w:rsidRPr="00DA3C6E">
              <w:rPr>
                <w:b/>
              </w:rPr>
              <w:t>Outcomes</w:t>
            </w:r>
          </w:p>
        </w:tc>
        <w:tc>
          <w:tcPr>
            <w:tcW w:w="5832" w:type="dxa"/>
            <w:tcBorders>
              <w:top w:val="single" w:sz="4" w:space="0" w:color="auto"/>
              <w:left w:val="single" w:sz="4" w:space="0" w:color="auto"/>
              <w:bottom w:val="single" w:sz="4" w:space="0" w:color="auto"/>
              <w:right w:val="single" w:sz="4" w:space="0" w:color="auto"/>
            </w:tcBorders>
            <w:vAlign w:val="center"/>
          </w:tcPr>
          <w:p w14:paraId="292F7FBB"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Cost per QALY gained</w:t>
            </w:r>
          </w:p>
        </w:tc>
      </w:tr>
      <w:tr w:rsidR="00101A38" w:rsidRPr="00DA3C6E" w14:paraId="54628CE5"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3178FF9F" w14:textId="77777777" w:rsidR="00101A38" w:rsidRPr="00DA3C6E" w:rsidRDefault="00101A38" w:rsidP="00ED17AF">
            <w:pPr>
              <w:pStyle w:val="Tabletext1"/>
              <w:jc w:val="left"/>
              <w:rPr>
                <w:b/>
              </w:rPr>
            </w:pPr>
            <w:r w:rsidRPr="00DA3C6E">
              <w:rPr>
                <w:b/>
              </w:rPr>
              <w:t>Methods used to generate results</w:t>
            </w:r>
          </w:p>
        </w:tc>
        <w:tc>
          <w:tcPr>
            <w:tcW w:w="5832" w:type="dxa"/>
            <w:tcBorders>
              <w:top w:val="single" w:sz="4" w:space="0" w:color="auto"/>
              <w:left w:val="single" w:sz="4" w:space="0" w:color="auto"/>
              <w:bottom w:val="single" w:sz="4" w:space="0" w:color="auto"/>
              <w:right w:val="single" w:sz="4" w:space="0" w:color="auto"/>
            </w:tcBorders>
            <w:vAlign w:val="center"/>
          </w:tcPr>
          <w:p w14:paraId="09F3431E"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Markov model</w:t>
            </w:r>
          </w:p>
        </w:tc>
      </w:tr>
      <w:tr w:rsidR="00101A38" w:rsidRPr="00DA3C6E" w14:paraId="099721E0"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tcPr>
          <w:p w14:paraId="63C41377" w14:textId="77777777" w:rsidR="00101A38" w:rsidRPr="00DA3C6E" w:rsidRDefault="00101A38" w:rsidP="00ED17AF">
            <w:pPr>
              <w:pStyle w:val="Tabletext1"/>
              <w:jc w:val="left"/>
              <w:rPr>
                <w:b/>
              </w:rPr>
            </w:pPr>
            <w:r w:rsidRPr="00DA3C6E">
              <w:rPr>
                <w:b/>
              </w:rPr>
              <w:t>Health states</w:t>
            </w:r>
          </w:p>
        </w:tc>
        <w:tc>
          <w:tcPr>
            <w:tcW w:w="5832" w:type="dxa"/>
            <w:tcBorders>
              <w:top w:val="single" w:sz="4" w:space="0" w:color="auto"/>
              <w:left w:val="single" w:sz="4" w:space="0" w:color="auto"/>
              <w:bottom w:val="single" w:sz="4" w:space="0" w:color="auto"/>
              <w:right w:val="single" w:sz="4" w:space="0" w:color="auto"/>
            </w:tcBorders>
            <w:vAlign w:val="center"/>
          </w:tcPr>
          <w:p w14:paraId="742BBA1B"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Initial treatment</w:t>
            </w:r>
          </w:p>
          <w:p w14:paraId="4C8FA401"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Responder</w:t>
            </w:r>
          </w:p>
          <w:p w14:paraId="3D93A07E"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Responder off treatment</w:t>
            </w:r>
          </w:p>
          <w:p w14:paraId="6380CB5A"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Best supportive care</w:t>
            </w:r>
          </w:p>
          <w:p w14:paraId="5F0623C5"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Death</w:t>
            </w:r>
          </w:p>
        </w:tc>
      </w:tr>
      <w:tr w:rsidR="00101A38" w:rsidRPr="00DA3C6E" w14:paraId="5FF5DAA7"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05FB31AC" w14:textId="77777777" w:rsidR="00101A38" w:rsidRPr="00DA3C6E" w:rsidRDefault="00101A38" w:rsidP="00ED17AF">
            <w:pPr>
              <w:pStyle w:val="Tabletext1"/>
              <w:jc w:val="left"/>
              <w:rPr>
                <w:b/>
              </w:rPr>
            </w:pPr>
            <w:r w:rsidRPr="00DA3C6E">
              <w:rPr>
                <w:b/>
              </w:rPr>
              <w:t>Cycle length</w:t>
            </w:r>
          </w:p>
        </w:tc>
        <w:tc>
          <w:tcPr>
            <w:tcW w:w="5832" w:type="dxa"/>
            <w:tcBorders>
              <w:top w:val="single" w:sz="4" w:space="0" w:color="auto"/>
              <w:left w:val="single" w:sz="4" w:space="0" w:color="auto"/>
              <w:bottom w:val="single" w:sz="4" w:space="0" w:color="auto"/>
              <w:right w:val="single" w:sz="4" w:space="0" w:color="auto"/>
            </w:tcBorders>
            <w:vAlign w:val="center"/>
          </w:tcPr>
          <w:p w14:paraId="10AD35CE"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6 months</w:t>
            </w:r>
          </w:p>
        </w:tc>
      </w:tr>
      <w:tr w:rsidR="00101A38" w:rsidRPr="00DA3C6E" w14:paraId="7137901B"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75D2290F" w14:textId="77777777" w:rsidR="00101A38" w:rsidRPr="00DA3C6E" w:rsidRDefault="00101A38" w:rsidP="00ED17AF">
            <w:pPr>
              <w:pStyle w:val="Tabletext1"/>
              <w:jc w:val="left"/>
              <w:rPr>
                <w:b/>
              </w:rPr>
            </w:pPr>
            <w:r w:rsidRPr="00DA3C6E">
              <w:rPr>
                <w:b/>
              </w:rPr>
              <w:t>Discount rate</w:t>
            </w:r>
          </w:p>
        </w:tc>
        <w:tc>
          <w:tcPr>
            <w:tcW w:w="5832" w:type="dxa"/>
            <w:tcBorders>
              <w:top w:val="single" w:sz="4" w:space="0" w:color="auto"/>
              <w:left w:val="single" w:sz="4" w:space="0" w:color="auto"/>
              <w:bottom w:val="single" w:sz="4" w:space="0" w:color="auto"/>
              <w:right w:val="single" w:sz="4" w:space="0" w:color="auto"/>
            </w:tcBorders>
            <w:vAlign w:val="center"/>
          </w:tcPr>
          <w:p w14:paraId="1A7E0FF9"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5%</w:t>
            </w:r>
          </w:p>
        </w:tc>
      </w:tr>
      <w:tr w:rsidR="00101A38" w:rsidRPr="00DA3C6E" w14:paraId="70594A36" w14:textId="77777777" w:rsidTr="00ED17AF">
        <w:trPr>
          <w:trHeight w:val="20"/>
        </w:trPr>
        <w:tc>
          <w:tcPr>
            <w:tcW w:w="3189" w:type="dxa"/>
            <w:tcBorders>
              <w:top w:val="single" w:sz="4" w:space="0" w:color="auto"/>
              <w:left w:val="single" w:sz="4" w:space="0" w:color="auto"/>
              <w:bottom w:val="single" w:sz="4" w:space="0" w:color="auto"/>
              <w:right w:val="single" w:sz="4" w:space="0" w:color="auto"/>
            </w:tcBorders>
            <w:vAlign w:val="center"/>
            <w:hideMark/>
          </w:tcPr>
          <w:p w14:paraId="7BA0550A" w14:textId="77777777" w:rsidR="00101A38" w:rsidRPr="00DA3C6E" w:rsidRDefault="00101A38" w:rsidP="00ED17AF">
            <w:pPr>
              <w:pStyle w:val="Tabletext1"/>
              <w:jc w:val="left"/>
              <w:rPr>
                <w:b/>
              </w:rPr>
            </w:pPr>
            <w:r w:rsidRPr="00DA3C6E">
              <w:rPr>
                <w:b/>
              </w:rPr>
              <w:t>Software packages used</w:t>
            </w:r>
          </w:p>
        </w:tc>
        <w:tc>
          <w:tcPr>
            <w:tcW w:w="5832" w:type="dxa"/>
            <w:tcBorders>
              <w:top w:val="single" w:sz="4" w:space="0" w:color="auto"/>
              <w:left w:val="single" w:sz="4" w:space="0" w:color="auto"/>
              <w:bottom w:val="single" w:sz="4" w:space="0" w:color="auto"/>
              <w:right w:val="single" w:sz="4" w:space="0" w:color="auto"/>
            </w:tcBorders>
            <w:vAlign w:val="center"/>
          </w:tcPr>
          <w:p w14:paraId="50EB5CF0" w14:textId="77777777" w:rsidR="00101A38" w:rsidRPr="00DA3C6E" w:rsidRDefault="00101A38" w:rsidP="00ED17AF">
            <w:pPr>
              <w:spacing w:after="0" w:line="240" w:lineRule="auto"/>
              <w:jc w:val="left"/>
              <w:rPr>
                <w:rFonts w:ascii="Arial Narrow" w:hAnsi="Arial Narrow"/>
                <w:sz w:val="20"/>
                <w:szCs w:val="20"/>
              </w:rPr>
            </w:pPr>
            <w:r w:rsidRPr="00DA3C6E">
              <w:rPr>
                <w:rFonts w:ascii="Arial Narrow" w:hAnsi="Arial Narrow"/>
                <w:sz w:val="20"/>
                <w:szCs w:val="20"/>
              </w:rPr>
              <w:t>TreeAge Pro®</w:t>
            </w:r>
          </w:p>
        </w:tc>
      </w:tr>
    </w:tbl>
    <w:p w14:paraId="2C80F074" w14:textId="77777777" w:rsidR="00101A38" w:rsidRPr="00DA3C6E" w:rsidRDefault="00101A38" w:rsidP="00880E62">
      <w:pPr>
        <w:spacing w:line="240" w:lineRule="auto"/>
        <w:rPr>
          <w:rFonts w:ascii="Arial Narrow" w:hAnsi="Arial Narrow"/>
          <w:sz w:val="18"/>
        </w:rPr>
      </w:pPr>
      <w:r w:rsidRPr="00DA3C6E">
        <w:rPr>
          <w:rFonts w:ascii="Arial Narrow" w:hAnsi="Arial Narrow"/>
          <w:sz w:val="18"/>
        </w:rPr>
        <w:t xml:space="preserve">Abbreviations: BSC = best supportive care; Ig = immunoglobulin; QALYs = quality adjusted life years; NBA = National Blood Authority. SA=sensitivity analysis. </w:t>
      </w:r>
    </w:p>
    <w:p w14:paraId="69956F46" w14:textId="77777777" w:rsidR="00101A38" w:rsidRPr="00DA3C6E" w:rsidRDefault="00101A38" w:rsidP="00E359A5">
      <w:pPr>
        <w:pStyle w:val="Heading3"/>
      </w:pPr>
      <w:bookmarkStart w:id="275" w:name="_Toc395200799"/>
      <w:bookmarkStart w:id="276" w:name="_Toc37845765"/>
      <w:r w:rsidRPr="00DA3C6E">
        <w:t>Literature review</w:t>
      </w:r>
      <w:bookmarkEnd w:id="275"/>
      <w:bookmarkEnd w:id="276"/>
    </w:p>
    <w:p w14:paraId="24DAC82B" w14:textId="68FF6C44" w:rsidR="00101A38" w:rsidRPr="00DA3C6E" w:rsidRDefault="00101A38" w:rsidP="00E359A5">
      <w:r w:rsidRPr="00DA3C6E">
        <w:t xml:space="preserve">A systematic literature search was conducted in Embase, and Ovid MEDLINE® </w:t>
      </w:r>
      <w:r w:rsidR="007251AD" w:rsidRPr="00DA3C6E">
        <w:t xml:space="preserve">and Pubmed </w:t>
      </w:r>
      <w:r w:rsidRPr="00DA3C6E">
        <w:t>on 15 October 2019 to identify economic evaluations of intravenous Ig for the treatment of MMN. The aim of the literature search for economic evaluations was to identify relevant information such as model structure, potential health states, type of health states, utility weights and time horizon utilised in published studies to inform the current model.</w:t>
      </w:r>
    </w:p>
    <w:p w14:paraId="783DD722" w14:textId="7CEE6FE6" w:rsidR="00101A38" w:rsidRPr="00DA3C6E" w:rsidRDefault="00101A38" w:rsidP="00E359A5">
      <w:pPr>
        <w:rPr>
          <w:lang w:val="en-US"/>
        </w:rPr>
      </w:pPr>
      <w:r w:rsidRPr="00DA3C6E">
        <w:t xml:space="preserve">A detailed literature search strategy is provided in </w:t>
      </w:r>
      <w:r w:rsidRPr="00DA3C6E">
        <w:fldChar w:fldCharType="begin"/>
      </w:r>
      <w:r w:rsidRPr="00DA3C6E">
        <w:instrText xml:space="preserve"> REF _Ref31207382 \h </w:instrText>
      </w:r>
      <w:r w:rsidR="00E8759F" w:rsidRPr="00DA3C6E">
        <w:instrText xml:space="preserve"> \* MERGEFORMAT </w:instrText>
      </w:r>
      <w:r w:rsidRPr="00DA3C6E">
        <w:fldChar w:fldCharType="separate"/>
      </w:r>
      <w:r w:rsidR="00EA5DC1" w:rsidRPr="00DA3C6E">
        <w:t xml:space="preserve">Table </w:t>
      </w:r>
      <w:r w:rsidR="00EA5DC1">
        <w:rPr>
          <w:noProof/>
        </w:rPr>
        <w:t>56</w:t>
      </w:r>
      <w:r w:rsidRPr="00DA3C6E">
        <w:fldChar w:fldCharType="end"/>
      </w:r>
      <w:r w:rsidRPr="00DA3C6E">
        <w:t xml:space="preserve"> of Appendix G. A total of 14 studies were retrieved, none of which evaluated the cost-effectiveness of intravenous Ig for the treatment of MMN. It was agreed to broaden the search terms to identify economic evaluations </w:t>
      </w:r>
      <w:r w:rsidR="007251AD" w:rsidRPr="00DA3C6E">
        <w:t xml:space="preserve">of </w:t>
      </w:r>
      <w:r w:rsidRPr="00DA3C6E">
        <w:t xml:space="preserve">the use of intravenous Ig for the treatment of conditions similar to MMN, mainly </w:t>
      </w:r>
      <w:r w:rsidRPr="00DA3C6E">
        <w:rPr>
          <w:lang w:val="en-US"/>
        </w:rPr>
        <w:t xml:space="preserve">CIDP, PDN and MND. This search was an updated search of the initial search to include keywords for CIDP, PND and MND plus an additional manual search to identify any possible study that could have been missed. </w:t>
      </w:r>
    </w:p>
    <w:p w14:paraId="7773386C" w14:textId="3B71C041" w:rsidR="00101A38" w:rsidRPr="00DA3C6E" w:rsidRDefault="00101A38" w:rsidP="00E359A5">
      <w:pPr>
        <w:rPr>
          <w:lang w:val="en-US"/>
        </w:rPr>
      </w:pPr>
      <w:r w:rsidRPr="00DA3C6E">
        <w:rPr>
          <w:lang w:val="en-US"/>
        </w:rPr>
        <w:t xml:space="preserve">The extended search for economic evaluation studies on conditions similar to MMN identified four </w:t>
      </w:r>
      <w:r w:rsidR="00DB568A" w:rsidRPr="00DA3C6E">
        <w:rPr>
          <w:lang w:val="en-US"/>
        </w:rPr>
        <w:fldChar w:fldCharType="begin">
          <w:fldData xml:space="preserve">PEVuZE5vdGU+PENpdGU+PEF1dGhvcj5CYW1ydW5nc2F3YWQ8L0F1dGhvcj48WWVhcj4yMDE2PC9Z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dXJvbDwvc2Vjb25kYXJ5LXRpdGxlPjxhbHQtdGl0bGU+RXVyb3BlYW4gam91cm5hbCBvZiBuZXVy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</w:fldData>
        </w:fldChar>
      </w:r>
      <w:r w:rsidR="007810D6">
        <w:rPr>
          <w:lang w:val="en-US"/>
        </w:rPr>
        <w:instrText xml:space="preserve"> ADDIN EN.CITE </w:instrText>
      </w:r>
      <w:r w:rsidR="007810D6">
        <w:rPr>
          <w:lang w:val="en-US"/>
        </w:rPr>
        <w:fldChar w:fldCharType="begin">
          <w:fldData xml:space="preserve">PEVuZE5vdGU+PENpdGU+PEF1dGhvcj5CYW1ydW5nc2F3YWQ8L0F1dGhvcj48WWVhcj4yMDE2PC9Z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dXJvbDwvc2Vjb25kYXJ5LXRpdGxlPjxhbHQtdGl0bGU+RXVyb3BlYW4gam91cm5hbCBvZiBuZXVy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</w:fldData>
        </w:fldChar>
      </w:r>
      <w:r w:rsidR="007810D6">
        <w:rPr>
          <w:lang w:val="en-US"/>
        </w:rPr>
        <w:instrText xml:space="preserve"> ADDIN EN.CITE.DATA </w:instrText>
      </w:r>
      <w:r w:rsidR="007810D6">
        <w:rPr>
          <w:lang w:val="en-US"/>
        </w:rPr>
      </w:r>
      <w:r w:rsidR="007810D6">
        <w:rPr>
          <w:lang w:val="en-US"/>
        </w:rPr>
        <w:fldChar w:fldCharType="end"/>
      </w:r>
      <w:r w:rsidR="00DB568A" w:rsidRPr="00DA3C6E">
        <w:rPr>
          <w:lang w:val="en-US"/>
        </w:rPr>
      </w:r>
      <w:r w:rsidR="00DB568A" w:rsidRPr="00DA3C6E">
        <w:rPr>
          <w:lang w:val="en-US"/>
        </w:rPr>
        <w:fldChar w:fldCharType="separate"/>
      </w:r>
      <w:r w:rsidR="007810D6">
        <w:rPr>
          <w:noProof/>
          <w:lang w:val="en-US"/>
        </w:rPr>
        <w:t>(</w:t>
      </w:r>
      <w:hyperlink w:anchor="_ENREF_60" w:tooltip="McCrone, 2003 #43" w:history="1">
        <w:r w:rsidR="00C04BCE">
          <w:rPr>
            <w:noProof/>
            <w:lang w:val="en-US"/>
          </w:rPr>
          <w:t>60-63</w:t>
        </w:r>
      </w:hyperlink>
      <w:r w:rsidR="007810D6">
        <w:rPr>
          <w:noProof/>
          <w:lang w:val="en-US"/>
        </w:rPr>
        <w:t>)</w:t>
      </w:r>
      <w:r w:rsidR="00DB568A" w:rsidRPr="00DA3C6E">
        <w:rPr>
          <w:lang w:val="en-US"/>
        </w:rPr>
        <w:fldChar w:fldCharType="end"/>
      </w:r>
      <w:r w:rsidRPr="00DA3C6E">
        <w:rPr>
          <w:lang w:val="en-US"/>
        </w:rPr>
        <w:t xml:space="preserve">  studies of CI</w:t>
      </w:r>
      <w:r w:rsidR="007246A4" w:rsidRPr="00DA3C6E">
        <w:rPr>
          <w:lang w:val="en-US"/>
        </w:rPr>
        <w:t>DP</w:t>
      </w:r>
      <w:r w:rsidRPr="00DA3C6E">
        <w:rPr>
          <w:lang w:val="en-US"/>
        </w:rPr>
        <w:t xml:space="preserve"> none of which could be used to inform the structure of the model. The literature search was complemented with those studies identified in Section C that assessed QoL. </w:t>
      </w:r>
    </w:p>
    <w:p w14:paraId="1A4877DB" w14:textId="77777777" w:rsidR="00101A38" w:rsidRPr="00DA3C6E" w:rsidRDefault="00101A38" w:rsidP="00E359A5">
      <w:pPr>
        <w:pStyle w:val="Heading3"/>
      </w:pPr>
      <w:bookmarkStart w:id="277" w:name="_Toc395200800"/>
      <w:bookmarkStart w:id="278" w:name="_Toc37845766"/>
      <w:r w:rsidRPr="00DA3C6E">
        <w:lastRenderedPageBreak/>
        <w:t>Structure of the economic evaluation</w:t>
      </w:r>
      <w:bookmarkEnd w:id="277"/>
      <w:bookmarkEnd w:id="278"/>
    </w:p>
    <w:p w14:paraId="692AC055" w14:textId="2FF75676" w:rsidR="00101A38" w:rsidRPr="00DA3C6E" w:rsidRDefault="00101A38" w:rsidP="00E359A5">
      <w:r w:rsidRPr="00DA3C6E">
        <w:t xml:space="preserve">In the absence of any relevant economic evaluation applicable to MMN that could inform the current model, a Markov model was developed </w:t>
      </w:r>
      <w:r w:rsidRPr="00DA3C6E">
        <w:rPr>
          <w:i/>
        </w:rPr>
        <w:t>de novo</w:t>
      </w:r>
      <w:r w:rsidRPr="00DA3C6E">
        <w:t xml:space="preserve"> in TreeAge Pro Software 2019 based on the natural history of MMN (refer to Section A.2) to evaluate the cost effectiveness of intravenous Ig therapy compared to BSC for the treatment of MMN. The information provided in The Criteria V3 was used to inform the structure of the Markov model, presented in </w:t>
      </w:r>
      <w:r w:rsidRPr="00DA3C6E">
        <w:fldChar w:fldCharType="begin"/>
      </w:r>
      <w:r w:rsidRPr="00DA3C6E">
        <w:instrText xml:space="preserve"> REF _Ref29219491 \h </w:instrText>
      </w:r>
      <w:r w:rsidR="00E8759F" w:rsidRPr="00DA3C6E">
        <w:instrText xml:space="preserve"> \* MERGEFORMAT </w:instrText>
      </w:r>
      <w:r w:rsidRPr="00DA3C6E">
        <w:fldChar w:fldCharType="separate"/>
      </w:r>
      <w:r w:rsidR="00EA5DC1" w:rsidRPr="00DA3C6E">
        <w:t xml:space="preserve">Figure </w:t>
      </w:r>
      <w:r w:rsidR="00EA5DC1">
        <w:rPr>
          <w:noProof/>
        </w:rPr>
        <w:t>11</w:t>
      </w:r>
      <w:r w:rsidRPr="00DA3C6E">
        <w:fldChar w:fldCharType="end"/>
      </w:r>
      <w:r w:rsidRPr="00DA3C6E">
        <w:t>. There are five health states in the model:</w:t>
      </w:r>
    </w:p>
    <w:p w14:paraId="28216A6D" w14:textId="77777777" w:rsidR="00101A38" w:rsidRPr="00DA3C6E" w:rsidRDefault="00101A38" w:rsidP="00AA6D2C">
      <w:pPr>
        <w:pStyle w:val="ListParagraph"/>
        <w:numPr>
          <w:ilvl w:val="0"/>
          <w:numId w:val="70"/>
        </w:numPr>
        <w:jc w:val="left"/>
      </w:pPr>
      <w:r w:rsidRPr="00DA3C6E">
        <w:t>Initial treatment;</w:t>
      </w:r>
    </w:p>
    <w:p w14:paraId="24FCA081" w14:textId="77777777" w:rsidR="00101A38" w:rsidRPr="00DA3C6E" w:rsidRDefault="00101A38" w:rsidP="00AA6D2C">
      <w:pPr>
        <w:pStyle w:val="ListParagraph"/>
        <w:numPr>
          <w:ilvl w:val="0"/>
          <w:numId w:val="70"/>
        </w:numPr>
        <w:jc w:val="left"/>
      </w:pPr>
      <w:r w:rsidRPr="00DA3C6E">
        <w:t xml:space="preserve">Responder; </w:t>
      </w:r>
    </w:p>
    <w:p w14:paraId="0AA64497" w14:textId="77777777" w:rsidR="00101A38" w:rsidRPr="00DA3C6E" w:rsidRDefault="00101A38" w:rsidP="00AA6D2C">
      <w:pPr>
        <w:pStyle w:val="ListParagraph"/>
        <w:numPr>
          <w:ilvl w:val="0"/>
          <w:numId w:val="70"/>
        </w:numPr>
        <w:jc w:val="left"/>
      </w:pPr>
      <w:r w:rsidRPr="00DA3C6E">
        <w:t xml:space="preserve">Responder off treatment; </w:t>
      </w:r>
    </w:p>
    <w:p w14:paraId="27A21286" w14:textId="77777777" w:rsidR="00101A38" w:rsidRPr="00DA3C6E" w:rsidRDefault="00101A38" w:rsidP="00AA6D2C">
      <w:pPr>
        <w:pStyle w:val="ListParagraph"/>
        <w:numPr>
          <w:ilvl w:val="0"/>
          <w:numId w:val="70"/>
        </w:numPr>
        <w:jc w:val="left"/>
      </w:pPr>
      <w:r w:rsidRPr="00DA3C6E">
        <w:t>Best supportive care (BSC);</w:t>
      </w:r>
    </w:p>
    <w:p w14:paraId="0FAD64F7" w14:textId="77777777" w:rsidR="00101A38" w:rsidRPr="00DA3C6E" w:rsidRDefault="00101A38" w:rsidP="00AA6D2C">
      <w:pPr>
        <w:pStyle w:val="ListParagraph"/>
        <w:numPr>
          <w:ilvl w:val="0"/>
          <w:numId w:val="70"/>
        </w:numPr>
        <w:jc w:val="left"/>
      </w:pPr>
      <w:r w:rsidRPr="00DA3C6E">
        <w:t>Death (the absorbing health state).</w:t>
      </w:r>
    </w:p>
    <w:p w14:paraId="0A0719BF" w14:textId="04FE2A27" w:rsidR="00101A38" w:rsidRPr="00DA3C6E" w:rsidRDefault="00101A38" w:rsidP="00717AED">
      <w:r w:rsidRPr="00DA3C6E">
        <w:t xml:space="preserve">All patients enter the model once they have been diagnosed with MMN and qualify for intravenous Ig therapy according to The Criteria V3. Once a patient receives the initial treatment phase, which consists of one induction plus three maintenance doses, the patient is assessed by a neurologist who determines whether that patient has responded or not to treatment with intravenous Ig. If responding, the patient transits to the health state ‘Responder’ while if not responding, the patient transits to the ‘BSC’ health state. While in the ‘Responder’ health state, a patient may discontinue due to an adverse event or discontinue because they initiate a weaning off trial phase. A patient in the ‘BSC’ health state only slowly progresses in their disease. Finally, if a patient initiates a weaning off trial phase, they may remain stable at the ‘Responder off-treatment’ health state or relapse and require reinitiating active treatment with intravenous Ig transitioning again to the ‘Initial treatment’ health state. From all health states, patients may die due to other causes which </w:t>
      </w:r>
      <w:r w:rsidR="007251AD" w:rsidRPr="00DA3C6E">
        <w:t xml:space="preserve">are </w:t>
      </w:r>
      <w:r w:rsidRPr="00DA3C6E">
        <w:t xml:space="preserve">determined by the Australian Life tables </w:t>
      </w:r>
      <w:r w:rsidR="00DB568A" w:rsidRPr="00DA3C6E">
        <w:fldChar w:fldCharType="begin"/>
      </w:r>
      <w:r w:rsidR="007810D6">
        <w:instrText xml:space="preserve"> ADDIN EN.CITE &lt;EndNote&gt;&lt;Cite ExcludeAuth="1"&gt;&lt;Year&gt;2016-2018&lt;/Year&gt;&lt;RecNum&gt;1&lt;/RecNum&gt;&lt;DisplayText&gt;(64)&lt;/DisplayText&gt;&lt;record&gt;&lt;rec-number&gt;1&lt;/rec-number&gt;&lt;foreign-keys&gt;&lt;key app="EN" db-id="0992p2ztn5fez9e2wvnpw2xstd20f9w2dezz" timestamp="1586818281"&gt;1&lt;/key&gt;&lt;/foreign-keys&gt;&lt;ref-type name="Dataset"&gt;59&lt;/ref-type&gt;&lt;contributors&gt;&lt;secondary-authors&gt;&lt;author&gt;ABS&lt;/author&gt;&lt;/secondary-authors&gt;&lt;/contributors&gt;&lt;titles&gt;&lt;title&gt;Life Tables, States, Territories and Australia, 2016-2018 &lt;/title&gt;&lt;/titles&gt;&lt;edition&gt;3302.0.55.001&lt;/edition&gt;&lt;dates&gt;&lt;year&gt;2016-2018&lt;/year&gt;&lt;/dates&gt;&lt;pub-location&gt;Canberra&lt;/pub-location&gt;&lt;urls&gt;&lt;related-urls&gt;&lt;url&gt;https://www.abs.gov.au/AUSSTATS/abs@.nsf/DetailsPage/3302.0.55.0012016-2018?OpenDocument&lt;/url&gt;&lt;/related-urls&gt;&lt;/urls&gt;&lt;/record&gt;&lt;/Cite&gt;&lt;/EndNote&gt;</w:instrText>
      </w:r>
      <w:r w:rsidR="00DB568A" w:rsidRPr="00DA3C6E">
        <w:fldChar w:fldCharType="separate"/>
      </w:r>
      <w:r w:rsidR="007810D6">
        <w:rPr>
          <w:noProof/>
        </w:rPr>
        <w:t>(</w:t>
      </w:r>
      <w:hyperlink w:anchor="_ENREF_64" w:tooltip=", 2016-2018 #1" w:history="1">
        <w:r w:rsidR="00C04BCE">
          <w:rPr>
            <w:noProof/>
          </w:rPr>
          <w:t>64</w:t>
        </w:r>
      </w:hyperlink>
      <w:r w:rsidR="007810D6">
        <w:rPr>
          <w:noProof/>
        </w:rPr>
        <w:t>)</w:t>
      </w:r>
      <w:r w:rsidR="00DB568A" w:rsidRPr="00DA3C6E">
        <w:fldChar w:fldCharType="end"/>
      </w:r>
      <w:r w:rsidRPr="00DA3C6E">
        <w:t>.</w:t>
      </w:r>
    </w:p>
    <w:p w14:paraId="4D7368D6" w14:textId="65DD6A6E" w:rsidR="00101A38" w:rsidRPr="00DA3C6E" w:rsidRDefault="00101A38" w:rsidP="0048130A">
      <w:pPr>
        <w:pStyle w:val="Caption"/>
        <w:keepNext/>
        <w:keepLines/>
      </w:pPr>
      <w:bookmarkStart w:id="279" w:name="_Ref29219491"/>
      <w:bookmarkStart w:id="280" w:name="_Toc30497518"/>
      <w:bookmarkStart w:id="281" w:name="_Toc33449645"/>
      <w:bookmarkStart w:id="282" w:name="_Toc37845871"/>
      <w:r w:rsidRPr="00DA3C6E">
        <w:lastRenderedPageBreak/>
        <w:t xml:space="preserve">Figure </w:t>
      </w:r>
      <w:r w:rsidR="00515153">
        <w:fldChar w:fldCharType="begin"/>
      </w:r>
      <w:r w:rsidR="00515153">
        <w:instrText xml:space="preserve"> SEQ Figure \* ARABIC </w:instrText>
      </w:r>
      <w:r w:rsidR="00515153">
        <w:fldChar w:fldCharType="separate"/>
      </w:r>
      <w:r w:rsidR="00EA5DC1">
        <w:rPr>
          <w:noProof/>
        </w:rPr>
        <w:t>11</w:t>
      </w:r>
      <w:r w:rsidR="00515153">
        <w:rPr>
          <w:noProof/>
        </w:rPr>
        <w:fldChar w:fldCharType="end"/>
      </w:r>
      <w:bookmarkEnd w:id="279"/>
      <w:r w:rsidRPr="00DA3C6E">
        <w:t>. Decision analytic structure of the economic evaluation.</w:t>
      </w:r>
      <w:bookmarkEnd w:id="280"/>
      <w:bookmarkEnd w:id="281"/>
      <w:bookmarkEnd w:id="282"/>
      <w:r w:rsidRPr="00DA3C6E">
        <w:t xml:space="preserve"> </w:t>
      </w:r>
    </w:p>
    <w:p w14:paraId="5F89B946" w14:textId="77777777" w:rsidR="00101A38" w:rsidRPr="00DA3C6E" w:rsidRDefault="00101A38" w:rsidP="0048130A">
      <w:pPr>
        <w:keepNext/>
        <w:keepLines/>
        <w:spacing w:after="0" w:line="240" w:lineRule="auto"/>
      </w:pPr>
      <w:r w:rsidRPr="00DA3C6E">
        <w:rPr>
          <w:noProof/>
        </w:rPr>
        <w:drawing>
          <wp:inline distT="0" distB="0" distL="0" distR="0" wp14:anchorId="72195549" wp14:editId="06E7BABF">
            <wp:extent cx="5703266" cy="2959100"/>
            <wp:effectExtent l="0" t="0" r="0" b="0"/>
            <wp:docPr id="39" name="Picture 39" title="Figure 11. Decision analytic structure of the economic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325" cy="2974696"/>
                    </a:xfrm>
                    <a:prstGeom prst="rect">
                      <a:avLst/>
                    </a:prstGeom>
                    <a:noFill/>
                  </pic:spPr>
                </pic:pic>
              </a:graphicData>
            </a:graphic>
          </wp:inline>
        </w:drawing>
      </w:r>
      <w:r w:rsidRPr="00DA3C6E">
        <w:t xml:space="preserve"> </w:t>
      </w:r>
    </w:p>
    <w:p w14:paraId="4195A2F9" w14:textId="77777777" w:rsidR="00101A38" w:rsidRPr="00DA3C6E" w:rsidRDefault="00101A38" w:rsidP="00F914C0">
      <w:pPr>
        <w:keepNext/>
        <w:rPr>
          <w:rFonts w:ascii="Arial Narrow" w:hAnsi="Arial Narrow"/>
          <w:sz w:val="18"/>
          <w:szCs w:val="18"/>
        </w:rPr>
      </w:pPr>
      <w:r w:rsidRPr="00DA3C6E">
        <w:rPr>
          <w:rFonts w:ascii="Arial Narrow" w:hAnsi="Arial Narrow"/>
          <w:sz w:val="18"/>
          <w:szCs w:val="18"/>
        </w:rPr>
        <w:t xml:space="preserve">Notes: arrows represent the direction of each transition probability. </w:t>
      </w:r>
    </w:p>
    <w:p w14:paraId="2499FD8E" w14:textId="0BC2434F" w:rsidR="00101A38" w:rsidRPr="00DA3C6E" w:rsidRDefault="00101A38" w:rsidP="00E359A5">
      <w:r w:rsidRPr="00DA3C6E">
        <w:t xml:space="preserve">A description of each health state is provided in </w:t>
      </w:r>
      <w:r w:rsidRPr="00DA3C6E">
        <w:fldChar w:fldCharType="begin"/>
      </w:r>
      <w:r w:rsidRPr="00DA3C6E">
        <w:instrText xml:space="preserve"> REF _Ref29279464 \h </w:instrText>
      </w:r>
      <w:r w:rsidR="00E8759F" w:rsidRPr="00DA3C6E">
        <w:instrText xml:space="preserve"> \* MERGEFORMAT </w:instrText>
      </w:r>
      <w:r w:rsidRPr="00DA3C6E">
        <w:fldChar w:fldCharType="separate"/>
      </w:r>
      <w:r w:rsidR="00EA5DC1" w:rsidRPr="00DA3C6E">
        <w:t xml:space="preserve">Table </w:t>
      </w:r>
      <w:r w:rsidR="00EA5DC1">
        <w:rPr>
          <w:noProof/>
        </w:rPr>
        <w:t>30</w:t>
      </w:r>
      <w:r w:rsidRPr="00DA3C6E">
        <w:fldChar w:fldCharType="end"/>
      </w:r>
      <w:r w:rsidRPr="00DA3C6E">
        <w:t xml:space="preserve">. The model compares two scenarios: where intravenous Ig is available (current practice) and BSC only (where intravenous Ig is not available). </w:t>
      </w:r>
    </w:p>
    <w:p w14:paraId="42A0F4EC" w14:textId="10E0011A" w:rsidR="00101A38" w:rsidRPr="00DA3C6E" w:rsidRDefault="00101A38" w:rsidP="0048130A">
      <w:pPr>
        <w:pStyle w:val="Caption"/>
        <w:keepNext/>
        <w:keepLines/>
      </w:pPr>
      <w:bookmarkStart w:id="283" w:name="_Ref29279464"/>
      <w:bookmarkStart w:id="284" w:name="_Toc30497477"/>
      <w:bookmarkStart w:id="285" w:name="_Toc33449608"/>
      <w:bookmarkStart w:id="286" w:name="_Toc37845833"/>
      <w:r w:rsidRPr="00DA3C6E">
        <w:lastRenderedPageBreak/>
        <w:t xml:space="preserve">Table </w:t>
      </w:r>
      <w:r w:rsidR="00515153">
        <w:fldChar w:fldCharType="begin"/>
      </w:r>
      <w:r w:rsidR="00515153">
        <w:instrText xml:space="preserve"> SEQ Table \*</w:instrText>
      </w:r>
      <w:r w:rsidR="00515153">
        <w:instrText xml:space="preserve"> ARABIC </w:instrText>
      </w:r>
      <w:r w:rsidR="00515153">
        <w:fldChar w:fldCharType="separate"/>
      </w:r>
      <w:r w:rsidR="00EA5DC1">
        <w:rPr>
          <w:noProof/>
        </w:rPr>
        <w:t>30</w:t>
      </w:r>
      <w:r w:rsidR="00515153">
        <w:rPr>
          <w:noProof/>
        </w:rPr>
        <w:fldChar w:fldCharType="end"/>
      </w:r>
      <w:bookmarkEnd w:id="283"/>
      <w:r w:rsidRPr="00DA3C6E">
        <w:t>. Description of health states</w:t>
      </w:r>
      <w:bookmarkEnd w:id="284"/>
      <w:bookmarkEnd w:id="285"/>
      <w:bookmarkEnd w:id="286"/>
    </w:p>
    <w:tbl>
      <w:tblPr>
        <w:tblStyle w:val="TableGrid"/>
        <w:tblW w:w="0" w:type="auto"/>
        <w:tblLook w:val="04A0" w:firstRow="1" w:lastRow="0" w:firstColumn="1" w:lastColumn="0" w:noHBand="0" w:noVBand="1"/>
        <w:tblCaption w:val="Table 30. Description of health states"/>
      </w:tblPr>
      <w:tblGrid>
        <w:gridCol w:w="2122"/>
        <w:gridCol w:w="6894"/>
      </w:tblGrid>
      <w:tr w:rsidR="00101A38" w:rsidRPr="00DA3C6E" w14:paraId="74C0AD88" w14:textId="77777777" w:rsidTr="00E359A5">
        <w:trPr>
          <w:tblHeader/>
        </w:trPr>
        <w:tc>
          <w:tcPr>
            <w:tcW w:w="2122" w:type="dxa"/>
          </w:tcPr>
          <w:p w14:paraId="33E0CE63" w14:textId="77777777" w:rsidR="00101A38" w:rsidRPr="00DA3C6E" w:rsidRDefault="00101A38" w:rsidP="0048130A">
            <w:pPr>
              <w:pStyle w:val="Tabletext1"/>
              <w:keepNext/>
              <w:keepLines/>
              <w:ind w:left="0"/>
              <w:rPr>
                <w:b/>
              </w:rPr>
            </w:pPr>
            <w:r w:rsidRPr="00DA3C6E">
              <w:rPr>
                <w:b/>
              </w:rPr>
              <w:t xml:space="preserve">Health state </w:t>
            </w:r>
          </w:p>
        </w:tc>
        <w:tc>
          <w:tcPr>
            <w:tcW w:w="6894" w:type="dxa"/>
          </w:tcPr>
          <w:p w14:paraId="525A7ED6" w14:textId="77777777" w:rsidR="00101A38" w:rsidRPr="00DA3C6E" w:rsidRDefault="00101A38" w:rsidP="0048130A">
            <w:pPr>
              <w:pStyle w:val="Tabletext1"/>
              <w:keepNext/>
              <w:keepLines/>
              <w:ind w:left="0"/>
              <w:rPr>
                <w:b/>
              </w:rPr>
            </w:pPr>
            <w:r w:rsidRPr="00DA3C6E">
              <w:rPr>
                <w:b/>
              </w:rPr>
              <w:t xml:space="preserve">Description </w:t>
            </w:r>
          </w:p>
        </w:tc>
      </w:tr>
      <w:tr w:rsidR="00101A38" w:rsidRPr="00DA3C6E" w14:paraId="5063308F" w14:textId="77777777" w:rsidTr="00E359A5">
        <w:tc>
          <w:tcPr>
            <w:tcW w:w="2122" w:type="dxa"/>
          </w:tcPr>
          <w:p w14:paraId="1ECE39C9" w14:textId="77777777" w:rsidR="00101A38" w:rsidRPr="00DA3C6E" w:rsidRDefault="00101A38" w:rsidP="0048130A">
            <w:pPr>
              <w:pStyle w:val="Tabletext1"/>
              <w:keepNext/>
              <w:keepLines/>
              <w:ind w:left="0"/>
            </w:pPr>
            <w:r w:rsidRPr="00DA3C6E">
              <w:t>Initial treatment</w:t>
            </w:r>
          </w:p>
        </w:tc>
        <w:tc>
          <w:tcPr>
            <w:tcW w:w="6894" w:type="dxa"/>
          </w:tcPr>
          <w:p w14:paraId="688BA5C4" w14:textId="77777777" w:rsidR="00101A38" w:rsidRPr="00DA3C6E" w:rsidRDefault="00101A38" w:rsidP="0048130A">
            <w:pPr>
              <w:pStyle w:val="Tabletext1"/>
              <w:keepNext/>
              <w:keepLines/>
              <w:ind w:left="0"/>
            </w:pPr>
            <w:r w:rsidRPr="00DA3C6E">
              <w:t>MMN patients who have been newly diagnosed, who have never trialled off from intravenous Ig therapy and/or who have relapsed (within and after six months) following weaning from intravenous Ig therapy. Patients remain here for an adjusted cycle of 4 months.</w:t>
            </w:r>
          </w:p>
        </w:tc>
      </w:tr>
      <w:tr w:rsidR="00101A38" w:rsidRPr="00DA3C6E" w14:paraId="1544B20D" w14:textId="77777777" w:rsidTr="00E359A5">
        <w:tc>
          <w:tcPr>
            <w:tcW w:w="2122" w:type="dxa"/>
          </w:tcPr>
          <w:p w14:paraId="084ACE6C" w14:textId="77777777" w:rsidR="00101A38" w:rsidRPr="00DA3C6E" w:rsidRDefault="00101A38" w:rsidP="0048130A">
            <w:pPr>
              <w:pStyle w:val="Tabletext1"/>
              <w:keepNext/>
              <w:keepLines/>
              <w:ind w:left="0"/>
            </w:pPr>
            <w:r w:rsidRPr="00DA3C6E">
              <w:t>Responder</w:t>
            </w:r>
          </w:p>
        </w:tc>
        <w:tc>
          <w:tcPr>
            <w:tcW w:w="6894" w:type="dxa"/>
          </w:tcPr>
          <w:p w14:paraId="38DDAB00" w14:textId="77777777" w:rsidR="00101A38" w:rsidRPr="00DA3C6E" w:rsidRDefault="00101A38" w:rsidP="0048130A">
            <w:pPr>
              <w:pStyle w:val="Tabletext1"/>
              <w:keepNext/>
              <w:keepLines/>
              <w:ind w:left="0"/>
            </w:pPr>
            <w:r w:rsidRPr="00DA3C6E">
              <w:t xml:space="preserve">MMN patients who respond to initial treatment (either intravenous Ig or BSC) and remain on treatment. </w:t>
            </w:r>
          </w:p>
          <w:p w14:paraId="2AF5E775" w14:textId="77777777" w:rsidR="00101A38" w:rsidRPr="00DA3C6E" w:rsidRDefault="00101A38" w:rsidP="00365584">
            <w:pPr>
              <w:pStyle w:val="Tabletext1"/>
              <w:keepNext/>
              <w:keepLines/>
              <w:numPr>
                <w:ilvl w:val="0"/>
                <w:numId w:val="78"/>
              </w:numPr>
            </w:pPr>
            <w:r w:rsidRPr="00DA3C6E">
              <w:t xml:space="preserve">Patients in the intravenous Ig arm who remain on treatment are those who have shown benefit on therapy upon review by a neurologist. Benefit of intravenous Ig therapy is determined considering the clinical effectiveness assessment criteria as outlined in The Criteria V3 of The Criteria for MMN patients on first-line and maintenance therapy and MMN patients who have relapsed within six months of commencement of a trial off intravenous Ig therapy. </w:t>
            </w:r>
          </w:p>
          <w:p w14:paraId="36BD3FC8" w14:textId="77777777" w:rsidR="00101A38" w:rsidRPr="00DA3C6E" w:rsidRDefault="00101A38" w:rsidP="00365584">
            <w:pPr>
              <w:pStyle w:val="Tabletext1"/>
              <w:keepNext/>
              <w:keepLines/>
              <w:numPr>
                <w:ilvl w:val="0"/>
                <w:numId w:val="78"/>
              </w:numPr>
            </w:pPr>
            <w:r w:rsidRPr="00DA3C6E">
              <w:t>Patients in the n</w:t>
            </w:r>
            <w:r w:rsidRPr="00DA3C6E">
              <w:rPr>
                <w:rFonts w:eastAsia="Calibri"/>
                <w:lang w:eastAsia="en-US"/>
              </w:rPr>
              <w:t>o Ig with BSC</w:t>
            </w:r>
            <w:r w:rsidRPr="00DA3C6E" w:rsidDel="00E53EBB">
              <w:t xml:space="preserve"> </w:t>
            </w:r>
            <w:r w:rsidRPr="00DA3C6E">
              <w:t>arm who do not deteriorate (i.e. remain ‘stable’) on BSC after the initial treatment phase were assumed to remain ‘stable’ with no deterioration for only one cycle (6 months) after which they all transition to the ‘BSC’ health state.</w:t>
            </w:r>
          </w:p>
        </w:tc>
      </w:tr>
      <w:tr w:rsidR="00101A38" w:rsidRPr="00DA3C6E" w14:paraId="624695C0" w14:textId="77777777" w:rsidTr="00E359A5">
        <w:tc>
          <w:tcPr>
            <w:tcW w:w="2122" w:type="dxa"/>
          </w:tcPr>
          <w:p w14:paraId="076F60C3" w14:textId="77777777" w:rsidR="00101A38" w:rsidRPr="00DA3C6E" w:rsidRDefault="00101A38" w:rsidP="0048130A">
            <w:pPr>
              <w:pStyle w:val="Tabletext1"/>
              <w:keepNext/>
              <w:keepLines/>
              <w:ind w:left="0"/>
            </w:pPr>
            <w:r w:rsidRPr="00DA3C6E">
              <w:t>Responder off treatment</w:t>
            </w:r>
          </w:p>
        </w:tc>
        <w:tc>
          <w:tcPr>
            <w:tcW w:w="6894" w:type="dxa"/>
          </w:tcPr>
          <w:p w14:paraId="56DFC99E" w14:textId="77777777" w:rsidR="00101A38" w:rsidRPr="00DA3C6E" w:rsidRDefault="00101A38" w:rsidP="00365584">
            <w:pPr>
              <w:pStyle w:val="Tabletext1"/>
              <w:keepNext/>
              <w:keepLines/>
              <w:ind w:left="0"/>
            </w:pPr>
            <w:r w:rsidRPr="00DA3C6E">
              <w:t>MMN patients who have previously responded to intravenous Ig and have initiated weaning/cessation of treatment. Thus, patients in this health state consist of those who remain in the weaning phase and those who have ceased treatment following weaning. Trial off weaning/cessation is considered annually for patients who are clinically stable to identify those who are in remission for cessation. Patients in the intravenous Ig arm who relapse either during weaning or after cessation of treatment reinitiate intravenous Ig and transit back to the ‘Initial treatment’ health state.</w:t>
            </w:r>
          </w:p>
        </w:tc>
      </w:tr>
      <w:tr w:rsidR="00101A38" w:rsidRPr="00DA3C6E" w14:paraId="74406A8A" w14:textId="77777777" w:rsidTr="00E359A5">
        <w:tc>
          <w:tcPr>
            <w:tcW w:w="2122" w:type="dxa"/>
          </w:tcPr>
          <w:p w14:paraId="48EBE168" w14:textId="77777777" w:rsidR="00101A38" w:rsidRPr="00DA3C6E" w:rsidRDefault="00101A38" w:rsidP="0048130A">
            <w:pPr>
              <w:pStyle w:val="Tabletext1"/>
              <w:keepNext/>
              <w:keepLines/>
              <w:ind w:left="0"/>
            </w:pPr>
            <w:r w:rsidRPr="00DA3C6E">
              <w:t>BSC</w:t>
            </w:r>
          </w:p>
        </w:tc>
        <w:tc>
          <w:tcPr>
            <w:tcW w:w="6894" w:type="dxa"/>
          </w:tcPr>
          <w:p w14:paraId="1C3339E3" w14:textId="77777777" w:rsidR="00101A38" w:rsidRPr="00DA3C6E" w:rsidRDefault="00101A38" w:rsidP="00365584">
            <w:pPr>
              <w:pStyle w:val="Tabletext1"/>
              <w:keepNext/>
              <w:keepLines/>
              <w:ind w:left="0"/>
            </w:pPr>
            <w:r w:rsidRPr="00DA3C6E">
              <w:t xml:space="preserve">MMN patients who are not receiving intravenous Ig treatment but are on BSC. Patients in this health state include those who have responded to intravenous Ig but discontinue due to an adverse event or patients who have not responded to intravenous Ig or No intravenous Ig with BSC. </w:t>
            </w:r>
          </w:p>
        </w:tc>
      </w:tr>
      <w:tr w:rsidR="00101A38" w:rsidRPr="00DA3C6E" w14:paraId="1DAA5D90" w14:textId="77777777" w:rsidTr="00E359A5">
        <w:tc>
          <w:tcPr>
            <w:tcW w:w="2122" w:type="dxa"/>
          </w:tcPr>
          <w:p w14:paraId="66442F5C" w14:textId="77777777" w:rsidR="00101A38" w:rsidRPr="00DA3C6E" w:rsidRDefault="00101A38" w:rsidP="0048130A">
            <w:pPr>
              <w:pStyle w:val="Tabletext1"/>
              <w:keepNext/>
              <w:keepLines/>
              <w:ind w:left="0"/>
            </w:pPr>
            <w:r w:rsidRPr="00DA3C6E">
              <w:t>Death</w:t>
            </w:r>
          </w:p>
        </w:tc>
        <w:tc>
          <w:tcPr>
            <w:tcW w:w="6894" w:type="dxa"/>
          </w:tcPr>
          <w:p w14:paraId="60D9C6BE" w14:textId="77777777" w:rsidR="00101A38" w:rsidRPr="00DA3C6E" w:rsidRDefault="00101A38" w:rsidP="0048130A">
            <w:pPr>
              <w:pStyle w:val="Tabletext1"/>
              <w:keepNext/>
              <w:keepLines/>
              <w:ind w:left="0"/>
            </w:pPr>
            <w:r w:rsidRPr="00DA3C6E">
              <w:t>MMN patients who die from all causes.</w:t>
            </w:r>
          </w:p>
        </w:tc>
      </w:tr>
    </w:tbl>
    <w:p w14:paraId="2BD41E6D" w14:textId="77777777" w:rsidR="00101A38" w:rsidRPr="00DA3C6E" w:rsidRDefault="00101A38" w:rsidP="00717AED">
      <w:pPr>
        <w:spacing w:line="240" w:lineRule="auto"/>
        <w:rPr>
          <w:rFonts w:ascii="Arial Narrow" w:hAnsi="Arial Narrow"/>
          <w:sz w:val="18"/>
        </w:rPr>
      </w:pPr>
      <w:r w:rsidRPr="00DA3C6E">
        <w:rPr>
          <w:rFonts w:ascii="Arial Narrow" w:hAnsi="Arial Narrow"/>
          <w:sz w:val="18"/>
        </w:rPr>
        <w:t>Abbreviations: BSC = best supportive care; Ig = immunoglobulin; MMN = Multifocal motor neuropathy.</w:t>
      </w:r>
    </w:p>
    <w:p w14:paraId="03A00F85" w14:textId="77777777" w:rsidR="00101A38" w:rsidRPr="00DA3C6E" w:rsidRDefault="00101A38" w:rsidP="00A658AD">
      <w:pPr>
        <w:pStyle w:val="Heading3"/>
      </w:pPr>
      <w:bookmarkStart w:id="287" w:name="_Toc37845767"/>
      <w:r w:rsidRPr="00DA3C6E">
        <w:t>Model assumptions</w:t>
      </w:r>
      <w:bookmarkEnd w:id="287"/>
    </w:p>
    <w:p w14:paraId="2E802594" w14:textId="223C8E64" w:rsidR="00101A38" w:rsidRPr="00DA3C6E" w:rsidRDefault="00101A38" w:rsidP="00E359A5">
      <w:r w:rsidRPr="00DA3C6E">
        <w:t xml:space="preserve">The economic evaluation was conducted from the perspective of the Australian health care system, hence only direct health care costs were included. MMN patients are assumed to enter the model at age 59 which is the average age of Australian patients receiving intravenous Ig therapy </w:t>
      </w:r>
      <w:r w:rsidR="00DB568A" w:rsidRPr="00DA3C6E">
        <w:fldChar w:fldCharType="begin"/>
      </w:r>
      <w:r w:rsidR="007C7E04">
        <w:instrText xml:space="preserve"> ADDIN EN.CITE &lt;EndNote&gt;&lt;Cite&gt;&lt;Author&gt;NBA&lt;/Author&gt;&lt;Year&gt;2019&lt;/Year&gt;&lt;RecNum&gt;47&lt;/RecNum&gt;&lt;DisplayText&gt;(9)&lt;/DisplayText&gt;&lt;record&gt;&lt;rec-number&gt;47&lt;/rec-number&gt;&lt;foreign-keys&gt;&lt;key app="EN" db-id="0992p2ztn5fez9e2wvnpw2xstd20f9w2dezz" timestamp="1586818281"&gt;47&lt;/key&gt;&lt;/foreign-keys&gt;&lt;ref-type name="Report"&gt;27&lt;/ref-type&gt;&lt;contributors&gt;&lt;authors&gt;&lt;author&gt;NBA&lt;/author&gt;&lt;/authors&gt;&lt;/contributors&gt;&lt;titles&gt;&lt;title&gt;Updated phase 2 HTA conditions report&lt;/title&gt;&lt;/titles&gt;&lt;dates&gt;&lt;year&gt;2019&lt;/year&gt;&lt;/dates&gt;&lt;pub-location&gt;Canberra&lt;/pub-location&gt;&lt;publisher&gt;NBA&lt;/publisher&gt;&lt;urls&gt;&lt;/urls&gt;&lt;/record&gt;&lt;/Cite&gt;&lt;/EndNote&gt;</w:instrText>
      </w:r>
      <w:r w:rsidR="00DB568A" w:rsidRPr="00DA3C6E">
        <w:fldChar w:fldCharType="separate"/>
      </w:r>
      <w:r w:rsidR="00DB568A" w:rsidRPr="00DA3C6E">
        <w:rPr>
          <w:noProof/>
        </w:rPr>
        <w:t>(</w:t>
      </w:r>
      <w:hyperlink w:anchor="_ENREF_9" w:tooltip="NBA, 2019 #47" w:history="1">
        <w:r w:rsidR="00C04BCE" w:rsidRPr="00DA3C6E">
          <w:rPr>
            <w:noProof/>
          </w:rPr>
          <w:t>9</w:t>
        </w:r>
      </w:hyperlink>
      <w:r w:rsidR="00DB568A" w:rsidRPr="00DA3C6E">
        <w:rPr>
          <w:noProof/>
        </w:rPr>
        <w:t>)</w:t>
      </w:r>
      <w:r w:rsidR="00DB568A" w:rsidRPr="00DA3C6E">
        <w:fldChar w:fldCharType="end"/>
      </w:r>
      <w:r w:rsidRPr="00DA3C6E">
        <w:t>. The cycle length for the model was established as 6 months to reflect the time point at which Australian MMN patients would have their usual follow-up visits. This means that any change to the patient’s health state and potential associated costs, would only happen after each biannual follow-up visits. To reflect the duration of the initial treatment period as per The Criteria V3, all associated costs and benefits were adjusted to four months for the ‘Initial treatment’ health state. All costs and benefits associated with the remaining health states were calculated for a six-month period as per the defined model cycle length. A within cycle correction was applied to the model, where rewards are accumulated by the proportion of patients in a health state both at the beginning and the end of each cycle.</w:t>
      </w:r>
    </w:p>
    <w:p w14:paraId="052E6474" w14:textId="77777777" w:rsidR="00101A38" w:rsidRPr="00DA3C6E" w:rsidRDefault="00101A38" w:rsidP="00AA6D2C">
      <w:r w:rsidRPr="00DA3C6E">
        <w:t>The following assumptions were implemented in the economic model:</w:t>
      </w:r>
    </w:p>
    <w:p w14:paraId="5FD066C4" w14:textId="74AF6713" w:rsidR="00101A38" w:rsidRPr="00DA3C6E" w:rsidRDefault="00101A38" w:rsidP="00365584">
      <w:pPr>
        <w:pStyle w:val="ListParagraph"/>
        <w:numPr>
          <w:ilvl w:val="0"/>
          <w:numId w:val="66"/>
        </w:numPr>
      </w:pPr>
      <w:r w:rsidRPr="00DA3C6E">
        <w:t xml:space="preserve">The model does not capture the fact that patients slowly deteriorate overtime because there is </w:t>
      </w:r>
      <w:r w:rsidR="007246A4" w:rsidRPr="00DA3C6E">
        <w:t xml:space="preserve">no adequate data </w:t>
      </w:r>
      <w:r w:rsidRPr="00DA3C6E">
        <w:t xml:space="preserve">to model the rate of deterioration </w:t>
      </w:r>
      <w:r w:rsidR="007246A4" w:rsidRPr="00DA3C6E">
        <w:t xml:space="preserve">in terms of utility values and </w:t>
      </w:r>
      <w:r w:rsidRPr="00DA3C6E">
        <w:t xml:space="preserve">as per the </w:t>
      </w:r>
      <w:r w:rsidRPr="00DA3C6E">
        <w:lastRenderedPageBreak/>
        <w:t xml:space="preserve">natural history of the disease described in Section A. MMN patients that transit to the ‘BSC’ health state (not receiving active treatment with intravenous Ig) are assumed to have a constant utility associated value throughout the whole time horizon. This means that no decrement in QoL is attached and patients remain with the same baseline utility as when they first transited to that health state. </w:t>
      </w:r>
      <w:r w:rsidR="00226210" w:rsidRPr="00DA3C6E">
        <w:t>This assumption was tested in a sensitivity analysis</w:t>
      </w:r>
      <w:r w:rsidR="001A2B24" w:rsidRPr="00DA3C6E">
        <w:t xml:space="preserve"> in Section D.6</w:t>
      </w:r>
      <w:r w:rsidR="00226210" w:rsidRPr="00DA3C6E">
        <w:t xml:space="preserve"> assuming an annual utility decrement </w:t>
      </w:r>
      <w:r w:rsidR="001A2B24" w:rsidRPr="00DA3C6E">
        <w:t xml:space="preserve">based on a study reporting QoL of untreated versus Ig treated patients. The limitations of this source are further discussed in Section D.4 all of which justify why this was not assumed in the base case analysis. </w:t>
      </w:r>
    </w:p>
    <w:p w14:paraId="590368FC" w14:textId="5447E032" w:rsidR="00101A38" w:rsidRPr="00DA3C6E" w:rsidRDefault="00101A38" w:rsidP="00365584">
      <w:pPr>
        <w:pStyle w:val="ListParagraph"/>
        <w:numPr>
          <w:ilvl w:val="0"/>
          <w:numId w:val="66"/>
        </w:numPr>
      </w:pPr>
      <w:r w:rsidRPr="00DA3C6E">
        <w:t xml:space="preserve">MMN patients who do not receive active treatment with intravenous Ig (only BSC), but </w:t>
      </w:r>
      <w:r w:rsidR="007251AD" w:rsidRPr="00DA3C6E">
        <w:t xml:space="preserve">whose </w:t>
      </w:r>
      <w:r w:rsidRPr="00DA3C6E">
        <w:t>health does not deteriorate (i.e. remain ‘stable’) move to the respond health state, and are assumed to continue to remain ‘stable’ with no deterioration for a maximum of six months (1 cycle) after the initial treatment phase. After this period, all patients (100%) transit to ‘BSC’. This assumption was based on evidence reported in the study by Leger et al.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Pr="00DA3C6E">
        <w:t xml:space="preserve">, where two patients in the placebo arm remained as responders at 7 months when the clinical trial ended. </w:t>
      </w:r>
    </w:p>
    <w:p w14:paraId="72DF6815" w14:textId="77777777" w:rsidR="00101A38" w:rsidRPr="00DA3C6E" w:rsidRDefault="00101A38" w:rsidP="0073359F">
      <w:pPr>
        <w:pStyle w:val="ListParagraph"/>
        <w:numPr>
          <w:ilvl w:val="0"/>
          <w:numId w:val="66"/>
        </w:numPr>
      </w:pPr>
      <w:r w:rsidRPr="00DA3C6E">
        <w:t xml:space="preserve">Because the literature search did not identify any trials that implemented a weaning off trial phase, it was assumed that 5% of patients would transit to the ‘Responder off-treatment’ health state each cycle. This transition probability remained constant throughout the whole time horizon. This proportion was considered reasonable based on information provided by a clinical expert from the Ig Review Reference group as mentioned earlier in Section C.2.5. The effect of a higher proportion of patients initiating weaning and no patients initiating weaning (0%) was tested as a sensitivity analysis in Section D.6. </w:t>
      </w:r>
    </w:p>
    <w:p w14:paraId="7FA8D3FA" w14:textId="4B664E64" w:rsidR="00101A38" w:rsidRPr="00DA3C6E" w:rsidRDefault="00101A38" w:rsidP="0073359F">
      <w:pPr>
        <w:pStyle w:val="ListParagraph"/>
        <w:numPr>
          <w:ilvl w:val="0"/>
          <w:numId w:val="66"/>
        </w:numPr>
      </w:pPr>
      <w:r w:rsidRPr="00DA3C6E">
        <w:t xml:space="preserve">The proportion of patients in the ‘Responder off-treatment’ health state likely to relapse and reinitiate treatment was assumed as 50% as per advice from </w:t>
      </w:r>
      <w:r w:rsidR="007251AD" w:rsidRPr="00DA3C6E">
        <w:t xml:space="preserve">the </w:t>
      </w:r>
      <w:r w:rsidRPr="00DA3C6E">
        <w:t>clinical expert of the Ig Review Reference group.</w:t>
      </w:r>
    </w:p>
    <w:p w14:paraId="0AD922D2" w14:textId="77777777" w:rsidR="00101A38" w:rsidRPr="00DA3C6E" w:rsidRDefault="00101A38" w:rsidP="006B450A">
      <w:pPr>
        <w:pStyle w:val="ListParagraph"/>
        <w:numPr>
          <w:ilvl w:val="0"/>
          <w:numId w:val="76"/>
        </w:numPr>
      </w:pPr>
      <w:r w:rsidRPr="00DA3C6E">
        <w:t>Patients who re-initiate (pre-treated patients) treatment were assumed to have the same chance of not responding to treatment as would treatment naïve patients.</w:t>
      </w:r>
      <w:r w:rsidR="0048661E" w:rsidRPr="00DA3C6E">
        <w:t xml:space="preserve"> This assumption was tested in a sensitivity analysis where pre-treated patients were assumed to have a higher probability of responding to treatment compared to treatment naïve patients</w:t>
      </w:r>
      <w:r w:rsidR="00280604" w:rsidRPr="00DA3C6E">
        <w:t>.</w:t>
      </w:r>
    </w:p>
    <w:p w14:paraId="471995A6" w14:textId="77777777" w:rsidR="00101A38" w:rsidRPr="00DA3C6E" w:rsidRDefault="00101A38" w:rsidP="0073359F">
      <w:pPr>
        <w:pStyle w:val="ListParagraph"/>
        <w:numPr>
          <w:ilvl w:val="0"/>
          <w:numId w:val="66"/>
        </w:numPr>
      </w:pPr>
      <w:r w:rsidRPr="00DA3C6E">
        <w:t xml:space="preserve">It was also assumed that all patients, independent of whether they are on intravenous Ig treatment or not, will require physiotherapy and rehabilitation services (BSC) once a month for the whole duration of their disease. </w:t>
      </w:r>
    </w:p>
    <w:p w14:paraId="3B8EE675" w14:textId="118BC67C" w:rsidR="00101A38" w:rsidRPr="00DA3C6E" w:rsidRDefault="00101A38" w:rsidP="0073359F">
      <w:pPr>
        <w:pStyle w:val="ListParagraph"/>
        <w:numPr>
          <w:ilvl w:val="0"/>
          <w:numId w:val="66"/>
        </w:numPr>
      </w:pPr>
      <w:r w:rsidRPr="00DA3C6E">
        <w:t xml:space="preserve">The model included the costs and associated disutility of only serious adverse events that were reported in the RCTs. It was assumed that the proportion of MMN patients on intravenous Ig treatment who </w:t>
      </w:r>
      <w:r w:rsidR="007251AD" w:rsidRPr="00DA3C6E">
        <w:t xml:space="preserve">would </w:t>
      </w:r>
      <w:r w:rsidRPr="00DA3C6E">
        <w:t xml:space="preserve">experience this event is the same as that observed in </w:t>
      </w:r>
      <w:r w:rsidRPr="00DA3C6E">
        <w:lastRenderedPageBreak/>
        <w:t>one of the RCTs (Hahn et al.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and that the event </w:t>
      </w:r>
      <w:r w:rsidR="007251AD" w:rsidRPr="00DA3C6E">
        <w:t xml:space="preserve">would </w:t>
      </w:r>
      <w:r w:rsidRPr="00DA3C6E">
        <w:t>be experienced once in the model.</w:t>
      </w:r>
      <w:r w:rsidR="004E08FE" w:rsidRPr="00DA3C6E">
        <w:t xml:space="preserve"> It was assumed that this event</w:t>
      </w:r>
      <w:r w:rsidR="007251AD" w:rsidRPr="00DA3C6E">
        <w:t xml:space="preserve"> would</w:t>
      </w:r>
      <w:r w:rsidR="004E08FE" w:rsidRPr="00DA3C6E">
        <w:t xml:space="preserve"> lead to treatment discontinuation. </w:t>
      </w:r>
    </w:p>
    <w:p w14:paraId="742BF895" w14:textId="205DEEF7" w:rsidR="00101A38" w:rsidRPr="00DA3C6E" w:rsidRDefault="00101A38" w:rsidP="0073359F">
      <w:pPr>
        <w:pStyle w:val="ListParagraph"/>
        <w:numPr>
          <w:ilvl w:val="0"/>
          <w:numId w:val="66"/>
        </w:numPr>
      </w:pPr>
      <w:r w:rsidRPr="00DA3C6E">
        <w:t xml:space="preserve">To account for death from other causes, the life tables reported by the ABS were used </w:t>
      </w:r>
      <w:r w:rsidR="00DB568A" w:rsidRPr="00DA3C6E">
        <w:fldChar w:fldCharType="begin"/>
      </w:r>
      <w:r w:rsidR="00DB568A" w:rsidRPr="00DA3C6E">
        <w:instrText xml:space="preserve"> ADDIN EN.CITE &lt;EndNote&gt;&lt;Cite&gt;&lt;Author&gt;ABS&lt;/Author&gt;&lt;Year&gt;2018&lt;/Year&gt;&lt;RecNum&gt;2&lt;/RecNum&gt;&lt;DisplayText&gt;(17)&lt;/DisplayText&gt;&lt;record&gt;&lt;rec-number&gt;2&lt;/rec-number&gt;&lt;foreign-keys&gt;&lt;key app="EN" db-id="0992p2ztn5fez9e2wvnpw2xstd20f9w2dezz" timestamp="1586818281"&gt;2&lt;/key&gt;&lt;/foreign-keys&gt;&lt;ref-type name="Dataset"&gt;59&lt;/ref-type&gt;&lt;contributors&gt;&lt;authors&gt;&lt;author&gt;ABS&lt;/author&gt;&lt;/authors&gt;&lt;secondary-authors&gt;&lt;author&gt;Australian Bureau of Statistics&lt;/author&gt;&lt;/secondary-authors&gt;&lt;/contributors&gt;&lt;titles&gt;&lt;title&gt;Quarterly Population Estimates (ERP), by State/Territory, Sex and Age&lt;/title&gt;&lt;/titles&gt;&lt;dates&gt;&lt;year&gt;2018&lt;/year&gt;&lt;/dates&gt;&lt;pub-location&gt;Canberra&lt;/pub-location&gt;&lt;urls&gt;&lt;/urls&gt;&lt;access-date&gt;10/09/2019&lt;/access-date&gt;&lt;/record&gt;&lt;/Cite&gt;&lt;/EndNote&gt;</w:instrText>
      </w:r>
      <w:r w:rsidR="00DB568A" w:rsidRPr="00DA3C6E">
        <w:fldChar w:fldCharType="separate"/>
      </w:r>
      <w:r w:rsidR="00DB568A" w:rsidRPr="00DA3C6E">
        <w:rPr>
          <w:noProof/>
        </w:rPr>
        <w:t>(</w:t>
      </w:r>
      <w:hyperlink w:anchor="_ENREF_17" w:tooltip="ABS, 2018 #2" w:history="1">
        <w:r w:rsidR="00C04BCE" w:rsidRPr="00DA3C6E">
          <w:rPr>
            <w:noProof/>
          </w:rPr>
          <w:t>17</w:t>
        </w:r>
      </w:hyperlink>
      <w:r w:rsidR="00DB568A" w:rsidRPr="00DA3C6E">
        <w:rPr>
          <w:noProof/>
        </w:rPr>
        <w:t>)</w:t>
      </w:r>
      <w:r w:rsidR="00DB568A" w:rsidRPr="00DA3C6E">
        <w:fldChar w:fldCharType="end"/>
      </w:r>
      <w:r w:rsidRPr="00DA3C6E">
        <w:t xml:space="preserve">. These were adjusted by the male/female ratio for patients diagnosed with MMN. </w:t>
      </w:r>
    </w:p>
    <w:p w14:paraId="55EC636A" w14:textId="77777777" w:rsidR="00101A38" w:rsidRPr="00DA3C6E" w:rsidRDefault="00101A38" w:rsidP="0073359F">
      <w:pPr>
        <w:pStyle w:val="Heading2"/>
        <w:numPr>
          <w:ilvl w:val="3"/>
          <w:numId w:val="61"/>
        </w:numPr>
        <w:jc w:val="left"/>
      </w:pPr>
      <w:bookmarkStart w:id="288" w:name="_Toc381796479"/>
      <w:bookmarkStart w:id="289" w:name="_Toc37845768"/>
      <w:r w:rsidRPr="00DA3C6E">
        <w:t>Inputs to the economic evaluation</w:t>
      </w:r>
      <w:bookmarkEnd w:id="288"/>
      <w:bookmarkEnd w:id="289"/>
    </w:p>
    <w:p w14:paraId="68AEB9F0" w14:textId="450D4435" w:rsidR="00762561" w:rsidRPr="00DA3C6E" w:rsidRDefault="00101A38" w:rsidP="00717AED">
      <w:r w:rsidRPr="00DA3C6E">
        <w:t xml:space="preserve">A summary of all model inputs used in the base case and </w:t>
      </w:r>
      <w:r w:rsidR="007240BF" w:rsidRPr="00DA3C6E">
        <w:t xml:space="preserve">later </w:t>
      </w:r>
      <w:r w:rsidRPr="00DA3C6E">
        <w:t xml:space="preserve">in the sensitivity analysis and their corresponding sources, is presented in </w:t>
      </w:r>
      <w:r w:rsidRPr="00DA3C6E">
        <w:fldChar w:fldCharType="begin"/>
      </w:r>
      <w:r w:rsidRPr="00DA3C6E">
        <w:instrText xml:space="preserve"> REF _Ref30063374 \h </w:instrText>
      </w:r>
      <w:r w:rsidR="00C81011" w:rsidRPr="00DA3C6E">
        <w:instrText xml:space="preserve"> \* MERGEFORMAT </w:instrText>
      </w:r>
      <w:r w:rsidRPr="00DA3C6E">
        <w:fldChar w:fldCharType="separate"/>
      </w:r>
      <w:r w:rsidR="00EA5DC1" w:rsidRPr="00DA3C6E">
        <w:t xml:space="preserve">Table </w:t>
      </w:r>
      <w:r w:rsidR="00EA5DC1">
        <w:rPr>
          <w:noProof/>
        </w:rPr>
        <w:t>31</w:t>
      </w:r>
      <w:r w:rsidRPr="00DA3C6E">
        <w:fldChar w:fldCharType="end"/>
      </w:r>
      <w:r w:rsidRPr="00DA3C6E">
        <w:t xml:space="preserve">. </w:t>
      </w:r>
      <w:r w:rsidR="00762561" w:rsidRPr="00DA3C6E">
        <w:t xml:space="preserve">From this table it is worth noting that the probability of discontinuation due to adverse events was based on the long-term trial </w:t>
      </w:r>
      <w:r w:rsidR="007251AD" w:rsidRPr="00DA3C6E">
        <w:t xml:space="preserve">by </w:t>
      </w:r>
      <w:r w:rsidR="00762561" w:rsidRPr="00DA3C6E">
        <w:t>Cats et al. 2010</w: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4" w:tooltip="Cats, 2010 #13" w:history="1">
        <w:r w:rsidR="00C04BCE" w:rsidRPr="00DA3C6E">
          <w:rPr>
            <w:noProof/>
          </w:rPr>
          <w:t>14</w:t>
        </w:r>
      </w:hyperlink>
      <w:r w:rsidR="00DB568A" w:rsidRPr="00DA3C6E">
        <w:rPr>
          <w:noProof/>
        </w:rPr>
        <w:t>)</w:t>
      </w:r>
      <w:r w:rsidR="00DB568A" w:rsidRPr="00DA3C6E">
        <w:fldChar w:fldCharType="end"/>
      </w:r>
      <w:r w:rsidR="00762561" w:rsidRPr="00DA3C6E">
        <w:t xml:space="preserve"> where the median duration of maintenance treatment was 6 years (range 0-17). By using this source and not the rate of discontinuation from the RCTs, we are representing the fact that if a patient does not </w:t>
      </w:r>
      <w:r w:rsidR="007251AD" w:rsidRPr="00DA3C6E">
        <w:t xml:space="preserve">experience </w:t>
      </w:r>
      <w:r w:rsidR="00762561" w:rsidRPr="00DA3C6E">
        <w:t xml:space="preserve">an </w:t>
      </w:r>
      <w:r w:rsidR="007251AD" w:rsidRPr="00DA3C6E">
        <w:t xml:space="preserve">adverse </w:t>
      </w:r>
      <w:r w:rsidR="00762561" w:rsidRPr="00DA3C6E">
        <w:t xml:space="preserve">event at the beginning of treatment they would be unlikely to </w:t>
      </w:r>
      <w:r w:rsidR="007251AD" w:rsidRPr="00DA3C6E">
        <w:t xml:space="preserve">have one </w:t>
      </w:r>
      <w:r w:rsidR="00762561" w:rsidRPr="00DA3C6E">
        <w:t>later in time. This probability was kept constant during the whole time horizon of the economic model.</w:t>
      </w:r>
    </w:p>
    <w:p w14:paraId="122023A0" w14:textId="77777777" w:rsidR="00101A38" w:rsidRPr="00DA3C6E" w:rsidRDefault="007240BF" w:rsidP="00717AED">
      <w:r w:rsidRPr="00DA3C6E">
        <w:t>The following parameters were tested</w:t>
      </w:r>
      <w:r w:rsidR="00762561" w:rsidRPr="00DA3C6E">
        <w:t xml:space="preserve"> in a one way sensitivity analysis</w:t>
      </w:r>
      <w:r w:rsidRPr="00DA3C6E">
        <w:t>:</w:t>
      </w:r>
    </w:p>
    <w:p w14:paraId="76037921" w14:textId="77777777" w:rsidR="006322E6" w:rsidRPr="00DA3C6E" w:rsidRDefault="006322E6" w:rsidP="006322E6">
      <w:pPr>
        <w:pStyle w:val="ListParagraph"/>
        <w:numPr>
          <w:ilvl w:val="0"/>
          <w:numId w:val="67"/>
        </w:numPr>
      </w:pPr>
      <w:r w:rsidRPr="00DA3C6E">
        <w:t>Transition probabilities: lower and upper bound values were applied using estimates from literature and calculated values;</w:t>
      </w:r>
    </w:p>
    <w:p w14:paraId="7E4AD62E" w14:textId="77777777" w:rsidR="006322E6" w:rsidRPr="00DA3C6E" w:rsidRDefault="006322E6" w:rsidP="006322E6">
      <w:pPr>
        <w:pStyle w:val="ListParagraph"/>
        <w:numPr>
          <w:ilvl w:val="1"/>
          <w:numId w:val="67"/>
        </w:numPr>
        <w:rPr>
          <w:rFonts w:asciiTheme="minorHAnsi" w:hAnsiTheme="minorHAnsi" w:cstheme="minorHAnsi"/>
        </w:rPr>
      </w:pPr>
      <w:r w:rsidRPr="00DA3C6E">
        <w:rPr>
          <w:rFonts w:asciiTheme="minorHAnsi" w:hAnsiTheme="minorHAnsi" w:cstheme="minorHAnsi"/>
          <w:szCs w:val="20"/>
        </w:rPr>
        <w:t>from the ‘Responder’ to the ‘Responder off-treatment’ health state (intravenous Ig arm);</w:t>
      </w:r>
    </w:p>
    <w:p w14:paraId="180791D5" w14:textId="77777777" w:rsidR="006322E6" w:rsidRPr="00DA3C6E" w:rsidRDefault="006322E6" w:rsidP="006322E6">
      <w:pPr>
        <w:pStyle w:val="ListParagraph"/>
        <w:numPr>
          <w:ilvl w:val="1"/>
          <w:numId w:val="67"/>
        </w:numPr>
      </w:pPr>
      <w:r w:rsidRPr="00DA3C6E">
        <w:t>from the ‘Responder’ to the ‘BSC’ health state (intravenous Ig arm</w:t>
      </w:r>
      <w:r w:rsidR="007240BF" w:rsidRPr="00DA3C6E">
        <w:t>);</w:t>
      </w:r>
    </w:p>
    <w:p w14:paraId="75725A3D" w14:textId="77777777" w:rsidR="006322E6" w:rsidRPr="00DA3C6E" w:rsidRDefault="006322E6" w:rsidP="006322E6">
      <w:pPr>
        <w:pStyle w:val="ListParagraph"/>
        <w:numPr>
          <w:ilvl w:val="1"/>
          <w:numId w:val="67"/>
        </w:numPr>
        <w:rPr>
          <w:rFonts w:asciiTheme="minorHAnsi" w:hAnsiTheme="minorHAnsi" w:cstheme="minorHAnsi"/>
        </w:rPr>
      </w:pPr>
      <w:r w:rsidRPr="00DA3C6E">
        <w:rPr>
          <w:rFonts w:asciiTheme="minorHAnsi" w:hAnsiTheme="minorHAnsi" w:cstheme="minorHAnsi"/>
        </w:rPr>
        <w:t>from the ‘Initial treatment’ to the ‘Responder’ health state (No intravenous Ig arm)</w:t>
      </w:r>
      <w:r w:rsidR="007240BF" w:rsidRPr="00DA3C6E">
        <w:rPr>
          <w:rFonts w:asciiTheme="minorHAnsi" w:hAnsiTheme="minorHAnsi" w:cstheme="minorHAnsi"/>
        </w:rPr>
        <w:t>;</w:t>
      </w:r>
    </w:p>
    <w:p w14:paraId="3EFCC966" w14:textId="77777777" w:rsidR="006322E6" w:rsidRPr="00DA3C6E" w:rsidRDefault="007240BF" w:rsidP="006322E6">
      <w:pPr>
        <w:pStyle w:val="ListParagraph"/>
        <w:numPr>
          <w:ilvl w:val="1"/>
          <w:numId w:val="67"/>
        </w:numPr>
        <w:rPr>
          <w:rFonts w:asciiTheme="minorHAnsi" w:hAnsiTheme="minorHAnsi" w:cstheme="minorHAnsi"/>
        </w:rPr>
      </w:pPr>
      <w:r w:rsidRPr="00DA3C6E">
        <w:rPr>
          <w:rFonts w:asciiTheme="minorHAnsi" w:hAnsiTheme="minorHAnsi" w:cstheme="minorHAnsi"/>
        </w:rPr>
        <w:t>p</w:t>
      </w:r>
      <w:r w:rsidR="006322E6" w:rsidRPr="00DA3C6E">
        <w:rPr>
          <w:rFonts w:asciiTheme="minorHAnsi" w:hAnsiTheme="minorHAnsi" w:cstheme="minorHAnsi"/>
        </w:rPr>
        <w:t>robability of relapsing while being a ‘Responder off-treatment’ and reinitiating treatment at the ‘Initial treatment’ health state (intravenous Ig arm)</w:t>
      </w:r>
      <w:r w:rsidRPr="00DA3C6E">
        <w:rPr>
          <w:rFonts w:asciiTheme="minorHAnsi" w:hAnsiTheme="minorHAnsi" w:cstheme="minorHAnsi"/>
        </w:rPr>
        <w:t>/</w:t>
      </w:r>
    </w:p>
    <w:p w14:paraId="02C735FC" w14:textId="77777777" w:rsidR="006322E6" w:rsidRPr="00DA3C6E" w:rsidRDefault="006322E6" w:rsidP="006322E6">
      <w:pPr>
        <w:pStyle w:val="ListParagraph"/>
        <w:numPr>
          <w:ilvl w:val="0"/>
          <w:numId w:val="67"/>
        </w:numPr>
      </w:pPr>
      <w:r w:rsidRPr="00DA3C6E">
        <w:t>Cost per gram of intravenous Ig was varied by:</w:t>
      </w:r>
    </w:p>
    <w:p w14:paraId="2F6EB58D" w14:textId="77777777" w:rsidR="006322E6" w:rsidRPr="00DA3C6E" w:rsidRDefault="006322E6" w:rsidP="006322E6">
      <w:pPr>
        <w:pStyle w:val="ListParagraph"/>
        <w:numPr>
          <w:ilvl w:val="1"/>
          <w:numId w:val="67"/>
        </w:numPr>
      </w:pPr>
      <w:r w:rsidRPr="00DA3C6E">
        <w:t xml:space="preserve">the lowest cost of intravenous Ig (imported intravenous Ig; $44.94), </w:t>
      </w:r>
    </w:p>
    <w:p w14:paraId="4537B41F" w14:textId="77777777" w:rsidR="006322E6" w:rsidRPr="00DA3C6E" w:rsidRDefault="006322E6" w:rsidP="006322E6">
      <w:pPr>
        <w:pStyle w:val="ListParagraph"/>
        <w:numPr>
          <w:ilvl w:val="1"/>
          <w:numId w:val="67"/>
        </w:numPr>
      </w:pPr>
      <w:r w:rsidRPr="00DA3C6E">
        <w:t xml:space="preserve">the highest cost of intravenous Ig (domestic intravenous Ig including cost of plasma fractionation; $140.18), </w:t>
      </w:r>
    </w:p>
    <w:p w14:paraId="0505E833" w14:textId="119615C7" w:rsidR="00FF2B1D" w:rsidRPr="00DA3C6E" w:rsidRDefault="007240BF" w:rsidP="002178CE">
      <w:pPr>
        <w:pStyle w:val="ListParagraph"/>
        <w:numPr>
          <w:ilvl w:val="0"/>
          <w:numId w:val="67"/>
        </w:numPr>
      </w:pPr>
      <w:r w:rsidRPr="00DA3C6E">
        <w:t>Utility weights: the incremental benefit predicted in the study by McCrone et al. 2003</w:t>
      </w:r>
      <w:r w:rsidR="00DB568A" w:rsidRPr="00DA3C6E">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 </w:instrText>
      </w:r>
      <w:r w:rsidR="007810D6">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60" w:tooltip="McCrone, 2003 #43" w:history="1">
        <w:r w:rsidR="00C04BCE">
          <w:rPr>
            <w:noProof/>
          </w:rPr>
          <w:t>60</w:t>
        </w:r>
      </w:hyperlink>
      <w:r w:rsidR="007810D6">
        <w:rPr>
          <w:noProof/>
        </w:rPr>
        <w:t>)</w:t>
      </w:r>
      <w:r w:rsidR="00DB568A" w:rsidRPr="00DA3C6E">
        <w:fldChar w:fldCharType="end"/>
      </w:r>
      <w:r w:rsidRPr="00DA3C6E">
        <w:t xml:space="preserve"> (0.12) was varied </w:t>
      </w:r>
      <w:r w:rsidR="00F61AB2" w:rsidRPr="00DA3C6E">
        <w:t xml:space="preserve">by assuming </w:t>
      </w:r>
      <w:r w:rsidR="008E08F9" w:rsidRPr="00DA3C6E">
        <w:t xml:space="preserve">a </w:t>
      </w:r>
      <w:r w:rsidRPr="00DA3C6E">
        <w:t xml:space="preserve">± </w:t>
      </w:r>
      <w:r w:rsidR="008E08F9" w:rsidRPr="00DA3C6E">
        <w:t>5</w:t>
      </w:r>
      <w:r w:rsidRPr="00DA3C6E">
        <w:t>0%</w:t>
      </w:r>
      <w:r w:rsidR="00762561" w:rsidRPr="00DA3C6E">
        <w:t xml:space="preserve"> </w:t>
      </w:r>
      <w:r w:rsidR="00280604" w:rsidRPr="00DA3C6E">
        <w:t>from the</w:t>
      </w:r>
      <w:r w:rsidR="008E08F9" w:rsidRPr="00DA3C6E">
        <w:t xml:space="preserve"> base</w:t>
      </w:r>
      <w:r w:rsidR="00280604" w:rsidRPr="00DA3C6E">
        <w:t>line</w:t>
      </w:r>
      <w:r w:rsidR="008E08F9" w:rsidRPr="00DA3C6E">
        <w:t xml:space="preserve"> </w:t>
      </w:r>
      <w:r w:rsidR="00762561" w:rsidRPr="00DA3C6E">
        <w:t>in relative terms</w:t>
      </w:r>
      <w:r w:rsidR="00280604" w:rsidRPr="00DA3C6E">
        <w:t xml:space="preserve"> (</w:t>
      </w:r>
      <w:r w:rsidR="00262951" w:rsidRPr="00DA3C6E">
        <w:t xml:space="preserve">i.e. </w:t>
      </w:r>
      <w:r w:rsidR="00FC5FE1" w:rsidRPr="00DA3C6E">
        <w:t xml:space="preserve">± </w:t>
      </w:r>
      <w:r w:rsidR="005113D7" w:rsidRPr="00DA3C6E">
        <w:t>0.06 incremental benefit</w:t>
      </w:r>
      <w:r w:rsidR="00280604" w:rsidRPr="00DA3C6E">
        <w:t>)</w:t>
      </w:r>
      <w:r w:rsidR="00FC5FE1" w:rsidRPr="00DA3C6E">
        <w:t>.</w:t>
      </w:r>
    </w:p>
    <w:p w14:paraId="4EA9A553" w14:textId="77777777" w:rsidR="007240BF" w:rsidRPr="00DA3C6E" w:rsidRDefault="00762561" w:rsidP="00FA72EB">
      <w:r w:rsidRPr="00DA3C6E">
        <w:t>In order to further test the impact on the ICER, several s</w:t>
      </w:r>
      <w:r w:rsidR="007240BF" w:rsidRPr="00DA3C6E">
        <w:t xml:space="preserve">cenario </w:t>
      </w:r>
      <w:r w:rsidR="0023217A" w:rsidRPr="00DA3C6E">
        <w:t>analyses</w:t>
      </w:r>
      <w:r w:rsidRPr="00DA3C6E">
        <w:t xml:space="preserve"> were conducted</w:t>
      </w:r>
      <w:r w:rsidR="00BA08D3" w:rsidRPr="00DA3C6E">
        <w:t xml:space="preserve"> on the following parameters:</w:t>
      </w:r>
      <w:r w:rsidRPr="00DA3C6E">
        <w:t xml:space="preserve"> </w:t>
      </w:r>
    </w:p>
    <w:p w14:paraId="5D382EDA" w14:textId="77777777" w:rsidR="00B97300" w:rsidRPr="00DA3C6E" w:rsidRDefault="00B97300" w:rsidP="00B97300">
      <w:pPr>
        <w:pStyle w:val="ListParagraph"/>
        <w:numPr>
          <w:ilvl w:val="0"/>
          <w:numId w:val="67"/>
        </w:numPr>
      </w:pPr>
      <w:r w:rsidRPr="00DA3C6E">
        <w:lastRenderedPageBreak/>
        <w:t>Discount rate</w:t>
      </w:r>
      <w:r w:rsidR="00C46B04" w:rsidRPr="00DA3C6E">
        <w:t xml:space="preserve"> (assumed as 0%)</w:t>
      </w:r>
      <w:r w:rsidRPr="00DA3C6E">
        <w:t>;</w:t>
      </w:r>
    </w:p>
    <w:p w14:paraId="4F6A48E5" w14:textId="48799ED8" w:rsidR="00B97300" w:rsidRPr="00DA3C6E" w:rsidRDefault="00B97300" w:rsidP="00B97300">
      <w:pPr>
        <w:pStyle w:val="ListParagraph"/>
        <w:numPr>
          <w:ilvl w:val="0"/>
          <w:numId w:val="67"/>
        </w:numPr>
      </w:pPr>
      <w:r w:rsidRPr="00DA3C6E">
        <w:t>Intravenous Ig price assuming the weighted average cost of intravenous Ig across all indications ($94.51)</w:t>
      </w:r>
      <w:r w:rsidR="00DC635B" w:rsidRPr="00DA3C6E">
        <w:t>. Because the prices and proportions of domestic/imported Ig are expected to fluctuate overtime, this price was agreed to be used in all HTA reports assessing this technology</w:t>
      </w:r>
      <w:r w:rsidRPr="00DA3C6E">
        <w:t>;</w:t>
      </w:r>
    </w:p>
    <w:p w14:paraId="3B7B6204" w14:textId="519181B5" w:rsidR="00B97300" w:rsidRPr="00DA3C6E" w:rsidRDefault="00B97300" w:rsidP="00B97300">
      <w:pPr>
        <w:pStyle w:val="ListParagraph"/>
        <w:numPr>
          <w:ilvl w:val="0"/>
          <w:numId w:val="67"/>
        </w:numPr>
      </w:pPr>
      <w:r w:rsidRPr="00DA3C6E">
        <w:t xml:space="preserve">Age of entry into the model was varied by considering the average age of MMN patients in the RCTs which reflects age at </w:t>
      </w:r>
      <w:r w:rsidR="00757C13" w:rsidRPr="00DA3C6E">
        <w:t xml:space="preserve">diagnosis </w:t>
      </w:r>
      <w:r w:rsidRPr="00DA3C6E">
        <w:t>(48 years);</w:t>
      </w:r>
    </w:p>
    <w:p w14:paraId="076C11B7" w14:textId="77777777" w:rsidR="00B97300" w:rsidRPr="00DA3C6E" w:rsidRDefault="00B97300" w:rsidP="00B97300">
      <w:pPr>
        <w:pStyle w:val="ListParagraph"/>
        <w:numPr>
          <w:ilvl w:val="0"/>
          <w:numId w:val="67"/>
        </w:numPr>
      </w:pPr>
      <w:r w:rsidRPr="00DA3C6E">
        <w:t>Probability of treatment discontinuation due to AEs as per data from single arm studies;</w:t>
      </w:r>
    </w:p>
    <w:p w14:paraId="57F06049" w14:textId="77777777" w:rsidR="007246A4" w:rsidRPr="00DA3C6E" w:rsidRDefault="007246A4" w:rsidP="007246A4">
      <w:pPr>
        <w:pStyle w:val="ListParagraph"/>
        <w:numPr>
          <w:ilvl w:val="0"/>
          <w:numId w:val="67"/>
        </w:numPr>
      </w:pPr>
      <w:r w:rsidRPr="00DA3C6E">
        <w:t xml:space="preserve">Potential for SCIg use assuming a 50:50 proportional use of both routes of administration under two scenarios: </w:t>
      </w:r>
    </w:p>
    <w:p w14:paraId="3BAAC34F" w14:textId="77777777" w:rsidR="00B97300" w:rsidRPr="00DA3C6E" w:rsidRDefault="006322E6" w:rsidP="00FA72EB">
      <w:pPr>
        <w:pStyle w:val="ListParagraph"/>
        <w:numPr>
          <w:ilvl w:val="1"/>
          <w:numId w:val="67"/>
        </w:numPr>
      </w:pPr>
      <w:r w:rsidRPr="00DA3C6E">
        <w:t xml:space="preserve">differentiated costs between the forms of administration as per the NBA HTA conditions report) and; </w:t>
      </w:r>
    </w:p>
    <w:p w14:paraId="21139208" w14:textId="77777777" w:rsidR="00AD5498" w:rsidRPr="00DA3C6E" w:rsidRDefault="006322E6" w:rsidP="00FA72EB">
      <w:pPr>
        <w:pStyle w:val="ListParagraph"/>
        <w:numPr>
          <w:ilvl w:val="1"/>
          <w:numId w:val="67"/>
        </w:numPr>
      </w:pPr>
      <w:r w:rsidRPr="00DA3C6E">
        <w:t>cost of SCI</w:t>
      </w:r>
      <w:r w:rsidR="00C81011" w:rsidRPr="00DA3C6E">
        <w:t>g</w:t>
      </w:r>
      <w:r w:rsidRPr="00DA3C6E">
        <w:t xml:space="preserve"> equals to the cost of intravenous Ig. </w:t>
      </w:r>
    </w:p>
    <w:p w14:paraId="06D5F8B4" w14:textId="027AF263" w:rsidR="00280604" w:rsidRPr="00DA3C6E" w:rsidRDefault="00280604" w:rsidP="00280604">
      <w:pPr>
        <w:pStyle w:val="ListParagraph"/>
        <w:numPr>
          <w:ilvl w:val="0"/>
          <w:numId w:val="80"/>
        </w:numPr>
      </w:pPr>
      <w:r w:rsidRPr="00DA3C6E">
        <w:t xml:space="preserve">Utility values: In order to capture the progressive nature of MMN symptoms over time irrespective of treatment, we applied a utility decrement per year in both treatment arms. The utility decrement was estimated from a published study </w:t>
      </w:r>
      <w:r w:rsidR="00DB568A" w:rsidRPr="00DA3C6E">
        <w:fldChar w:fldCharType="begin"/>
      </w:r>
      <w:r w:rsidR="00DB568A" w:rsidRPr="00DA3C6E">
        <w:instrText xml:space="preserve"> ADDIN EN.CITE &lt;EndNote&gt;&lt;Cite&gt;&lt;Author&gt;Lawson&lt;/Author&gt;&lt;Year&gt;2014&lt;/Year&gt;&lt;RecNum&gt;38&lt;/RecNum&gt;&lt;DisplayText&gt;(2)&lt;/DisplayText&gt;&lt;record&gt;&lt;rec-number&gt;38&lt;/rec-number&gt;&lt;foreign-keys&gt;&lt;key app="EN" db-id="0992p2ztn5fez9e2wvnpw2xstd20f9w2dezz" timestamp="1586818281"&gt;38&lt;/key&gt;&lt;/foreign-keys&gt;&lt;ref-type name="Journal Article"&gt;17&lt;/ref-type&gt;&lt;contributors&gt;&lt;authors&gt;&lt;author&gt;Lawson, V. H.&lt;/author&gt;&lt;author&gt;Arnold, W. D.&lt;/author&gt;&lt;/authors&gt;&lt;/contributors&gt;&lt;auth-address&gt;Division of Neuromuscular Disorders, Department of Neurology, Wexner Medical Center at The Ohio State University, Columbus, Ohio, USA.&amp;#xD;Division of Neuromuscular Disorders, Department of Neurology, Wexner Medical Center at The Ohio State University, Columbus, Ohio, USA ; Department of Physical Medicine and Rehabilitation, Wexner Medical Center at The Ohio State University, Columbus, Ohio, USA.&lt;/auth-address&gt;&lt;titles&gt;&lt;title&gt;Multifocal motor neuropathy: a review of pathogenesis, diagnosis, and treatment&lt;/title&gt;&lt;secondary-title&gt;Neuropsychiatr Dis Treat&lt;/secondary-title&gt;&lt;alt-title&gt;Neuropsychiatric disease and treatment&lt;/alt-title&gt;&lt;/titles&gt;&lt;periodical&gt;&lt;full-title&gt;Neuropsychiatr Dis Treat&lt;/full-title&gt;&lt;abbr-1&gt;Neuropsychiatric disease and treatment&lt;/abbr-1&gt;&lt;/periodical&gt;&lt;alt-periodical&gt;&lt;full-title&gt;Neuropsychiatr Dis Treat&lt;/full-title&gt;&lt;abbr-1&gt;Neuropsychiatric disease and treatment&lt;/abbr-1&gt;&lt;/alt-periodical&gt;&lt;pages&gt;567-76&lt;/pages&gt;&lt;volume&gt;10&lt;/volume&gt;&lt;edition&gt;2014/04/18&lt;/edition&gt;&lt;keywords&gt;&lt;keyword&gt;autoimmune&lt;/keyword&gt;&lt;keyword&gt;conduction block&lt;/keyword&gt;&lt;keyword&gt;electrodiagnosis&lt;/keyword&gt;&lt;keyword&gt;inflammatory&lt;/keyword&gt;&lt;keyword&gt;motor neuron&lt;/keyword&gt;&lt;keyword&gt;nerve&lt;/keyword&gt;&lt;/keywords&gt;&lt;dates&gt;&lt;year&gt;2014&lt;/year&gt;&lt;/dates&gt;&lt;isbn&gt;1176-6328 (Print)&amp;#xD;1176-6328&lt;/isbn&gt;&lt;accession-num&gt;24741315&lt;/accession-num&gt;&lt;urls&gt;&lt;/urls&gt;&lt;custom2&gt;PMC3983019&lt;/custom2&gt;&lt;electronic-resource-num&gt;10.2147/ndt.S39592&lt;/electronic-resource-num&gt;&lt;remote-database-provider&gt;NLM&lt;/remote-database-provider&gt;&lt;language&gt;eng&lt;/language&gt;&lt;/record&gt;&lt;/Cite&gt;&lt;/EndNote&gt;</w:instrText>
      </w:r>
      <w:r w:rsidR="00DB568A" w:rsidRPr="00DA3C6E">
        <w:fldChar w:fldCharType="separate"/>
      </w:r>
      <w:r w:rsidR="00DB568A" w:rsidRPr="00DA3C6E">
        <w:rPr>
          <w:noProof/>
        </w:rPr>
        <w:t>(</w:t>
      </w:r>
      <w:hyperlink w:anchor="_ENREF_2" w:tooltip="Lawson, 2014 #38" w:history="1">
        <w:r w:rsidR="00C04BCE" w:rsidRPr="00DA3C6E">
          <w:rPr>
            <w:noProof/>
          </w:rPr>
          <w:t>2</w:t>
        </w:r>
      </w:hyperlink>
      <w:r w:rsidR="00DB568A" w:rsidRPr="00DA3C6E">
        <w:rPr>
          <w:noProof/>
        </w:rPr>
        <w:t>)</w:t>
      </w:r>
      <w:r w:rsidR="00DB568A" w:rsidRPr="00DA3C6E">
        <w:fldChar w:fldCharType="end"/>
      </w:r>
      <w:r w:rsidR="00757C13" w:rsidRPr="00DA3C6E">
        <w:t xml:space="preserve"> </w:t>
      </w:r>
      <w:r w:rsidRPr="00DA3C6E">
        <w:t xml:space="preserve">that reported the rate of progression in </w:t>
      </w:r>
      <w:r w:rsidR="00FC68B4" w:rsidRPr="00DA3C6E">
        <w:t xml:space="preserve">MMN </w:t>
      </w:r>
      <w:r w:rsidRPr="00DA3C6E">
        <w:t xml:space="preserve">patients </w:t>
      </w:r>
      <w:r w:rsidR="00FC68B4" w:rsidRPr="00DA3C6E">
        <w:t xml:space="preserve">treated with intravenous Ig compared to </w:t>
      </w:r>
      <w:r w:rsidRPr="00DA3C6E">
        <w:t xml:space="preserve">those </w:t>
      </w:r>
      <w:r w:rsidR="00FC68B4" w:rsidRPr="00DA3C6E">
        <w:t xml:space="preserve">who remained untreated. Progression of MMN was assessed using </w:t>
      </w:r>
      <w:r w:rsidRPr="00DA3C6E">
        <w:t>the weakness severity domain of the Neuropathy Impairment Score</w:t>
      </w:r>
      <w:r w:rsidR="00FC68B4" w:rsidRPr="00DA3C6E">
        <w:t xml:space="preserve"> (NIS W)</w:t>
      </w:r>
      <w:r w:rsidRPr="00DA3C6E">
        <w:t xml:space="preserve"> scale. </w:t>
      </w:r>
      <w:r w:rsidR="00FC68B4" w:rsidRPr="00DA3C6E">
        <w:t xml:space="preserve">The results showed a decrement in the NIS W scale of </w:t>
      </w:r>
      <w:r w:rsidRPr="00DA3C6E">
        <w:t xml:space="preserve">1.3 points per year after initiating </w:t>
      </w:r>
      <w:r w:rsidR="00FC68B4" w:rsidRPr="00DA3C6E">
        <w:t xml:space="preserve">intravenous Ig </w:t>
      </w:r>
      <w:r w:rsidRPr="00DA3C6E">
        <w:t xml:space="preserve">therapy compared to 4.2 points per year prior to </w:t>
      </w:r>
      <w:r w:rsidR="00FC68B4" w:rsidRPr="00DA3C6E">
        <w:t xml:space="preserve">initiating </w:t>
      </w:r>
      <w:r w:rsidRPr="00DA3C6E">
        <w:t>treatment</w:t>
      </w:r>
      <w:r w:rsidR="00FC68B4" w:rsidRPr="00DA3C6E">
        <w:t>. T</w:t>
      </w:r>
      <w:r w:rsidRPr="00DA3C6E">
        <w:t>hus</w:t>
      </w:r>
      <w:r w:rsidR="00FC68B4" w:rsidRPr="00DA3C6E">
        <w:t>, untreated</w:t>
      </w:r>
      <w:r w:rsidRPr="00DA3C6E">
        <w:t xml:space="preserve"> patients progresse</w:t>
      </w:r>
      <w:r w:rsidR="00FC68B4" w:rsidRPr="00DA3C6E">
        <w:t>d</w:t>
      </w:r>
      <w:r w:rsidRPr="00DA3C6E">
        <w:t xml:space="preserve"> in their disease 3.23 times more than those who receive</w:t>
      </w:r>
      <w:r w:rsidR="00FC68B4" w:rsidRPr="00DA3C6E">
        <w:t>d</w:t>
      </w:r>
      <w:r w:rsidRPr="00DA3C6E">
        <w:t xml:space="preserve"> treatment with intravenous Ig. </w:t>
      </w:r>
      <w:r w:rsidR="00FC68B4" w:rsidRPr="00DA3C6E">
        <w:t>Because t</w:t>
      </w:r>
      <w:r w:rsidRPr="00DA3C6E">
        <w:t xml:space="preserve">here is no mapping of </w:t>
      </w:r>
      <w:r w:rsidR="00FC68B4" w:rsidRPr="00DA3C6E">
        <w:t xml:space="preserve">the </w:t>
      </w:r>
      <w:r w:rsidRPr="00DA3C6E">
        <w:t>NIS</w:t>
      </w:r>
      <w:r w:rsidR="00FC68B4" w:rsidRPr="00DA3C6E">
        <w:t xml:space="preserve"> </w:t>
      </w:r>
      <w:r w:rsidRPr="00DA3C6E">
        <w:t>W</w:t>
      </w:r>
      <w:r w:rsidR="00FC68B4" w:rsidRPr="00DA3C6E">
        <w:t xml:space="preserve"> </w:t>
      </w:r>
      <w:r w:rsidRPr="00DA3C6E">
        <w:t xml:space="preserve">to utilities, we assumed a linear decline in the </w:t>
      </w:r>
      <w:r w:rsidR="00FC68B4" w:rsidRPr="00DA3C6E">
        <w:t>QoL</w:t>
      </w:r>
      <w:r w:rsidRPr="00DA3C6E">
        <w:t xml:space="preserve"> of MMN patients irrespective of treatment received</w:t>
      </w:r>
      <w:r w:rsidR="00FC68B4" w:rsidRPr="00DA3C6E">
        <w:t xml:space="preserve">. In addition, </w:t>
      </w:r>
      <w:r w:rsidRPr="00DA3C6E">
        <w:t xml:space="preserve">a </w:t>
      </w:r>
      <w:r w:rsidR="00FC68B4" w:rsidRPr="00DA3C6E">
        <w:t xml:space="preserve">baseline </w:t>
      </w:r>
      <w:r w:rsidRPr="00DA3C6E">
        <w:t xml:space="preserve">yearly utility decrement of 0.01 </w:t>
      </w:r>
      <w:r w:rsidR="00FC68B4" w:rsidRPr="00DA3C6E">
        <w:t xml:space="preserve">was assumed for patients in </w:t>
      </w:r>
      <w:r w:rsidRPr="00DA3C6E">
        <w:t xml:space="preserve">the intravenous Ig arm and 0.032 </w:t>
      </w:r>
      <w:r w:rsidR="00FC68B4" w:rsidRPr="00DA3C6E">
        <w:t xml:space="preserve">for </w:t>
      </w:r>
      <w:r w:rsidRPr="00DA3C6E">
        <w:t xml:space="preserve">the </w:t>
      </w:r>
      <w:r w:rsidR="00FC68B4" w:rsidRPr="00DA3C6E">
        <w:t>untreated</w:t>
      </w:r>
      <w:r w:rsidRPr="00DA3C6E">
        <w:t xml:space="preserve"> arm. It should be noted that the assumed utility decrement is not static, however there is no evidence available to capture </w:t>
      </w:r>
      <w:r w:rsidR="007855FF" w:rsidRPr="00DA3C6E">
        <w:t xml:space="preserve">this </w:t>
      </w:r>
      <w:r w:rsidRPr="00DA3C6E">
        <w:t xml:space="preserve">potential variation. To further assess uncertainties around this parameter, we presented </w:t>
      </w:r>
      <w:r w:rsidR="00757C13" w:rsidRPr="00DA3C6E">
        <w:t xml:space="preserve">an </w:t>
      </w:r>
      <w:r w:rsidRPr="00DA3C6E">
        <w:t xml:space="preserve">additional sensitivity analysis on the utility decrement by assuming a </w:t>
      </w:r>
      <w:r w:rsidRPr="00DA3C6E">
        <w:rPr>
          <w:rFonts w:cs="Calibri"/>
        </w:rPr>
        <w:t>±</w:t>
      </w:r>
      <w:r w:rsidRPr="00DA3C6E">
        <w:t xml:space="preserve">50% </w:t>
      </w:r>
      <w:r w:rsidR="007855FF" w:rsidRPr="00DA3C6E">
        <w:t xml:space="preserve">from </w:t>
      </w:r>
      <w:r w:rsidRPr="00DA3C6E">
        <w:t>the base</w:t>
      </w:r>
      <w:r w:rsidR="007855FF" w:rsidRPr="00DA3C6E">
        <w:t>line</w:t>
      </w:r>
      <w:r w:rsidRPr="00DA3C6E">
        <w:t xml:space="preserve"> decline.</w:t>
      </w:r>
    </w:p>
    <w:p w14:paraId="59B2C2EB" w14:textId="4AD03C50" w:rsidR="00F309F3" w:rsidRPr="00DA3C6E" w:rsidRDefault="007855FF">
      <w:pPr>
        <w:pStyle w:val="ListParagraph"/>
        <w:numPr>
          <w:ilvl w:val="0"/>
          <w:numId w:val="80"/>
        </w:numPr>
      </w:pPr>
      <w:r w:rsidRPr="00DA3C6E">
        <w:t xml:space="preserve">Probability of treatment response in pre-treated patients: a </w:t>
      </w:r>
      <w:r w:rsidR="00474CD4" w:rsidRPr="00DA3C6E">
        <w:t>‘memory’</w:t>
      </w:r>
      <w:r w:rsidRPr="00DA3C6E">
        <w:t xml:space="preserve"> state was incorporated</w:t>
      </w:r>
      <w:r w:rsidR="00474CD4" w:rsidRPr="00DA3C6E">
        <w:t xml:space="preserve"> to the Markov model such that </w:t>
      </w:r>
      <w:r w:rsidR="00953B15" w:rsidRPr="00DA3C6E">
        <w:t>pre</w:t>
      </w:r>
      <w:r w:rsidR="00445489" w:rsidRPr="00DA3C6E">
        <w:t>-</w:t>
      </w:r>
      <w:r w:rsidR="00953B15" w:rsidRPr="00DA3C6E">
        <w:t>treated patients</w:t>
      </w:r>
      <w:r w:rsidR="00445489" w:rsidRPr="00DA3C6E">
        <w:t xml:space="preserve"> (i.e. </w:t>
      </w:r>
      <w:r w:rsidR="00DF3C83" w:rsidRPr="00DA3C6E">
        <w:t>patients who reinitiate treatment</w:t>
      </w:r>
      <w:r w:rsidR="00953B15" w:rsidRPr="00DA3C6E">
        <w:t xml:space="preserve"> after relapse</w:t>
      </w:r>
      <w:r w:rsidR="00445489" w:rsidRPr="00DA3C6E">
        <w:t>)</w:t>
      </w:r>
      <w:r w:rsidR="00953B15" w:rsidRPr="00DA3C6E">
        <w:t>, would have a higher probability</w:t>
      </w:r>
      <w:r w:rsidR="00445489" w:rsidRPr="00DA3C6E">
        <w:t xml:space="preserve"> of responding to </w:t>
      </w:r>
      <w:r w:rsidR="00296126" w:rsidRPr="00DA3C6E">
        <w:t>intravenous Ig</w:t>
      </w:r>
      <w:r w:rsidR="00445489" w:rsidRPr="00DA3C6E">
        <w:t xml:space="preserve"> </w:t>
      </w:r>
      <w:r w:rsidR="00FA63DB" w:rsidRPr="00DA3C6E">
        <w:t>compared to treatment naïve patients</w:t>
      </w:r>
      <w:r w:rsidRPr="00DA3C6E">
        <w:t xml:space="preserve">. It was </w:t>
      </w:r>
      <w:r w:rsidR="00591BD4" w:rsidRPr="00DA3C6E">
        <w:t xml:space="preserve">assumed that </w:t>
      </w:r>
      <w:r w:rsidR="006121BE" w:rsidRPr="00DA3C6E">
        <w:t>pre-treated patient</w:t>
      </w:r>
      <w:r w:rsidRPr="00DA3C6E">
        <w:t>s</w:t>
      </w:r>
      <w:r w:rsidR="006121BE" w:rsidRPr="00DA3C6E">
        <w:t xml:space="preserve"> </w:t>
      </w:r>
      <w:r w:rsidRPr="00DA3C6E">
        <w:t>would</w:t>
      </w:r>
      <w:r w:rsidR="006121BE" w:rsidRPr="00DA3C6E">
        <w:t xml:space="preserve"> have </w:t>
      </w:r>
      <w:r w:rsidR="0032237E" w:rsidRPr="00DA3C6E">
        <w:t xml:space="preserve">a </w:t>
      </w:r>
      <w:r w:rsidRPr="00DA3C6E">
        <w:t xml:space="preserve">higher </w:t>
      </w:r>
      <w:r w:rsidRPr="00DA3C6E">
        <w:lastRenderedPageBreak/>
        <w:t>chance of responding to intravenous Ig</w:t>
      </w:r>
      <w:r w:rsidRPr="00DA3C6E">
        <w:rPr>
          <w:rStyle w:val="CommentReference"/>
        </w:rPr>
        <w:t xml:space="preserve"> </w:t>
      </w:r>
      <w:r w:rsidR="002A1FE5" w:rsidRPr="00DA3C6E">
        <w:t>co</w:t>
      </w:r>
      <w:r w:rsidRPr="00DA3C6E">
        <w:t>mpared to treatment naïve patients (</w:t>
      </w:r>
      <w:r w:rsidR="0032237E" w:rsidRPr="00DA3C6E">
        <w:t>0.929</w:t>
      </w:r>
      <w:r w:rsidR="00F86885" w:rsidRPr="00DA3C6E">
        <w:t xml:space="preserve"> </w:t>
      </w:r>
      <w:r w:rsidRPr="00DA3C6E">
        <w:t xml:space="preserve">as per </w:t>
      </w:r>
      <w:r w:rsidR="00F86885" w:rsidRPr="00DA3C6E">
        <w:t>Hahn et al.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Pr="00DA3C6E">
        <w:t xml:space="preserve"> versus 0.778 as per Leger et al. 2001</w: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 </w:instrText>
      </w:r>
      <w:r w:rsidR="00DB568A"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7" w:tooltip="Leger, 2001 #39" w:history="1">
        <w:r w:rsidR="00C04BCE" w:rsidRPr="00DA3C6E">
          <w:rPr>
            <w:noProof/>
          </w:rPr>
          <w:t>27</w:t>
        </w:r>
      </w:hyperlink>
      <w:r w:rsidR="00DB568A" w:rsidRPr="00DA3C6E">
        <w:rPr>
          <w:noProof/>
        </w:rPr>
        <w:t>)</w:t>
      </w:r>
      <w:r w:rsidR="00DB568A" w:rsidRPr="00DA3C6E">
        <w:fldChar w:fldCharType="end"/>
      </w:r>
      <w:r w:rsidR="00F86885" w:rsidRPr="00DA3C6E">
        <w:t>)</w:t>
      </w:r>
      <w:r w:rsidR="0032237E" w:rsidRPr="00DA3C6E">
        <w:t xml:space="preserve"> </w:t>
      </w:r>
    </w:p>
    <w:p w14:paraId="39EC8DAF" w14:textId="0B59DE9B" w:rsidR="00101A38" w:rsidRPr="00DA3C6E" w:rsidRDefault="00101A38" w:rsidP="00D21A02">
      <w:pPr>
        <w:pStyle w:val="Caption"/>
      </w:pPr>
      <w:bookmarkStart w:id="290" w:name="_Ref30063374"/>
      <w:bookmarkStart w:id="291" w:name="_Toc30497478"/>
      <w:bookmarkStart w:id="292" w:name="_Toc33449609"/>
      <w:bookmarkStart w:id="293" w:name="_Toc37845834"/>
      <w:r w:rsidRPr="00DA3C6E">
        <w:t xml:space="preserve">Table </w:t>
      </w:r>
      <w:r w:rsidR="00515153">
        <w:fldChar w:fldCharType="begin"/>
      </w:r>
      <w:r w:rsidR="00515153">
        <w:instrText xml:space="preserve"> SEQ Table \* ARABIC </w:instrText>
      </w:r>
      <w:r w:rsidR="00515153">
        <w:fldChar w:fldCharType="separate"/>
      </w:r>
      <w:r w:rsidR="00EA5DC1">
        <w:rPr>
          <w:noProof/>
        </w:rPr>
        <w:t>31</w:t>
      </w:r>
      <w:r w:rsidR="00515153">
        <w:rPr>
          <w:noProof/>
        </w:rPr>
        <w:fldChar w:fldCharType="end"/>
      </w:r>
      <w:bookmarkEnd w:id="290"/>
      <w:r w:rsidRPr="00DA3C6E">
        <w:rPr>
          <w:noProof/>
        </w:rPr>
        <w:t xml:space="preserve"> : Input parameters used in the economic model: base case and sensitivity analysis.</w:t>
      </w:r>
      <w:bookmarkEnd w:id="291"/>
      <w:bookmarkEnd w:id="292"/>
      <w:bookmarkEnd w:id="293"/>
    </w:p>
    <w:tbl>
      <w:tblPr>
        <w:tblStyle w:val="TableGrid"/>
        <w:tblW w:w="0" w:type="auto"/>
        <w:tblLook w:val="04A0" w:firstRow="1" w:lastRow="0" w:firstColumn="1" w:lastColumn="0" w:noHBand="0" w:noVBand="1"/>
        <w:tblCaption w:val="Table 31 : Input parameters used in the economic model: base case and sensitivity analysis."/>
      </w:tblPr>
      <w:tblGrid>
        <w:gridCol w:w="1412"/>
        <w:gridCol w:w="60"/>
        <w:gridCol w:w="1724"/>
        <w:gridCol w:w="60"/>
        <w:gridCol w:w="1313"/>
        <w:gridCol w:w="1802"/>
        <w:gridCol w:w="2645"/>
      </w:tblGrid>
      <w:tr w:rsidR="00101A38" w:rsidRPr="00DA3C6E" w14:paraId="5D771DE8" w14:textId="77777777" w:rsidTr="00FA72EB">
        <w:trPr>
          <w:tblHeader/>
        </w:trPr>
        <w:tc>
          <w:tcPr>
            <w:tcW w:w="1412" w:type="dxa"/>
            <w:vMerge w:val="restart"/>
            <w:vAlign w:val="center"/>
          </w:tcPr>
          <w:p w14:paraId="43044405" w14:textId="77777777" w:rsidR="00101A38" w:rsidRPr="00DA3C6E" w:rsidRDefault="00101A38" w:rsidP="00C8457E">
            <w:pPr>
              <w:spacing w:after="0" w:line="240" w:lineRule="auto"/>
              <w:ind w:left="0"/>
              <w:jc w:val="left"/>
              <w:rPr>
                <w:rFonts w:ascii="Arial Narrow" w:hAnsi="Arial Narrow"/>
                <w:b/>
                <w:sz w:val="20"/>
                <w:szCs w:val="20"/>
              </w:rPr>
            </w:pPr>
            <w:r w:rsidRPr="00DA3C6E">
              <w:rPr>
                <w:rFonts w:ascii="Arial Narrow" w:hAnsi="Arial Narrow"/>
                <w:b/>
                <w:sz w:val="20"/>
                <w:szCs w:val="20"/>
              </w:rPr>
              <w:t>Parameter</w:t>
            </w:r>
          </w:p>
        </w:tc>
        <w:tc>
          <w:tcPr>
            <w:tcW w:w="1784" w:type="dxa"/>
            <w:gridSpan w:val="2"/>
            <w:vMerge w:val="restart"/>
            <w:vAlign w:val="center"/>
          </w:tcPr>
          <w:p w14:paraId="15B25EAB" w14:textId="77777777" w:rsidR="00101A38" w:rsidRPr="00DA3C6E" w:rsidRDefault="00B97300" w:rsidP="00B97300">
            <w:pPr>
              <w:spacing w:after="0" w:line="240" w:lineRule="auto"/>
              <w:ind w:left="0"/>
              <w:jc w:val="left"/>
              <w:rPr>
                <w:rFonts w:ascii="Arial Narrow" w:hAnsi="Arial Narrow"/>
                <w:b/>
                <w:sz w:val="20"/>
                <w:szCs w:val="20"/>
              </w:rPr>
            </w:pPr>
            <w:r w:rsidRPr="00DA3C6E">
              <w:rPr>
                <w:rFonts w:ascii="Arial Narrow" w:hAnsi="Arial Narrow"/>
                <w:b/>
                <w:sz w:val="20"/>
                <w:szCs w:val="20"/>
              </w:rPr>
              <w:t>Base case m</w:t>
            </w:r>
            <w:r w:rsidR="00101A38" w:rsidRPr="00DA3C6E">
              <w:rPr>
                <w:rFonts w:ascii="Arial Narrow" w:hAnsi="Arial Narrow"/>
                <w:b/>
                <w:sz w:val="20"/>
                <w:szCs w:val="20"/>
              </w:rPr>
              <w:t xml:space="preserve">odel inputs </w:t>
            </w:r>
          </w:p>
        </w:tc>
        <w:tc>
          <w:tcPr>
            <w:tcW w:w="3175" w:type="dxa"/>
            <w:gridSpan w:val="3"/>
            <w:vAlign w:val="center"/>
          </w:tcPr>
          <w:p w14:paraId="76E67A58" w14:textId="77777777" w:rsidR="00101A38" w:rsidRPr="00DA3C6E" w:rsidRDefault="00101A38" w:rsidP="00C8457E">
            <w:pPr>
              <w:spacing w:after="0" w:line="240" w:lineRule="auto"/>
              <w:ind w:left="0"/>
              <w:jc w:val="left"/>
              <w:rPr>
                <w:rFonts w:ascii="Arial Narrow" w:hAnsi="Arial Narrow"/>
                <w:b/>
                <w:sz w:val="20"/>
                <w:szCs w:val="20"/>
              </w:rPr>
            </w:pPr>
            <w:r w:rsidRPr="00DA3C6E">
              <w:rPr>
                <w:rFonts w:ascii="Arial Narrow" w:hAnsi="Arial Narrow"/>
                <w:b/>
                <w:sz w:val="20"/>
                <w:szCs w:val="20"/>
              </w:rPr>
              <w:t>Range for univariate SA</w:t>
            </w:r>
          </w:p>
        </w:tc>
        <w:tc>
          <w:tcPr>
            <w:tcW w:w="2645" w:type="dxa"/>
            <w:vAlign w:val="center"/>
          </w:tcPr>
          <w:p w14:paraId="02F072F7" w14:textId="77777777" w:rsidR="00101A38" w:rsidRPr="00DA3C6E" w:rsidRDefault="00101A38" w:rsidP="00C8457E">
            <w:pPr>
              <w:spacing w:after="0" w:line="240" w:lineRule="auto"/>
              <w:ind w:left="0"/>
              <w:jc w:val="left"/>
              <w:rPr>
                <w:rFonts w:ascii="Arial Narrow" w:hAnsi="Arial Narrow"/>
                <w:b/>
                <w:sz w:val="20"/>
                <w:szCs w:val="20"/>
              </w:rPr>
            </w:pPr>
            <w:r w:rsidRPr="00DA3C6E">
              <w:rPr>
                <w:rFonts w:ascii="Arial Narrow" w:hAnsi="Arial Narrow"/>
                <w:b/>
                <w:sz w:val="20"/>
                <w:szCs w:val="20"/>
              </w:rPr>
              <w:t>Source</w:t>
            </w:r>
          </w:p>
        </w:tc>
      </w:tr>
      <w:tr w:rsidR="00101A38" w:rsidRPr="00DA3C6E" w14:paraId="5F4A95E8" w14:textId="77777777" w:rsidTr="00FA72EB">
        <w:trPr>
          <w:tblHeader/>
        </w:trPr>
        <w:tc>
          <w:tcPr>
            <w:tcW w:w="1412" w:type="dxa"/>
            <w:vMerge/>
            <w:vAlign w:val="center"/>
          </w:tcPr>
          <w:p w14:paraId="3DC3459E" w14:textId="77777777" w:rsidR="00101A38" w:rsidRPr="00DA3C6E" w:rsidRDefault="00101A38" w:rsidP="00C8457E">
            <w:pPr>
              <w:spacing w:after="0" w:line="240" w:lineRule="auto"/>
              <w:jc w:val="left"/>
              <w:rPr>
                <w:rFonts w:ascii="Arial Narrow" w:hAnsi="Arial Narrow"/>
                <w:sz w:val="20"/>
                <w:szCs w:val="20"/>
              </w:rPr>
            </w:pPr>
          </w:p>
        </w:tc>
        <w:tc>
          <w:tcPr>
            <w:tcW w:w="1784" w:type="dxa"/>
            <w:gridSpan w:val="2"/>
            <w:vMerge/>
            <w:vAlign w:val="center"/>
          </w:tcPr>
          <w:p w14:paraId="0752A44E" w14:textId="77777777" w:rsidR="00101A38" w:rsidRPr="00DA3C6E" w:rsidRDefault="00101A38" w:rsidP="00C8457E">
            <w:pPr>
              <w:spacing w:after="0" w:line="240" w:lineRule="auto"/>
              <w:jc w:val="left"/>
              <w:rPr>
                <w:rFonts w:ascii="Arial Narrow" w:hAnsi="Arial Narrow"/>
                <w:sz w:val="20"/>
                <w:szCs w:val="20"/>
              </w:rPr>
            </w:pPr>
          </w:p>
        </w:tc>
        <w:tc>
          <w:tcPr>
            <w:tcW w:w="1373" w:type="dxa"/>
            <w:gridSpan w:val="2"/>
            <w:vAlign w:val="center"/>
          </w:tcPr>
          <w:p w14:paraId="0875F904" w14:textId="77777777" w:rsidR="00101A38" w:rsidRPr="00DA3C6E" w:rsidRDefault="00101A38" w:rsidP="00C8457E">
            <w:pPr>
              <w:spacing w:after="0" w:line="240" w:lineRule="auto"/>
              <w:ind w:left="0"/>
              <w:jc w:val="left"/>
              <w:rPr>
                <w:rFonts w:ascii="Arial Narrow" w:hAnsi="Arial Narrow"/>
                <w:b/>
                <w:sz w:val="20"/>
                <w:szCs w:val="20"/>
              </w:rPr>
            </w:pPr>
            <w:r w:rsidRPr="00DA3C6E">
              <w:rPr>
                <w:rFonts w:ascii="Arial Narrow" w:hAnsi="Arial Narrow"/>
                <w:b/>
                <w:sz w:val="20"/>
                <w:szCs w:val="20"/>
              </w:rPr>
              <w:t>LB</w:t>
            </w:r>
          </w:p>
        </w:tc>
        <w:tc>
          <w:tcPr>
            <w:tcW w:w="1802" w:type="dxa"/>
            <w:vAlign w:val="center"/>
          </w:tcPr>
          <w:p w14:paraId="30DEB62B" w14:textId="77777777" w:rsidR="00101A38" w:rsidRPr="00DA3C6E" w:rsidRDefault="00101A38" w:rsidP="00C8457E">
            <w:pPr>
              <w:spacing w:after="0" w:line="240" w:lineRule="auto"/>
              <w:ind w:left="0"/>
              <w:jc w:val="left"/>
              <w:rPr>
                <w:rFonts w:ascii="Arial Narrow" w:hAnsi="Arial Narrow"/>
                <w:b/>
                <w:sz w:val="20"/>
                <w:szCs w:val="20"/>
              </w:rPr>
            </w:pPr>
            <w:r w:rsidRPr="00DA3C6E">
              <w:rPr>
                <w:rFonts w:ascii="Arial Narrow" w:hAnsi="Arial Narrow"/>
                <w:b/>
                <w:sz w:val="20"/>
                <w:szCs w:val="20"/>
              </w:rPr>
              <w:t>UB</w:t>
            </w:r>
          </w:p>
        </w:tc>
        <w:tc>
          <w:tcPr>
            <w:tcW w:w="2645" w:type="dxa"/>
            <w:vAlign w:val="center"/>
          </w:tcPr>
          <w:p w14:paraId="6AFF4D6F" w14:textId="77777777" w:rsidR="00101A38" w:rsidRPr="00DA3C6E" w:rsidRDefault="00101A38" w:rsidP="00C8457E">
            <w:pPr>
              <w:spacing w:after="0" w:line="240" w:lineRule="auto"/>
              <w:jc w:val="left"/>
              <w:rPr>
                <w:rFonts w:ascii="Arial Narrow" w:hAnsi="Arial Narrow"/>
                <w:b/>
                <w:sz w:val="20"/>
                <w:szCs w:val="20"/>
              </w:rPr>
            </w:pPr>
          </w:p>
        </w:tc>
      </w:tr>
      <w:tr w:rsidR="00101A38" w:rsidRPr="00DA3C6E" w14:paraId="1A534F13" w14:textId="77777777" w:rsidTr="00AE3591">
        <w:tc>
          <w:tcPr>
            <w:tcW w:w="9016" w:type="dxa"/>
            <w:gridSpan w:val="7"/>
            <w:vAlign w:val="center"/>
          </w:tcPr>
          <w:p w14:paraId="4B65C56A"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b/>
                <w:sz w:val="20"/>
                <w:szCs w:val="20"/>
              </w:rPr>
              <w:t>Transition probabilities</w:t>
            </w:r>
          </w:p>
        </w:tc>
      </w:tr>
      <w:tr w:rsidR="00101A38" w:rsidRPr="00DA3C6E" w14:paraId="5C11803D" w14:textId="77777777" w:rsidTr="00AE3591">
        <w:tc>
          <w:tcPr>
            <w:tcW w:w="9016" w:type="dxa"/>
            <w:gridSpan w:val="7"/>
            <w:vAlign w:val="center"/>
          </w:tcPr>
          <w:p w14:paraId="090D3E08"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b/>
                <w:sz w:val="20"/>
                <w:szCs w:val="20"/>
              </w:rPr>
              <w:t>Intravenous Ig arm</w:t>
            </w:r>
          </w:p>
        </w:tc>
      </w:tr>
      <w:tr w:rsidR="00101A38" w:rsidRPr="00DA3C6E" w14:paraId="4CAE7E7B" w14:textId="77777777" w:rsidTr="00FA72EB">
        <w:tc>
          <w:tcPr>
            <w:tcW w:w="1412" w:type="dxa"/>
            <w:vAlign w:val="center"/>
          </w:tcPr>
          <w:p w14:paraId="26717B01" w14:textId="77777777" w:rsidR="00101A38" w:rsidRPr="00DA3C6E" w:rsidRDefault="00101A38" w:rsidP="00C8457E">
            <w:pPr>
              <w:pStyle w:val="TableStyle2"/>
              <w:ind w:left="0"/>
              <w:rPr>
                <w:rFonts w:ascii="Arial Narrow" w:hAnsi="Arial Narrow"/>
                <w:szCs w:val="20"/>
              </w:rPr>
            </w:pPr>
            <w:r w:rsidRPr="00DA3C6E">
              <w:rPr>
                <w:rFonts w:ascii="Arial Narrow" w:hAnsi="Arial Narrow"/>
                <w:szCs w:val="20"/>
              </w:rPr>
              <w:t>‘Initial treatment’ to ‘Responder’</w:t>
            </w:r>
          </w:p>
        </w:tc>
        <w:tc>
          <w:tcPr>
            <w:tcW w:w="1784" w:type="dxa"/>
            <w:gridSpan w:val="2"/>
            <w:vAlign w:val="center"/>
          </w:tcPr>
          <w:p w14:paraId="6A889CD8"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0.778</w:t>
            </w:r>
          </w:p>
        </w:tc>
        <w:tc>
          <w:tcPr>
            <w:tcW w:w="1373" w:type="dxa"/>
            <w:gridSpan w:val="2"/>
            <w:vAlign w:val="center"/>
          </w:tcPr>
          <w:p w14:paraId="15F5EF40"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0.389</w:t>
            </w:r>
          </w:p>
        </w:tc>
        <w:tc>
          <w:tcPr>
            <w:tcW w:w="1802" w:type="dxa"/>
            <w:vAlign w:val="center"/>
          </w:tcPr>
          <w:p w14:paraId="16E8297E"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0.929</w:t>
            </w:r>
            <w:r w:rsidRPr="00DA3C6E" w:rsidDel="00D1032B">
              <w:rPr>
                <w:rFonts w:ascii="Arial Narrow" w:hAnsi="Arial Narrow"/>
                <w:sz w:val="20"/>
                <w:szCs w:val="20"/>
              </w:rPr>
              <w:t xml:space="preserve"> </w:t>
            </w:r>
          </w:p>
        </w:tc>
        <w:tc>
          <w:tcPr>
            <w:tcW w:w="2645" w:type="dxa"/>
            <w:vAlign w:val="center"/>
          </w:tcPr>
          <w:p w14:paraId="638C85F0"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BC = Leger et al. 2001</w:t>
            </w:r>
          </w:p>
          <w:p w14:paraId="20FB26C0"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LB = assumed 50% reduction from baseline)</w:t>
            </w:r>
          </w:p>
          <w:p w14:paraId="5E0A5011" w14:textId="77777777" w:rsidR="00101A38" w:rsidRPr="00DA3C6E" w:rsidRDefault="00101A38" w:rsidP="00C8457E">
            <w:pPr>
              <w:spacing w:after="0" w:line="240" w:lineRule="auto"/>
              <w:ind w:left="0"/>
              <w:jc w:val="left"/>
              <w:rPr>
                <w:rFonts w:ascii="Arial Narrow" w:hAnsi="Arial Narrow"/>
                <w:sz w:val="20"/>
                <w:szCs w:val="20"/>
                <w:lang w:val="es-CL"/>
              </w:rPr>
            </w:pPr>
            <w:r w:rsidRPr="00DA3C6E">
              <w:rPr>
                <w:rFonts w:ascii="Arial Narrow" w:hAnsi="Arial Narrow"/>
                <w:sz w:val="20"/>
                <w:szCs w:val="20"/>
                <w:lang w:val="es-CL"/>
              </w:rPr>
              <w:t>SA UB: Hahn et al. 2013</w:t>
            </w:r>
          </w:p>
        </w:tc>
      </w:tr>
      <w:tr w:rsidR="00101A38" w:rsidRPr="00DA3C6E" w14:paraId="3CFCA02A" w14:textId="77777777" w:rsidTr="00FA72EB">
        <w:tc>
          <w:tcPr>
            <w:tcW w:w="1412" w:type="dxa"/>
            <w:vAlign w:val="center"/>
          </w:tcPr>
          <w:p w14:paraId="5D371A82" w14:textId="77777777" w:rsidR="00101A38" w:rsidRPr="00DA3C6E" w:rsidRDefault="00101A38" w:rsidP="00C8457E">
            <w:pPr>
              <w:pStyle w:val="TableStyle2"/>
              <w:ind w:left="0"/>
              <w:rPr>
                <w:rFonts w:ascii="Arial Narrow" w:hAnsi="Arial Narrow"/>
                <w:szCs w:val="20"/>
              </w:rPr>
            </w:pPr>
            <w:r w:rsidRPr="00DA3C6E">
              <w:rPr>
                <w:rFonts w:ascii="Arial Narrow" w:hAnsi="Arial Narrow"/>
                <w:szCs w:val="20"/>
              </w:rPr>
              <w:t>‘Initial treatment’ to ‘BSC’</w:t>
            </w:r>
          </w:p>
        </w:tc>
        <w:tc>
          <w:tcPr>
            <w:tcW w:w="1784" w:type="dxa"/>
            <w:gridSpan w:val="2"/>
            <w:vAlign w:val="center"/>
          </w:tcPr>
          <w:p w14:paraId="2600E7A9"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1-0.778-death</w:t>
            </w:r>
          </w:p>
        </w:tc>
        <w:tc>
          <w:tcPr>
            <w:tcW w:w="1373" w:type="dxa"/>
            <w:gridSpan w:val="2"/>
            <w:vAlign w:val="center"/>
          </w:tcPr>
          <w:p w14:paraId="0BC41098"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7BBD54A8"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2965AF23"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NA</w:t>
            </w:r>
          </w:p>
        </w:tc>
      </w:tr>
      <w:tr w:rsidR="00101A38" w:rsidRPr="00DA3C6E" w14:paraId="58E80775" w14:textId="77777777" w:rsidTr="00FA72EB">
        <w:tc>
          <w:tcPr>
            <w:tcW w:w="1412" w:type="dxa"/>
            <w:vAlign w:val="center"/>
          </w:tcPr>
          <w:p w14:paraId="42994BEA" w14:textId="77777777" w:rsidR="00101A38" w:rsidRPr="00DA3C6E" w:rsidRDefault="00101A38" w:rsidP="00C8457E">
            <w:pPr>
              <w:pStyle w:val="TableStyle2"/>
              <w:ind w:left="0"/>
              <w:rPr>
                <w:rFonts w:ascii="Arial Narrow" w:hAnsi="Arial Narrow"/>
                <w:szCs w:val="20"/>
              </w:rPr>
            </w:pPr>
            <w:r w:rsidRPr="00DA3C6E">
              <w:rPr>
                <w:rFonts w:ascii="Arial Narrow" w:hAnsi="Arial Narrow"/>
                <w:szCs w:val="20"/>
              </w:rPr>
              <w:t xml:space="preserve">‘Responder’ to ‘Responder off treatment’ </w:t>
            </w:r>
          </w:p>
        </w:tc>
        <w:tc>
          <w:tcPr>
            <w:tcW w:w="1784" w:type="dxa"/>
            <w:gridSpan w:val="2"/>
            <w:vAlign w:val="center"/>
          </w:tcPr>
          <w:p w14:paraId="0E0235FD"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0.05</w:t>
            </w:r>
          </w:p>
        </w:tc>
        <w:tc>
          <w:tcPr>
            <w:tcW w:w="1373" w:type="dxa"/>
            <w:gridSpan w:val="2"/>
            <w:vAlign w:val="center"/>
          </w:tcPr>
          <w:p w14:paraId="05DDE68F"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w:t>
            </w:r>
            <w:r w:rsidRPr="00DA3C6E" w:rsidDel="00DF0834">
              <w:rPr>
                <w:rFonts w:ascii="Arial Narrow" w:hAnsi="Arial Narrow"/>
                <w:sz w:val="20"/>
                <w:szCs w:val="20"/>
              </w:rPr>
              <w:t xml:space="preserve"> </w:t>
            </w:r>
            <w:r w:rsidRPr="00DA3C6E">
              <w:rPr>
                <w:rFonts w:ascii="Arial Narrow" w:hAnsi="Arial Narrow"/>
                <w:sz w:val="20"/>
                <w:szCs w:val="20"/>
              </w:rPr>
              <w:t>00</w:t>
            </w:r>
          </w:p>
        </w:tc>
        <w:tc>
          <w:tcPr>
            <w:tcW w:w="1802" w:type="dxa"/>
            <w:vAlign w:val="center"/>
          </w:tcPr>
          <w:p w14:paraId="2CE29F8B"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0.25</w:t>
            </w:r>
          </w:p>
        </w:tc>
        <w:tc>
          <w:tcPr>
            <w:tcW w:w="2645" w:type="dxa"/>
            <w:vAlign w:val="center"/>
          </w:tcPr>
          <w:p w14:paraId="0D0F55B1"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Assumption</w:t>
            </w:r>
          </w:p>
          <w:p w14:paraId="205711A3"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UB = increased 20%.</w:t>
            </w:r>
          </w:p>
          <w:p w14:paraId="474C65B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SA LB = no patients initiate weaning.  </w:t>
            </w:r>
          </w:p>
        </w:tc>
      </w:tr>
      <w:tr w:rsidR="00101A38" w:rsidRPr="00DA3C6E" w14:paraId="390A7ACD" w14:textId="77777777" w:rsidTr="00FA72EB">
        <w:tc>
          <w:tcPr>
            <w:tcW w:w="1412" w:type="dxa"/>
            <w:vAlign w:val="center"/>
          </w:tcPr>
          <w:p w14:paraId="587300C0" w14:textId="77777777" w:rsidR="00101A38" w:rsidRPr="00DA3C6E" w:rsidRDefault="00101A38" w:rsidP="00C8457E">
            <w:pPr>
              <w:pStyle w:val="TableStyle2"/>
              <w:ind w:left="0"/>
              <w:rPr>
                <w:rFonts w:ascii="Arial Narrow" w:hAnsi="Arial Narrow"/>
                <w:szCs w:val="20"/>
              </w:rPr>
            </w:pPr>
            <w:r w:rsidRPr="00DA3C6E">
              <w:rPr>
                <w:rFonts w:ascii="Arial Narrow" w:hAnsi="Arial Narrow"/>
                <w:szCs w:val="20"/>
              </w:rPr>
              <w:t>‘Responder’ to ‘BSC’</w:t>
            </w:r>
          </w:p>
        </w:tc>
        <w:tc>
          <w:tcPr>
            <w:tcW w:w="1784" w:type="dxa"/>
            <w:gridSpan w:val="2"/>
            <w:vAlign w:val="center"/>
          </w:tcPr>
          <w:p w14:paraId="4EF09925"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0.002</w:t>
            </w:r>
          </w:p>
        </w:tc>
        <w:tc>
          <w:tcPr>
            <w:tcW w:w="1373" w:type="dxa"/>
            <w:gridSpan w:val="2"/>
            <w:vAlign w:val="center"/>
          </w:tcPr>
          <w:p w14:paraId="7F3000A5" w14:textId="77777777" w:rsidR="00101A38" w:rsidRPr="00DA3C6E" w:rsidRDefault="00AD5498" w:rsidP="00C8457E">
            <w:pPr>
              <w:spacing w:after="0" w:line="240" w:lineRule="auto"/>
              <w:ind w:left="0"/>
              <w:jc w:val="left"/>
              <w:rPr>
                <w:rFonts w:ascii="Arial Narrow" w:hAnsi="Arial Narrow"/>
                <w:sz w:val="20"/>
                <w:szCs w:val="20"/>
              </w:rPr>
            </w:pPr>
            <w:r w:rsidRPr="00DA3C6E">
              <w:rPr>
                <w:rFonts w:ascii="Arial Narrow" w:hAnsi="Arial Narrow"/>
                <w:sz w:val="20"/>
                <w:szCs w:val="20"/>
              </w:rPr>
              <w:t>0.00</w:t>
            </w:r>
          </w:p>
        </w:tc>
        <w:tc>
          <w:tcPr>
            <w:tcW w:w="1802" w:type="dxa"/>
            <w:vAlign w:val="center"/>
          </w:tcPr>
          <w:p w14:paraId="6F95C2D5" w14:textId="77777777" w:rsidR="00101A38" w:rsidRPr="00DA3C6E" w:rsidRDefault="00101A38" w:rsidP="00C8457E">
            <w:pPr>
              <w:spacing w:after="0" w:line="240" w:lineRule="auto"/>
              <w:ind w:left="0"/>
              <w:jc w:val="left"/>
              <w:rPr>
                <w:rFonts w:ascii="Arial Narrow" w:hAnsi="Arial Narrow"/>
                <w:sz w:val="20"/>
                <w:szCs w:val="20"/>
              </w:rPr>
            </w:pPr>
            <w:r w:rsidRPr="00DA3C6E">
              <w:rPr>
                <w:rFonts w:ascii="Arial Narrow" w:hAnsi="Arial Narrow"/>
                <w:sz w:val="20"/>
                <w:szCs w:val="20"/>
              </w:rPr>
              <w:t>0.113</w:t>
            </w:r>
          </w:p>
        </w:tc>
        <w:tc>
          <w:tcPr>
            <w:tcW w:w="2645" w:type="dxa"/>
            <w:vAlign w:val="center"/>
          </w:tcPr>
          <w:p w14:paraId="5F60602F" w14:textId="77777777" w:rsidR="00101A38" w:rsidRPr="00DA3C6E" w:rsidRDefault="00101A38" w:rsidP="00C8457E">
            <w:pPr>
              <w:spacing w:after="0" w:line="240" w:lineRule="auto"/>
              <w:ind w:left="0"/>
              <w:jc w:val="left"/>
              <w:rPr>
                <w:rFonts w:ascii="Arial Narrow" w:hAnsi="Arial Narrow"/>
                <w:sz w:val="20"/>
                <w:szCs w:val="20"/>
                <w:lang w:val="es-CL"/>
              </w:rPr>
            </w:pPr>
            <w:r w:rsidRPr="00DA3C6E">
              <w:rPr>
                <w:rFonts w:ascii="Arial Narrow" w:hAnsi="Arial Narrow"/>
                <w:sz w:val="20"/>
                <w:szCs w:val="20"/>
                <w:lang w:val="es-CL"/>
              </w:rPr>
              <w:t>Base = Cats et al. 2010</w:t>
            </w:r>
          </w:p>
          <w:p w14:paraId="0F56E031" w14:textId="77777777" w:rsidR="00101A38" w:rsidRPr="00DA3C6E" w:rsidRDefault="00101A38" w:rsidP="00C8457E">
            <w:pPr>
              <w:spacing w:after="0" w:line="240" w:lineRule="auto"/>
              <w:ind w:left="0"/>
              <w:jc w:val="left"/>
              <w:rPr>
                <w:rFonts w:ascii="Arial Narrow" w:hAnsi="Arial Narrow"/>
                <w:sz w:val="20"/>
                <w:szCs w:val="20"/>
                <w:lang w:val="es-CL"/>
              </w:rPr>
            </w:pPr>
            <w:r w:rsidRPr="00DA3C6E">
              <w:rPr>
                <w:rFonts w:ascii="Arial Narrow" w:hAnsi="Arial Narrow"/>
                <w:sz w:val="20"/>
                <w:szCs w:val="20"/>
                <w:lang w:val="es-CL"/>
              </w:rPr>
              <w:t xml:space="preserve">SA UB = Hahn et al. 2013 </w:t>
            </w:r>
          </w:p>
          <w:p w14:paraId="12E3679C" w14:textId="77777777" w:rsidR="00101A38" w:rsidRPr="00DA3C6E" w:rsidRDefault="00101A38" w:rsidP="00AD5498">
            <w:pPr>
              <w:spacing w:after="0" w:line="240" w:lineRule="auto"/>
              <w:ind w:left="0"/>
              <w:jc w:val="left"/>
              <w:rPr>
                <w:rFonts w:ascii="Arial Narrow" w:hAnsi="Arial Narrow"/>
                <w:sz w:val="20"/>
                <w:szCs w:val="20"/>
              </w:rPr>
            </w:pPr>
            <w:r w:rsidRPr="00DA3C6E">
              <w:rPr>
                <w:rFonts w:ascii="Arial Narrow" w:hAnsi="Arial Narrow"/>
                <w:sz w:val="20"/>
                <w:szCs w:val="20"/>
              </w:rPr>
              <w:t xml:space="preserve">SA LB = </w:t>
            </w:r>
            <w:r w:rsidR="00AD5498" w:rsidRPr="00DA3C6E">
              <w:rPr>
                <w:rFonts w:ascii="Arial Narrow" w:hAnsi="Arial Narrow"/>
                <w:sz w:val="20"/>
                <w:szCs w:val="20"/>
              </w:rPr>
              <w:t>assumed that patients do not discontinue due to AEs</w:t>
            </w:r>
            <w:r w:rsidRPr="00DA3C6E">
              <w:rPr>
                <w:rFonts w:ascii="Arial Narrow" w:hAnsi="Arial Narrow"/>
                <w:sz w:val="20"/>
                <w:szCs w:val="20"/>
              </w:rPr>
              <w:t>.</w:t>
            </w:r>
          </w:p>
        </w:tc>
      </w:tr>
      <w:tr w:rsidR="00C81011" w:rsidRPr="00DA3C6E" w14:paraId="615E1226" w14:textId="77777777" w:rsidTr="00365584">
        <w:tc>
          <w:tcPr>
            <w:tcW w:w="1412" w:type="dxa"/>
            <w:vAlign w:val="center"/>
          </w:tcPr>
          <w:p w14:paraId="6215EDFA" w14:textId="77777777" w:rsidR="00101A38" w:rsidRPr="00DA3C6E" w:rsidRDefault="00101A38" w:rsidP="00365584">
            <w:pPr>
              <w:pStyle w:val="TableStyle2"/>
              <w:ind w:left="0"/>
              <w:rPr>
                <w:rFonts w:ascii="Arial Narrow" w:hAnsi="Arial Narrow"/>
                <w:szCs w:val="20"/>
              </w:rPr>
            </w:pPr>
            <w:r w:rsidRPr="00DA3C6E">
              <w:rPr>
                <w:rFonts w:ascii="Arial Narrow" w:hAnsi="Arial Narrow"/>
                <w:szCs w:val="20"/>
              </w:rPr>
              <w:t>‘Responder off treatment’ to ‘Initial treatment’ due to relapse</w:t>
            </w:r>
          </w:p>
        </w:tc>
        <w:tc>
          <w:tcPr>
            <w:tcW w:w="1784" w:type="dxa"/>
            <w:gridSpan w:val="2"/>
            <w:vAlign w:val="center"/>
          </w:tcPr>
          <w:p w14:paraId="7E57720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0.50</w:t>
            </w:r>
          </w:p>
        </w:tc>
        <w:tc>
          <w:tcPr>
            <w:tcW w:w="1373" w:type="dxa"/>
            <w:gridSpan w:val="2"/>
            <w:vAlign w:val="center"/>
          </w:tcPr>
          <w:p w14:paraId="7BBF3B94"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0.30</w:t>
            </w:r>
          </w:p>
        </w:tc>
        <w:tc>
          <w:tcPr>
            <w:tcW w:w="1802" w:type="dxa"/>
            <w:vAlign w:val="center"/>
          </w:tcPr>
          <w:p w14:paraId="725D9B77"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0.70</w:t>
            </w:r>
          </w:p>
        </w:tc>
        <w:tc>
          <w:tcPr>
            <w:tcW w:w="2645" w:type="dxa"/>
            <w:vAlign w:val="center"/>
          </w:tcPr>
          <w:p w14:paraId="0C222A6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BC = advice from Ig Review Reference group. </w:t>
            </w:r>
          </w:p>
          <w:p w14:paraId="15C27DB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 Assumption (20% variation)</w:t>
            </w:r>
          </w:p>
        </w:tc>
      </w:tr>
      <w:tr w:rsidR="00101A38" w:rsidRPr="00DA3C6E" w14:paraId="61EFD2FB" w14:textId="77777777" w:rsidTr="00FA72EB">
        <w:tc>
          <w:tcPr>
            <w:tcW w:w="1412" w:type="dxa"/>
            <w:vAlign w:val="center"/>
          </w:tcPr>
          <w:p w14:paraId="70EB23E1" w14:textId="77777777" w:rsidR="00101A38" w:rsidRPr="00DA3C6E" w:rsidRDefault="00101A38" w:rsidP="00365584">
            <w:pPr>
              <w:pStyle w:val="TableStyle2"/>
              <w:ind w:left="0"/>
              <w:rPr>
                <w:rFonts w:ascii="Arial Narrow" w:hAnsi="Arial Narrow"/>
                <w:szCs w:val="20"/>
              </w:rPr>
            </w:pPr>
            <w:r w:rsidRPr="00DA3C6E">
              <w:rPr>
                <w:rFonts w:ascii="Arial Narrow" w:hAnsi="Arial Narrow"/>
                <w:szCs w:val="20"/>
              </w:rPr>
              <w:t>Remaining in ‘Responder off treatment’ (stable while off treatment)</w:t>
            </w:r>
          </w:p>
        </w:tc>
        <w:tc>
          <w:tcPr>
            <w:tcW w:w="1784" w:type="dxa"/>
            <w:gridSpan w:val="2"/>
            <w:vAlign w:val="center"/>
          </w:tcPr>
          <w:p w14:paraId="07CC540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1-0.50-death</w:t>
            </w:r>
          </w:p>
        </w:tc>
        <w:tc>
          <w:tcPr>
            <w:tcW w:w="1373" w:type="dxa"/>
            <w:gridSpan w:val="2"/>
            <w:vAlign w:val="center"/>
          </w:tcPr>
          <w:p w14:paraId="44C0F3A7"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39501659"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50763583"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r>
      <w:tr w:rsidR="00101A38" w:rsidRPr="00DA3C6E" w14:paraId="49E1BD7B" w14:textId="77777777" w:rsidTr="00FA72EB">
        <w:tc>
          <w:tcPr>
            <w:tcW w:w="1412" w:type="dxa"/>
            <w:vAlign w:val="center"/>
          </w:tcPr>
          <w:p w14:paraId="487DD2B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Death from all states</w:t>
            </w:r>
          </w:p>
        </w:tc>
        <w:tc>
          <w:tcPr>
            <w:tcW w:w="1784" w:type="dxa"/>
            <w:gridSpan w:val="2"/>
            <w:vAlign w:val="center"/>
          </w:tcPr>
          <w:p w14:paraId="1E09365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373" w:type="dxa"/>
            <w:gridSpan w:val="2"/>
            <w:vAlign w:val="center"/>
          </w:tcPr>
          <w:p w14:paraId="627626C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69BAA091"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37AED9A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ABS</w:t>
            </w:r>
          </w:p>
        </w:tc>
      </w:tr>
      <w:tr w:rsidR="00101A38" w:rsidRPr="00DA3C6E" w14:paraId="464546C0" w14:textId="77777777" w:rsidTr="00B22776">
        <w:tc>
          <w:tcPr>
            <w:tcW w:w="9016" w:type="dxa"/>
            <w:gridSpan w:val="7"/>
            <w:vAlign w:val="center"/>
          </w:tcPr>
          <w:p w14:paraId="742EE64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b/>
                <w:i/>
                <w:sz w:val="20"/>
                <w:szCs w:val="20"/>
              </w:rPr>
              <w:t xml:space="preserve">No Ig with BSC arm </w:t>
            </w:r>
          </w:p>
        </w:tc>
      </w:tr>
      <w:tr w:rsidR="00101A38" w:rsidRPr="00DA3C6E" w14:paraId="20EA03CC" w14:textId="77777777" w:rsidTr="00FA72EB">
        <w:tc>
          <w:tcPr>
            <w:tcW w:w="1472" w:type="dxa"/>
            <w:gridSpan w:val="2"/>
            <w:vAlign w:val="center"/>
          </w:tcPr>
          <w:p w14:paraId="6AB8117C"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‘Initial treatment’ to ‘Responder’</w:t>
            </w:r>
          </w:p>
        </w:tc>
        <w:tc>
          <w:tcPr>
            <w:tcW w:w="1784" w:type="dxa"/>
            <w:gridSpan w:val="2"/>
            <w:vAlign w:val="center"/>
          </w:tcPr>
          <w:p w14:paraId="3283A4C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0.222</w:t>
            </w:r>
          </w:p>
        </w:tc>
        <w:tc>
          <w:tcPr>
            <w:tcW w:w="1313" w:type="dxa"/>
            <w:vAlign w:val="center"/>
          </w:tcPr>
          <w:p w14:paraId="7F5635B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0.111 </w:t>
            </w:r>
          </w:p>
        </w:tc>
        <w:tc>
          <w:tcPr>
            <w:tcW w:w="1802" w:type="dxa"/>
            <w:vAlign w:val="center"/>
          </w:tcPr>
          <w:p w14:paraId="2958C21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0.69</w:t>
            </w:r>
          </w:p>
        </w:tc>
        <w:tc>
          <w:tcPr>
            <w:tcW w:w="2645" w:type="dxa"/>
            <w:vAlign w:val="center"/>
          </w:tcPr>
          <w:p w14:paraId="4D1AE72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BC = Leger et al. 2001</w:t>
            </w:r>
          </w:p>
          <w:p w14:paraId="1C2304E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LB = assumed 50% reduction from baseline)</w:t>
            </w:r>
          </w:p>
          <w:p w14:paraId="06811407" w14:textId="77777777" w:rsidR="00101A38" w:rsidRPr="00DA3C6E" w:rsidRDefault="00101A38" w:rsidP="00365584">
            <w:pPr>
              <w:spacing w:after="0" w:line="240" w:lineRule="auto"/>
              <w:ind w:left="0"/>
              <w:jc w:val="left"/>
              <w:rPr>
                <w:rFonts w:ascii="Arial Narrow" w:hAnsi="Arial Narrow"/>
                <w:sz w:val="20"/>
                <w:szCs w:val="20"/>
                <w:lang w:val="es-CL"/>
              </w:rPr>
            </w:pPr>
            <w:r w:rsidRPr="00DA3C6E">
              <w:rPr>
                <w:rFonts w:ascii="Arial Narrow" w:hAnsi="Arial Narrow"/>
                <w:sz w:val="20"/>
                <w:szCs w:val="20"/>
                <w:lang w:val="es-CL"/>
              </w:rPr>
              <w:t>SA UB: Hahn et al. 2013</w:t>
            </w:r>
          </w:p>
        </w:tc>
      </w:tr>
      <w:tr w:rsidR="00101A38" w:rsidRPr="00DA3C6E" w14:paraId="274C3C46" w14:textId="77777777" w:rsidTr="00FA72EB">
        <w:tc>
          <w:tcPr>
            <w:tcW w:w="1472" w:type="dxa"/>
            <w:gridSpan w:val="2"/>
            <w:vAlign w:val="center"/>
          </w:tcPr>
          <w:p w14:paraId="4CA065E0"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‘Initial treatment’ to ‘BSC’</w:t>
            </w:r>
          </w:p>
        </w:tc>
        <w:tc>
          <w:tcPr>
            <w:tcW w:w="1784" w:type="dxa"/>
            <w:gridSpan w:val="2"/>
            <w:vAlign w:val="center"/>
          </w:tcPr>
          <w:p w14:paraId="40712821"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1-0.222-death</w:t>
            </w:r>
          </w:p>
        </w:tc>
        <w:tc>
          <w:tcPr>
            <w:tcW w:w="1313" w:type="dxa"/>
            <w:vAlign w:val="center"/>
          </w:tcPr>
          <w:p w14:paraId="501D4717"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0E3D13A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582890E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r>
      <w:tr w:rsidR="00101A38" w:rsidRPr="00DA3C6E" w14:paraId="135C5A73" w14:textId="77777777" w:rsidTr="00FA72EB">
        <w:tc>
          <w:tcPr>
            <w:tcW w:w="1472" w:type="dxa"/>
            <w:gridSpan w:val="2"/>
            <w:vAlign w:val="center"/>
          </w:tcPr>
          <w:p w14:paraId="32B1060C"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‘Responder’ to ‘Responder off treatment’</w:t>
            </w:r>
          </w:p>
        </w:tc>
        <w:tc>
          <w:tcPr>
            <w:tcW w:w="1784" w:type="dxa"/>
            <w:gridSpan w:val="2"/>
            <w:vAlign w:val="center"/>
          </w:tcPr>
          <w:p w14:paraId="4C41D22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313" w:type="dxa"/>
            <w:vAlign w:val="center"/>
          </w:tcPr>
          <w:p w14:paraId="1428DDB2"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w:t>
            </w:r>
          </w:p>
        </w:tc>
        <w:tc>
          <w:tcPr>
            <w:tcW w:w="1802" w:type="dxa"/>
            <w:vAlign w:val="center"/>
          </w:tcPr>
          <w:p w14:paraId="7ECDA4D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w:t>
            </w:r>
          </w:p>
        </w:tc>
        <w:tc>
          <w:tcPr>
            <w:tcW w:w="2645" w:type="dxa"/>
            <w:vAlign w:val="center"/>
          </w:tcPr>
          <w:p w14:paraId="323AC31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This transition does not occur in the comparator arm.</w:t>
            </w:r>
          </w:p>
        </w:tc>
      </w:tr>
      <w:tr w:rsidR="00101A38" w:rsidRPr="00DA3C6E" w14:paraId="488EED86" w14:textId="77777777" w:rsidTr="00FA72EB">
        <w:tc>
          <w:tcPr>
            <w:tcW w:w="1472" w:type="dxa"/>
            <w:gridSpan w:val="2"/>
            <w:vAlign w:val="center"/>
          </w:tcPr>
          <w:p w14:paraId="5906AD9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‘Responder’ to ‘BSC’</w:t>
            </w:r>
          </w:p>
        </w:tc>
        <w:tc>
          <w:tcPr>
            <w:tcW w:w="1784" w:type="dxa"/>
            <w:gridSpan w:val="2"/>
            <w:vAlign w:val="center"/>
          </w:tcPr>
          <w:p w14:paraId="703F56F2"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1 </w:t>
            </w:r>
          </w:p>
        </w:tc>
        <w:tc>
          <w:tcPr>
            <w:tcW w:w="1313" w:type="dxa"/>
            <w:vAlign w:val="center"/>
          </w:tcPr>
          <w:p w14:paraId="48F765D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560BDB7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1FEFAB64"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Patients with No intravenous Ig were assumed in the ‘Responder’ health state for only 1 cycle after which 100% transit to ‘BSC.</w:t>
            </w:r>
          </w:p>
        </w:tc>
      </w:tr>
      <w:tr w:rsidR="00101A38" w:rsidRPr="00DA3C6E" w14:paraId="020E59B2" w14:textId="77777777" w:rsidTr="00FA72EB">
        <w:tc>
          <w:tcPr>
            <w:tcW w:w="1472" w:type="dxa"/>
            <w:gridSpan w:val="2"/>
            <w:vAlign w:val="center"/>
          </w:tcPr>
          <w:p w14:paraId="2E3B117C"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‘Responder off-treatment’ to ‘Initial treatment’ due to relapse</w:t>
            </w:r>
          </w:p>
        </w:tc>
        <w:tc>
          <w:tcPr>
            <w:tcW w:w="1784" w:type="dxa"/>
            <w:gridSpan w:val="2"/>
            <w:vAlign w:val="center"/>
          </w:tcPr>
          <w:p w14:paraId="2B1A99C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313" w:type="dxa"/>
            <w:vAlign w:val="center"/>
          </w:tcPr>
          <w:p w14:paraId="368AA8C2"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w:t>
            </w:r>
          </w:p>
        </w:tc>
        <w:tc>
          <w:tcPr>
            <w:tcW w:w="1802" w:type="dxa"/>
            <w:vAlign w:val="center"/>
          </w:tcPr>
          <w:p w14:paraId="0078F42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w:t>
            </w:r>
          </w:p>
        </w:tc>
        <w:tc>
          <w:tcPr>
            <w:tcW w:w="2645" w:type="dxa"/>
            <w:vAlign w:val="center"/>
          </w:tcPr>
          <w:p w14:paraId="3B3BD95B"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This transition does not occur in the comparator arm.</w:t>
            </w:r>
          </w:p>
        </w:tc>
      </w:tr>
      <w:tr w:rsidR="00101A38" w:rsidRPr="00DA3C6E" w14:paraId="01E4DCCD" w14:textId="77777777" w:rsidTr="00FA72EB">
        <w:tc>
          <w:tcPr>
            <w:tcW w:w="1472" w:type="dxa"/>
            <w:gridSpan w:val="2"/>
            <w:vAlign w:val="center"/>
          </w:tcPr>
          <w:p w14:paraId="7B93B43D" w14:textId="77777777" w:rsidR="00101A38" w:rsidRPr="00DA3C6E" w:rsidRDefault="00101A38" w:rsidP="00365584">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Death from all states</w:t>
            </w:r>
          </w:p>
        </w:tc>
        <w:tc>
          <w:tcPr>
            <w:tcW w:w="1784" w:type="dxa"/>
            <w:gridSpan w:val="2"/>
            <w:vAlign w:val="center"/>
          </w:tcPr>
          <w:p w14:paraId="6C76794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313" w:type="dxa"/>
            <w:vAlign w:val="center"/>
          </w:tcPr>
          <w:p w14:paraId="18187A8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1802" w:type="dxa"/>
            <w:vAlign w:val="center"/>
          </w:tcPr>
          <w:p w14:paraId="7E217B1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NA</w:t>
            </w:r>
          </w:p>
        </w:tc>
        <w:tc>
          <w:tcPr>
            <w:tcW w:w="2645" w:type="dxa"/>
            <w:vAlign w:val="center"/>
          </w:tcPr>
          <w:p w14:paraId="657CDADA"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ABS</w:t>
            </w:r>
          </w:p>
        </w:tc>
      </w:tr>
      <w:tr w:rsidR="00101A38" w:rsidRPr="00DA3C6E" w14:paraId="04E160D7" w14:textId="77777777" w:rsidTr="00AE3591">
        <w:tc>
          <w:tcPr>
            <w:tcW w:w="9016" w:type="dxa"/>
            <w:gridSpan w:val="7"/>
            <w:vAlign w:val="center"/>
          </w:tcPr>
          <w:p w14:paraId="43F764C3"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b/>
                <w:sz w:val="20"/>
                <w:szCs w:val="20"/>
              </w:rPr>
              <w:t>Utilities</w:t>
            </w:r>
          </w:p>
        </w:tc>
      </w:tr>
      <w:tr w:rsidR="00101A38" w:rsidRPr="00DA3C6E" w14:paraId="42855B4C" w14:textId="77777777" w:rsidTr="00FA72EB">
        <w:tc>
          <w:tcPr>
            <w:tcW w:w="1412" w:type="dxa"/>
            <w:vAlign w:val="center"/>
          </w:tcPr>
          <w:p w14:paraId="554CD3F9" w14:textId="77777777" w:rsidR="00101A38" w:rsidRPr="00DA3C6E" w:rsidRDefault="00101A38" w:rsidP="00365584">
            <w:pPr>
              <w:pStyle w:val="TableStyle2"/>
              <w:ind w:left="0"/>
              <w:rPr>
                <w:rFonts w:ascii="Arial Narrow" w:hAnsi="Arial Narrow"/>
                <w:szCs w:val="20"/>
              </w:rPr>
            </w:pPr>
            <w:r w:rsidRPr="00DA3C6E">
              <w:rPr>
                <w:rFonts w:ascii="Arial Narrow" w:hAnsi="Arial Narrow"/>
                <w:szCs w:val="20"/>
              </w:rPr>
              <w:t>‘Initial treatment’</w:t>
            </w:r>
          </w:p>
        </w:tc>
        <w:tc>
          <w:tcPr>
            <w:tcW w:w="1784" w:type="dxa"/>
            <w:gridSpan w:val="2"/>
            <w:vAlign w:val="center"/>
          </w:tcPr>
          <w:p w14:paraId="7F6CD650"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0.60</w:t>
            </w:r>
          </w:p>
        </w:tc>
        <w:tc>
          <w:tcPr>
            <w:tcW w:w="1373" w:type="dxa"/>
            <w:gridSpan w:val="2"/>
            <w:vAlign w:val="center"/>
          </w:tcPr>
          <w:p w14:paraId="0D66B99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0.54</w:t>
            </w:r>
          </w:p>
        </w:tc>
        <w:tc>
          <w:tcPr>
            <w:tcW w:w="1802" w:type="dxa"/>
            <w:vAlign w:val="center"/>
          </w:tcPr>
          <w:p w14:paraId="38EBB44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0.66 </w:t>
            </w:r>
          </w:p>
        </w:tc>
        <w:tc>
          <w:tcPr>
            <w:tcW w:w="2645" w:type="dxa"/>
            <w:vMerge w:val="restart"/>
            <w:vAlign w:val="center"/>
          </w:tcPr>
          <w:p w14:paraId="45708F8A" w14:textId="47BDE648" w:rsidR="00101A38" w:rsidRPr="00DA3C6E" w:rsidRDefault="000E614C" w:rsidP="00365584">
            <w:pPr>
              <w:spacing w:after="0" w:line="240" w:lineRule="auto"/>
              <w:ind w:left="0"/>
              <w:jc w:val="left"/>
              <w:rPr>
                <w:rFonts w:ascii="Arial Narrow" w:hAnsi="Arial Narrow"/>
                <w:sz w:val="20"/>
                <w:szCs w:val="20"/>
              </w:rPr>
            </w:pPr>
            <w:r>
              <w:rPr>
                <w:rFonts w:ascii="Arial Narrow" w:hAnsi="Arial Narrow"/>
                <w:sz w:val="20"/>
                <w:szCs w:val="20"/>
              </w:rPr>
              <w:t>BC = Mahdi-Rogers et al.</w:t>
            </w:r>
            <w:r w:rsidR="00101A38" w:rsidRPr="00DA3C6E">
              <w:rPr>
                <w:rFonts w:ascii="Arial Narrow" w:hAnsi="Arial Narrow"/>
                <w:sz w:val="20"/>
                <w:szCs w:val="20"/>
              </w:rPr>
              <w:t xml:space="preserve"> 2013 </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53" w:tooltip="Mahdi-Rogers, 2014 #42" w:history="1">
              <w:r w:rsidR="00C04BCE">
                <w:rPr>
                  <w:rFonts w:ascii="Arial Narrow" w:hAnsi="Arial Narrow"/>
                  <w:noProof/>
                  <w:sz w:val="20"/>
                  <w:szCs w:val="20"/>
                </w:rPr>
                <w:t>53</w:t>
              </w:r>
            </w:hyperlink>
            <w:r w:rsidR="007810D6">
              <w:rPr>
                <w:rFonts w:ascii="Arial Narrow" w:hAnsi="Arial Narrow"/>
                <w:noProof/>
                <w:sz w:val="20"/>
                <w:szCs w:val="20"/>
              </w:rPr>
              <w:t>)</w:t>
            </w:r>
            <w:r w:rsidR="00DB568A" w:rsidRPr="00DA3C6E">
              <w:rPr>
                <w:rFonts w:ascii="Arial Narrow" w:hAnsi="Arial Narrow"/>
                <w:sz w:val="20"/>
                <w:szCs w:val="20"/>
              </w:rPr>
              <w:fldChar w:fldCharType="end"/>
            </w:r>
            <w:r w:rsidR="00101A38" w:rsidRPr="00DA3C6E">
              <w:rPr>
                <w:rFonts w:ascii="Arial Narrow" w:hAnsi="Arial Narrow"/>
                <w:sz w:val="20"/>
                <w:szCs w:val="20"/>
              </w:rPr>
              <w:t xml:space="preserve"> and McCrone et al. 2003 </w:t>
            </w:r>
            <w:r w:rsidR="00DB568A" w:rsidRPr="00DA3C6E">
              <w:rPr>
                <w:rFonts w:ascii="Arial Narrow" w:hAnsi="Arial Narrow"/>
                <w:sz w:val="20"/>
                <w:szCs w:val="20"/>
              </w:rPr>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rPr>
                <w:rFonts w:ascii="Arial Narrow" w:hAnsi="Arial Narrow"/>
                <w:sz w:val="20"/>
                <w:szCs w:val="20"/>
              </w:rPr>
              <w:instrText xml:space="preserve"> ADDIN EN.CITE </w:instrText>
            </w:r>
            <w:r w:rsidR="007810D6">
              <w:rPr>
                <w:rFonts w:ascii="Arial Narrow" w:hAnsi="Arial Narrow"/>
                <w:sz w:val="20"/>
                <w:szCs w:val="20"/>
              </w:rPr>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rPr>
                <w:rFonts w:ascii="Arial Narrow" w:hAnsi="Arial Narrow"/>
                <w:sz w:val="20"/>
                <w:szCs w:val="20"/>
              </w:rPr>
              <w:instrText xml:space="preserve"> ADDIN EN.CITE.DATA </w:instrText>
            </w:r>
            <w:r w:rsidR="007810D6">
              <w:rPr>
                <w:rFonts w:ascii="Arial Narrow" w:hAnsi="Arial Narrow"/>
                <w:sz w:val="20"/>
                <w:szCs w:val="20"/>
              </w:rPr>
            </w:r>
            <w:r w:rsidR="007810D6">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60" w:tooltip="McCrone, 2003 #43" w:history="1">
              <w:r w:rsidR="00C04BCE">
                <w:rPr>
                  <w:rFonts w:ascii="Arial Narrow" w:hAnsi="Arial Narrow"/>
                  <w:noProof/>
                  <w:sz w:val="20"/>
                  <w:szCs w:val="20"/>
                </w:rPr>
                <w:t>60</w:t>
              </w:r>
            </w:hyperlink>
            <w:r w:rsidR="007810D6">
              <w:rPr>
                <w:rFonts w:ascii="Arial Narrow" w:hAnsi="Arial Narrow"/>
                <w:noProof/>
                <w:sz w:val="20"/>
                <w:szCs w:val="20"/>
              </w:rPr>
              <w:t>)</w:t>
            </w:r>
            <w:r w:rsidR="00DB568A" w:rsidRPr="00DA3C6E">
              <w:rPr>
                <w:rFonts w:ascii="Arial Narrow" w:hAnsi="Arial Narrow"/>
                <w:sz w:val="20"/>
                <w:szCs w:val="20"/>
              </w:rPr>
              <w:fldChar w:fldCharType="end"/>
            </w:r>
          </w:p>
          <w:p w14:paraId="0A3F895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SA: assumed a ±0.06 relative to base line </w:t>
            </w:r>
            <w:r w:rsidR="00A56445" w:rsidRPr="00DA3C6E">
              <w:rPr>
                <w:rFonts w:ascii="Arial Narrow" w:hAnsi="Arial Narrow"/>
                <w:sz w:val="20"/>
                <w:szCs w:val="20"/>
              </w:rPr>
              <w:t xml:space="preserve">incremental benefit </w:t>
            </w:r>
            <w:r w:rsidRPr="00DA3C6E">
              <w:rPr>
                <w:rFonts w:ascii="Arial Narrow" w:hAnsi="Arial Narrow"/>
                <w:sz w:val="20"/>
                <w:szCs w:val="20"/>
              </w:rPr>
              <w:t>values.</w:t>
            </w:r>
          </w:p>
        </w:tc>
      </w:tr>
      <w:tr w:rsidR="00101A38" w:rsidRPr="00DA3C6E" w14:paraId="7159CC11" w14:textId="77777777" w:rsidTr="00FA72EB">
        <w:tc>
          <w:tcPr>
            <w:tcW w:w="1412" w:type="dxa"/>
            <w:vAlign w:val="center"/>
          </w:tcPr>
          <w:p w14:paraId="110C5A63"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‘Responder’ </w:t>
            </w:r>
          </w:p>
        </w:tc>
        <w:tc>
          <w:tcPr>
            <w:tcW w:w="1784" w:type="dxa"/>
            <w:gridSpan w:val="2"/>
            <w:vAlign w:val="center"/>
          </w:tcPr>
          <w:p w14:paraId="21F45166"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0.72</w:t>
            </w:r>
          </w:p>
        </w:tc>
        <w:tc>
          <w:tcPr>
            <w:tcW w:w="1373" w:type="dxa"/>
            <w:gridSpan w:val="2"/>
            <w:vAlign w:val="center"/>
          </w:tcPr>
          <w:p w14:paraId="34E369D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0.66</w:t>
            </w:r>
          </w:p>
        </w:tc>
        <w:tc>
          <w:tcPr>
            <w:tcW w:w="1802" w:type="dxa"/>
            <w:vAlign w:val="center"/>
          </w:tcPr>
          <w:p w14:paraId="135FD790"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 0.78</w:t>
            </w:r>
          </w:p>
        </w:tc>
        <w:tc>
          <w:tcPr>
            <w:tcW w:w="2645" w:type="dxa"/>
            <w:vMerge/>
            <w:vAlign w:val="center"/>
          </w:tcPr>
          <w:p w14:paraId="5EDD7837" w14:textId="77777777" w:rsidR="00101A38" w:rsidRPr="00DA3C6E" w:rsidRDefault="00101A38" w:rsidP="00365584">
            <w:pPr>
              <w:spacing w:after="0" w:line="240" w:lineRule="auto"/>
              <w:ind w:left="0"/>
              <w:jc w:val="left"/>
              <w:rPr>
                <w:rFonts w:ascii="Arial Narrow" w:hAnsi="Arial Narrow"/>
                <w:sz w:val="20"/>
                <w:szCs w:val="20"/>
              </w:rPr>
            </w:pPr>
          </w:p>
        </w:tc>
      </w:tr>
      <w:tr w:rsidR="00101A38" w:rsidRPr="00DA3C6E" w14:paraId="14B9A55B" w14:textId="77777777" w:rsidTr="00FA72EB">
        <w:tc>
          <w:tcPr>
            <w:tcW w:w="1412" w:type="dxa"/>
            <w:vAlign w:val="center"/>
          </w:tcPr>
          <w:p w14:paraId="1CF68C3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‘Responder off-treatment’</w:t>
            </w:r>
          </w:p>
        </w:tc>
        <w:tc>
          <w:tcPr>
            <w:tcW w:w="1784" w:type="dxa"/>
            <w:gridSpan w:val="2"/>
            <w:vAlign w:val="center"/>
          </w:tcPr>
          <w:p w14:paraId="396D939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0.72</w:t>
            </w:r>
          </w:p>
        </w:tc>
        <w:tc>
          <w:tcPr>
            <w:tcW w:w="1373" w:type="dxa"/>
            <w:gridSpan w:val="2"/>
            <w:vAlign w:val="center"/>
          </w:tcPr>
          <w:p w14:paraId="3BC4B704"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0.66</w:t>
            </w:r>
          </w:p>
        </w:tc>
        <w:tc>
          <w:tcPr>
            <w:tcW w:w="1802" w:type="dxa"/>
            <w:vAlign w:val="center"/>
          </w:tcPr>
          <w:p w14:paraId="04ADEB26"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0.78 </w:t>
            </w:r>
          </w:p>
        </w:tc>
        <w:tc>
          <w:tcPr>
            <w:tcW w:w="2645" w:type="dxa"/>
            <w:vMerge/>
            <w:vAlign w:val="center"/>
          </w:tcPr>
          <w:p w14:paraId="1F22CA5A" w14:textId="77777777" w:rsidR="00101A38" w:rsidRPr="00DA3C6E" w:rsidRDefault="00101A38" w:rsidP="00365584">
            <w:pPr>
              <w:spacing w:after="0" w:line="240" w:lineRule="auto"/>
              <w:ind w:left="0"/>
              <w:jc w:val="left"/>
              <w:rPr>
                <w:rFonts w:ascii="Arial Narrow" w:hAnsi="Arial Narrow"/>
                <w:sz w:val="20"/>
                <w:szCs w:val="20"/>
              </w:rPr>
            </w:pPr>
          </w:p>
        </w:tc>
      </w:tr>
      <w:tr w:rsidR="00101A38" w:rsidRPr="00DA3C6E" w14:paraId="0E523616" w14:textId="77777777" w:rsidTr="00FA72EB">
        <w:tc>
          <w:tcPr>
            <w:tcW w:w="1412" w:type="dxa"/>
            <w:vAlign w:val="center"/>
          </w:tcPr>
          <w:p w14:paraId="3109528D"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‘BSC’</w:t>
            </w:r>
          </w:p>
        </w:tc>
        <w:tc>
          <w:tcPr>
            <w:tcW w:w="1784" w:type="dxa"/>
            <w:gridSpan w:val="2"/>
            <w:vAlign w:val="center"/>
          </w:tcPr>
          <w:p w14:paraId="4DB0B16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0.60</w:t>
            </w:r>
          </w:p>
        </w:tc>
        <w:tc>
          <w:tcPr>
            <w:tcW w:w="1373" w:type="dxa"/>
            <w:gridSpan w:val="2"/>
            <w:vAlign w:val="center"/>
          </w:tcPr>
          <w:p w14:paraId="0E93AA5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0.54</w:t>
            </w:r>
          </w:p>
        </w:tc>
        <w:tc>
          <w:tcPr>
            <w:tcW w:w="1802" w:type="dxa"/>
            <w:vAlign w:val="center"/>
          </w:tcPr>
          <w:p w14:paraId="51FBB71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0.66</w:t>
            </w:r>
          </w:p>
        </w:tc>
        <w:tc>
          <w:tcPr>
            <w:tcW w:w="2645" w:type="dxa"/>
            <w:vMerge/>
            <w:vAlign w:val="center"/>
          </w:tcPr>
          <w:p w14:paraId="40AB7FCA" w14:textId="77777777" w:rsidR="00101A38" w:rsidRPr="00DA3C6E" w:rsidRDefault="00101A38" w:rsidP="00365584">
            <w:pPr>
              <w:spacing w:after="0" w:line="240" w:lineRule="auto"/>
              <w:ind w:left="0"/>
              <w:jc w:val="left"/>
              <w:rPr>
                <w:rFonts w:ascii="Arial Narrow" w:hAnsi="Arial Narrow"/>
                <w:sz w:val="20"/>
                <w:szCs w:val="20"/>
              </w:rPr>
            </w:pPr>
          </w:p>
        </w:tc>
      </w:tr>
      <w:tr w:rsidR="00101A38" w:rsidRPr="00DA3C6E" w14:paraId="08CD6600" w14:textId="77777777" w:rsidTr="00FA72EB">
        <w:tc>
          <w:tcPr>
            <w:tcW w:w="1412" w:type="dxa"/>
            <w:vAlign w:val="center"/>
          </w:tcPr>
          <w:p w14:paraId="02F1AB5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Adverse events (disutility)</w:t>
            </w:r>
          </w:p>
        </w:tc>
        <w:tc>
          <w:tcPr>
            <w:tcW w:w="1784" w:type="dxa"/>
            <w:gridSpan w:val="2"/>
            <w:vAlign w:val="center"/>
          </w:tcPr>
          <w:p w14:paraId="0C469E5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-0.007</w:t>
            </w:r>
          </w:p>
        </w:tc>
        <w:tc>
          <w:tcPr>
            <w:tcW w:w="1373" w:type="dxa"/>
            <w:gridSpan w:val="2"/>
            <w:vAlign w:val="center"/>
          </w:tcPr>
          <w:p w14:paraId="0C354DD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NA </w:t>
            </w:r>
          </w:p>
        </w:tc>
        <w:tc>
          <w:tcPr>
            <w:tcW w:w="1802" w:type="dxa"/>
            <w:vAlign w:val="center"/>
          </w:tcPr>
          <w:p w14:paraId="73F91B72"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NA </w:t>
            </w:r>
          </w:p>
        </w:tc>
        <w:tc>
          <w:tcPr>
            <w:tcW w:w="2645" w:type="dxa"/>
            <w:vAlign w:val="center"/>
          </w:tcPr>
          <w:p w14:paraId="369EE53F" w14:textId="5A013004" w:rsidR="00101A38" w:rsidRPr="00DA3C6E" w:rsidRDefault="00101A38" w:rsidP="00C04BCE">
            <w:pPr>
              <w:spacing w:after="0" w:line="240" w:lineRule="auto"/>
              <w:ind w:left="0"/>
              <w:jc w:val="left"/>
              <w:rPr>
                <w:rFonts w:ascii="Arial Narrow" w:hAnsi="Arial Narrow"/>
                <w:sz w:val="20"/>
                <w:szCs w:val="20"/>
              </w:rPr>
            </w:pPr>
            <w:r w:rsidRPr="00DA3C6E">
              <w:rPr>
                <w:rFonts w:ascii="Arial Narrow" w:hAnsi="Arial Narrow"/>
                <w:sz w:val="20"/>
                <w:szCs w:val="20"/>
              </w:rPr>
              <w:t xml:space="preserve">Guy et al 2018 </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&lt;EndNote&gt;&lt;Cite&gt;&lt;Author&gt;Guy&lt;/Author&gt;&lt;Year&gt;2019&lt;/Year&gt;&lt;RecNum&gt;25&lt;/RecNum&gt;&lt;DisplayText&gt;(65)&lt;/DisplayText&gt;&lt;record&gt;&lt;rec-number&gt;25&lt;/rec-number&gt;&lt;foreign-keys&gt;&lt;key app="EN" db-id="0992p2ztn5fez9e2wvnpw2xstd20f9w2dezz" timestamp="1586818281"&gt;25&lt;/key&gt;&lt;/foreign-keys&gt;&lt;ref-type name="Journal Article"&gt;17&lt;/ref-type&gt;&lt;contributors&gt;&lt;authors&gt;&lt;author&gt;Guy, Holly&lt;/author&gt;&lt;author&gt;Laskier, Vicki&lt;/author&gt;&lt;author&gt;Fisher, Mark&lt;/author&gt;&lt;author&gt;Neuman, W. Richey&lt;/author&gt;&lt;author&gt;Bucior, Iwona&lt;/author&gt;&lt;author&gt;Deitelzweig, Steven&lt;/author&gt;&lt;author&gt;Cohen, Alexander T.&lt;/author&gt;&lt;/authors&gt;&lt;/contributors&gt;&lt;titles&gt;&lt;title&gt;Cost-Effectiveness of Betrixaban Compared with Enoxaparin for Venous Thromboembolism Prophylaxis in Nonsurgical Patients with Acute Medical Illness in the United States&lt;/title&gt;&lt;secondary-title&gt;PharmacoEconomics&lt;/secondary-title&gt;&lt;/titles&gt;&lt;periodical&gt;&lt;full-title&gt;PharmacoEconomics&lt;/full-title&gt;&lt;/periodical&gt;&lt;pages&gt;701-714&lt;/pages&gt;&lt;volume&gt;37&lt;/volume&gt;&lt;number&gt;5&lt;/number&gt;&lt;dates&gt;&lt;year&gt;2019&lt;/year&gt;&lt;pub-dates&gt;&lt;date&gt;May 01&lt;/date&gt;&lt;/pub-dates&gt;&lt;/dates&gt;&lt;isbn&gt;1179-2027&lt;/isbn&gt;&lt;label&gt;Guy2019&lt;/label&gt;&lt;work-type&gt;journal article&lt;/work-type&gt;&lt;urls&gt;&lt;related-urls&gt;&lt;url&gt;https://doi.org/10.1007/s40273-018-0757-8&lt;/url&gt;&lt;/related-urls&gt;&lt;/urls&gt;&lt;electronic-resource-num&gt;10.1007/s40273-018-0757-8&lt;/electronic-resource-num&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65" w:tooltip="Guy, 2019 #25" w:history="1">
              <w:r w:rsidR="00C04BCE">
                <w:rPr>
                  <w:rFonts w:ascii="Arial Narrow" w:hAnsi="Arial Narrow"/>
                  <w:noProof/>
                  <w:sz w:val="20"/>
                  <w:szCs w:val="20"/>
                </w:rPr>
                <w:t>65</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r>
      <w:tr w:rsidR="00101A38" w:rsidRPr="00DA3C6E" w14:paraId="79850F9E" w14:textId="77777777" w:rsidTr="00AE3591">
        <w:tc>
          <w:tcPr>
            <w:tcW w:w="9016" w:type="dxa"/>
            <w:gridSpan w:val="7"/>
            <w:vAlign w:val="center"/>
          </w:tcPr>
          <w:p w14:paraId="4ACEC5BF"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b/>
                <w:sz w:val="20"/>
                <w:szCs w:val="20"/>
              </w:rPr>
              <w:t>Costs</w:t>
            </w:r>
          </w:p>
        </w:tc>
      </w:tr>
      <w:tr w:rsidR="00101A38" w:rsidRPr="00DA3C6E" w14:paraId="64326600" w14:textId="77777777" w:rsidTr="00FA72EB">
        <w:tc>
          <w:tcPr>
            <w:tcW w:w="1412" w:type="dxa"/>
            <w:vAlign w:val="center"/>
          </w:tcPr>
          <w:p w14:paraId="00B51B6F" w14:textId="77777777" w:rsidR="00101A38" w:rsidRPr="00DA3C6E" w:rsidRDefault="00101A38" w:rsidP="00365584">
            <w:pPr>
              <w:spacing w:after="0" w:line="240" w:lineRule="auto"/>
              <w:ind w:left="0"/>
              <w:jc w:val="left"/>
              <w:rPr>
                <w:rFonts w:ascii="Arial Narrow" w:hAnsi="Arial Narrow"/>
                <w:b/>
                <w:sz w:val="20"/>
                <w:szCs w:val="20"/>
              </w:rPr>
            </w:pPr>
            <w:r w:rsidRPr="00DA3C6E">
              <w:rPr>
                <w:rFonts w:ascii="Arial Narrow" w:hAnsi="Arial Narrow"/>
                <w:sz w:val="20"/>
                <w:szCs w:val="20"/>
              </w:rPr>
              <w:t>Cost per gram of intravenous Ig</w:t>
            </w:r>
          </w:p>
        </w:tc>
        <w:tc>
          <w:tcPr>
            <w:tcW w:w="1784" w:type="dxa"/>
            <w:gridSpan w:val="2"/>
            <w:tcBorders>
              <w:top w:val="single" w:sz="4" w:space="0" w:color="auto"/>
              <w:bottom w:val="single" w:sz="4" w:space="0" w:color="auto"/>
              <w:right w:val="single" w:sz="4" w:space="0" w:color="auto"/>
            </w:tcBorders>
            <w:vAlign w:val="center"/>
          </w:tcPr>
          <w:p w14:paraId="3EEA2EB1"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E0D13"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cs="Calibri"/>
                <w:color w:val="000000"/>
                <w:sz w:val="20"/>
                <w:szCs w:val="20"/>
              </w:rPr>
              <w:t>$44.94</w:t>
            </w:r>
          </w:p>
        </w:tc>
        <w:tc>
          <w:tcPr>
            <w:tcW w:w="1802" w:type="dxa"/>
            <w:tcBorders>
              <w:top w:val="single" w:sz="4" w:space="0" w:color="auto"/>
              <w:left w:val="single" w:sz="4" w:space="0" w:color="auto"/>
              <w:bottom w:val="single" w:sz="4" w:space="0" w:color="auto"/>
              <w:right w:val="nil"/>
            </w:tcBorders>
            <w:shd w:val="clear" w:color="auto" w:fill="auto"/>
            <w:vAlign w:val="center"/>
          </w:tcPr>
          <w:p w14:paraId="6B186FD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cs="Calibri"/>
                <w:color w:val="000000"/>
                <w:sz w:val="20"/>
                <w:szCs w:val="20"/>
              </w:rPr>
              <w:t>$140.18</w:t>
            </w:r>
          </w:p>
        </w:tc>
        <w:tc>
          <w:tcPr>
            <w:tcW w:w="2645" w:type="dxa"/>
            <w:vAlign w:val="center"/>
          </w:tcPr>
          <w:p w14:paraId="23884296"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BC = provided by the DoH (price does not include plasma fractioning). </w:t>
            </w:r>
          </w:p>
          <w:p w14:paraId="3D6F2B1E"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LB: assumed the lowest price of intravenous Ig (imported Ig cost).</w:t>
            </w:r>
          </w:p>
          <w:p w14:paraId="6CD5E155"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SA HB: assumed the highest price of intravenous Ig (domestic Ig cost including plasma fractioning)</w:t>
            </w:r>
          </w:p>
        </w:tc>
      </w:tr>
      <w:tr w:rsidR="006322E6" w:rsidRPr="00DA3C6E" w14:paraId="528EED89" w14:textId="77777777" w:rsidTr="009B62A1">
        <w:tc>
          <w:tcPr>
            <w:tcW w:w="9016" w:type="dxa"/>
            <w:gridSpan w:val="7"/>
            <w:vAlign w:val="center"/>
          </w:tcPr>
          <w:p w14:paraId="7C7FEC08" w14:textId="77777777" w:rsidR="006322E6" w:rsidRPr="00DA3C6E" w:rsidRDefault="006322E6" w:rsidP="00365584">
            <w:pPr>
              <w:spacing w:after="0" w:line="240" w:lineRule="auto"/>
              <w:ind w:left="0"/>
              <w:jc w:val="left"/>
              <w:rPr>
                <w:rFonts w:ascii="Arial Narrow" w:hAnsi="Arial Narrow"/>
                <w:sz w:val="20"/>
                <w:szCs w:val="20"/>
              </w:rPr>
            </w:pPr>
            <w:r w:rsidRPr="00DA3C6E">
              <w:rPr>
                <w:rFonts w:ascii="Arial Narrow" w:hAnsi="Arial Narrow"/>
                <w:b/>
                <w:szCs w:val="20"/>
              </w:rPr>
              <w:t>Parameters tested in scenario analysis</w:t>
            </w:r>
          </w:p>
        </w:tc>
      </w:tr>
      <w:tr w:rsidR="00B97300" w:rsidRPr="00DA3C6E" w14:paraId="012E13A2" w14:textId="77777777" w:rsidTr="009B62A1">
        <w:tc>
          <w:tcPr>
            <w:tcW w:w="1412" w:type="dxa"/>
            <w:vAlign w:val="center"/>
          </w:tcPr>
          <w:p w14:paraId="503B79B5" w14:textId="77777777" w:rsidR="00B97300" w:rsidRPr="00DA3C6E" w:rsidRDefault="00B97300" w:rsidP="00365584">
            <w:pPr>
              <w:pStyle w:val="TableStyle2"/>
              <w:ind w:left="0"/>
              <w:rPr>
                <w:rFonts w:ascii="Arial Narrow" w:hAnsi="Arial Narrow"/>
                <w:szCs w:val="20"/>
              </w:rPr>
            </w:pPr>
            <w:r w:rsidRPr="00DA3C6E">
              <w:rPr>
                <w:rFonts w:ascii="Arial Narrow" w:hAnsi="Arial Narrow"/>
                <w:szCs w:val="20"/>
              </w:rPr>
              <w:t>Discount rate</w:t>
            </w:r>
          </w:p>
        </w:tc>
        <w:tc>
          <w:tcPr>
            <w:tcW w:w="1784" w:type="dxa"/>
            <w:gridSpan w:val="2"/>
            <w:vAlign w:val="center"/>
          </w:tcPr>
          <w:p w14:paraId="14B905E6" w14:textId="77777777" w:rsidR="00B97300" w:rsidRPr="00DA3C6E" w:rsidRDefault="00B97300" w:rsidP="00365584">
            <w:pPr>
              <w:spacing w:after="0" w:line="240" w:lineRule="auto"/>
              <w:ind w:left="0"/>
              <w:jc w:val="left"/>
              <w:rPr>
                <w:rFonts w:ascii="Arial Narrow" w:hAnsi="Arial Narrow"/>
                <w:sz w:val="20"/>
                <w:szCs w:val="20"/>
              </w:rPr>
            </w:pPr>
            <w:r w:rsidRPr="00DA3C6E">
              <w:rPr>
                <w:rFonts w:ascii="Arial Narrow" w:hAnsi="Arial Narrow"/>
                <w:sz w:val="20"/>
                <w:szCs w:val="20"/>
              </w:rPr>
              <w:t>0.05</w:t>
            </w:r>
          </w:p>
        </w:tc>
        <w:tc>
          <w:tcPr>
            <w:tcW w:w="3175" w:type="dxa"/>
            <w:gridSpan w:val="3"/>
            <w:vAlign w:val="center"/>
          </w:tcPr>
          <w:p w14:paraId="192406AC" w14:textId="77777777" w:rsidR="00B97300" w:rsidRPr="00DA3C6E" w:rsidRDefault="00B97300" w:rsidP="00B97300">
            <w:pPr>
              <w:spacing w:after="0" w:line="240" w:lineRule="auto"/>
              <w:ind w:left="0"/>
              <w:jc w:val="left"/>
              <w:rPr>
                <w:rFonts w:ascii="Arial Narrow" w:hAnsi="Arial Narrow"/>
                <w:sz w:val="20"/>
                <w:szCs w:val="20"/>
              </w:rPr>
            </w:pPr>
            <w:r w:rsidRPr="00DA3C6E">
              <w:rPr>
                <w:rFonts w:ascii="Arial Narrow" w:hAnsi="Arial Narrow"/>
                <w:sz w:val="20"/>
                <w:szCs w:val="20"/>
              </w:rPr>
              <w:t>0.00</w:t>
            </w:r>
          </w:p>
        </w:tc>
        <w:tc>
          <w:tcPr>
            <w:tcW w:w="2645" w:type="dxa"/>
            <w:vAlign w:val="center"/>
          </w:tcPr>
          <w:p w14:paraId="1620BE37" w14:textId="28EE4CD0" w:rsidR="00B97300" w:rsidRPr="00DA3C6E" w:rsidRDefault="00B97300" w:rsidP="00C04BCE">
            <w:pPr>
              <w:spacing w:after="0" w:line="240" w:lineRule="auto"/>
              <w:ind w:left="0"/>
              <w:jc w:val="left"/>
              <w:rPr>
                <w:rFonts w:ascii="Arial Narrow" w:hAnsi="Arial Narrow"/>
                <w:sz w:val="20"/>
                <w:szCs w:val="20"/>
              </w:rPr>
            </w:pPr>
            <w:r w:rsidRPr="00DA3C6E">
              <w:rPr>
                <w:rFonts w:ascii="Arial Narrow" w:hAnsi="Arial Narrow"/>
                <w:sz w:val="20"/>
                <w:szCs w:val="20"/>
              </w:rPr>
              <w:t xml:space="preserve">MSAC Guideline </w:t>
            </w:r>
            <w:r w:rsidR="00DB568A" w:rsidRPr="00DA3C6E">
              <w:rPr>
                <w:rFonts w:ascii="Arial Narrow" w:hAnsi="Arial Narrow"/>
                <w:sz w:val="20"/>
                <w:szCs w:val="20"/>
              </w:rPr>
              <w:fldChar w:fldCharType="begin"/>
            </w:r>
            <w:r w:rsidR="007810D6">
              <w:rPr>
                <w:rFonts w:ascii="Arial Narrow" w:hAnsi="Arial Narrow"/>
                <w:sz w:val="20"/>
                <w:szCs w:val="20"/>
              </w:rPr>
              <w:instrText xml:space="preserve"> ADDIN EN.CITE &lt;EndNote&gt;&lt;Cite&gt;&lt;Author&gt;Department of Health&lt;/Author&gt;&lt;Year&gt;2016&lt;/Year&gt;&lt;RecNum&gt;18&lt;/RecNum&gt;&lt;DisplayText&gt;(66)&lt;/DisplayText&gt;&lt;record&gt;&lt;rec-number&gt;18&lt;/rec-number&gt;&lt;foreign-keys&gt;&lt;key app="EN" db-id="0992p2ztn5fez9e2wvnpw2xstd20f9w2dezz" timestamp="1586818281"&gt;18&lt;/key&gt;&lt;/foreign-keys&gt;&lt;ref-type name="Government Document"&gt;46&lt;/ref-type&gt;&lt;contributors&gt;&lt;authors&gt;&lt;author&gt;Department of Health,&lt;/author&gt;&lt;/authors&gt;&lt;secondary-authors&gt;&lt;author&gt;Department of Health&lt;/author&gt;&lt;/secondary-authors&gt;&lt;/contributors&gt;&lt;titles&gt;&lt;title&gt;Technical Guidelines for preparing assessment reports for the Medical Services Advisory Committee – Medical Service Type: Therapeutic (Version 2.0)&lt;/title&gt;&lt;/titles&gt;&lt;dates&gt;&lt;year&gt;2016&lt;/year&gt;&lt;/dates&gt;&lt;pub-location&gt;Canberra&lt;/pub-location&gt;&lt;urls&gt;&lt;/urls&gt;&lt;/record&gt;&lt;/Cite&gt;&lt;/EndNote&gt;</w:instrText>
            </w:r>
            <w:r w:rsidR="00DB568A" w:rsidRPr="00DA3C6E">
              <w:rPr>
                <w:rFonts w:ascii="Arial Narrow" w:hAnsi="Arial Narrow"/>
                <w:sz w:val="20"/>
                <w:szCs w:val="20"/>
              </w:rPr>
              <w:fldChar w:fldCharType="separate"/>
            </w:r>
            <w:r w:rsidR="007810D6">
              <w:rPr>
                <w:rFonts w:ascii="Arial Narrow" w:hAnsi="Arial Narrow"/>
                <w:noProof/>
                <w:sz w:val="20"/>
                <w:szCs w:val="20"/>
              </w:rPr>
              <w:t>(</w:t>
            </w:r>
            <w:hyperlink w:anchor="_ENREF_66" w:tooltip="Department of Health, 2016 #18" w:history="1">
              <w:r w:rsidR="00C04BCE">
                <w:rPr>
                  <w:rFonts w:ascii="Arial Narrow" w:hAnsi="Arial Narrow"/>
                  <w:noProof/>
                  <w:sz w:val="20"/>
                  <w:szCs w:val="20"/>
                </w:rPr>
                <w:t>66</w:t>
              </w:r>
            </w:hyperlink>
            <w:r w:rsidR="007810D6">
              <w:rPr>
                <w:rFonts w:ascii="Arial Narrow" w:hAnsi="Arial Narrow"/>
                <w:noProof/>
                <w:sz w:val="20"/>
                <w:szCs w:val="20"/>
              </w:rPr>
              <w:t>)</w:t>
            </w:r>
            <w:r w:rsidR="00DB568A" w:rsidRPr="00DA3C6E">
              <w:rPr>
                <w:rFonts w:ascii="Arial Narrow" w:hAnsi="Arial Narrow"/>
                <w:sz w:val="20"/>
                <w:szCs w:val="20"/>
              </w:rPr>
              <w:fldChar w:fldCharType="end"/>
            </w:r>
          </w:p>
        </w:tc>
      </w:tr>
      <w:tr w:rsidR="00B97300" w:rsidRPr="00DA3C6E" w14:paraId="5B71866A" w14:textId="77777777" w:rsidTr="009B62A1">
        <w:tc>
          <w:tcPr>
            <w:tcW w:w="1412" w:type="dxa"/>
            <w:vAlign w:val="center"/>
          </w:tcPr>
          <w:p w14:paraId="5FB3E48C" w14:textId="77777777" w:rsidR="00B97300" w:rsidRPr="00DA3C6E" w:rsidRDefault="00B97300" w:rsidP="00FA72EB">
            <w:pPr>
              <w:pStyle w:val="TableStyle2"/>
              <w:ind w:left="0"/>
              <w:rPr>
                <w:rFonts w:ascii="Arial Narrow" w:hAnsi="Arial Narrow"/>
                <w:szCs w:val="20"/>
              </w:rPr>
            </w:pPr>
            <w:r w:rsidRPr="00DA3C6E">
              <w:rPr>
                <w:rFonts w:ascii="Arial Narrow" w:hAnsi="Arial Narrow"/>
                <w:szCs w:val="20"/>
              </w:rPr>
              <w:t>Intravenous IG price</w:t>
            </w:r>
          </w:p>
        </w:tc>
        <w:tc>
          <w:tcPr>
            <w:tcW w:w="1784" w:type="dxa"/>
            <w:gridSpan w:val="2"/>
            <w:vAlign w:val="center"/>
          </w:tcPr>
          <w:p w14:paraId="1353BFA1" w14:textId="77777777" w:rsidR="00B97300" w:rsidRPr="00DA3C6E" w:rsidRDefault="00B97300" w:rsidP="00FA72EB">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3175" w:type="dxa"/>
            <w:gridSpan w:val="3"/>
            <w:vAlign w:val="center"/>
          </w:tcPr>
          <w:p w14:paraId="0EEB5098" w14:textId="77777777" w:rsidR="00B97300" w:rsidRPr="00DA3C6E" w:rsidDel="00DF0834" w:rsidRDefault="00B97300" w:rsidP="00FA72EB">
            <w:pPr>
              <w:spacing w:after="0" w:line="240" w:lineRule="auto"/>
              <w:ind w:left="0"/>
              <w:jc w:val="left"/>
              <w:rPr>
                <w:rFonts w:ascii="Arial Narrow" w:hAnsi="Arial Narrow"/>
                <w:sz w:val="20"/>
                <w:szCs w:val="20"/>
              </w:rPr>
            </w:pPr>
            <w:r w:rsidRPr="00DA3C6E">
              <w:rPr>
                <w:rFonts w:ascii="Arial Narrow" w:hAnsi="Arial Narrow"/>
                <w:sz w:val="20"/>
                <w:szCs w:val="20"/>
              </w:rPr>
              <w:t>$94.51</w:t>
            </w:r>
          </w:p>
        </w:tc>
        <w:tc>
          <w:tcPr>
            <w:tcW w:w="2645" w:type="dxa"/>
            <w:vAlign w:val="center"/>
          </w:tcPr>
          <w:p w14:paraId="747F872C" w14:textId="77777777" w:rsidR="00B97300" w:rsidRPr="00DA3C6E" w:rsidRDefault="00B97300" w:rsidP="00FA72EB">
            <w:pPr>
              <w:spacing w:after="0" w:line="240" w:lineRule="auto"/>
              <w:ind w:left="0"/>
              <w:jc w:val="left"/>
              <w:rPr>
                <w:rFonts w:ascii="Arial Narrow" w:hAnsi="Arial Narrow"/>
                <w:sz w:val="20"/>
                <w:szCs w:val="20"/>
              </w:rPr>
            </w:pPr>
            <w:r w:rsidRPr="00DA3C6E">
              <w:rPr>
                <w:rFonts w:ascii="Arial Narrow" w:hAnsi="Arial Narrow"/>
                <w:sz w:val="20"/>
                <w:szCs w:val="20"/>
              </w:rPr>
              <w:t xml:space="preserve">Weighted average cost of intravenous Ig across all indications. </w:t>
            </w:r>
          </w:p>
        </w:tc>
      </w:tr>
      <w:tr w:rsidR="00101A38" w:rsidRPr="00DA3C6E" w14:paraId="384C6F97" w14:textId="77777777" w:rsidTr="00FA72EB">
        <w:tc>
          <w:tcPr>
            <w:tcW w:w="1412" w:type="dxa"/>
            <w:vAlign w:val="center"/>
          </w:tcPr>
          <w:p w14:paraId="1FB8FF88" w14:textId="77777777" w:rsidR="00101A38" w:rsidRPr="00DA3C6E" w:rsidRDefault="00101A38" w:rsidP="00365584">
            <w:pPr>
              <w:pStyle w:val="TableStyle2"/>
              <w:ind w:left="0"/>
              <w:rPr>
                <w:rFonts w:ascii="Arial Narrow" w:hAnsi="Arial Narrow"/>
                <w:szCs w:val="20"/>
              </w:rPr>
            </w:pPr>
            <w:r w:rsidRPr="00DA3C6E">
              <w:rPr>
                <w:rFonts w:ascii="Arial Narrow" w:hAnsi="Arial Narrow"/>
                <w:szCs w:val="20"/>
              </w:rPr>
              <w:t>Age of entry to the model (years)</w:t>
            </w:r>
          </w:p>
        </w:tc>
        <w:tc>
          <w:tcPr>
            <w:tcW w:w="1784" w:type="dxa"/>
            <w:gridSpan w:val="2"/>
            <w:vAlign w:val="center"/>
          </w:tcPr>
          <w:p w14:paraId="172FBE08"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59</w:t>
            </w:r>
          </w:p>
        </w:tc>
        <w:tc>
          <w:tcPr>
            <w:tcW w:w="3175" w:type="dxa"/>
            <w:gridSpan w:val="3"/>
            <w:vAlign w:val="center"/>
          </w:tcPr>
          <w:p w14:paraId="1D99EBAC"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48 </w:t>
            </w:r>
          </w:p>
        </w:tc>
        <w:tc>
          <w:tcPr>
            <w:tcW w:w="2645" w:type="dxa"/>
            <w:vAlign w:val="center"/>
          </w:tcPr>
          <w:p w14:paraId="34F2EE81"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BC = NBA data</w:t>
            </w:r>
          </w:p>
          <w:p w14:paraId="66B491DB" w14:textId="77777777" w:rsidR="00101A38" w:rsidRPr="00DA3C6E" w:rsidRDefault="00101A38" w:rsidP="00365584">
            <w:pPr>
              <w:spacing w:after="0" w:line="240" w:lineRule="auto"/>
              <w:ind w:left="0"/>
              <w:jc w:val="left"/>
              <w:rPr>
                <w:rFonts w:ascii="Arial Narrow" w:hAnsi="Arial Narrow"/>
                <w:sz w:val="20"/>
                <w:szCs w:val="20"/>
              </w:rPr>
            </w:pPr>
            <w:r w:rsidRPr="00DA3C6E">
              <w:rPr>
                <w:rFonts w:ascii="Arial Narrow" w:hAnsi="Arial Narrow"/>
                <w:sz w:val="20"/>
                <w:szCs w:val="20"/>
              </w:rPr>
              <w:t xml:space="preserve">SA = average age at diagnosis from prevalence studies and RCTs respectively. </w:t>
            </w:r>
          </w:p>
        </w:tc>
      </w:tr>
      <w:tr w:rsidR="00AD5498" w:rsidRPr="00DA3C6E" w14:paraId="133B02AA" w14:textId="77777777" w:rsidTr="00365584">
        <w:tc>
          <w:tcPr>
            <w:tcW w:w="1412" w:type="dxa"/>
            <w:vAlign w:val="center"/>
          </w:tcPr>
          <w:p w14:paraId="6761BABC" w14:textId="77777777" w:rsidR="00AD5498" w:rsidRPr="00DA3C6E" w:rsidRDefault="00AD5498" w:rsidP="00FA72EB">
            <w:pPr>
              <w:pStyle w:val="TableStyle2"/>
              <w:ind w:left="0"/>
              <w:rPr>
                <w:rFonts w:ascii="Arial Narrow" w:hAnsi="Arial Narrow"/>
                <w:szCs w:val="20"/>
              </w:rPr>
            </w:pPr>
            <w:r w:rsidRPr="00DA3C6E">
              <w:rPr>
                <w:rFonts w:ascii="Arial Narrow" w:hAnsi="Arial Narrow"/>
                <w:szCs w:val="20"/>
              </w:rPr>
              <w:t xml:space="preserve">‘Responder’ to ‘BSC’: discontinuation due to AEs. </w:t>
            </w:r>
          </w:p>
        </w:tc>
        <w:tc>
          <w:tcPr>
            <w:tcW w:w="1784" w:type="dxa"/>
            <w:gridSpan w:val="2"/>
            <w:vAlign w:val="center"/>
          </w:tcPr>
          <w:p w14:paraId="2B45B80F" w14:textId="77777777" w:rsidR="00AD5498" w:rsidRPr="00DA3C6E" w:rsidRDefault="00AD5498" w:rsidP="00FA72EB">
            <w:pPr>
              <w:spacing w:after="0" w:line="240" w:lineRule="auto"/>
              <w:ind w:left="0"/>
              <w:jc w:val="left"/>
              <w:rPr>
                <w:rFonts w:ascii="Arial Narrow" w:hAnsi="Arial Narrow"/>
                <w:sz w:val="20"/>
                <w:szCs w:val="20"/>
              </w:rPr>
            </w:pPr>
            <w:r w:rsidRPr="00DA3C6E">
              <w:rPr>
                <w:rFonts w:ascii="Arial Narrow" w:hAnsi="Arial Narrow"/>
                <w:sz w:val="20"/>
                <w:szCs w:val="20"/>
              </w:rPr>
              <w:t>0.002</w:t>
            </w:r>
          </w:p>
        </w:tc>
        <w:tc>
          <w:tcPr>
            <w:tcW w:w="3175" w:type="dxa"/>
            <w:gridSpan w:val="3"/>
            <w:vAlign w:val="center"/>
          </w:tcPr>
          <w:p w14:paraId="2CB2D14C" w14:textId="77777777" w:rsidR="00AD5498" w:rsidRPr="00DA3C6E" w:rsidRDefault="00AD5498" w:rsidP="00FA72EB">
            <w:pPr>
              <w:spacing w:after="0" w:line="240" w:lineRule="auto"/>
              <w:ind w:left="0"/>
              <w:jc w:val="left"/>
              <w:rPr>
                <w:rFonts w:ascii="Arial Narrow" w:hAnsi="Arial Narrow"/>
                <w:sz w:val="20"/>
                <w:szCs w:val="20"/>
              </w:rPr>
            </w:pPr>
            <w:r w:rsidRPr="00DA3C6E">
              <w:rPr>
                <w:rFonts w:ascii="Arial Narrow" w:hAnsi="Arial Narrow"/>
                <w:sz w:val="20"/>
                <w:szCs w:val="20"/>
              </w:rPr>
              <w:t>0.095</w:t>
            </w:r>
          </w:p>
        </w:tc>
        <w:tc>
          <w:tcPr>
            <w:tcW w:w="2645" w:type="dxa"/>
            <w:vAlign w:val="center"/>
          </w:tcPr>
          <w:p w14:paraId="63140CC6" w14:textId="7F1531C0" w:rsidR="00AD5498" w:rsidRPr="00DA3C6E" w:rsidRDefault="00AD5498" w:rsidP="00C04BCE">
            <w:pPr>
              <w:spacing w:after="0" w:line="240" w:lineRule="auto"/>
              <w:ind w:left="0"/>
              <w:jc w:val="left"/>
              <w:rPr>
                <w:rFonts w:ascii="Arial Narrow" w:hAnsi="Arial Narrow"/>
                <w:sz w:val="20"/>
                <w:szCs w:val="20"/>
              </w:rPr>
            </w:pPr>
            <w:r w:rsidRPr="00DA3C6E">
              <w:rPr>
                <w:rFonts w:ascii="Arial Narrow" w:hAnsi="Arial Narrow"/>
                <w:sz w:val="20"/>
                <w:szCs w:val="20"/>
              </w:rPr>
              <w:t xml:space="preserve">Average discontinuation rate from three single arm studies </w:t>
            </w:r>
            <w:r w:rsidR="00DB568A" w:rsidRPr="00DA3C6E">
              <w:rPr>
                <w:rFonts w:ascii="Arial Narrow" w:hAnsi="Arial Narrow"/>
                <w:sz w:val="20"/>
                <w:szCs w:val="20"/>
              </w:rPr>
              <w:fldChar w:fldCharType="begin">
                <w:fldData xml:space="preserve">PEVuZE5vdGU+PENpdGU+PEF1dGhvcj5CYXVtYW5uPC9BdXRob3I+PFllYXI+MjAwOTwvWWVhcj48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==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PEVuZE5vdGU+PENpdGU+PEF1dGhvcj5CYXVtYW5uPC9BdXRob3I+PFllYXI+MjAwOTwvWWVhcj48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==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14" w:tooltip="Cats, 2010 #13" w:history="1">
              <w:r w:rsidR="00C04BCE" w:rsidRPr="00DA3C6E">
                <w:rPr>
                  <w:rFonts w:ascii="Arial Narrow" w:hAnsi="Arial Narrow"/>
                  <w:noProof/>
                  <w:sz w:val="20"/>
                  <w:szCs w:val="20"/>
                </w:rPr>
                <w:t>14</w:t>
              </w:r>
            </w:hyperlink>
            <w:r w:rsidR="00DB568A" w:rsidRPr="00DA3C6E">
              <w:rPr>
                <w:rFonts w:ascii="Arial Narrow" w:hAnsi="Arial Narrow"/>
                <w:noProof/>
                <w:sz w:val="20"/>
                <w:szCs w:val="20"/>
              </w:rPr>
              <w:t xml:space="preserve">, </w:t>
            </w:r>
            <w:hyperlink w:anchor="_ENREF_32" w:tooltip="Kuwabara, 2018 #37" w:history="1">
              <w:r w:rsidR="00C04BCE" w:rsidRPr="00DA3C6E">
                <w:rPr>
                  <w:rFonts w:ascii="Arial Narrow" w:hAnsi="Arial Narrow"/>
                  <w:noProof/>
                  <w:sz w:val="20"/>
                  <w:szCs w:val="20"/>
                </w:rPr>
                <w:t>32</w:t>
              </w:r>
            </w:hyperlink>
            <w:r w:rsidR="00DB568A" w:rsidRPr="00DA3C6E">
              <w:rPr>
                <w:rFonts w:ascii="Arial Narrow" w:hAnsi="Arial Narrow"/>
                <w:noProof/>
                <w:sz w:val="20"/>
                <w:szCs w:val="20"/>
              </w:rPr>
              <w:t xml:space="preserve">, </w:t>
            </w:r>
            <w:hyperlink w:anchor="_ENREF_40" w:tooltip="Baumann, 2009 #7" w:history="1">
              <w:r w:rsidR="00C04BCE" w:rsidRPr="00DA3C6E">
                <w:rPr>
                  <w:rFonts w:ascii="Arial Narrow" w:hAnsi="Arial Narrow"/>
                  <w:noProof/>
                  <w:sz w:val="20"/>
                  <w:szCs w:val="20"/>
                </w:rPr>
                <w:t>40</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r w:rsidRPr="00DA3C6E">
              <w:rPr>
                <w:rFonts w:ascii="Arial Narrow" w:hAnsi="Arial Narrow"/>
                <w:sz w:val="20"/>
                <w:szCs w:val="20"/>
              </w:rPr>
              <w:t>.</w:t>
            </w:r>
          </w:p>
        </w:tc>
      </w:tr>
      <w:tr w:rsidR="00B97300" w:rsidRPr="00DA3C6E" w14:paraId="08EE6051" w14:textId="77777777" w:rsidTr="00FA72EB">
        <w:trPr>
          <w:trHeight w:val="421"/>
        </w:trPr>
        <w:tc>
          <w:tcPr>
            <w:tcW w:w="1412" w:type="dxa"/>
            <w:vMerge w:val="restart"/>
            <w:vAlign w:val="center"/>
          </w:tcPr>
          <w:p w14:paraId="59E1FB77" w14:textId="77777777" w:rsidR="00B97300" w:rsidRPr="00DA3C6E" w:rsidRDefault="0065138E" w:rsidP="00FA72EB">
            <w:pPr>
              <w:pStyle w:val="TableStyle2"/>
              <w:ind w:left="0"/>
              <w:rPr>
                <w:rFonts w:ascii="Arial Narrow" w:hAnsi="Arial Narrow"/>
                <w:szCs w:val="20"/>
              </w:rPr>
            </w:pPr>
            <w:r w:rsidRPr="00DA3C6E">
              <w:rPr>
                <w:rFonts w:ascii="Arial Narrow" w:hAnsi="Arial Narrow"/>
                <w:szCs w:val="20"/>
              </w:rPr>
              <w:t>Potential for SCIg use</w:t>
            </w:r>
          </w:p>
        </w:tc>
        <w:tc>
          <w:tcPr>
            <w:tcW w:w="1784" w:type="dxa"/>
            <w:gridSpan w:val="2"/>
            <w:vMerge w:val="restart"/>
            <w:vAlign w:val="center"/>
          </w:tcPr>
          <w:p w14:paraId="4D78D78D" w14:textId="77777777" w:rsidR="00B97300" w:rsidRPr="00DA3C6E" w:rsidRDefault="00B97300" w:rsidP="00FA72EB">
            <w:pPr>
              <w:spacing w:after="0" w:line="240" w:lineRule="auto"/>
              <w:ind w:left="0"/>
              <w:jc w:val="left"/>
              <w:rPr>
                <w:rFonts w:ascii="Arial Narrow" w:hAnsi="Arial Narrow"/>
                <w:sz w:val="20"/>
                <w:szCs w:val="20"/>
              </w:rPr>
            </w:pPr>
            <w:r w:rsidRPr="00DA3C6E">
              <w:rPr>
                <w:rFonts w:ascii="Arial Narrow" w:hAnsi="Arial Narrow"/>
                <w:sz w:val="20"/>
                <w:szCs w:val="20"/>
              </w:rPr>
              <w:t xml:space="preserve">No SCIg use. </w:t>
            </w:r>
          </w:p>
        </w:tc>
        <w:tc>
          <w:tcPr>
            <w:tcW w:w="3175" w:type="dxa"/>
            <w:gridSpan w:val="3"/>
            <w:vAlign w:val="center"/>
          </w:tcPr>
          <w:p w14:paraId="2FF21577" w14:textId="77777777" w:rsidR="00B97300" w:rsidRPr="00DA3C6E" w:rsidRDefault="00C81011" w:rsidP="00FA72EB">
            <w:pPr>
              <w:spacing w:after="0"/>
              <w:ind w:left="0"/>
              <w:jc w:val="left"/>
              <w:rPr>
                <w:rFonts w:ascii="Arial Narrow" w:hAnsi="Arial Narrow"/>
                <w:sz w:val="20"/>
                <w:szCs w:val="20"/>
              </w:rPr>
            </w:pPr>
            <w:r w:rsidRPr="00DA3C6E">
              <w:rPr>
                <w:rFonts w:ascii="Arial Narrow" w:hAnsi="Arial Narrow"/>
                <w:sz w:val="20"/>
                <w:szCs w:val="20"/>
              </w:rPr>
              <w:t>$75.19</w:t>
            </w:r>
          </w:p>
        </w:tc>
        <w:tc>
          <w:tcPr>
            <w:tcW w:w="2645" w:type="dxa"/>
            <w:vAlign w:val="center"/>
          </w:tcPr>
          <w:p w14:paraId="752E3684" w14:textId="77777777" w:rsidR="00B97300" w:rsidRPr="00DA3C6E" w:rsidRDefault="0042030B" w:rsidP="00FA72EB">
            <w:pPr>
              <w:spacing w:after="0" w:line="240" w:lineRule="auto"/>
              <w:ind w:left="0"/>
              <w:rPr>
                <w:rFonts w:ascii="Arial Narrow" w:hAnsi="Arial Narrow"/>
                <w:sz w:val="20"/>
                <w:szCs w:val="20"/>
              </w:rPr>
            </w:pPr>
            <w:r w:rsidRPr="00DA3C6E">
              <w:rPr>
                <w:rFonts w:ascii="Arial Narrow" w:hAnsi="Arial Narrow"/>
                <w:sz w:val="20"/>
                <w:szCs w:val="20"/>
              </w:rPr>
              <w:t>Differentiated</w:t>
            </w:r>
            <w:r w:rsidR="00B97300" w:rsidRPr="00DA3C6E">
              <w:rPr>
                <w:rFonts w:ascii="Arial Narrow" w:hAnsi="Arial Narrow"/>
                <w:sz w:val="20"/>
                <w:szCs w:val="20"/>
              </w:rPr>
              <w:t xml:space="preserve"> costs between the forms of administration</w:t>
            </w:r>
            <w:r w:rsidRPr="00DA3C6E">
              <w:rPr>
                <w:rFonts w:ascii="Arial Narrow" w:hAnsi="Arial Narrow"/>
                <w:sz w:val="20"/>
                <w:szCs w:val="20"/>
              </w:rPr>
              <w:t>.</w:t>
            </w:r>
          </w:p>
        </w:tc>
      </w:tr>
      <w:tr w:rsidR="00B97300" w:rsidRPr="00DA3C6E" w14:paraId="43BE5CB4" w14:textId="77777777" w:rsidTr="00FA72EB">
        <w:tc>
          <w:tcPr>
            <w:tcW w:w="1412" w:type="dxa"/>
            <w:vMerge/>
            <w:vAlign w:val="center"/>
          </w:tcPr>
          <w:p w14:paraId="3BF1A85E" w14:textId="77777777" w:rsidR="00B97300" w:rsidRPr="00DA3C6E" w:rsidRDefault="00B97300" w:rsidP="00B97300">
            <w:pPr>
              <w:pStyle w:val="TableStyle2"/>
              <w:rPr>
                <w:rFonts w:ascii="Arial Narrow" w:hAnsi="Arial Narrow"/>
                <w:szCs w:val="20"/>
              </w:rPr>
            </w:pPr>
          </w:p>
        </w:tc>
        <w:tc>
          <w:tcPr>
            <w:tcW w:w="1784" w:type="dxa"/>
            <w:gridSpan w:val="2"/>
            <w:vMerge/>
            <w:vAlign w:val="center"/>
          </w:tcPr>
          <w:p w14:paraId="40D4E6AE" w14:textId="77777777" w:rsidR="00B97300" w:rsidRPr="00DA3C6E" w:rsidRDefault="00B97300" w:rsidP="00B97300">
            <w:pPr>
              <w:spacing w:after="0" w:line="240" w:lineRule="auto"/>
              <w:jc w:val="left"/>
              <w:rPr>
                <w:rFonts w:ascii="Arial Narrow" w:hAnsi="Arial Narrow"/>
                <w:sz w:val="20"/>
                <w:szCs w:val="20"/>
              </w:rPr>
            </w:pPr>
          </w:p>
        </w:tc>
        <w:tc>
          <w:tcPr>
            <w:tcW w:w="3175" w:type="dxa"/>
            <w:gridSpan w:val="3"/>
            <w:vAlign w:val="center"/>
          </w:tcPr>
          <w:p w14:paraId="42A27475" w14:textId="77777777" w:rsidR="00B97300" w:rsidRPr="00DA3C6E" w:rsidRDefault="00C81011" w:rsidP="00FA72EB">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2645" w:type="dxa"/>
            <w:vAlign w:val="center"/>
          </w:tcPr>
          <w:p w14:paraId="6D5A7EC6" w14:textId="697175CC" w:rsidR="00B97300" w:rsidRPr="00DA3C6E" w:rsidRDefault="0042030B" w:rsidP="00FA72EB">
            <w:pPr>
              <w:spacing w:after="0" w:line="240" w:lineRule="auto"/>
              <w:ind w:left="0"/>
              <w:rPr>
                <w:rFonts w:ascii="Arial Narrow" w:hAnsi="Arial Narrow"/>
                <w:sz w:val="20"/>
                <w:szCs w:val="20"/>
              </w:rPr>
            </w:pPr>
            <w:r w:rsidRPr="00DA3C6E">
              <w:rPr>
                <w:rFonts w:ascii="Arial Narrow" w:hAnsi="Arial Narrow"/>
                <w:sz w:val="20"/>
                <w:szCs w:val="20"/>
              </w:rPr>
              <w:t>C</w:t>
            </w:r>
            <w:r w:rsidR="00B97300" w:rsidRPr="00DA3C6E">
              <w:rPr>
                <w:rFonts w:ascii="Arial Narrow" w:hAnsi="Arial Narrow"/>
                <w:sz w:val="20"/>
                <w:szCs w:val="20"/>
              </w:rPr>
              <w:t>ost of SCI</w:t>
            </w:r>
            <w:r w:rsidRPr="00DA3C6E">
              <w:rPr>
                <w:rFonts w:ascii="Arial Narrow" w:hAnsi="Arial Narrow"/>
                <w:sz w:val="20"/>
                <w:szCs w:val="20"/>
              </w:rPr>
              <w:t>g</w:t>
            </w:r>
            <w:r w:rsidR="00B97300" w:rsidRPr="00DA3C6E">
              <w:rPr>
                <w:rFonts w:ascii="Arial Narrow" w:hAnsi="Arial Narrow"/>
                <w:sz w:val="20"/>
                <w:szCs w:val="20"/>
              </w:rPr>
              <w:t xml:space="preserve"> equal to the cost of intravenous Ig. </w:t>
            </w:r>
          </w:p>
        </w:tc>
      </w:tr>
    </w:tbl>
    <w:p w14:paraId="78F73915" w14:textId="77777777" w:rsidR="00101A38" w:rsidRPr="00DA3C6E" w:rsidRDefault="00101A38" w:rsidP="0048371A">
      <w:pPr>
        <w:spacing w:after="0" w:line="240" w:lineRule="auto"/>
        <w:rPr>
          <w:rFonts w:ascii="Arial Narrow" w:hAnsi="Arial Narrow"/>
          <w:sz w:val="18"/>
          <w:szCs w:val="18"/>
        </w:rPr>
      </w:pPr>
      <w:r w:rsidRPr="00DA3C6E">
        <w:rPr>
          <w:rFonts w:ascii="Arial Narrow" w:hAnsi="Arial Narrow"/>
          <w:sz w:val="18"/>
          <w:szCs w:val="18"/>
        </w:rPr>
        <w:t xml:space="preserve">Abbreviations: ABS = Australian Bureau of Statistics; BC = base case; BSC = best supportive care; LB = lower bound; MSAC = Medical Services Advisory Committee; NA = not applicable; NBA = National Blood Authority; SA = sensitivity analysis; UB = upper bound. </w:t>
      </w:r>
    </w:p>
    <w:p w14:paraId="3F55D6B6" w14:textId="77777777" w:rsidR="00101A38" w:rsidRPr="00DA3C6E" w:rsidRDefault="00101A38" w:rsidP="00D21A02">
      <w:pPr>
        <w:pStyle w:val="Heading3"/>
      </w:pPr>
      <w:bookmarkStart w:id="294" w:name="_Toc37845769"/>
      <w:r w:rsidRPr="00DA3C6E">
        <w:t>Clinical management inputs</w:t>
      </w:r>
      <w:bookmarkEnd w:id="294"/>
      <w:r w:rsidRPr="00DA3C6E">
        <w:t xml:space="preserve"> </w:t>
      </w:r>
    </w:p>
    <w:p w14:paraId="5B1AD62A" w14:textId="3A49B2F3" w:rsidR="00101A38" w:rsidRPr="00DA3C6E" w:rsidRDefault="00101A38" w:rsidP="00717AED">
      <w:r w:rsidRPr="00DA3C6E">
        <w:t xml:space="preserve">The clinical inputs and their associated assumptions relating to the clinical management of MMN, including the doses and administration pattern of intravenous Ig, are shown in </w:t>
      </w:r>
      <w:r w:rsidRPr="00DA3C6E">
        <w:fldChar w:fldCharType="begin"/>
      </w:r>
      <w:r w:rsidRPr="00DA3C6E">
        <w:instrText xml:space="preserve"> REF _Ref30063374 \h </w:instrText>
      </w:r>
      <w:r w:rsidR="00E8759F" w:rsidRPr="00DA3C6E">
        <w:instrText xml:space="preserve"> \* MERGEFORMAT </w:instrText>
      </w:r>
      <w:r w:rsidRPr="00DA3C6E">
        <w:fldChar w:fldCharType="separate"/>
      </w:r>
      <w:r w:rsidR="00EA5DC1" w:rsidRPr="00DA3C6E">
        <w:t xml:space="preserve">Table </w:t>
      </w:r>
      <w:r w:rsidR="00EA5DC1">
        <w:rPr>
          <w:noProof/>
        </w:rPr>
        <w:t>31</w:t>
      </w:r>
      <w:r w:rsidRPr="00DA3C6E">
        <w:fldChar w:fldCharType="end"/>
      </w:r>
      <w:r w:rsidRPr="00DA3C6E">
        <w:t xml:space="preserve">.  </w:t>
      </w:r>
    </w:p>
    <w:p w14:paraId="2F96DF21" w14:textId="624C2684" w:rsidR="00101A38" w:rsidRPr="00DA3C6E" w:rsidRDefault="00101A38" w:rsidP="00717AED">
      <w:r w:rsidRPr="00DA3C6E">
        <w:t xml:space="preserve">The intravenous Ig utilisation estimates were obtained from the information provided by the NBA, where 372,875 grams of intravenous Ig were provided to 596 patients with MMN in the period from 1 July 2018 - 30 June 2019. Based on the above data and estimates, the current annual dose per patient was estimated to be 626 grams per patient (Section A, </w:t>
      </w:r>
      <w:r w:rsidRPr="00DA3C6E">
        <w:fldChar w:fldCharType="begin"/>
      </w:r>
      <w:r w:rsidRPr="00DA3C6E">
        <w:instrText xml:space="preserve"> REF _Ref25925412 \h </w:instrText>
      </w:r>
      <w:r w:rsidR="00E8759F" w:rsidRPr="00DA3C6E">
        <w:instrText xml:space="preserve"> \* MERGEFORMAT </w:instrText>
      </w:r>
      <w:r w:rsidRPr="00DA3C6E">
        <w:fldChar w:fldCharType="separate"/>
      </w:r>
      <w:r w:rsidR="00EA5DC1" w:rsidRPr="00DA3C6E">
        <w:t xml:space="preserve">Table </w:t>
      </w:r>
      <w:r w:rsidR="00EA5DC1">
        <w:rPr>
          <w:noProof/>
        </w:rPr>
        <w:t>3</w:t>
      </w:r>
      <w:r w:rsidRPr="00DA3C6E">
        <w:fldChar w:fldCharType="end"/>
      </w:r>
      <w:r w:rsidRPr="00DA3C6E">
        <w:fldChar w:fldCharType="begin"/>
      </w:r>
      <w:r w:rsidRPr="00DA3C6E">
        <w:instrText xml:space="preserve"> REF _Ref25925412 \h </w:instrText>
      </w:r>
      <w:r w:rsidR="00E8759F" w:rsidRPr="00DA3C6E">
        <w:instrText xml:space="preserve"> \* MERGEFORMAT </w:instrText>
      </w:r>
      <w:r w:rsidRPr="00DA3C6E">
        <w:fldChar w:fldCharType="separate"/>
      </w:r>
      <w:r w:rsidR="00EA5DC1" w:rsidRPr="00DA3C6E">
        <w:t xml:space="preserve">Table </w:t>
      </w:r>
      <w:r w:rsidR="00EA5DC1">
        <w:rPr>
          <w:noProof/>
        </w:rPr>
        <w:t>3</w:t>
      </w:r>
      <w:r w:rsidRPr="00DA3C6E">
        <w:fldChar w:fldCharType="end"/>
      </w:r>
      <w:r w:rsidRPr="00DA3C6E">
        <w:t xml:space="preserve">). </w:t>
      </w:r>
    </w:p>
    <w:p w14:paraId="49FAAE9C" w14:textId="4AF09AA6" w:rsidR="00101A38" w:rsidRPr="00DA3C6E" w:rsidRDefault="00101A38" w:rsidP="004D6251">
      <w:pPr>
        <w:keepNext/>
      </w:pPr>
      <w:r w:rsidRPr="00DA3C6E">
        <w:lastRenderedPageBreak/>
        <w:t xml:space="preserve">The recommended dosing of intravenous Ig in The Criteria Version 3 is 2g/kg divided in 2 to 5 doses in the induction phase and 0.4-1 g/kg 2-6 weekly, which is consistent with data supplied by the NBA (0.41 g/kg per episode) (Section A, </w:t>
      </w:r>
      <w:r w:rsidRPr="00DA3C6E">
        <w:fldChar w:fldCharType="begin"/>
      </w:r>
      <w:r w:rsidRPr="00DA3C6E">
        <w:instrText xml:space="preserve"> REF _Ref25825294 \h </w:instrText>
      </w:r>
      <w:r w:rsidR="00E8759F" w:rsidRPr="00DA3C6E">
        <w:instrText xml:space="preserve"> \* MERGEFORMAT </w:instrText>
      </w:r>
      <w:r w:rsidRPr="00DA3C6E">
        <w:fldChar w:fldCharType="separate"/>
      </w:r>
      <w:r w:rsidR="00EA5DC1" w:rsidRPr="00DA3C6E">
        <w:t xml:space="preserve">Table </w:t>
      </w:r>
      <w:r w:rsidR="00EA5DC1">
        <w:rPr>
          <w:noProof/>
        </w:rPr>
        <w:t>1</w:t>
      </w:r>
      <w:r w:rsidRPr="00DA3C6E">
        <w:fldChar w:fldCharType="end"/>
      </w:r>
      <w:r w:rsidRPr="00DA3C6E">
        <w:t xml:space="preserve"> and </w:t>
      </w:r>
      <w:r w:rsidRPr="00DA3C6E">
        <w:fldChar w:fldCharType="begin"/>
      </w:r>
      <w:r w:rsidRPr="00DA3C6E">
        <w:instrText xml:space="preserve"> REF _Ref25925412 \h </w:instrText>
      </w:r>
      <w:r w:rsidR="00E8759F" w:rsidRPr="00DA3C6E">
        <w:instrText xml:space="preserve"> \* MERGEFORMAT </w:instrText>
      </w:r>
      <w:r w:rsidRPr="00DA3C6E">
        <w:fldChar w:fldCharType="separate"/>
      </w:r>
      <w:r w:rsidR="00EA5DC1" w:rsidRPr="00DA3C6E">
        <w:t xml:space="preserve">Table </w:t>
      </w:r>
      <w:r w:rsidR="00EA5DC1">
        <w:rPr>
          <w:noProof/>
        </w:rPr>
        <w:t>3</w:t>
      </w:r>
      <w:r w:rsidRPr="00DA3C6E">
        <w:fldChar w:fldCharType="end"/>
      </w:r>
      <w:r w:rsidRPr="00DA3C6E">
        <w:t xml:space="preserve">). </w:t>
      </w:r>
    </w:p>
    <w:p w14:paraId="3109644C" w14:textId="77777777" w:rsidR="00101A38" w:rsidRPr="00DA3C6E" w:rsidRDefault="00101A38" w:rsidP="002A31A8">
      <w:pPr>
        <w:pStyle w:val="Heading3"/>
      </w:pPr>
      <w:bookmarkStart w:id="295" w:name="_Toc37845770"/>
      <w:r w:rsidRPr="00DA3C6E">
        <w:t>Adverse events and clinical output inputs</w:t>
      </w:r>
      <w:bookmarkEnd w:id="295"/>
      <w:r w:rsidRPr="00DA3C6E">
        <w:t xml:space="preserve"> </w:t>
      </w:r>
    </w:p>
    <w:p w14:paraId="50599857" w14:textId="44EF0B50" w:rsidR="00101A38" w:rsidRPr="00DA3C6E" w:rsidRDefault="00101A38" w:rsidP="00717AED">
      <w:r w:rsidRPr="00DA3C6E">
        <w:t xml:space="preserve">Differences in safety profile associated with intravenous Ig and No Ig with BSC were identified in the RCTs and reported in </w:t>
      </w:r>
      <w:r w:rsidRPr="00DA3C6E">
        <w:fldChar w:fldCharType="begin"/>
      </w:r>
      <w:r w:rsidRPr="00DA3C6E">
        <w:instrText xml:space="preserve"> REF _Ref25929943 \h </w:instrText>
      </w:r>
      <w:r w:rsidR="00E8759F" w:rsidRPr="00DA3C6E">
        <w:instrText xml:space="preserve"> \* MERGEFORMAT </w:instrText>
      </w:r>
      <w:r w:rsidRPr="00DA3C6E">
        <w:fldChar w:fldCharType="separate"/>
      </w:r>
      <w:r w:rsidR="00EA5DC1" w:rsidRPr="00DA3C6E">
        <w:t xml:space="preserve">Table </w:t>
      </w:r>
      <w:r w:rsidR="00EA5DC1">
        <w:rPr>
          <w:noProof/>
        </w:rPr>
        <w:t>14</w:t>
      </w:r>
      <w:r w:rsidRPr="00DA3C6E">
        <w:fldChar w:fldCharType="end"/>
      </w:r>
      <w:r w:rsidRPr="00DA3C6E">
        <w:t xml:space="preserve"> (Section B). As the adverse events reported in RCTs and single arm studies were mostly mild and transient, or not related to the treatment with intravenous Ig, only cost and disutility related to SAEs were applied in the economic model. The RCTs and single arm studies reported only one SAE. The RCTs reported only one SAE</w:t>
      </w:r>
      <w:r w:rsidR="00C81011" w:rsidRPr="00DA3C6E">
        <w:t>,</w:t>
      </w:r>
      <w:r w:rsidRPr="00DA3C6E">
        <w:t xml:space="preserve"> pulmonary embolism (PE), hence the economic model incorporates only the potential for patients </w:t>
      </w:r>
      <w:r w:rsidR="00757C13" w:rsidRPr="00DA3C6E">
        <w:t xml:space="preserve">experiencing </w:t>
      </w:r>
      <w:r w:rsidRPr="00DA3C6E">
        <w:t>PE as a SAE. Due to the small patient numbers and lack of detail in the RCT evidence, along with potential bias in the single arm studies</w:t>
      </w:r>
      <w:r w:rsidR="00757C13" w:rsidRPr="00DA3C6E">
        <w:t>,</w:t>
      </w:r>
      <w:r w:rsidRPr="00DA3C6E">
        <w:t xml:space="preserve"> the incorporation of adverse event data into the economic analysis should be interpreted with caution.</w:t>
      </w:r>
    </w:p>
    <w:p w14:paraId="18362E8E" w14:textId="77777777" w:rsidR="00101A38" w:rsidRPr="00DA3C6E" w:rsidRDefault="00101A38" w:rsidP="00DF4B32">
      <w:pPr>
        <w:pStyle w:val="Heading3"/>
      </w:pPr>
      <w:bookmarkStart w:id="296" w:name="_Toc37845771"/>
      <w:r w:rsidRPr="00DA3C6E">
        <w:t>Resource use</w:t>
      </w:r>
      <w:bookmarkEnd w:id="296"/>
    </w:p>
    <w:p w14:paraId="71A4B51B" w14:textId="3D416BA4" w:rsidR="00101A38" w:rsidRPr="00DA3C6E" w:rsidRDefault="00101A38" w:rsidP="00717AED">
      <w:r w:rsidRPr="00DA3C6E">
        <w:t xml:space="preserve">Resource use associated with the treatment of MMN patients was based on advice from the clinical expert on the Ig Review Reference group, clinical guidelines, published literature and previous MSAC reports. Several sources were used for the valuation of resources, mainly the MBS, PBS, NBA HTA conditions report and </w:t>
      </w:r>
      <w:r w:rsidR="00757C13" w:rsidRPr="00DA3C6E">
        <w:t xml:space="preserve">the </w:t>
      </w:r>
      <w:r w:rsidRPr="00DA3C6E">
        <w:t>Australian Refined Diagnosis Related Groups (AR-DRG). All costs were measured and valued in 2019 Australian prices. The total cost per item was calculated as a product of the unit price per item, quantity needed and frequency (proportion of patients likely to use it). Cost per health state was calculated as a sum of all the total costs per item under the health state. Details of cost estimation are presented in</w:t>
      </w:r>
      <w:r w:rsidR="00284464">
        <w:t xml:space="preserve"> </w:t>
      </w:r>
      <w:r w:rsidRPr="00DA3C6E">
        <w:fldChar w:fldCharType="begin"/>
      </w:r>
      <w:r w:rsidRPr="00DA3C6E">
        <w:instrText xml:space="preserve"> REF _Ref31207382 \h </w:instrText>
      </w:r>
      <w:r w:rsidR="00E8759F" w:rsidRPr="00DA3C6E">
        <w:instrText xml:space="preserve"> \* MERGEFORMAT </w:instrText>
      </w:r>
      <w:r w:rsidRPr="00DA3C6E">
        <w:fldChar w:fldCharType="separate"/>
      </w:r>
      <w:r w:rsidR="00284464" w:rsidRPr="00DA3C6E">
        <w:t xml:space="preserve">Table </w:t>
      </w:r>
      <w:r w:rsidR="00284464">
        <w:rPr>
          <w:noProof/>
        </w:rPr>
        <w:t>56</w:t>
      </w:r>
      <w:r w:rsidRPr="00DA3C6E">
        <w:fldChar w:fldCharType="end"/>
      </w:r>
      <w:r w:rsidRPr="00DA3C6E">
        <w:t xml:space="preserve"> in Appendix G.</w:t>
      </w:r>
    </w:p>
    <w:p w14:paraId="56C4BD80" w14:textId="172E60C0" w:rsidR="00101A38" w:rsidRPr="00DA3C6E" w:rsidRDefault="00101A38" w:rsidP="0048371A">
      <w:r w:rsidRPr="00DA3C6E">
        <w:t>The cost of ‘Initial treatment’, ‘Responder’ and ‘Responder off-treatment’ health states for the intravenous Ig treatment arm, include</w:t>
      </w:r>
      <w:r w:rsidR="00757C13" w:rsidRPr="00DA3C6E">
        <w:t>s</w:t>
      </w:r>
      <w:r w:rsidRPr="00DA3C6E">
        <w:t xml:space="preserve"> the cost of specialist consultation</w:t>
      </w:r>
      <w:r w:rsidR="00757C13" w:rsidRPr="00DA3C6E">
        <w:t>s</w:t>
      </w:r>
      <w:r w:rsidRPr="00DA3C6E">
        <w:t xml:space="preserve"> (neurologist), pathology tests, diagnostics, intravenous Ig treatment and BSC. Pathology tests included cryoglobulin, renal function tests, complete blood count (CBC) with differential and serum creatinine. As diagnostic tests, neuromuscular electro-conduction studies on four nerves with or without electromyography were included. </w:t>
      </w:r>
    </w:p>
    <w:p w14:paraId="54A6B888" w14:textId="7E97C3C1" w:rsidR="00101A38" w:rsidRPr="00DA3C6E" w:rsidRDefault="00101A38" w:rsidP="0048371A">
      <w:r w:rsidRPr="00DA3C6E">
        <w:t xml:space="preserve">Costs of intravenous Ig treatment included cost of the product itself, administration costs and cost of pre-medications for infusion reactions. The estimated cost per gram of intravenous Ig used in the base case analysis was $60.41. Sensitivity analyses </w:t>
      </w:r>
      <w:r w:rsidR="00757C13" w:rsidRPr="00DA3C6E">
        <w:t>are</w:t>
      </w:r>
      <w:r w:rsidRPr="00DA3C6E">
        <w:t xml:space="preserve"> presented assuming the lowest cost of intravenous Ig (imported intravenous Ig), the highest cost of intravenous Ig (domestic intravenous Ig including cost of plasma fractionation) and the weighted average cost of intravenous Ig across all indications. These costs were provided by the MSAC </w:t>
      </w:r>
      <w:r w:rsidR="0065138E" w:rsidRPr="00DA3C6E">
        <w:t xml:space="preserve">Ig Review </w:t>
      </w:r>
      <w:r w:rsidRPr="00DA3C6E">
        <w:t xml:space="preserve">Secretariat </w:t>
      </w:r>
      <w:r w:rsidR="00384498" w:rsidRPr="00DA3C6E">
        <w:t>as agreed with the Applicant and the Ig Review Reference group to</w:t>
      </w:r>
      <w:r w:rsidRPr="00DA3C6E">
        <w:t xml:space="preserve"> b</w:t>
      </w:r>
      <w:r w:rsidR="00384498" w:rsidRPr="00DA3C6E">
        <w:t>e consistent with</w:t>
      </w:r>
      <w:r w:rsidRPr="00DA3C6E">
        <w:t xml:space="preserve"> other contracted assessments for Ig. </w:t>
      </w:r>
      <w:r w:rsidR="00384498" w:rsidRPr="00DA3C6E">
        <w:t xml:space="preserve">In addition, because the costs and utilisation of resources for MMN will vary in the future, a sensitivity analysis was also </w:t>
      </w:r>
      <w:r w:rsidR="00384498" w:rsidRPr="00DA3C6E">
        <w:lastRenderedPageBreak/>
        <w:t>conducted by using the weighted average cost (imported and domestic Ig)</w:t>
      </w:r>
      <w:r w:rsidRPr="00DA3C6E">
        <w:t>. The administration costs assumed that all patients were provided the service in an in</w:t>
      </w:r>
      <w:r w:rsidR="00757C13" w:rsidRPr="00DA3C6E">
        <w:t>-</w:t>
      </w:r>
      <w:r w:rsidRPr="00DA3C6E">
        <w:t xml:space="preserve">hospital outpatient setting considering that some patients would attend a public hospital (67%) and some would attend a private hospital (33%). This cost does not take into consideration the fact that some </w:t>
      </w:r>
      <w:r w:rsidRPr="00DA3C6E">
        <w:rPr>
          <w:rFonts w:eastAsia="Calibri" w:cs="Times New Roman"/>
          <w:lang w:eastAsia="en-US"/>
        </w:rPr>
        <w:t xml:space="preserve">patients may require admission to hospital due to comorbidities, advanced age, doses required over multiple days and patient preference, thus </w:t>
      </w:r>
      <w:r w:rsidR="00757C13" w:rsidRPr="00DA3C6E">
        <w:rPr>
          <w:rFonts w:eastAsia="Calibri" w:cs="Times New Roman"/>
          <w:lang w:eastAsia="en-US"/>
        </w:rPr>
        <w:t xml:space="preserve">it </w:t>
      </w:r>
      <w:r w:rsidRPr="00DA3C6E">
        <w:rPr>
          <w:rFonts w:eastAsia="Calibri" w:cs="Times New Roman"/>
          <w:lang w:eastAsia="en-US"/>
        </w:rPr>
        <w:t>may represent an underestimation of the overall cost.</w:t>
      </w:r>
      <w:r w:rsidRPr="00DA3C6E">
        <w:t xml:space="preserve"> It is unknown what proportion of patients with MMN require intravenous Ig to be delivered as inpatient</w:t>
      </w:r>
      <w:r w:rsidR="00757C13" w:rsidRPr="00DA3C6E">
        <w:t>s</w:t>
      </w:r>
      <w:r w:rsidRPr="00DA3C6E">
        <w:t>.</w:t>
      </w:r>
    </w:p>
    <w:p w14:paraId="1B021BDD" w14:textId="10B54F2F" w:rsidR="00101A38" w:rsidRPr="00DA3C6E" w:rsidRDefault="00101A38" w:rsidP="00717AED">
      <w:r w:rsidRPr="00DA3C6E">
        <w:t>The cost of the ‘BSC’ health state comprised of specialist consultation, physiotherapy, pathology, diagnostics and rehabilitation; and it applies to both treatment arms. The ‘Initial treatment’ and ‘Responder’ health states for the No Ig with BSC treatment arm comprises of the same components as for the ‘BSC’ health state.</w:t>
      </w:r>
      <w:r w:rsidR="00247C37" w:rsidRPr="00DA3C6E">
        <w:t xml:space="preserve"> It should be noted that</w:t>
      </w:r>
      <w:r w:rsidR="00DD2A39" w:rsidRPr="00DA3C6E">
        <w:t xml:space="preserve">, </w:t>
      </w:r>
      <w:r w:rsidR="005B2F13" w:rsidRPr="00DA3C6E">
        <w:t xml:space="preserve">as </w:t>
      </w:r>
      <w:r w:rsidR="00DF1916" w:rsidRPr="00DA3C6E">
        <w:t xml:space="preserve">disease progresses </w:t>
      </w:r>
      <w:r w:rsidR="00131F7F" w:rsidRPr="00DA3C6E">
        <w:t>to more severe stages</w:t>
      </w:r>
      <w:r w:rsidR="00847028" w:rsidRPr="00DA3C6E">
        <w:t xml:space="preserve">, </w:t>
      </w:r>
      <w:r w:rsidR="00BD64B8" w:rsidRPr="00DA3C6E">
        <w:t xml:space="preserve">it is expected that </w:t>
      </w:r>
      <w:r w:rsidR="00131F7F" w:rsidRPr="00DA3C6E">
        <w:t xml:space="preserve">some </w:t>
      </w:r>
      <w:r w:rsidR="00BD64B8" w:rsidRPr="00DA3C6E">
        <w:t xml:space="preserve">patients </w:t>
      </w:r>
      <w:r w:rsidR="00131F7F" w:rsidRPr="00DA3C6E">
        <w:t xml:space="preserve">may require </w:t>
      </w:r>
      <w:r w:rsidR="00BD64B8" w:rsidRPr="00DA3C6E">
        <w:t xml:space="preserve">additional health resources </w:t>
      </w:r>
      <w:r w:rsidR="00131F7F" w:rsidRPr="00DA3C6E">
        <w:t xml:space="preserve">given they </w:t>
      </w:r>
      <w:r w:rsidR="00757C13" w:rsidRPr="00DA3C6E">
        <w:t xml:space="preserve">would be </w:t>
      </w:r>
      <w:r w:rsidR="00131F7F" w:rsidRPr="00DA3C6E">
        <w:t>at a higher</w:t>
      </w:r>
      <w:r w:rsidR="00AC221E" w:rsidRPr="00DA3C6E">
        <w:t xml:space="preserve"> risk of falls and </w:t>
      </w:r>
      <w:r w:rsidR="00131F7F" w:rsidRPr="00DA3C6E">
        <w:t xml:space="preserve">prone to be affected by </w:t>
      </w:r>
      <w:r w:rsidR="00AC221E" w:rsidRPr="00DA3C6E">
        <w:t xml:space="preserve">other disabilities due to muscle weakness. </w:t>
      </w:r>
      <w:r w:rsidR="00010ECC" w:rsidRPr="00DA3C6E">
        <w:t>Such resources include</w:t>
      </w:r>
      <w:r w:rsidR="00323D8F" w:rsidRPr="00DA3C6E">
        <w:t xml:space="preserve"> the use of walking aids such as electric wheelchairs</w:t>
      </w:r>
      <w:r w:rsidR="001116E8" w:rsidRPr="00DA3C6E">
        <w:t xml:space="preserve"> and walking frames, </w:t>
      </w:r>
      <w:r w:rsidR="00F37C02" w:rsidRPr="00DA3C6E">
        <w:t>additional rehabilitation and physiotherapy sessions</w:t>
      </w:r>
      <w:r w:rsidR="003F2248" w:rsidRPr="00DA3C6E">
        <w:t xml:space="preserve">, </w:t>
      </w:r>
      <w:r w:rsidR="00BC7DA4" w:rsidRPr="00DA3C6E">
        <w:t xml:space="preserve">social work services, </w:t>
      </w:r>
      <w:r w:rsidR="003F2248" w:rsidRPr="00DA3C6E">
        <w:t xml:space="preserve">residential admissions and </w:t>
      </w:r>
      <w:r w:rsidR="00310C51" w:rsidRPr="00DA3C6E">
        <w:t>home modifications for those with a high risk of falling but</w:t>
      </w:r>
      <w:r w:rsidR="003276FD" w:rsidRPr="00DA3C6E">
        <w:t xml:space="preserve"> not admitted into residential care. The costs of these additional resource</w:t>
      </w:r>
      <w:r w:rsidR="00131F7F" w:rsidRPr="00DA3C6E">
        <w:t>s</w:t>
      </w:r>
      <w:r w:rsidR="003276FD" w:rsidRPr="00DA3C6E">
        <w:t xml:space="preserve"> w</w:t>
      </w:r>
      <w:r w:rsidR="0009096F" w:rsidRPr="00DA3C6E">
        <w:t>ere</w:t>
      </w:r>
      <w:r w:rsidR="003276FD" w:rsidRPr="00DA3C6E">
        <w:t xml:space="preserve"> not </w:t>
      </w:r>
      <w:r w:rsidR="00131F7F" w:rsidRPr="00DA3C6E">
        <w:t>accounted for</w:t>
      </w:r>
      <w:r w:rsidR="003276FD" w:rsidRPr="00DA3C6E">
        <w:t xml:space="preserve"> in the model</w:t>
      </w:r>
      <w:r w:rsidR="008C53D3" w:rsidRPr="00DA3C6E">
        <w:t xml:space="preserve"> as there is </w:t>
      </w:r>
      <w:r w:rsidR="0009096F" w:rsidRPr="00DA3C6E">
        <w:t xml:space="preserve">insufficient </w:t>
      </w:r>
      <w:r w:rsidR="008C53D3" w:rsidRPr="00DA3C6E">
        <w:t xml:space="preserve">evidence </w:t>
      </w:r>
      <w:r w:rsidR="00131F7F" w:rsidRPr="00DA3C6E">
        <w:t>to determine</w:t>
      </w:r>
      <w:r w:rsidR="008C53D3" w:rsidRPr="00DA3C6E">
        <w:t xml:space="preserve"> </w:t>
      </w:r>
      <w:r w:rsidR="001C51F9" w:rsidRPr="00DA3C6E">
        <w:t xml:space="preserve">when </w:t>
      </w:r>
      <w:r w:rsidR="00131F7F" w:rsidRPr="00DA3C6E">
        <w:t xml:space="preserve">these </w:t>
      </w:r>
      <w:r w:rsidR="00757C13" w:rsidRPr="00DA3C6E">
        <w:t xml:space="preserve">would </w:t>
      </w:r>
      <w:r w:rsidR="00131F7F" w:rsidRPr="00DA3C6E">
        <w:t xml:space="preserve">be required and by </w:t>
      </w:r>
      <w:r w:rsidR="00757C13" w:rsidRPr="00DA3C6E">
        <w:t xml:space="preserve">what </w:t>
      </w:r>
      <w:r w:rsidR="00131F7F" w:rsidRPr="00DA3C6E">
        <w:t>proportion of the patients</w:t>
      </w:r>
      <w:r w:rsidR="00D022A6" w:rsidRPr="00DA3C6E">
        <w:t xml:space="preserve">. </w:t>
      </w:r>
      <w:r w:rsidR="00131F7F" w:rsidRPr="00DA3C6E">
        <w:t xml:space="preserve">It was considered that the inclusion of these resources </w:t>
      </w:r>
      <w:r w:rsidR="00D022A6" w:rsidRPr="00DA3C6E">
        <w:t>would have added more</w:t>
      </w:r>
      <w:r w:rsidR="00A81D67" w:rsidRPr="00DA3C6E">
        <w:t xml:space="preserve"> uncertainty to the model results.</w:t>
      </w:r>
    </w:p>
    <w:p w14:paraId="3AF3BAB0" w14:textId="4DB693C8" w:rsidR="00B70B5C" w:rsidRPr="00DA3C6E" w:rsidRDefault="00101A38" w:rsidP="00537B56">
      <w:r w:rsidRPr="00DA3C6E">
        <w:t xml:space="preserve">Resource use associated with the treatment of PE </w:t>
      </w:r>
      <w:r w:rsidR="00757C13" w:rsidRPr="00DA3C6E">
        <w:t xml:space="preserve">was </w:t>
      </w:r>
      <w:r w:rsidRPr="00DA3C6E">
        <w:t xml:space="preserve">sourced from the MSAC 1566 report </w:t>
      </w:r>
      <w:r w:rsidR="00384498" w:rsidRPr="00DA3C6E">
        <w:t xml:space="preserve">“Immunoglobulin Therapy for Myasthenia Gravis” </w:t>
      </w:r>
      <w:r w:rsidRPr="00DA3C6E">
        <w:t>(p. 147)</w:t>
      </w:r>
      <w:r w:rsidR="007C7E04">
        <w:fldChar w:fldCharType="begin"/>
      </w:r>
      <w:r w:rsidR="007810D6">
        <w:instrText xml:space="preserve"> ADDIN EN.CITE &lt;EndNote&gt;&lt;Cite&gt;&lt;Author&gt;Milverton&lt;/Author&gt;&lt;Year&gt;2019&lt;/Year&gt;&lt;RecNum&gt;78&lt;/RecNum&gt;&lt;DisplayText&gt;(67)&lt;/DisplayText&gt;&lt;record&gt;&lt;rec-number&gt;78&lt;/rec-number&gt;&lt;foreign-keys&gt;&lt;key app="EN" db-id="0992p2ztn5fez9e2wvnpw2xstd20f9w2dezz" timestamp="1586906449"&gt;78&lt;/key&gt;&lt;/foreign-keys&gt;&lt;ref-type name="Report"&gt;27&lt;/ref-type&gt;&lt;contributors&gt;&lt;authors&gt;&lt;author&gt;Milverton, J. &lt;/author&gt;&lt;author&gt;Schubert, C.&lt;/author&gt;&lt;author&gt;Ellery, B. &lt;/author&gt;&lt;author&gt;Morona, J. &lt;/author&gt;&lt;author&gt;Parsons, J.  &lt;/author&gt;&lt;/authors&gt;&lt;/contributors&gt;&lt;titles&gt;&lt;title&gt;Immunoglobulin for myasthenia gravis.&lt;/title&gt;&lt;secondary-title&gt;MSAC Application 1566, Assessment Report. &lt;/secondary-title&gt;&lt;/titles&gt;&lt;dates&gt;&lt;year&gt;2019&lt;/year&gt;&lt;/dates&gt;&lt;pub-location&gt;Canberra, ACT&lt;/pub-location&gt;&lt;publisher&gt;Commonwealth of Australia&lt;/publisher&gt;&lt;urls&gt;&lt;/urls&gt;&lt;/record&gt;&lt;/Cite&gt;&lt;/EndNote&gt;</w:instrText>
      </w:r>
      <w:r w:rsidR="007C7E04">
        <w:fldChar w:fldCharType="separate"/>
      </w:r>
      <w:r w:rsidR="007810D6">
        <w:rPr>
          <w:noProof/>
        </w:rPr>
        <w:t>(</w:t>
      </w:r>
      <w:hyperlink w:anchor="_ENREF_67" w:tooltip="Milverton, 2019 #78" w:history="1">
        <w:r w:rsidR="00C04BCE">
          <w:rPr>
            <w:noProof/>
          </w:rPr>
          <w:t>67</w:t>
        </w:r>
      </w:hyperlink>
      <w:r w:rsidR="007810D6">
        <w:rPr>
          <w:noProof/>
        </w:rPr>
        <w:t>)</w:t>
      </w:r>
      <w:r w:rsidR="007C7E04">
        <w:fldChar w:fldCharType="end"/>
      </w:r>
      <w:r w:rsidRPr="00DA3C6E">
        <w:t xml:space="preserve">. The resources included hospitalization, PE specialised consumables and equipment, fluid volume expanders and follow-up visits after discharge from hospital. The costs associated with the resource use were estimated based on AR-DRG (for hospitalisation), MBS and MSAC 1566 report. Detailed description of estimation of costs associated with PE is presented in </w:t>
      </w:r>
      <w:r w:rsidRPr="00DA3C6E">
        <w:fldChar w:fldCharType="begin"/>
      </w:r>
      <w:r w:rsidRPr="00DA3C6E">
        <w:instrText xml:space="preserve"> REF _Ref31207382 \h </w:instrText>
      </w:r>
      <w:r w:rsidR="00E8759F" w:rsidRPr="00DA3C6E">
        <w:instrText xml:space="preserve"> \* MERGEFORMAT </w:instrText>
      </w:r>
      <w:r w:rsidRPr="00DA3C6E">
        <w:fldChar w:fldCharType="separate"/>
      </w:r>
      <w:r w:rsidR="00EA5DC1" w:rsidRPr="00DA3C6E">
        <w:t xml:space="preserve">Table </w:t>
      </w:r>
      <w:r w:rsidR="00EA5DC1">
        <w:rPr>
          <w:noProof/>
        </w:rPr>
        <w:t>56</w:t>
      </w:r>
      <w:r w:rsidRPr="00DA3C6E">
        <w:fldChar w:fldCharType="end"/>
      </w:r>
      <w:r w:rsidRPr="00DA3C6E">
        <w:t xml:space="preserve"> in Appendix G.</w:t>
      </w:r>
    </w:p>
    <w:p w14:paraId="334DBDC4" w14:textId="77777777" w:rsidR="00101A38" w:rsidRPr="00DA3C6E" w:rsidRDefault="00101A38" w:rsidP="00314E70">
      <w:pPr>
        <w:pStyle w:val="Heading3"/>
      </w:pPr>
      <w:bookmarkStart w:id="297" w:name="_Toc37845772"/>
      <w:r w:rsidRPr="00DA3C6E">
        <w:t>Health outcomes</w:t>
      </w:r>
      <w:bookmarkEnd w:id="297"/>
    </w:p>
    <w:p w14:paraId="4875DB26" w14:textId="03A1DEA7" w:rsidR="00101A38" w:rsidRPr="00DA3C6E" w:rsidRDefault="00101A38" w:rsidP="0048371A">
      <w:r w:rsidRPr="00DA3C6E">
        <w:t xml:space="preserve">The utility values applied in the model </w:t>
      </w:r>
      <w:r w:rsidR="00757C13" w:rsidRPr="00DA3C6E">
        <w:t xml:space="preserve">are </w:t>
      </w:r>
      <w:r w:rsidRPr="00DA3C6E">
        <w:t xml:space="preserve">described in Section B.6 and Section C.4.1. MMN patients who respond to intravenous Ig either in the ‘Responder’ or ‘Responder off-treatment’ health states, were applied a utility value of 0.72 </w:t>
      </w:r>
      <w:r w:rsidR="00DB568A" w:rsidRPr="00DA3C6E">
        <w:fldChar w:fldCharType="begin"/>
      </w:r>
      <w:r w:rsidR="007810D6">
        <w:instrText xml:space="preserve"> ADDIN EN.CITE &lt;EndNote&gt;&lt;Cite&gt;&lt;Author&gt;Mahdi-Rogers&lt;/Author&gt;&lt;Year&gt;2014&lt;/Year&gt;&lt;RecNum&gt;42&lt;/RecNum&gt;&lt;DisplayText&gt;(53)&lt;/DisplayText&gt;&lt;record&gt;&lt;rec-number&gt;42&lt;/rec-number&gt;&lt;foreign-keys&gt;&lt;key app="EN" db-id="0992p2ztn5fez9e2wvnpw2xstd20f9w2dezz" timestamp="1586818281"&gt;42&lt;/key&gt;&lt;/foreign-keys&gt;&lt;ref-type name="Journal Article"&gt;17&lt;/ref-type&gt;&lt;contributors&gt;&lt;authors&gt;&lt;author&gt;Mahdi-Rogers, M.&lt;/author&gt;&lt;author&gt;McCrone, P.&lt;/author&gt;&lt;author&gt;Hughes, R. A.&lt;/author&gt;&lt;/authors&gt;&lt;/contributors&gt;&lt;auth-address&gt;Department of Clinical Neuroscience, King&amp;apos;s College London, London, UK.&lt;/auth-address&gt;&lt;titles&gt;&lt;title&gt;Economic costs and quality of life in chronic inflammatory neuropathies in southeast England&lt;/title&gt;&lt;secondary-title&gt;Eur J Neurol&lt;/secondary-title&gt;&lt;/titles&gt;&lt;periodical&gt;&lt;full-title&gt;Eur J Neurol&lt;/full-title&gt;&lt;/periodical&gt;&lt;pages&gt;34-9&lt;/pages&gt;&lt;volume&gt;21&lt;/volume&gt;&lt;number&gt;1&lt;/number&gt;&lt;keywords&gt;&lt;keyword&gt;Aged&lt;/keyword&gt;&lt;keyword&gt;Cost of Illness&lt;/keyword&gt;&lt;keyword&gt;England/epidemiology&lt;/keyword&gt;&lt;keyword&gt;Female&lt;/keyword&gt;&lt;keyword&gt;Humans&lt;/keyword&gt;&lt;keyword&gt;Immunoglobulins, Intravenous/economics/therapeutic use&lt;/keyword&gt;&lt;keyword&gt;Male&lt;/keyword&gt;&lt;keyword&gt;Middle Aged&lt;/keyword&gt;&lt;keyword&gt;Polyradiculoneuropathy, Chronic Inflammatory Demyelinating/drug&lt;/keyword&gt;&lt;keyword&gt;therapy/ economics/ psychology&lt;/keyword&gt;&lt;keyword&gt;Quality of Life&lt;/keyword&gt;&lt;keyword&gt;Surveys and Questionnaires&lt;/keyword&gt;&lt;keyword&gt;chronic inflammatory demyelinating polyradiculoneuropathy&lt;/keyword&gt;&lt;keyword&gt;cost-of-illness&lt;/keyword&gt;&lt;keyword&gt;economics&lt;/keyword&gt;&lt;keyword&gt;health-related quality of life&lt;/keyword&gt;&lt;keyword&gt;multifocal motor neuropathy&lt;/keyword&gt;&lt;keyword&gt;paraproteinaemic demyelinating neuropathy&lt;/keyword&gt;&lt;/keywords&gt;&lt;dates&gt;&lt;year&gt;2014&lt;/year&gt;&lt;/dates&gt;&lt;accession-num&gt;23930744&lt;/accession-num&gt;&lt;urls&gt;&lt;related-urls&gt;&lt;url&gt;https://onlinelibrary.wiley.com/doi/abs/10.1111/ene.12245&lt;/url&gt;&lt;/related-urls&gt;&lt;/urls&gt;&lt;research-notes&gt;J. Cost of illness of CIDP and MMN&lt;/research-notes&gt;&lt;/record&gt;&lt;/Cite&gt;&lt;/EndNote&gt;</w:instrText>
      </w:r>
      <w:r w:rsidR="00DB568A" w:rsidRPr="00DA3C6E">
        <w:fldChar w:fldCharType="separate"/>
      </w:r>
      <w:r w:rsidR="007810D6">
        <w:rPr>
          <w:noProof/>
        </w:rPr>
        <w:t>(</w:t>
      </w:r>
      <w:hyperlink w:anchor="_ENREF_53" w:tooltip="Mahdi-Rogers, 2014 #42" w:history="1">
        <w:r w:rsidR="00C04BCE">
          <w:rPr>
            <w:noProof/>
          </w:rPr>
          <w:t>53</w:t>
        </w:r>
      </w:hyperlink>
      <w:r w:rsidR="007810D6">
        <w:rPr>
          <w:noProof/>
        </w:rPr>
        <w:t>)</w:t>
      </w:r>
      <w:r w:rsidR="00DB568A" w:rsidRPr="00DA3C6E">
        <w:fldChar w:fldCharType="end"/>
      </w:r>
      <w:r w:rsidRPr="00DA3C6E">
        <w:t xml:space="preserve"> for their time in those states. For the ‘Initial treatment’ and ‘BSC’ health states in each arm, it was assumed a baseline utility value of 0.6. This was calculated as a difference between the utility of responders (0.72) and the utility gained by CIDP patients who were treated with intravenous Ig reported by McCrone et al. 2003 (0.12) </w:t>
      </w:r>
      <w:r w:rsidR="00DB568A" w:rsidRPr="00DA3C6E">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 </w:instrText>
      </w:r>
      <w:r w:rsidR="007810D6">
        <w:fldChar w:fldCharType="begin">
          <w:fldData xml:space="preserve">PEVuZE5vdGU+PENpdGU+PEF1dGhvcj5NY0Nyb25lPC9BdXRob3I+PFllYXI+MjAwMzwvWWVhcj48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60" w:tooltip="McCrone, 2003 #43" w:history="1">
        <w:r w:rsidR="00C04BCE">
          <w:rPr>
            <w:noProof/>
          </w:rPr>
          <w:t>60</w:t>
        </w:r>
      </w:hyperlink>
      <w:r w:rsidR="007810D6">
        <w:rPr>
          <w:noProof/>
        </w:rPr>
        <w:t>)</w:t>
      </w:r>
      <w:r w:rsidR="00DB568A" w:rsidRPr="00DA3C6E">
        <w:fldChar w:fldCharType="end"/>
      </w:r>
      <w:r w:rsidRPr="00DA3C6E">
        <w:t xml:space="preserve">. Thus, it is assumed that a patient </w:t>
      </w:r>
      <w:r w:rsidR="00757C13" w:rsidRPr="00DA3C6E">
        <w:t xml:space="preserve">would </w:t>
      </w:r>
      <w:r w:rsidRPr="00DA3C6E">
        <w:t>gain 0.12 in utility from baseline under intravenous Ig treatment. Given the uncertainties around these point estimates, a sensitivity analysis was conducted in Section D.6.</w:t>
      </w:r>
    </w:p>
    <w:p w14:paraId="6C651D90" w14:textId="5C17C3F6" w:rsidR="00101A38" w:rsidRPr="00DA3C6E" w:rsidRDefault="00101A38" w:rsidP="0048371A">
      <w:r w:rsidRPr="00DA3C6E">
        <w:t xml:space="preserve">The use of these constant parameters may not reflect the fact that intravenous Ig may delay progression of the disease and thus have an impact on the patient’s QoL that does not necessarily remain constant over time. However, there is no evidence available in the literature that allows us to </w:t>
      </w:r>
      <w:r w:rsidRPr="00DA3C6E">
        <w:lastRenderedPageBreak/>
        <w:t>capture this in the economic model. It is unknown what the rate of disease progression is after discontinuing treatment with intravenous Ig compared to that of patients who have never received active treatment. If patients progress</w:t>
      </w:r>
      <w:r w:rsidR="00384498" w:rsidRPr="00DA3C6E">
        <w:t>es</w:t>
      </w:r>
      <w:r w:rsidRPr="00DA3C6E">
        <w:t xml:space="preserve"> at a slower rate because they may still derive some benefit from the intervention, this assumption may bias the results against the use of intravenous Ig.  </w:t>
      </w:r>
    </w:p>
    <w:p w14:paraId="7E2C1891" w14:textId="77777777" w:rsidR="00101A38" w:rsidRPr="00DA3C6E" w:rsidRDefault="00101A38" w:rsidP="0073359F">
      <w:pPr>
        <w:pStyle w:val="Heading2"/>
        <w:numPr>
          <w:ilvl w:val="3"/>
          <w:numId w:val="61"/>
        </w:numPr>
        <w:jc w:val="left"/>
      </w:pPr>
      <w:bookmarkStart w:id="298" w:name="_Toc381796480"/>
      <w:bookmarkStart w:id="299" w:name="_Toc37845773"/>
      <w:r w:rsidRPr="00DA3C6E">
        <w:t>Results of the Economic Evaluation</w:t>
      </w:r>
      <w:bookmarkEnd w:id="298"/>
      <w:bookmarkEnd w:id="299"/>
    </w:p>
    <w:p w14:paraId="7CB76B3B" w14:textId="77777777" w:rsidR="00101A38" w:rsidRPr="00DA3C6E" w:rsidRDefault="00101A38" w:rsidP="0048371A">
      <w:pPr>
        <w:pStyle w:val="Heading3"/>
      </w:pPr>
      <w:bookmarkStart w:id="300" w:name="_Toc37845774"/>
      <w:bookmarkStart w:id="301" w:name="_Toc395200804"/>
      <w:r w:rsidRPr="00DA3C6E">
        <w:t>Markov traces</w:t>
      </w:r>
      <w:bookmarkEnd w:id="300"/>
    </w:p>
    <w:p w14:paraId="2399C0AE" w14:textId="7EC9E799" w:rsidR="00101A38" w:rsidRPr="00DA3C6E" w:rsidRDefault="00101A38" w:rsidP="003900FC">
      <w:r w:rsidRPr="00DA3C6E">
        <w:fldChar w:fldCharType="begin"/>
      </w:r>
      <w:r w:rsidRPr="00DA3C6E">
        <w:instrText xml:space="preserve"> REF _Ref30190446 \h  \* MERGEFORMAT </w:instrText>
      </w:r>
      <w:r w:rsidRPr="00DA3C6E">
        <w:fldChar w:fldCharType="separate"/>
      </w:r>
      <w:r w:rsidR="00EA5DC1" w:rsidRPr="00DA3C6E">
        <w:t xml:space="preserve">Figure </w:t>
      </w:r>
      <w:r w:rsidR="00EA5DC1">
        <w:rPr>
          <w:noProof/>
        </w:rPr>
        <w:t>12</w:t>
      </w:r>
      <w:r w:rsidRPr="00DA3C6E">
        <w:fldChar w:fldCharType="end"/>
      </w:r>
      <w:r w:rsidRPr="00DA3C6E">
        <w:t xml:space="preserve"> shows the Markov traces that represent how MMN patients in the intravenous Ig arm moved through the different health states considering a life time horizon. The trace is consistent with the natural history of the disease described in Section A and also consistent with the advice from the Ig Review Reference group, who suggested that MMN patients are unlikely to discontinue treatment, hence would receive intravenous Ig for a long period of time. The model predicts that after 15 years of </w:t>
      </w:r>
      <w:r w:rsidR="00757C13" w:rsidRPr="00DA3C6E">
        <w:t>initiating</w:t>
      </w:r>
      <w:r w:rsidRPr="00DA3C6E">
        <w:t xml:space="preserve"> treatment with intravenous Ig, approximately 41% of patients are still likely to be receiving active treatment. Because a low proportion of patients (5%) were assumed to initiate weaning, the lines representing the ‘Initial treatment’ and ‘Responder off-treatment’ health states, remain very low throughout the whole time horizon. As expected, the probability of death increases throughout the time horizon resulting in almost all individuals being dead when a lifetime horizon was tested (Markov traces of this scenario analysis are provided in </w:t>
      </w:r>
      <w:r w:rsidRPr="00DA3C6E">
        <w:fldChar w:fldCharType="begin"/>
      </w:r>
      <w:r w:rsidRPr="00DA3C6E">
        <w:instrText xml:space="preserve"> REF _Ref33646008 \h </w:instrText>
      </w:r>
      <w:r w:rsidR="009038A0" w:rsidRPr="00DA3C6E">
        <w:instrText xml:space="preserve"> \* MERGEFORMAT </w:instrText>
      </w:r>
      <w:r w:rsidRPr="00DA3C6E">
        <w:fldChar w:fldCharType="separate"/>
      </w:r>
      <w:r w:rsidR="00EA5DC1" w:rsidRPr="00DA3C6E">
        <w:t xml:space="preserve">Figure </w:t>
      </w:r>
      <w:r w:rsidR="00EA5DC1">
        <w:rPr>
          <w:noProof/>
        </w:rPr>
        <w:t>20</w:t>
      </w:r>
      <w:r w:rsidRPr="00DA3C6E">
        <w:fldChar w:fldCharType="end"/>
      </w:r>
      <w:r w:rsidRPr="00DA3C6E">
        <w:t xml:space="preserve"> and </w:t>
      </w:r>
      <w:r w:rsidRPr="00DA3C6E">
        <w:fldChar w:fldCharType="begin"/>
      </w:r>
      <w:r w:rsidRPr="00DA3C6E">
        <w:instrText xml:space="preserve"> REF _Ref33646012 \h </w:instrText>
      </w:r>
      <w:r w:rsidR="009038A0" w:rsidRPr="00DA3C6E">
        <w:instrText xml:space="preserve"> \* MERGEFORMAT </w:instrText>
      </w:r>
      <w:r w:rsidRPr="00DA3C6E">
        <w:fldChar w:fldCharType="separate"/>
      </w:r>
      <w:r w:rsidR="00EA5DC1" w:rsidRPr="00DA3C6E">
        <w:t xml:space="preserve">Figure </w:t>
      </w:r>
      <w:r w:rsidR="00EA5DC1">
        <w:rPr>
          <w:noProof/>
        </w:rPr>
        <w:t>21</w:t>
      </w:r>
      <w:r w:rsidRPr="00DA3C6E">
        <w:fldChar w:fldCharType="end"/>
      </w:r>
      <w:r w:rsidRPr="00DA3C6E">
        <w:t xml:space="preserve"> in Appendix G). </w:t>
      </w:r>
    </w:p>
    <w:p w14:paraId="5C818BA1" w14:textId="2063980D" w:rsidR="00101A38" w:rsidRPr="00DA3C6E" w:rsidRDefault="00101A38" w:rsidP="003900FC">
      <w:r w:rsidRPr="00DA3C6E">
        <w:t xml:space="preserve">The predicted results from the model were compared to those observed in long term follow-up single arm studies as a way to validate the model. In the study by Chia et al. 2019 </w: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 </w:instrTex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4" w:tooltip="Chia, 2019 #15" w:history="1">
        <w:r w:rsidR="00C04BCE" w:rsidRPr="00DA3C6E">
          <w:rPr>
            <w:noProof/>
          </w:rPr>
          <w:t>34</w:t>
        </w:r>
      </w:hyperlink>
      <w:r w:rsidR="00DB568A" w:rsidRPr="00DA3C6E">
        <w:rPr>
          <w:noProof/>
        </w:rPr>
        <w:t>)</w:t>
      </w:r>
      <w:r w:rsidR="00DB568A" w:rsidRPr="00DA3C6E">
        <w:fldChar w:fldCharType="end"/>
      </w:r>
      <w:r w:rsidRPr="00DA3C6E">
        <w:t xml:space="preserve">, nine of eleven patients (81%) received maintenance treatment with intravenous Ig for a median duration of treatment of 48.1 months (SD 46.3, range 15–156) months (4 years). After 4 years, </w:t>
      </w:r>
      <w:r w:rsidR="00757C13" w:rsidRPr="00DA3C6E">
        <w:t xml:space="preserve">our </w:t>
      </w:r>
      <w:r w:rsidRPr="00DA3C6E">
        <w:t xml:space="preserve">model predicts that 68.8% of patients would still receive treatment with intravenous Ig: 62.3% in the ‘Responder’ health state, 3.2% in the ‘Initial treatment’ health state and 3.2% in the ‘Responder off-treatment’ health state (i.e. 50% of total). Similarly, the long-term follow-up study by Cats et al 2010 </w: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4" w:tooltip="Cats, 2010 #13" w:history="1">
        <w:r w:rsidR="00C04BCE" w:rsidRPr="00DA3C6E">
          <w:rPr>
            <w:noProof/>
          </w:rPr>
          <w:t>14</w:t>
        </w:r>
      </w:hyperlink>
      <w:r w:rsidR="00DB568A" w:rsidRPr="00DA3C6E">
        <w:rPr>
          <w:noProof/>
        </w:rPr>
        <w:t>)</w:t>
      </w:r>
      <w:r w:rsidR="00DB568A" w:rsidRPr="00DA3C6E">
        <w:fldChar w:fldCharType="end"/>
      </w:r>
      <w:r w:rsidRPr="00DA3C6E">
        <w:t xml:space="preserve">, showed that at 6 years, 67 patients (76%) were still receiving maintenance treatment with intravenous Ig. In our model, at 6 years (12 cycles), </w:t>
      </w:r>
      <w:r w:rsidR="00757C13" w:rsidRPr="00DA3C6E">
        <w:t>it</w:t>
      </w:r>
      <w:r w:rsidRPr="00DA3C6E">
        <w:t xml:space="preserve"> predicts that, 65% are still receiving active treatment:  59% in the ‘Responder’ health state, 3% in the ‘Initial treatment’ health state and 3% in the ‘Responder off-treatment’ health state. From these comparisons, </w:t>
      </w:r>
      <w:r w:rsidR="00757C13" w:rsidRPr="00DA3C6E">
        <w:t xml:space="preserve">our </w:t>
      </w:r>
      <w:r w:rsidRPr="00DA3C6E">
        <w:t>model could be predicting a treatment duration lower than expected which could lead to a higher actual ICER compared to that predicted in the model. However, this conclusion has to be interpreted with caution given the low number of patients in most studies and the wide range reported around the median treatment duration. Furthermore, the differences observed between these studies and the current model may be explained by the fact that p</w:t>
      </w:r>
      <w:bookmarkStart w:id="302" w:name="_Hlk33519016"/>
      <w:r w:rsidRPr="00DA3C6E">
        <w:t>atients who re-initiate (pre-treated patients) treatment have the same chance of not responding to treatment as would treatment naïve patients</w:t>
      </w:r>
      <w:bookmarkEnd w:id="302"/>
      <w:r w:rsidRPr="00DA3C6E">
        <w:t xml:space="preserve">. This may not actually reflect real world patients as the probability of not responding after </w:t>
      </w:r>
      <w:r w:rsidR="00691F23" w:rsidRPr="00DA3C6E">
        <w:t>a previous response</w:t>
      </w:r>
      <w:r w:rsidRPr="00DA3C6E">
        <w:t xml:space="preserve"> to treatment may be lower. This is a limitation of the current model given the available data. </w:t>
      </w:r>
    </w:p>
    <w:p w14:paraId="70D69712" w14:textId="13BFA5A9" w:rsidR="00101A38" w:rsidRPr="00DA3C6E" w:rsidRDefault="00101A38" w:rsidP="003900FC">
      <w:r w:rsidRPr="00DA3C6E">
        <w:lastRenderedPageBreak/>
        <w:t xml:space="preserve">Similarly, </w:t>
      </w:r>
      <w:r w:rsidRPr="00DA3C6E">
        <w:fldChar w:fldCharType="begin"/>
      </w:r>
      <w:r w:rsidRPr="00DA3C6E">
        <w:instrText xml:space="preserve"> REF _Ref30194956 \h </w:instrText>
      </w:r>
      <w:r w:rsidR="00E8759F" w:rsidRPr="00DA3C6E">
        <w:instrText xml:space="preserve"> \* MERGEFORMAT </w:instrText>
      </w:r>
      <w:r w:rsidRPr="00DA3C6E">
        <w:fldChar w:fldCharType="separate"/>
      </w:r>
      <w:r w:rsidR="00EA5DC1" w:rsidRPr="00DA3C6E">
        <w:t xml:space="preserve">Figure </w:t>
      </w:r>
      <w:r w:rsidR="00EA5DC1">
        <w:rPr>
          <w:noProof/>
        </w:rPr>
        <w:t>13</w:t>
      </w:r>
      <w:r w:rsidRPr="00DA3C6E">
        <w:fldChar w:fldCharType="end"/>
      </w:r>
      <w:r w:rsidRPr="00DA3C6E">
        <w:t xml:space="preserve"> represents how patients move through the model in the hypothetical scenario that intravenous Ig was not available for MMN patients in Australia.</w:t>
      </w:r>
    </w:p>
    <w:p w14:paraId="736E89D8" w14:textId="3D34CDF5" w:rsidR="00101A38" w:rsidRPr="00DA3C6E" w:rsidRDefault="00101A38" w:rsidP="00537B56">
      <w:pPr>
        <w:pStyle w:val="Caption"/>
        <w:keepNext/>
        <w:keepLines/>
      </w:pPr>
      <w:bookmarkStart w:id="303" w:name="_Ref30190446"/>
      <w:bookmarkStart w:id="304" w:name="_Toc30497519"/>
      <w:bookmarkStart w:id="305" w:name="_Toc33449646"/>
      <w:bookmarkStart w:id="306" w:name="_Toc37845872"/>
      <w:r w:rsidRPr="00DA3C6E">
        <w:t xml:space="preserve">Figure </w:t>
      </w:r>
      <w:r w:rsidR="00515153">
        <w:fldChar w:fldCharType="begin"/>
      </w:r>
      <w:r w:rsidR="00515153">
        <w:instrText xml:space="preserve"> SEQ Figure \* ARABIC </w:instrText>
      </w:r>
      <w:r w:rsidR="00515153">
        <w:fldChar w:fldCharType="separate"/>
      </w:r>
      <w:r w:rsidR="00EA5DC1">
        <w:rPr>
          <w:noProof/>
        </w:rPr>
        <w:t>12</w:t>
      </w:r>
      <w:r w:rsidR="00515153">
        <w:rPr>
          <w:noProof/>
        </w:rPr>
        <w:fldChar w:fldCharType="end"/>
      </w:r>
      <w:bookmarkEnd w:id="303"/>
      <w:r w:rsidRPr="00DA3C6E">
        <w:t>. Markov traces for the base case analysis (15 years): intravenous Ig arm.</w:t>
      </w:r>
      <w:bookmarkEnd w:id="304"/>
      <w:bookmarkEnd w:id="305"/>
      <w:bookmarkEnd w:id="306"/>
      <w:r w:rsidRPr="00DA3C6E">
        <w:t xml:space="preserve"> </w:t>
      </w:r>
    </w:p>
    <w:p w14:paraId="26BE7AB0" w14:textId="77777777" w:rsidR="00101A38" w:rsidRPr="00DA3C6E" w:rsidRDefault="00101A38" w:rsidP="00392022">
      <w:pPr>
        <w:spacing w:after="0"/>
      </w:pPr>
      <w:r w:rsidRPr="00DA3C6E">
        <w:rPr>
          <w:noProof/>
        </w:rPr>
        <w:drawing>
          <wp:inline distT="0" distB="0" distL="0" distR="0" wp14:anchorId="309ECBE4" wp14:editId="7ED91D99">
            <wp:extent cx="5828306" cy="3440135"/>
            <wp:effectExtent l="0" t="0" r="1270" b="8255"/>
            <wp:docPr id="16" name="Picture 16" title="Figure 12. Markov traces for the base case analysis (15 years): intravenous Ig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3193" cy="3443019"/>
                    </a:xfrm>
                    <a:prstGeom prst="rect">
                      <a:avLst/>
                    </a:prstGeom>
                    <a:noFill/>
                  </pic:spPr>
                </pic:pic>
              </a:graphicData>
            </a:graphic>
          </wp:inline>
        </w:drawing>
      </w:r>
    </w:p>
    <w:p w14:paraId="74756F9A" w14:textId="77777777" w:rsidR="00101A38" w:rsidRPr="00DA3C6E" w:rsidRDefault="00101A38" w:rsidP="00392022">
      <w:pPr>
        <w:pStyle w:val="Tablenotes0"/>
        <w:spacing w:after="240"/>
      </w:pPr>
      <w:r w:rsidRPr="00DA3C6E">
        <w:t>Abbreviations: Ig = immunoglobulin; MMN = multifocal motor neuropathy</w:t>
      </w:r>
    </w:p>
    <w:p w14:paraId="58475397" w14:textId="3DC5BC43" w:rsidR="00101A38" w:rsidRPr="00DA3C6E" w:rsidRDefault="00101A38" w:rsidP="00537B56">
      <w:pPr>
        <w:pStyle w:val="Caption"/>
        <w:keepNext/>
        <w:keepLines/>
      </w:pPr>
      <w:bookmarkStart w:id="307" w:name="_Ref30194956"/>
      <w:bookmarkStart w:id="308" w:name="_Toc30497520"/>
      <w:bookmarkStart w:id="309" w:name="_Toc33449647"/>
      <w:bookmarkStart w:id="310" w:name="_Toc37845873"/>
      <w:r w:rsidRPr="00DA3C6E">
        <w:t xml:space="preserve">Figure </w:t>
      </w:r>
      <w:r w:rsidR="00515153">
        <w:fldChar w:fldCharType="begin"/>
      </w:r>
      <w:r w:rsidR="00515153">
        <w:instrText xml:space="preserve"> SEQ Figure \* ARABIC </w:instrText>
      </w:r>
      <w:r w:rsidR="00515153">
        <w:fldChar w:fldCharType="separate"/>
      </w:r>
      <w:r w:rsidR="00EA5DC1">
        <w:rPr>
          <w:noProof/>
        </w:rPr>
        <w:t>13</w:t>
      </w:r>
      <w:r w:rsidR="00515153">
        <w:rPr>
          <w:noProof/>
        </w:rPr>
        <w:fldChar w:fldCharType="end"/>
      </w:r>
      <w:bookmarkEnd w:id="307"/>
      <w:r w:rsidRPr="00DA3C6E">
        <w:t>. Markov traces for the base case analysis (15 years): No Ig with BSC arm.</w:t>
      </w:r>
      <w:bookmarkEnd w:id="308"/>
      <w:bookmarkEnd w:id="309"/>
      <w:bookmarkEnd w:id="310"/>
    </w:p>
    <w:p w14:paraId="2438FE34" w14:textId="77777777" w:rsidR="00101A38" w:rsidRPr="00DA3C6E" w:rsidRDefault="00101A38" w:rsidP="00392022">
      <w:pPr>
        <w:spacing w:after="0"/>
      </w:pPr>
      <w:r w:rsidRPr="00DA3C6E">
        <w:rPr>
          <w:noProof/>
        </w:rPr>
        <w:drawing>
          <wp:inline distT="0" distB="0" distL="0" distR="0" wp14:anchorId="50150EAF" wp14:editId="76B9855F">
            <wp:extent cx="6070274" cy="3061252"/>
            <wp:effectExtent l="0" t="0" r="6985" b="6350"/>
            <wp:docPr id="17" name="Picture 17" title="Figure 13. Markov traces for the base case analysis (15 years): No Ig with BS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123" cy="3068236"/>
                    </a:xfrm>
                    <a:prstGeom prst="rect">
                      <a:avLst/>
                    </a:prstGeom>
                    <a:noFill/>
                  </pic:spPr>
                </pic:pic>
              </a:graphicData>
            </a:graphic>
          </wp:inline>
        </w:drawing>
      </w:r>
    </w:p>
    <w:p w14:paraId="397CDBD2" w14:textId="77777777" w:rsidR="00101A38" w:rsidRPr="00DA3C6E" w:rsidRDefault="00101A38" w:rsidP="00392022">
      <w:pPr>
        <w:pStyle w:val="Tablenotes0"/>
        <w:spacing w:after="240"/>
      </w:pPr>
      <w:r w:rsidRPr="00DA3C6E">
        <w:t>Abbreviations: Ig = immunoglobulin; MMN = multifocal motor neuropathy.</w:t>
      </w:r>
    </w:p>
    <w:p w14:paraId="0609D358" w14:textId="77777777" w:rsidR="00101A38" w:rsidRPr="00DA3C6E" w:rsidRDefault="00101A38" w:rsidP="00CC260C">
      <w:pPr>
        <w:pStyle w:val="Heading3"/>
      </w:pPr>
      <w:bookmarkStart w:id="311" w:name="_Toc37845775"/>
      <w:r w:rsidRPr="00DA3C6E">
        <w:lastRenderedPageBreak/>
        <w:t>Stepped economic evaluation</w:t>
      </w:r>
      <w:bookmarkEnd w:id="311"/>
    </w:p>
    <w:bookmarkEnd w:id="301"/>
    <w:p w14:paraId="41FD9875" w14:textId="36D6A60C" w:rsidR="00101A38" w:rsidRPr="00DA3C6E" w:rsidRDefault="00101A38" w:rsidP="00261B21">
      <w:r w:rsidRPr="00DA3C6E">
        <w:t xml:space="preserve">The results of the stepped analysis of the base case economic evaluation are presented in </w:t>
      </w:r>
      <w:r w:rsidRPr="00DA3C6E">
        <w:fldChar w:fldCharType="begin"/>
      </w:r>
      <w:r w:rsidRPr="00DA3C6E">
        <w:instrText xml:space="preserve"> REF _Ref31201603 \h </w:instrText>
      </w:r>
      <w:r w:rsidR="00E8759F" w:rsidRPr="00DA3C6E">
        <w:instrText xml:space="preserve"> \* MERGEFORMAT </w:instrText>
      </w:r>
      <w:r w:rsidRPr="00DA3C6E">
        <w:fldChar w:fldCharType="separate"/>
      </w:r>
      <w:r w:rsidR="00EA5DC1" w:rsidRPr="00DA3C6E">
        <w:t xml:space="preserve">Table </w:t>
      </w:r>
      <w:r w:rsidR="00EA5DC1">
        <w:rPr>
          <w:noProof/>
        </w:rPr>
        <w:t>32</w:t>
      </w:r>
      <w:r w:rsidRPr="00DA3C6E">
        <w:fldChar w:fldCharType="end"/>
      </w:r>
      <w:r w:rsidRPr="00DA3C6E">
        <w:t xml:space="preserve">. In Step 1, we present results for the trial-based evaluation reporting incremental costs per QALY after one cycle (6 months). Step 2 and Step 3 show the results in terms of cost per QALY gained using the modelled evaluation over 15 years and lifetime time horizon respectively. </w:t>
      </w:r>
    </w:p>
    <w:p w14:paraId="38CE90E7" w14:textId="5A83FFEB" w:rsidR="00101A38" w:rsidRPr="00DA3C6E" w:rsidRDefault="00101A38" w:rsidP="00261B21">
      <w:r w:rsidRPr="00DA3C6E">
        <w:t xml:space="preserve">The overall and incremental costs and outcomes calculated for the intravenous Ig and No Ig with BSC treatment arms in the economic model are shown in </w:t>
      </w:r>
      <w:r w:rsidRPr="00DA3C6E">
        <w:fldChar w:fldCharType="begin"/>
      </w:r>
      <w:r w:rsidRPr="00DA3C6E">
        <w:instrText xml:space="preserve"> REF _Ref31201603 \h </w:instrText>
      </w:r>
      <w:r w:rsidR="009038A0" w:rsidRPr="00DA3C6E">
        <w:instrText xml:space="preserve"> \* MERGEFORMAT </w:instrText>
      </w:r>
      <w:r w:rsidRPr="00DA3C6E">
        <w:fldChar w:fldCharType="separate"/>
      </w:r>
      <w:r w:rsidR="00EA5DC1" w:rsidRPr="00DA3C6E">
        <w:t xml:space="preserve">Table </w:t>
      </w:r>
      <w:r w:rsidR="00EA5DC1">
        <w:rPr>
          <w:noProof/>
        </w:rPr>
        <w:t>32</w:t>
      </w:r>
      <w:r w:rsidRPr="00DA3C6E">
        <w:fldChar w:fldCharType="end"/>
      </w:r>
      <w:r w:rsidRPr="00DA3C6E">
        <w:t xml:space="preserve"> where Step 2 represents the base case analysis. As expected, the cost of treating patients with intravenous Ig is higher than not providing active treatment, $</w:t>
      </w:r>
      <w:r w:rsidRPr="00DA3C6E">
        <w:rPr>
          <w:rFonts w:cs="Calibri"/>
          <w:color w:val="000000"/>
        </w:rPr>
        <w:t>275,853</w:t>
      </w:r>
      <w:r w:rsidR="005B77FC" w:rsidRPr="00DA3C6E">
        <w:rPr>
          <w:rFonts w:cs="Calibri"/>
          <w:color w:val="000000"/>
        </w:rPr>
        <w:t xml:space="preserve"> </w:t>
      </w:r>
      <w:r w:rsidRPr="00DA3C6E">
        <w:rPr>
          <w:rFonts w:cs="Calibri"/>
          <w:color w:val="000000"/>
        </w:rPr>
        <w:t xml:space="preserve">versus </w:t>
      </w:r>
      <w:r w:rsidRPr="00DA3C6E">
        <w:t>$</w:t>
      </w:r>
      <w:r w:rsidRPr="00DA3C6E">
        <w:rPr>
          <w:rFonts w:cs="Calibri"/>
          <w:color w:val="000000"/>
        </w:rPr>
        <w:t>26,191</w:t>
      </w:r>
      <w:r w:rsidR="005B77FC" w:rsidRPr="00DA3C6E">
        <w:rPr>
          <w:rFonts w:cs="Calibri"/>
          <w:color w:val="000000"/>
        </w:rPr>
        <w:t xml:space="preserve"> </w:t>
      </w:r>
      <w:r w:rsidRPr="00DA3C6E">
        <w:rPr>
          <w:rFonts w:cs="Calibri"/>
          <w:color w:val="000000"/>
        </w:rPr>
        <w:t xml:space="preserve">respectively </w:t>
      </w:r>
      <w:r w:rsidRPr="00F64AE0">
        <w:rPr>
          <w:rFonts w:cs="Calibri"/>
          <w:color w:val="000000"/>
        </w:rPr>
        <w:t>considering a 15 year time horizon (Step 2)</w:t>
      </w:r>
      <w:r w:rsidRPr="00F64AE0">
        <w:t>. Because patients derive clinical and QoL benefit</w:t>
      </w:r>
      <w:r w:rsidR="00691F23" w:rsidRPr="00F64AE0">
        <w:t>s</w:t>
      </w:r>
      <w:r w:rsidRPr="00F64AE0">
        <w:t xml:space="preserve"> from treatment, the total accrued QALYs were higher for the intravenous Ig versus the No Ig with BSC arms (</w:t>
      </w:r>
      <w:r w:rsidR="00D00F3B" w:rsidRPr="00F64AE0">
        <w:t>6.83 versus 6.04 QALYs respectively</w:t>
      </w:r>
      <w:r w:rsidRPr="00F64AE0">
        <w:t>). This leads to</w:t>
      </w:r>
      <w:r w:rsidR="00691F23" w:rsidRPr="00F64AE0">
        <w:t xml:space="preserve"> a</w:t>
      </w:r>
      <w:r w:rsidRPr="00F64AE0">
        <w:t xml:space="preserve"> base case ICER of $</w:t>
      </w:r>
      <w:r w:rsidR="00D00F3B" w:rsidRPr="00F64AE0">
        <w:t>317,552</w:t>
      </w:r>
      <w:r w:rsidRPr="00F64AE0">
        <w:rPr>
          <w:rFonts w:cs="Calibri"/>
          <w:color w:val="000000"/>
        </w:rPr>
        <w:t xml:space="preserve">/QALY gained. When assessing a lifetime horizon (Step 3) it was observed that </w:t>
      </w:r>
      <w:r w:rsidRPr="00F64AE0">
        <w:t xml:space="preserve">an individual with MMN gained more QALYs compared to </w:t>
      </w:r>
      <w:r w:rsidR="005B77FC" w:rsidRPr="00F64AE0">
        <w:t xml:space="preserve">the </w:t>
      </w:r>
      <w:r w:rsidRPr="00F64AE0">
        <w:t>15 year time horizon (</w:t>
      </w:r>
      <w:r w:rsidR="00D00F3B" w:rsidRPr="00F64AE0">
        <w:t xml:space="preserve">1.00 versus 0.79 </w:t>
      </w:r>
      <w:r w:rsidRPr="00F64AE0">
        <w:t xml:space="preserve">QALYs). However, this benefit is offset by the incremental costs over the lifetime time horizon, resulting in a similar ICER </w:t>
      </w:r>
      <w:r w:rsidR="00D00F3B" w:rsidRPr="00F64AE0">
        <w:t>($315,258 /QALY gained versus $317,552</w:t>
      </w:r>
      <w:r w:rsidRPr="00F64AE0">
        <w:t>/QALY gained). As a result, the ICER is somewhat independent of the time horizon.</w:t>
      </w:r>
      <w:r w:rsidRPr="00DA3C6E">
        <w:t xml:space="preserve"> </w:t>
      </w:r>
    </w:p>
    <w:p w14:paraId="11C385C6" w14:textId="3036BD30" w:rsidR="00101A38" w:rsidRPr="00DA3C6E" w:rsidRDefault="00101A38" w:rsidP="00E8759F">
      <w:pPr>
        <w:pStyle w:val="Caption"/>
        <w:keepNext/>
        <w:keepLines/>
      </w:pPr>
      <w:bookmarkStart w:id="312" w:name="_Ref31201603"/>
      <w:bookmarkStart w:id="313" w:name="_Toc33449610"/>
      <w:bookmarkStart w:id="314" w:name="_Toc37845835"/>
      <w:r w:rsidRPr="00DA3C6E">
        <w:t xml:space="preserve">Table </w:t>
      </w:r>
      <w:r w:rsidR="00515153">
        <w:fldChar w:fldCharType="begin"/>
      </w:r>
      <w:r w:rsidR="00515153">
        <w:instrText xml:space="preserve"> SEQ Table \* ARABIC </w:instrText>
      </w:r>
      <w:r w:rsidR="00515153">
        <w:fldChar w:fldCharType="separate"/>
      </w:r>
      <w:r w:rsidR="00EA5DC1">
        <w:rPr>
          <w:noProof/>
        </w:rPr>
        <w:t>32</w:t>
      </w:r>
      <w:r w:rsidR="00515153">
        <w:rPr>
          <w:noProof/>
        </w:rPr>
        <w:fldChar w:fldCharType="end"/>
      </w:r>
      <w:bookmarkEnd w:id="312"/>
      <w:r w:rsidRPr="00DA3C6E">
        <w:t>: Results of stepped economic evaluation</w:t>
      </w:r>
      <w:bookmarkEnd w:id="313"/>
      <w:bookmarkEnd w:id="314"/>
    </w:p>
    <w:tbl>
      <w:tblPr>
        <w:tblStyle w:val="TableGrid2"/>
        <w:tblW w:w="9185" w:type="dxa"/>
        <w:tblInd w:w="-5" w:type="dxa"/>
        <w:tblLayout w:type="fixed"/>
        <w:tblLook w:val="04A0" w:firstRow="1" w:lastRow="0" w:firstColumn="1" w:lastColumn="0" w:noHBand="0" w:noVBand="1"/>
        <w:tblCaption w:val="Table 22 Implications for the base case economic evaluation of applying the results of the clinical evaluation (Step 1 then Step 2)"/>
        <w:tblDescription w:val="This table provides information on the incremental costs and incremental effectiveness at each of Steps 1 and 2, when describing the stepped economic model."/>
      </w:tblPr>
      <w:tblGrid>
        <w:gridCol w:w="1701"/>
        <w:gridCol w:w="1560"/>
        <w:gridCol w:w="1559"/>
        <w:gridCol w:w="1678"/>
        <w:gridCol w:w="1326"/>
        <w:gridCol w:w="1361"/>
      </w:tblGrid>
      <w:tr w:rsidR="00D00F3B" w:rsidRPr="00F64AE0" w14:paraId="4C9370F2" w14:textId="77777777" w:rsidTr="00E252FF">
        <w:trPr>
          <w:cnfStyle w:val="100000000000" w:firstRow="1" w:lastRow="0" w:firstColumn="0" w:lastColumn="0" w:oddVBand="0" w:evenVBand="0" w:oddHBand="0" w:evenHBand="0" w:firstRowFirstColumn="0" w:firstRowLastColumn="0" w:lastRowFirstColumn="0" w:lastRowLastColumn="0"/>
          <w:tblHeader/>
        </w:trPr>
        <w:tc>
          <w:tcPr>
            <w:tcW w:w="1701" w:type="dxa"/>
            <w:tcBorders>
              <w:bottom w:val="single" w:sz="4" w:space="0" w:color="auto"/>
            </w:tcBorders>
          </w:tcPr>
          <w:p w14:paraId="32DACAFC" w14:textId="77777777" w:rsidR="00D00F3B" w:rsidRPr="00151474" w:rsidRDefault="00D00F3B" w:rsidP="00E252FF">
            <w:pPr>
              <w:keepNext/>
              <w:keepLines/>
              <w:spacing w:after="40" w:line="240" w:lineRule="auto"/>
              <w:rPr>
                <w:rFonts w:ascii="Arial Narrow" w:hAnsi="Arial Narrow"/>
                <w:b/>
                <w:sz w:val="20"/>
                <w:szCs w:val="20"/>
              </w:rPr>
            </w:pPr>
          </w:p>
        </w:tc>
        <w:tc>
          <w:tcPr>
            <w:tcW w:w="1560" w:type="dxa"/>
            <w:tcBorders>
              <w:bottom w:val="single" w:sz="4" w:space="0" w:color="auto"/>
            </w:tcBorders>
          </w:tcPr>
          <w:p w14:paraId="0EAA0349"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Total costs</w:t>
            </w:r>
          </w:p>
        </w:tc>
        <w:tc>
          <w:tcPr>
            <w:tcW w:w="1559" w:type="dxa"/>
            <w:tcBorders>
              <w:bottom w:val="single" w:sz="4" w:space="0" w:color="auto"/>
            </w:tcBorders>
          </w:tcPr>
          <w:p w14:paraId="2B4CC3EA"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Incremental cost</w:t>
            </w:r>
          </w:p>
        </w:tc>
        <w:tc>
          <w:tcPr>
            <w:tcW w:w="1678" w:type="dxa"/>
            <w:tcBorders>
              <w:bottom w:val="single" w:sz="4" w:space="0" w:color="auto"/>
            </w:tcBorders>
          </w:tcPr>
          <w:p w14:paraId="3B04AAEB"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Total Effectiveness</w:t>
            </w:r>
          </w:p>
        </w:tc>
        <w:tc>
          <w:tcPr>
            <w:tcW w:w="1326" w:type="dxa"/>
            <w:tcBorders>
              <w:bottom w:val="single" w:sz="4" w:space="0" w:color="auto"/>
            </w:tcBorders>
          </w:tcPr>
          <w:p w14:paraId="3D1DDB14"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Incremental effectiveness</w:t>
            </w:r>
          </w:p>
        </w:tc>
        <w:tc>
          <w:tcPr>
            <w:tcW w:w="1361" w:type="dxa"/>
            <w:tcBorders>
              <w:bottom w:val="single" w:sz="4" w:space="0" w:color="auto"/>
            </w:tcBorders>
          </w:tcPr>
          <w:p w14:paraId="3D6A62B6"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 xml:space="preserve">ICER </w:t>
            </w:r>
          </w:p>
          <w:p w14:paraId="3559AECB" w14:textId="77777777" w:rsidR="00D00F3B" w:rsidRPr="00F64AE0" w:rsidRDefault="00D00F3B" w:rsidP="00E252FF">
            <w:pPr>
              <w:keepNext/>
              <w:keepLines/>
              <w:spacing w:after="40" w:line="240" w:lineRule="auto"/>
              <w:rPr>
                <w:rFonts w:ascii="Arial Narrow" w:hAnsi="Arial Narrow"/>
                <w:b/>
                <w:sz w:val="20"/>
                <w:szCs w:val="20"/>
              </w:rPr>
            </w:pPr>
            <w:r w:rsidRPr="00F64AE0">
              <w:rPr>
                <w:rFonts w:ascii="Arial Narrow" w:hAnsi="Arial Narrow"/>
                <w:b/>
                <w:sz w:val="20"/>
                <w:szCs w:val="20"/>
              </w:rPr>
              <w:t>($/QALY)</w:t>
            </w:r>
          </w:p>
        </w:tc>
      </w:tr>
      <w:tr w:rsidR="00D00F3B" w:rsidRPr="00F64AE0" w14:paraId="4FB9972C" w14:textId="77777777" w:rsidTr="00E252FF">
        <w:tc>
          <w:tcPr>
            <w:tcW w:w="9185" w:type="dxa"/>
            <w:gridSpan w:val="6"/>
          </w:tcPr>
          <w:p w14:paraId="4F60CD87"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b/>
                <w:sz w:val="20"/>
                <w:szCs w:val="20"/>
              </w:rPr>
              <w:t>Step 1</w:t>
            </w:r>
            <w:r w:rsidRPr="00F64AE0">
              <w:rPr>
                <w:rFonts w:ascii="Arial Narrow" w:hAnsi="Arial Narrow"/>
                <w:sz w:val="20"/>
                <w:szCs w:val="20"/>
              </w:rPr>
              <w:t>: trial-based evaluation, 7 months’ time horizon</w:t>
            </w:r>
          </w:p>
        </w:tc>
      </w:tr>
      <w:tr w:rsidR="00D00F3B" w:rsidRPr="00F64AE0" w14:paraId="13D29B2D" w14:textId="77777777" w:rsidTr="00E252FF">
        <w:tc>
          <w:tcPr>
            <w:tcW w:w="1701" w:type="dxa"/>
            <w:shd w:val="clear" w:color="auto" w:fill="auto"/>
          </w:tcPr>
          <w:p w14:paraId="1DE958BD"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Intravenous Ig</w:t>
            </w:r>
          </w:p>
        </w:tc>
        <w:tc>
          <w:tcPr>
            <w:tcW w:w="1560" w:type="dxa"/>
          </w:tcPr>
          <w:p w14:paraId="1BFE17C4"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$15,560.31</w:t>
            </w:r>
          </w:p>
        </w:tc>
        <w:tc>
          <w:tcPr>
            <w:tcW w:w="1559" w:type="dxa"/>
          </w:tcPr>
          <w:p w14:paraId="7DE26A27"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$14,278</w:t>
            </w:r>
          </w:p>
        </w:tc>
        <w:tc>
          <w:tcPr>
            <w:tcW w:w="1678" w:type="dxa"/>
          </w:tcPr>
          <w:p w14:paraId="720F63F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0.32</w:t>
            </w:r>
          </w:p>
        </w:tc>
        <w:tc>
          <w:tcPr>
            <w:tcW w:w="1326" w:type="dxa"/>
          </w:tcPr>
          <w:p w14:paraId="537AAFB4"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0.02</w:t>
            </w:r>
          </w:p>
        </w:tc>
        <w:tc>
          <w:tcPr>
            <w:tcW w:w="1361" w:type="dxa"/>
          </w:tcPr>
          <w:p w14:paraId="24B3766B"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740,635</w:t>
            </w:r>
          </w:p>
        </w:tc>
      </w:tr>
      <w:tr w:rsidR="00D00F3B" w:rsidRPr="00F64AE0" w14:paraId="1F04BBDD" w14:textId="77777777" w:rsidTr="00E252FF">
        <w:tc>
          <w:tcPr>
            <w:tcW w:w="1701" w:type="dxa"/>
            <w:shd w:val="clear" w:color="auto" w:fill="auto"/>
          </w:tcPr>
          <w:p w14:paraId="1197B896"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No Ig with BSC</w:t>
            </w:r>
          </w:p>
        </w:tc>
        <w:tc>
          <w:tcPr>
            <w:tcW w:w="1560" w:type="dxa"/>
          </w:tcPr>
          <w:p w14:paraId="0490FE8E"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$1,282.71</w:t>
            </w:r>
          </w:p>
        </w:tc>
        <w:tc>
          <w:tcPr>
            <w:tcW w:w="1559" w:type="dxa"/>
          </w:tcPr>
          <w:p w14:paraId="49823992"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w:t>
            </w:r>
          </w:p>
        </w:tc>
        <w:tc>
          <w:tcPr>
            <w:tcW w:w="1678" w:type="dxa"/>
          </w:tcPr>
          <w:p w14:paraId="23E7616B"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0.30</w:t>
            </w:r>
          </w:p>
        </w:tc>
        <w:tc>
          <w:tcPr>
            <w:tcW w:w="1326" w:type="dxa"/>
          </w:tcPr>
          <w:p w14:paraId="7E91155E"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w:t>
            </w:r>
          </w:p>
        </w:tc>
        <w:tc>
          <w:tcPr>
            <w:tcW w:w="1361" w:type="dxa"/>
          </w:tcPr>
          <w:p w14:paraId="1EEDACA3" w14:textId="77777777" w:rsidR="00D00F3B" w:rsidRPr="00F64AE0" w:rsidRDefault="00D00F3B" w:rsidP="00E252FF">
            <w:pPr>
              <w:keepNext/>
              <w:keepLines/>
              <w:spacing w:after="40" w:line="240" w:lineRule="auto"/>
              <w:rPr>
                <w:rFonts w:ascii="Arial Narrow" w:hAnsi="Arial Narrow"/>
                <w:sz w:val="20"/>
                <w:szCs w:val="20"/>
              </w:rPr>
            </w:pPr>
          </w:p>
        </w:tc>
      </w:tr>
      <w:tr w:rsidR="00D00F3B" w:rsidRPr="00F64AE0" w14:paraId="279D535D" w14:textId="77777777" w:rsidTr="00E252FF">
        <w:tc>
          <w:tcPr>
            <w:tcW w:w="9185" w:type="dxa"/>
            <w:gridSpan w:val="6"/>
          </w:tcPr>
          <w:p w14:paraId="13A7CE2D"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b/>
                <w:sz w:val="20"/>
                <w:szCs w:val="20"/>
              </w:rPr>
              <w:t>Step 2</w:t>
            </w:r>
            <w:r w:rsidRPr="00F64AE0">
              <w:rPr>
                <w:rFonts w:ascii="Arial Narrow" w:hAnsi="Arial Narrow"/>
                <w:sz w:val="20"/>
                <w:szCs w:val="20"/>
              </w:rPr>
              <w:t>: modelled evaluation, 15 years’ time horizon (Base case).</w:t>
            </w:r>
          </w:p>
        </w:tc>
      </w:tr>
      <w:tr w:rsidR="00D00F3B" w:rsidRPr="00F64AE0" w14:paraId="7EEF34F2" w14:textId="77777777" w:rsidTr="00E252FF">
        <w:tc>
          <w:tcPr>
            <w:tcW w:w="1701" w:type="dxa"/>
          </w:tcPr>
          <w:p w14:paraId="5993E768"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Intravenous Ig</w:t>
            </w:r>
          </w:p>
        </w:tc>
        <w:tc>
          <w:tcPr>
            <w:tcW w:w="1560" w:type="dxa"/>
          </w:tcPr>
          <w:p w14:paraId="1A216BB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$275,853 </w:t>
            </w:r>
          </w:p>
        </w:tc>
        <w:tc>
          <w:tcPr>
            <w:tcW w:w="1559" w:type="dxa"/>
          </w:tcPr>
          <w:p w14:paraId="0F2DB9F3"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$249,662 </w:t>
            </w:r>
          </w:p>
        </w:tc>
        <w:tc>
          <w:tcPr>
            <w:tcW w:w="1678" w:type="dxa"/>
          </w:tcPr>
          <w:p w14:paraId="684365C8"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6.83 </w:t>
            </w:r>
          </w:p>
        </w:tc>
        <w:tc>
          <w:tcPr>
            <w:tcW w:w="1326" w:type="dxa"/>
          </w:tcPr>
          <w:p w14:paraId="7CA4A6EF"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0.79 </w:t>
            </w:r>
          </w:p>
        </w:tc>
        <w:tc>
          <w:tcPr>
            <w:tcW w:w="1361" w:type="dxa"/>
          </w:tcPr>
          <w:p w14:paraId="53A513A3"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317,552 </w:t>
            </w:r>
          </w:p>
        </w:tc>
      </w:tr>
      <w:tr w:rsidR="00D00F3B" w:rsidRPr="00F64AE0" w14:paraId="507A5B2F" w14:textId="77777777" w:rsidTr="00E252FF">
        <w:tc>
          <w:tcPr>
            <w:tcW w:w="1701" w:type="dxa"/>
          </w:tcPr>
          <w:p w14:paraId="39CF14DC"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No Intravenous Ig</w:t>
            </w:r>
          </w:p>
        </w:tc>
        <w:tc>
          <w:tcPr>
            <w:tcW w:w="1560" w:type="dxa"/>
          </w:tcPr>
          <w:p w14:paraId="586019F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$26,191 </w:t>
            </w:r>
          </w:p>
        </w:tc>
        <w:tc>
          <w:tcPr>
            <w:tcW w:w="1559" w:type="dxa"/>
          </w:tcPr>
          <w:p w14:paraId="79D0A444"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   </w:t>
            </w:r>
          </w:p>
        </w:tc>
        <w:tc>
          <w:tcPr>
            <w:tcW w:w="1678" w:type="dxa"/>
          </w:tcPr>
          <w:p w14:paraId="543AC3DB"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6.04 </w:t>
            </w:r>
          </w:p>
        </w:tc>
        <w:tc>
          <w:tcPr>
            <w:tcW w:w="1326" w:type="dxa"/>
          </w:tcPr>
          <w:p w14:paraId="6D788BD6"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   </w:t>
            </w:r>
          </w:p>
        </w:tc>
        <w:tc>
          <w:tcPr>
            <w:tcW w:w="1361" w:type="dxa"/>
          </w:tcPr>
          <w:p w14:paraId="4499846E"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w:t>
            </w:r>
          </w:p>
        </w:tc>
      </w:tr>
      <w:tr w:rsidR="00D00F3B" w:rsidRPr="00F64AE0" w14:paraId="4F17CE77" w14:textId="77777777" w:rsidTr="00E252FF">
        <w:tc>
          <w:tcPr>
            <w:tcW w:w="9185" w:type="dxa"/>
            <w:gridSpan w:val="6"/>
          </w:tcPr>
          <w:p w14:paraId="0108F12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b/>
                <w:sz w:val="20"/>
                <w:szCs w:val="20"/>
              </w:rPr>
              <w:t>Step 3</w:t>
            </w:r>
            <w:r w:rsidRPr="00F64AE0">
              <w:rPr>
                <w:rFonts w:ascii="Arial Narrow" w:hAnsi="Arial Narrow"/>
                <w:sz w:val="20"/>
                <w:szCs w:val="20"/>
              </w:rPr>
              <w:t>: modelled evaluation, lifetime time horizon.</w:t>
            </w:r>
          </w:p>
        </w:tc>
      </w:tr>
      <w:tr w:rsidR="00D00F3B" w:rsidRPr="00F64AE0" w14:paraId="063D9CF2" w14:textId="77777777" w:rsidTr="00E252FF">
        <w:tc>
          <w:tcPr>
            <w:tcW w:w="1701" w:type="dxa"/>
          </w:tcPr>
          <w:p w14:paraId="5F5883A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Intravenous Ig</w:t>
            </w:r>
          </w:p>
        </w:tc>
        <w:tc>
          <w:tcPr>
            <w:tcW w:w="1560" w:type="dxa"/>
          </w:tcPr>
          <w:p w14:paraId="61BF4321"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$350,387 </w:t>
            </w:r>
          </w:p>
        </w:tc>
        <w:tc>
          <w:tcPr>
            <w:tcW w:w="1559" w:type="dxa"/>
          </w:tcPr>
          <w:p w14:paraId="017F424D"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$314,506</w:t>
            </w:r>
          </w:p>
        </w:tc>
        <w:tc>
          <w:tcPr>
            <w:tcW w:w="1678" w:type="dxa"/>
          </w:tcPr>
          <w:p w14:paraId="0A1F3A60"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9.28 </w:t>
            </w:r>
          </w:p>
        </w:tc>
        <w:tc>
          <w:tcPr>
            <w:tcW w:w="1326" w:type="dxa"/>
          </w:tcPr>
          <w:p w14:paraId="6B0F2368"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1.00 </w:t>
            </w:r>
          </w:p>
        </w:tc>
        <w:tc>
          <w:tcPr>
            <w:tcW w:w="1361" w:type="dxa"/>
          </w:tcPr>
          <w:p w14:paraId="3ECE2A68"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315,258 </w:t>
            </w:r>
          </w:p>
        </w:tc>
      </w:tr>
      <w:tr w:rsidR="00D00F3B" w:rsidRPr="00151474" w14:paraId="2EAFCBB7" w14:textId="77777777" w:rsidTr="00E252FF">
        <w:tc>
          <w:tcPr>
            <w:tcW w:w="1701" w:type="dxa"/>
          </w:tcPr>
          <w:p w14:paraId="04BA9622"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No Intravenous Ig</w:t>
            </w:r>
          </w:p>
        </w:tc>
        <w:tc>
          <w:tcPr>
            <w:tcW w:w="1560" w:type="dxa"/>
          </w:tcPr>
          <w:p w14:paraId="051E3BE5"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$35,881 </w:t>
            </w:r>
          </w:p>
        </w:tc>
        <w:tc>
          <w:tcPr>
            <w:tcW w:w="1559" w:type="dxa"/>
          </w:tcPr>
          <w:p w14:paraId="73EC73BD"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w:t>
            </w:r>
          </w:p>
        </w:tc>
        <w:tc>
          <w:tcPr>
            <w:tcW w:w="1678" w:type="dxa"/>
          </w:tcPr>
          <w:p w14:paraId="512118AA" w14:textId="77777777" w:rsidR="00D00F3B" w:rsidRPr="00F64AE0"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 xml:space="preserve"> 8.28 </w:t>
            </w:r>
          </w:p>
        </w:tc>
        <w:tc>
          <w:tcPr>
            <w:tcW w:w="1326" w:type="dxa"/>
          </w:tcPr>
          <w:p w14:paraId="7DBC0719" w14:textId="77777777" w:rsidR="00D00F3B" w:rsidRPr="00F64AE0" w:rsidRDefault="00D00F3B" w:rsidP="00E252FF">
            <w:pPr>
              <w:keepNext/>
              <w:keepLines/>
              <w:spacing w:after="40" w:line="240" w:lineRule="auto"/>
              <w:rPr>
                <w:rFonts w:ascii="Arial Narrow" w:hAnsi="Arial Narrow"/>
                <w:sz w:val="20"/>
                <w:szCs w:val="20"/>
              </w:rPr>
            </w:pPr>
          </w:p>
        </w:tc>
        <w:tc>
          <w:tcPr>
            <w:tcW w:w="1361" w:type="dxa"/>
          </w:tcPr>
          <w:p w14:paraId="31694604" w14:textId="77777777" w:rsidR="00D00F3B" w:rsidRPr="00151474" w:rsidRDefault="00D00F3B" w:rsidP="00E252FF">
            <w:pPr>
              <w:keepNext/>
              <w:keepLines/>
              <w:spacing w:after="40" w:line="240" w:lineRule="auto"/>
              <w:rPr>
                <w:rFonts w:ascii="Arial Narrow" w:hAnsi="Arial Narrow"/>
                <w:sz w:val="20"/>
                <w:szCs w:val="20"/>
              </w:rPr>
            </w:pPr>
            <w:r w:rsidRPr="00F64AE0">
              <w:rPr>
                <w:rFonts w:ascii="Arial Narrow" w:hAnsi="Arial Narrow"/>
                <w:sz w:val="20"/>
                <w:szCs w:val="20"/>
              </w:rPr>
              <w:t>-</w:t>
            </w:r>
          </w:p>
        </w:tc>
      </w:tr>
    </w:tbl>
    <w:p w14:paraId="7EF8498E" w14:textId="77777777" w:rsidR="00101A38" w:rsidRPr="00DA3C6E" w:rsidRDefault="00101A38" w:rsidP="00C5369E">
      <w:pPr>
        <w:pStyle w:val="Tablenotes0"/>
        <w:spacing w:after="240"/>
      </w:pPr>
      <w:r w:rsidRPr="00DA3C6E">
        <w:t>Abbreviations: ICER= incremental cost effectiveness ratio; Ig = immunoglobulin; QALY= quality adjusted life years</w:t>
      </w:r>
    </w:p>
    <w:p w14:paraId="04BF9EF5" w14:textId="77777777" w:rsidR="00101A38" w:rsidRPr="00DA3C6E" w:rsidRDefault="00101A38" w:rsidP="0073359F">
      <w:pPr>
        <w:pStyle w:val="Heading2"/>
        <w:numPr>
          <w:ilvl w:val="3"/>
          <w:numId w:val="61"/>
        </w:numPr>
        <w:jc w:val="left"/>
      </w:pPr>
      <w:bookmarkStart w:id="315" w:name="_Toc37845776"/>
      <w:bookmarkStart w:id="316" w:name="_Ref378943976"/>
      <w:r w:rsidRPr="00DA3C6E">
        <w:t>Sensitivity analyses</w:t>
      </w:r>
      <w:bookmarkEnd w:id="315"/>
    </w:p>
    <w:p w14:paraId="4641E04A" w14:textId="4EC3E9A8" w:rsidR="00101A38" w:rsidRPr="00DA3C6E" w:rsidRDefault="00101A38" w:rsidP="00762F59">
      <w:r w:rsidRPr="00DA3C6E">
        <w:t xml:space="preserve">The results of the one-way sensitivity analyses are presented in </w:t>
      </w:r>
      <w:r w:rsidRPr="00DA3C6E">
        <w:fldChar w:fldCharType="begin"/>
      </w:r>
      <w:r w:rsidRPr="00DA3C6E">
        <w:instrText xml:space="preserve"> REF _Ref30070401 \h  \* MERGEFORMAT </w:instrText>
      </w:r>
      <w:r w:rsidRPr="00DA3C6E">
        <w:fldChar w:fldCharType="separate"/>
      </w:r>
      <w:r w:rsidR="00EA5DC1" w:rsidRPr="00DA3C6E">
        <w:t xml:space="preserve">Figure </w:t>
      </w:r>
      <w:r w:rsidR="00EA5DC1">
        <w:t>14</w:t>
      </w:r>
      <w:r w:rsidRPr="00DA3C6E">
        <w:fldChar w:fldCharType="end"/>
      </w:r>
      <w:r w:rsidRPr="00DA3C6E">
        <w:t xml:space="preserve"> </w:t>
      </w:r>
      <w:r w:rsidR="007240BF" w:rsidRPr="00DA3C6E">
        <w:t xml:space="preserve">while the results from the scenario analysis are presented in </w:t>
      </w:r>
      <w:r w:rsidRPr="00DA3C6E">
        <w:fldChar w:fldCharType="begin"/>
      </w:r>
      <w:r w:rsidRPr="00DA3C6E">
        <w:instrText xml:space="preserve"> REF _Ref30771237 \h  \* MERGEFORMAT </w:instrText>
      </w:r>
      <w:r w:rsidRPr="00DA3C6E">
        <w:fldChar w:fldCharType="separate"/>
      </w:r>
      <w:r w:rsidR="00EA5DC1" w:rsidRPr="00DA3C6E">
        <w:t xml:space="preserve">Table </w:t>
      </w:r>
      <w:r w:rsidR="00EA5DC1">
        <w:rPr>
          <w:noProof/>
        </w:rPr>
        <w:t>33</w:t>
      </w:r>
      <w:r w:rsidRPr="00DA3C6E">
        <w:fldChar w:fldCharType="end"/>
      </w:r>
      <w:r w:rsidRPr="00DA3C6E">
        <w:t xml:space="preserve">. </w:t>
      </w:r>
    </w:p>
    <w:p w14:paraId="68465511" w14:textId="609D4C39" w:rsidR="00101A38" w:rsidRPr="00DA3C6E" w:rsidRDefault="00101A38" w:rsidP="00537B56">
      <w:pPr>
        <w:pStyle w:val="Caption"/>
        <w:keepNext/>
        <w:keepLines/>
      </w:pPr>
      <w:bookmarkStart w:id="317" w:name="_Ref30070401"/>
      <w:bookmarkStart w:id="318" w:name="_Toc30497521"/>
      <w:bookmarkStart w:id="319" w:name="_Toc33449648"/>
      <w:bookmarkStart w:id="320" w:name="_Toc37845874"/>
      <w:r w:rsidRPr="00F64AE0">
        <w:lastRenderedPageBreak/>
        <w:t xml:space="preserve">Figure </w:t>
      </w:r>
      <w:fldSimple w:instr=" SEQ Figure \* ARABIC ">
        <w:r w:rsidR="00EA5DC1" w:rsidRPr="00F64AE0">
          <w:rPr>
            <w:noProof/>
          </w:rPr>
          <w:t>14</w:t>
        </w:r>
      </w:fldSimple>
      <w:bookmarkEnd w:id="317"/>
      <w:r w:rsidRPr="00F64AE0">
        <w:t>. Tornado diagram</w:t>
      </w:r>
      <w:bookmarkEnd w:id="318"/>
      <w:bookmarkEnd w:id="319"/>
      <w:bookmarkEnd w:id="320"/>
    </w:p>
    <w:p w14:paraId="6D3A5360" w14:textId="49CC7EF7" w:rsidR="00C81011" w:rsidRPr="00DA3C6E" w:rsidRDefault="00E252FF" w:rsidP="00FA72EB">
      <w:pPr>
        <w:spacing w:after="0" w:line="240" w:lineRule="auto"/>
        <w:rPr>
          <w:vertAlign w:val="superscript"/>
        </w:rPr>
      </w:pPr>
      <w:bookmarkStart w:id="321" w:name="_Ref379457727"/>
      <w:r>
        <w:rPr>
          <w:rFonts w:ascii="Arial Narrow" w:hAnsi="Arial Narrow"/>
          <w:noProof/>
          <w:sz w:val="18"/>
          <w:szCs w:val="18"/>
        </w:rPr>
        <w:drawing>
          <wp:inline distT="0" distB="0" distL="0" distR="0" wp14:anchorId="452FB062" wp14:editId="66987BCE">
            <wp:extent cx="5686984" cy="2504121"/>
            <wp:effectExtent l="0" t="0" r="0" b="0"/>
            <wp:docPr id="11" name="Picture 11" title="Figure 14. Tornado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048" cy="2513836"/>
                    </a:xfrm>
                    <a:prstGeom prst="rect">
                      <a:avLst/>
                    </a:prstGeom>
                    <a:noFill/>
                  </pic:spPr>
                </pic:pic>
              </a:graphicData>
            </a:graphic>
          </wp:inline>
        </w:drawing>
      </w:r>
      <w:r w:rsidR="00C81011" w:rsidRPr="00DA3C6E">
        <w:rPr>
          <w:rFonts w:ascii="Arial Narrow" w:hAnsi="Arial Narrow"/>
          <w:sz w:val="18"/>
          <w:szCs w:val="18"/>
        </w:rPr>
        <w:t xml:space="preserve">Abbreviations: AE=adverse events; Ig= immunoglobulin; </w:t>
      </w:r>
      <w:r w:rsidR="00DE1AB7" w:rsidRPr="00DA3C6E">
        <w:rPr>
          <w:rFonts w:ascii="Arial Narrow" w:hAnsi="Arial Narrow"/>
          <w:sz w:val="18"/>
          <w:szCs w:val="18"/>
        </w:rPr>
        <w:t xml:space="preserve">ICER = incremental cost effectiveness ratio; IVIg= intravenous immunoglobulin; QALY = quality adjusted life year; </w:t>
      </w:r>
    </w:p>
    <w:p w14:paraId="719D80C9" w14:textId="77777777" w:rsidR="00C81011" w:rsidRPr="00DA3C6E" w:rsidRDefault="00C81011" w:rsidP="00FA72EB">
      <w:pPr>
        <w:spacing w:after="0" w:line="240" w:lineRule="auto"/>
        <w:jc w:val="left"/>
        <w:rPr>
          <w:rFonts w:ascii="Arial Narrow" w:hAnsi="Arial Narrow"/>
          <w:sz w:val="18"/>
          <w:szCs w:val="18"/>
        </w:rPr>
      </w:pPr>
      <w:r w:rsidRPr="00DA3C6E">
        <w:rPr>
          <w:rFonts w:ascii="Arial Narrow" w:hAnsi="Arial Narrow"/>
          <w:sz w:val="18"/>
          <w:szCs w:val="18"/>
        </w:rPr>
        <w:t xml:space="preserve">Notes: </w:t>
      </w:r>
    </w:p>
    <w:p w14:paraId="584A5014" w14:textId="7705959C" w:rsidR="009B5A64" w:rsidRPr="00DA3C6E" w:rsidRDefault="00C81011" w:rsidP="00C5369E">
      <w:pPr>
        <w:spacing w:line="240" w:lineRule="auto"/>
        <w:jc w:val="left"/>
      </w:pPr>
      <w:r w:rsidRPr="00DA3C6E">
        <w:rPr>
          <w:rFonts w:ascii="Arial Narrow" w:hAnsi="Arial Narrow"/>
          <w:sz w:val="18"/>
          <w:szCs w:val="18"/>
          <w:vertAlign w:val="superscript"/>
        </w:rPr>
        <w:t>1</w:t>
      </w:r>
      <w:r w:rsidRPr="00DA3C6E">
        <w:rPr>
          <w:rFonts w:ascii="Arial Narrow" w:hAnsi="Arial Narrow"/>
          <w:sz w:val="18"/>
          <w:szCs w:val="18"/>
        </w:rPr>
        <w:t>Probability of responder on treatment from initial treatment in no IVIg arm</w:t>
      </w:r>
      <w:r w:rsidRPr="00DA3C6E">
        <w:rPr>
          <w:rFonts w:ascii="Arial Narrow" w:hAnsi="Arial Narrow"/>
          <w:sz w:val="18"/>
          <w:szCs w:val="18"/>
        </w:rPr>
        <w:br/>
      </w:r>
      <w:r w:rsidRPr="00DA3C6E">
        <w:rPr>
          <w:rFonts w:ascii="Arial Narrow" w:hAnsi="Arial Narrow"/>
          <w:sz w:val="18"/>
          <w:szCs w:val="18"/>
          <w:vertAlign w:val="superscript"/>
        </w:rPr>
        <w:t>2</w:t>
      </w:r>
      <w:r w:rsidRPr="00DA3C6E">
        <w:rPr>
          <w:rFonts w:ascii="Arial Narrow" w:hAnsi="Arial Narrow"/>
          <w:sz w:val="18"/>
          <w:szCs w:val="18"/>
        </w:rPr>
        <w:t xml:space="preserve">Utility of induction treatment </w:t>
      </w:r>
      <w:r w:rsidRPr="00DA3C6E">
        <w:rPr>
          <w:rFonts w:ascii="Arial Narrow" w:hAnsi="Arial Narrow"/>
          <w:sz w:val="18"/>
          <w:szCs w:val="18"/>
        </w:rPr>
        <w:br/>
      </w:r>
      <w:r w:rsidRPr="00DA3C6E">
        <w:rPr>
          <w:rFonts w:ascii="Arial Narrow" w:hAnsi="Arial Narrow"/>
          <w:sz w:val="18"/>
          <w:szCs w:val="18"/>
          <w:vertAlign w:val="superscript"/>
        </w:rPr>
        <w:t>3</w:t>
      </w:r>
      <w:r w:rsidRPr="00DA3C6E">
        <w:rPr>
          <w:rFonts w:ascii="Arial Narrow" w:hAnsi="Arial Narrow"/>
          <w:sz w:val="18"/>
          <w:szCs w:val="18"/>
        </w:rPr>
        <w:t>Probability of no treatment from a responder on treatment (i.e. probability of discontinuation of Ig due to adverse events for the IVIg arm)</w:t>
      </w:r>
      <w:r w:rsidRPr="00DA3C6E">
        <w:rPr>
          <w:rFonts w:ascii="Arial Narrow" w:hAnsi="Arial Narrow"/>
          <w:sz w:val="18"/>
          <w:szCs w:val="18"/>
        </w:rPr>
        <w:br/>
      </w:r>
      <w:r w:rsidRPr="00DA3C6E">
        <w:rPr>
          <w:rFonts w:ascii="Arial Narrow" w:hAnsi="Arial Narrow"/>
          <w:sz w:val="18"/>
          <w:szCs w:val="18"/>
          <w:vertAlign w:val="superscript"/>
        </w:rPr>
        <w:t>4</w:t>
      </w:r>
      <w:r w:rsidRPr="00DA3C6E">
        <w:rPr>
          <w:rFonts w:ascii="Arial Narrow" w:hAnsi="Arial Narrow"/>
          <w:sz w:val="18"/>
          <w:szCs w:val="18"/>
        </w:rPr>
        <w:t>Probability of responder on treatment from induction IVIG</w:t>
      </w:r>
      <w:r w:rsidRPr="00DA3C6E">
        <w:rPr>
          <w:rFonts w:ascii="Arial Narrow" w:hAnsi="Arial Narrow"/>
          <w:sz w:val="18"/>
          <w:szCs w:val="18"/>
        </w:rPr>
        <w:br/>
      </w:r>
      <w:r w:rsidRPr="00DA3C6E">
        <w:rPr>
          <w:rFonts w:ascii="Arial Narrow" w:hAnsi="Arial Narrow"/>
          <w:sz w:val="18"/>
          <w:szCs w:val="18"/>
          <w:vertAlign w:val="superscript"/>
        </w:rPr>
        <w:t>5</w:t>
      </w:r>
      <w:r w:rsidRPr="00DA3C6E">
        <w:rPr>
          <w:rFonts w:ascii="Arial Narrow" w:hAnsi="Arial Narrow"/>
          <w:sz w:val="18"/>
          <w:szCs w:val="18"/>
        </w:rPr>
        <w:t>Probability of relapse from responder off treatment state/probability of induction treatment from responder off treatment state due to relapse IVIG arm</w:t>
      </w:r>
      <w:r w:rsidRPr="00DA3C6E">
        <w:rPr>
          <w:rFonts w:ascii="Arial Narrow" w:hAnsi="Arial Narrow"/>
          <w:sz w:val="18"/>
          <w:szCs w:val="18"/>
        </w:rPr>
        <w:br/>
      </w:r>
      <w:r w:rsidRPr="00DA3C6E">
        <w:rPr>
          <w:rFonts w:ascii="Arial Narrow" w:hAnsi="Arial Narrow"/>
          <w:sz w:val="18"/>
          <w:szCs w:val="18"/>
          <w:vertAlign w:val="superscript"/>
        </w:rPr>
        <w:t>6</w:t>
      </w:r>
      <w:r w:rsidRPr="00DA3C6E">
        <w:rPr>
          <w:rFonts w:ascii="Arial Narrow" w:hAnsi="Arial Narrow"/>
          <w:sz w:val="18"/>
          <w:szCs w:val="18"/>
        </w:rPr>
        <w:t xml:space="preserve">Probability of responder off treatment from responder on treatment state (i.e. probability of initiating weaning/cessation of treatment) IVIG arm </w:t>
      </w:r>
      <w:r w:rsidRPr="00DA3C6E">
        <w:rPr>
          <w:rFonts w:ascii="Arial Narrow" w:hAnsi="Arial Narrow"/>
          <w:sz w:val="18"/>
          <w:szCs w:val="18"/>
        </w:rPr>
        <w:br/>
      </w:r>
      <w:r w:rsidRPr="00DA3C6E">
        <w:rPr>
          <w:rFonts w:ascii="Arial Narrow" w:hAnsi="Arial Narrow"/>
          <w:sz w:val="18"/>
          <w:szCs w:val="18"/>
          <w:vertAlign w:val="superscript"/>
        </w:rPr>
        <w:t>7</w:t>
      </w:r>
      <w:r w:rsidRPr="00DA3C6E">
        <w:rPr>
          <w:rFonts w:ascii="Arial Narrow" w:hAnsi="Arial Narrow"/>
          <w:sz w:val="18"/>
          <w:szCs w:val="18"/>
        </w:rPr>
        <w:t xml:space="preserve">Cost of Ig per gram </w:t>
      </w:r>
      <w:r w:rsidRPr="00DA3C6E">
        <w:rPr>
          <w:rFonts w:ascii="Arial Narrow" w:hAnsi="Arial Narrow"/>
          <w:sz w:val="18"/>
          <w:szCs w:val="18"/>
        </w:rPr>
        <w:br/>
      </w:r>
      <w:r w:rsidRPr="00DA3C6E">
        <w:rPr>
          <w:rFonts w:ascii="Arial Narrow" w:hAnsi="Arial Narrow"/>
          <w:sz w:val="18"/>
          <w:szCs w:val="18"/>
          <w:vertAlign w:val="superscript"/>
        </w:rPr>
        <w:t>8</w:t>
      </w:r>
      <w:r w:rsidRPr="00DA3C6E">
        <w:rPr>
          <w:rFonts w:ascii="Arial Narrow" w:hAnsi="Arial Narrow"/>
          <w:sz w:val="18"/>
          <w:szCs w:val="18"/>
        </w:rPr>
        <w:t>Utility of responder on treatment</w:t>
      </w:r>
      <w:r w:rsidRPr="00DA3C6E">
        <w:rPr>
          <w:rFonts w:ascii="Arial Narrow" w:hAnsi="Arial Narrow"/>
          <w:sz w:val="18"/>
          <w:szCs w:val="18"/>
        </w:rPr>
        <w:br/>
      </w:r>
      <w:r w:rsidRPr="00DA3C6E">
        <w:rPr>
          <w:rFonts w:ascii="Arial Narrow" w:hAnsi="Arial Narrow"/>
          <w:sz w:val="18"/>
          <w:szCs w:val="18"/>
          <w:vertAlign w:val="superscript"/>
        </w:rPr>
        <w:t>9</w:t>
      </w:r>
      <w:r w:rsidRPr="00DA3C6E">
        <w:rPr>
          <w:rFonts w:ascii="Arial Narrow" w:hAnsi="Arial Narrow"/>
          <w:sz w:val="18"/>
          <w:szCs w:val="18"/>
        </w:rPr>
        <w:t>Utility of no treatment</w:t>
      </w:r>
    </w:p>
    <w:p w14:paraId="35EEFE9C" w14:textId="07F7DFC4" w:rsidR="00101A38" w:rsidRPr="00DA3C6E" w:rsidRDefault="00101A38" w:rsidP="00FA6D94">
      <w:pPr>
        <w:pStyle w:val="Caption"/>
      </w:pPr>
      <w:bookmarkStart w:id="322" w:name="_Ref30771237"/>
      <w:bookmarkStart w:id="323" w:name="_Toc33449611"/>
      <w:bookmarkStart w:id="324" w:name="_Toc37845836"/>
      <w:bookmarkStart w:id="325" w:name="_Toc30497483"/>
      <w:bookmarkStart w:id="326" w:name="_Toc444869038"/>
      <w:bookmarkStart w:id="327" w:name="_Ref378945269"/>
      <w:bookmarkEnd w:id="316"/>
      <w:bookmarkEnd w:id="321"/>
      <w:r w:rsidRPr="00DA3C6E">
        <w:t xml:space="preserve">Table </w:t>
      </w:r>
      <w:r w:rsidR="00515153">
        <w:fldChar w:fldCharType="begin"/>
      </w:r>
      <w:r w:rsidR="00515153">
        <w:instrText xml:space="preserve"> SEQ Table \* ARABIC </w:instrText>
      </w:r>
      <w:r w:rsidR="00515153">
        <w:fldChar w:fldCharType="separate"/>
      </w:r>
      <w:r w:rsidR="00EA5DC1">
        <w:rPr>
          <w:noProof/>
        </w:rPr>
        <w:t>33</w:t>
      </w:r>
      <w:r w:rsidR="00515153">
        <w:rPr>
          <w:noProof/>
        </w:rPr>
        <w:fldChar w:fldCharType="end"/>
      </w:r>
      <w:bookmarkEnd w:id="322"/>
      <w:r w:rsidRPr="00DA3C6E">
        <w:t xml:space="preserve">. Results of </w:t>
      </w:r>
      <w:r w:rsidR="006322E6" w:rsidRPr="00DA3C6E">
        <w:t xml:space="preserve">scenario </w:t>
      </w:r>
      <w:r w:rsidRPr="00DA3C6E">
        <w:t>analysis</w:t>
      </w:r>
      <w:bookmarkEnd w:id="323"/>
      <w:bookmarkEnd w:id="324"/>
      <w:r w:rsidRPr="00DA3C6E">
        <w:t xml:space="preserve"> </w:t>
      </w:r>
      <w:bookmarkEnd w:id="325"/>
    </w:p>
    <w:tbl>
      <w:tblPr>
        <w:tblStyle w:val="TableGrid"/>
        <w:tblW w:w="0" w:type="auto"/>
        <w:jc w:val="center"/>
        <w:tblLook w:val="04A0" w:firstRow="1" w:lastRow="0" w:firstColumn="1" w:lastColumn="0" w:noHBand="0" w:noVBand="1"/>
        <w:tblCaption w:val="Table 33. Results of scenario analysis "/>
      </w:tblPr>
      <w:tblGrid>
        <w:gridCol w:w="2975"/>
        <w:gridCol w:w="1530"/>
        <w:gridCol w:w="1503"/>
        <w:gridCol w:w="1511"/>
        <w:gridCol w:w="1497"/>
      </w:tblGrid>
      <w:tr w:rsidR="00CD2534" w:rsidRPr="00F64AE0" w14:paraId="26FF72BA" w14:textId="77777777" w:rsidTr="00CF0FFE">
        <w:trPr>
          <w:tblHeader/>
          <w:jc w:val="center"/>
        </w:trPr>
        <w:tc>
          <w:tcPr>
            <w:tcW w:w="2975" w:type="dxa"/>
            <w:vAlign w:val="center"/>
          </w:tcPr>
          <w:p w14:paraId="7A6913C6" w14:textId="77777777" w:rsidR="00CD2534" w:rsidRPr="00F64AE0" w:rsidRDefault="00CD2534" w:rsidP="00D91A32">
            <w:pPr>
              <w:pStyle w:val="Tabletext1"/>
              <w:ind w:left="0"/>
              <w:jc w:val="left"/>
              <w:rPr>
                <w:b/>
              </w:rPr>
            </w:pPr>
            <w:r w:rsidRPr="00F64AE0">
              <w:rPr>
                <w:b/>
              </w:rPr>
              <w:t>Parameter</w:t>
            </w:r>
          </w:p>
        </w:tc>
        <w:tc>
          <w:tcPr>
            <w:tcW w:w="1530" w:type="dxa"/>
            <w:vAlign w:val="center"/>
          </w:tcPr>
          <w:p w14:paraId="2C287D68" w14:textId="77777777" w:rsidR="00CD2534" w:rsidRPr="00F64AE0" w:rsidRDefault="00CD2534" w:rsidP="00D91A32">
            <w:pPr>
              <w:pStyle w:val="Tabletext1"/>
              <w:ind w:left="0"/>
              <w:jc w:val="left"/>
              <w:rPr>
                <w:b/>
              </w:rPr>
            </w:pPr>
            <w:r w:rsidRPr="00F64AE0">
              <w:rPr>
                <w:b/>
              </w:rPr>
              <w:t>Incremental cost ($)</w:t>
            </w:r>
          </w:p>
        </w:tc>
        <w:tc>
          <w:tcPr>
            <w:tcW w:w="1503" w:type="dxa"/>
            <w:vAlign w:val="center"/>
          </w:tcPr>
          <w:p w14:paraId="285FB69B" w14:textId="77777777" w:rsidR="00CD2534" w:rsidRPr="00F64AE0" w:rsidRDefault="00CD2534" w:rsidP="00D91A32">
            <w:pPr>
              <w:pStyle w:val="Tabletext1"/>
              <w:ind w:left="0"/>
              <w:jc w:val="left"/>
              <w:rPr>
                <w:b/>
              </w:rPr>
            </w:pPr>
            <w:r w:rsidRPr="00F64AE0">
              <w:rPr>
                <w:b/>
              </w:rPr>
              <w:t>Incremental effectiveness</w:t>
            </w:r>
          </w:p>
        </w:tc>
        <w:tc>
          <w:tcPr>
            <w:tcW w:w="1511" w:type="dxa"/>
            <w:vAlign w:val="center"/>
          </w:tcPr>
          <w:p w14:paraId="7AED1825" w14:textId="77777777" w:rsidR="00CD2534" w:rsidRPr="00F64AE0" w:rsidRDefault="00CD2534" w:rsidP="00D91A32">
            <w:pPr>
              <w:pStyle w:val="Tabletext1"/>
              <w:ind w:left="0"/>
              <w:jc w:val="left"/>
              <w:rPr>
                <w:b/>
              </w:rPr>
            </w:pPr>
            <w:r w:rsidRPr="00F64AE0">
              <w:rPr>
                <w:b/>
              </w:rPr>
              <w:t>ICER ($/QALY)</w:t>
            </w:r>
          </w:p>
        </w:tc>
        <w:tc>
          <w:tcPr>
            <w:tcW w:w="1497" w:type="dxa"/>
            <w:vAlign w:val="center"/>
          </w:tcPr>
          <w:p w14:paraId="74C43A5A" w14:textId="77777777" w:rsidR="00CD2534" w:rsidRPr="00F64AE0" w:rsidRDefault="00CD2534" w:rsidP="00D91A32">
            <w:pPr>
              <w:pStyle w:val="Tabletext1"/>
              <w:ind w:left="0"/>
              <w:jc w:val="left"/>
              <w:rPr>
                <w:b/>
              </w:rPr>
            </w:pPr>
            <w:r w:rsidRPr="00F64AE0">
              <w:rPr>
                <w:b/>
              </w:rPr>
              <w:t>% change from base case</w:t>
            </w:r>
          </w:p>
        </w:tc>
      </w:tr>
      <w:tr w:rsidR="00CD2534" w:rsidRPr="00F64AE0" w14:paraId="264CE59D" w14:textId="77777777" w:rsidTr="00D91A32">
        <w:trPr>
          <w:jc w:val="center"/>
        </w:trPr>
        <w:tc>
          <w:tcPr>
            <w:tcW w:w="2975" w:type="dxa"/>
          </w:tcPr>
          <w:p w14:paraId="30E10FEE" w14:textId="77777777" w:rsidR="00CD2534" w:rsidRPr="00F64AE0" w:rsidRDefault="00CD2534" w:rsidP="00D91A32">
            <w:pPr>
              <w:pStyle w:val="Tabletext1"/>
              <w:ind w:left="0"/>
              <w:rPr>
                <w:b/>
              </w:rPr>
            </w:pPr>
            <w:r w:rsidRPr="00F64AE0">
              <w:rPr>
                <w:b/>
              </w:rPr>
              <w:t>Base case</w:t>
            </w:r>
          </w:p>
        </w:tc>
        <w:tc>
          <w:tcPr>
            <w:tcW w:w="1530" w:type="dxa"/>
            <w:vAlign w:val="center"/>
          </w:tcPr>
          <w:p w14:paraId="452CE671" w14:textId="77777777" w:rsidR="00CD2534" w:rsidRPr="00F64AE0" w:rsidRDefault="00CD2534" w:rsidP="00D91A32">
            <w:pPr>
              <w:pStyle w:val="Tabletext1"/>
              <w:ind w:left="0"/>
              <w:jc w:val="center"/>
              <w:rPr>
                <w:b/>
              </w:rPr>
            </w:pPr>
            <w:r w:rsidRPr="00F64AE0">
              <w:t>249,662</w:t>
            </w:r>
          </w:p>
        </w:tc>
        <w:tc>
          <w:tcPr>
            <w:tcW w:w="1503" w:type="dxa"/>
            <w:vAlign w:val="center"/>
          </w:tcPr>
          <w:p w14:paraId="669153BE" w14:textId="77777777" w:rsidR="00CD2534" w:rsidRPr="00F64AE0" w:rsidRDefault="00CD2534" w:rsidP="00D91A32">
            <w:pPr>
              <w:pStyle w:val="Tabletext1"/>
              <w:ind w:left="0"/>
              <w:jc w:val="center"/>
              <w:rPr>
                <w:b/>
              </w:rPr>
            </w:pPr>
            <w:r w:rsidRPr="00F64AE0">
              <w:t>0.786</w:t>
            </w:r>
          </w:p>
        </w:tc>
        <w:tc>
          <w:tcPr>
            <w:tcW w:w="1511" w:type="dxa"/>
            <w:vAlign w:val="center"/>
          </w:tcPr>
          <w:p w14:paraId="70467FEE" w14:textId="77777777" w:rsidR="00CD2534" w:rsidRPr="00F64AE0" w:rsidRDefault="00CD2534" w:rsidP="00D91A32">
            <w:pPr>
              <w:pStyle w:val="Tabletext1"/>
              <w:ind w:left="0"/>
              <w:jc w:val="center"/>
              <w:rPr>
                <w:b/>
              </w:rPr>
            </w:pPr>
            <w:r w:rsidRPr="00F64AE0">
              <w:t>317,552</w:t>
            </w:r>
          </w:p>
        </w:tc>
        <w:tc>
          <w:tcPr>
            <w:tcW w:w="1497" w:type="dxa"/>
            <w:vAlign w:val="center"/>
          </w:tcPr>
          <w:p w14:paraId="5BA6BA7B" w14:textId="77777777" w:rsidR="00CD2534" w:rsidRPr="00F64AE0" w:rsidRDefault="00CD2534" w:rsidP="00D91A32">
            <w:pPr>
              <w:pStyle w:val="Tabletext1"/>
              <w:ind w:left="0"/>
              <w:jc w:val="center"/>
            </w:pPr>
            <w:r w:rsidRPr="00F64AE0">
              <w:t>NA</w:t>
            </w:r>
          </w:p>
        </w:tc>
      </w:tr>
      <w:tr w:rsidR="00CD2534" w:rsidRPr="00F64AE0" w14:paraId="55CAA665" w14:textId="77777777" w:rsidTr="00D91A32">
        <w:trPr>
          <w:jc w:val="center"/>
        </w:trPr>
        <w:tc>
          <w:tcPr>
            <w:tcW w:w="2975" w:type="dxa"/>
            <w:vAlign w:val="center"/>
          </w:tcPr>
          <w:p w14:paraId="6F118535" w14:textId="77777777" w:rsidR="00CD2534" w:rsidRPr="00F64AE0" w:rsidRDefault="00CD2534" w:rsidP="00D91A32">
            <w:pPr>
              <w:pStyle w:val="Tabletext1"/>
              <w:ind w:left="0"/>
              <w:jc w:val="left"/>
            </w:pPr>
            <w:r w:rsidRPr="00F64AE0">
              <w:t xml:space="preserve">Weighted average cost of Ig across all indications ($94.51). </w:t>
            </w:r>
          </w:p>
        </w:tc>
        <w:tc>
          <w:tcPr>
            <w:tcW w:w="1530" w:type="dxa"/>
            <w:vAlign w:val="center"/>
          </w:tcPr>
          <w:p w14:paraId="0E3045E8" w14:textId="77777777" w:rsidR="00CD2534" w:rsidRPr="00F64AE0" w:rsidRDefault="00CD2534" w:rsidP="00D91A32">
            <w:pPr>
              <w:pStyle w:val="Tabletext1"/>
              <w:ind w:left="0"/>
              <w:jc w:val="center"/>
            </w:pPr>
            <w:r w:rsidRPr="00F64AE0">
              <w:t>353,274</w:t>
            </w:r>
          </w:p>
        </w:tc>
        <w:tc>
          <w:tcPr>
            <w:tcW w:w="1503" w:type="dxa"/>
            <w:vAlign w:val="center"/>
          </w:tcPr>
          <w:p w14:paraId="6CF68E4D" w14:textId="77777777" w:rsidR="00CD2534" w:rsidRPr="00F64AE0" w:rsidRDefault="00CD2534" w:rsidP="00D91A32">
            <w:pPr>
              <w:pStyle w:val="Tabletext1"/>
              <w:ind w:left="0"/>
              <w:jc w:val="center"/>
            </w:pPr>
            <w:r w:rsidRPr="00F64AE0">
              <w:t>0.786</w:t>
            </w:r>
          </w:p>
        </w:tc>
        <w:tc>
          <w:tcPr>
            <w:tcW w:w="1511" w:type="dxa"/>
            <w:vAlign w:val="center"/>
          </w:tcPr>
          <w:p w14:paraId="49BE0294" w14:textId="77777777" w:rsidR="00CD2534" w:rsidRPr="00F64AE0" w:rsidRDefault="00CD2534" w:rsidP="00D91A32">
            <w:pPr>
              <w:pStyle w:val="Tabletext1"/>
              <w:ind w:left="0"/>
              <w:jc w:val="center"/>
            </w:pPr>
            <w:r w:rsidRPr="00F64AE0">
              <w:t>449,338</w:t>
            </w:r>
          </w:p>
        </w:tc>
        <w:tc>
          <w:tcPr>
            <w:tcW w:w="1497" w:type="dxa"/>
            <w:vAlign w:val="center"/>
          </w:tcPr>
          <w:p w14:paraId="1975C31B" w14:textId="77777777" w:rsidR="00CD2534" w:rsidRPr="00F64AE0" w:rsidRDefault="00CD2534" w:rsidP="00D91A32">
            <w:pPr>
              <w:pStyle w:val="Tabletext1"/>
              <w:ind w:left="0"/>
              <w:jc w:val="center"/>
            </w:pPr>
            <w:r w:rsidRPr="00F64AE0">
              <w:t>42%↑</w:t>
            </w:r>
          </w:p>
        </w:tc>
      </w:tr>
      <w:tr w:rsidR="00CD2534" w:rsidRPr="00F64AE0" w14:paraId="3357D079" w14:textId="77777777" w:rsidTr="00D91A32">
        <w:trPr>
          <w:jc w:val="center"/>
        </w:trPr>
        <w:tc>
          <w:tcPr>
            <w:tcW w:w="2975" w:type="dxa"/>
            <w:vAlign w:val="center"/>
          </w:tcPr>
          <w:p w14:paraId="5A5E4463" w14:textId="77777777" w:rsidR="00CD2534" w:rsidRPr="00F64AE0" w:rsidRDefault="00CD2534" w:rsidP="00D91A32">
            <w:pPr>
              <w:pStyle w:val="Tabletext1"/>
              <w:ind w:left="0"/>
              <w:jc w:val="left"/>
            </w:pPr>
            <w:r w:rsidRPr="00F64AE0">
              <w:t>Assuming 50% SCIg and 50% Intravenous Ig use (equal price = $60.41)</w:t>
            </w:r>
          </w:p>
        </w:tc>
        <w:tc>
          <w:tcPr>
            <w:tcW w:w="1530" w:type="dxa"/>
            <w:vAlign w:val="center"/>
          </w:tcPr>
          <w:p w14:paraId="6D725FAE" w14:textId="77777777" w:rsidR="00CD2534" w:rsidRPr="00F64AE0" w:rsidRDefault="00CD2534" w:rsidP="00D91A32">
            <w:pPr>
              <w:pStyle w:val="Tabletext1"/>
              <w:ind w:left="0"/>
              <w:jc w:val="center"/>
            </w:pPr>
            <w:r w:rsidRPr="00F64AE0">
              <w:t>221,455</w:t>
            </w:r>
          </w:p>
        </w:tc>
        <w:tc>
          <w:tcPr>
            <w:tcW w:w="1503" w:type="dxa"/>
            <w:vAlign w:val="center"/>
          </w:tcPr>
          <w:p w14:paraId="57CD8E9F" w14:textId="77777777" w:rsidR="00CD2534" w:rsidRPr="00F64AE0" w:rsidRDefault="00CD2534" w:rsidP="00D91A32">
            <w:pPr>
              <w:pStyle w:val="Tabletext1"/>
              <w:ind w:left="0"/>
              <w:jc w:val="center"/>
            </w:pPr>
            <w:r w:rsidRPr="00F64AE0">
              <w:t>0.786</w:t>
            </w:r>
          </w:p>
        </w:tc>
        <w:tc>
          <w:tcPr>
            <w:tcW w:w="1511" w:type="dxa"/>
            <w:vAlign w:val="center"/>
          </w:tcPr>
          <w:p w14:paraId="03E53FB5" w14:textId="77777777" w:rsidR="00CD2534" w:rsidRPr="00F64AE0" w:rsidRDefault="00CD2534" w:rsidP="00D91A32">
            <w:pPr>
              <w:pStyle w:val="Tabletext1"/>
              <w:ind w:left="0"/>
              <w:jc w:val="center"/>
            </w:pPr>
            <w:r w:rsidRPr="00F64AE0">
              <w:t>281,675</w:t>
            </w:r>
          </w:p>
        </w:tc>
        <w:tc>
          <w:tcPr>
            <w:tcW w:w="1497" w:type="dxa"/>
            <w:vAlign w:val="center"/>
          </w:tcPr>
          <w:p w14:paraId="0CC9C358" w14:textId="77777777" w:rsidR="00CD2534" w:rsidRPr="00F64AE0" w:rsidRDefault="00CD2534" w:rsidP="00D91A32">
            <w:pPr>
              <w:pStyle w:val="Tabletext1"/>
              <w:ind w:left="0"/>
              <w:jc w:val="center"/>
            </w:pPr>
            <w:r w:rsidRPr="00F64AE0">
              <w:t>11%↓</w:t>
            </w:r>
          </w:p>
        </w:tc>
      </w:tr>
      <w:tr w:rsidR="00CD2534" w:rsidRPr="00F64AE0" w14:paraId="05EF8ACB" w14:textId="77777777" w:rsidTr="00D91A32">
        <w:trPr>
          <w:jc w:val="center"/>
        </w:trPr>
        <w:tc>
          <w:tcPr>
            <w:tcW w:w="2975" w:type="dxa"/>
            <w:vAlign w:val="center"/>
          </w:tcPr>
          <w:p w14:paraId="4AE59310" w14:textId="77777777" w:rsidR="00CD2534" w:rsidRPr="00F64AE0" w:rsidRDefault="00CD2534" w:rsidP="00D91A32">
            <w:pPr>
              <w:pStyle w:val="Tabletext1"/>
              <w:ind w:left="0"/>
              <w:jc w:val="left"/>
            </w:pPr>
            <w:r w:rsidRPr="00F64AE0">
              <w:t>Discontinuation rate reported in NRS (0.095).</w:t>
            </w:r>
          </w:p>
        </w:tc>
        <w:tc>
          <w:tcPr>
            <w:tcW w:w="1530" w:type="dxa"/>
            <w:vAlign w:val="center"/>
          </w:tcPr>
          <w:p w14:paraId="6447B63C" w14:textId="77777777" w:rsidR="00CD2534" w:rsidRPr="00F64AE0" w:rsidRDefault="00CD2534" w:rsidP="00D91A32">
            <w:pPr>
              <w:pStyle w:val="Tabletext1"/>
              <w:ind w:left="0"/>
              <w:jc w:val="center"/>
            </w:pPr>
            <w:r w:rsidRPr="00F64AE0">
              <w:t>118,298</w:t>
            </w:r>
          </w:p>
        </w:tc>
        <w:tc>
          <w:tcPr>
            <w:tcW w:w="1503" w:type="dxa"/>
            <w:vAlign w:val="center"/>
          </w:tcPr>
          <w:p w14:paraId="2E270B71" w14:textId="77777777" w:rsidR="00CD2534" w:rsidRPr="00F64AE0" w:rsidRDefault="00CD2534" w:rsidP="00D91A32">
            <w:pPr>
              <w:pStyle w:val="Tabletext1"/>
              <w:ind w:left="0"/>
              <w:jc w:val="center"/>
            </w:pPr>
            <w:r w:rsidRPr="00F64AE0">
              <w:t>0.359</w:t>
            </w:r>
          </w:p>
        </w:tc>
        <w:tc>
          <w:tcPr>
            <w:tcW w:w="1511" w:type="dxa"/>
            <w:vAlign w:val="center"/>
          </w:tcPr>
          <w:p w14:paraId="2AEEBA41" w14:textId="77777777" w:rsidR="00CD2534" w:rsidRPr="00F64AE0" w:rsidRDefault="00CD2534" w:rsidP="00D91A32">
            <w:pPr>
              <w:pStyle w:val="Tabletext1"/>
              <w:ind w:left="0"/>
              <w:jc w:val="center"/>
            </w:pPr>
            <w:r w:rsidRPr="00F64AE0">
              <w:t>329,662</w:t>
            </w:r>
          </w:p>
        </w:tc>
        <w:tc>
          <w:tcPr>
            <w:tcW w:w="1497" w:type="dxa"/>
            <w:vAlign w:val="center"/>
          </w:tcPr>
          <w:p w14:paraId="236C1F0A" w14:textId="77777777" w:rsidR="00CD2534" w:rsidRPr="00F64AE0" w:rsidRDefault="00CD2534" w:rsidP="00D91A32">
            <w:pPr>
              <w:pStyle w:val="Tabletext1"/>
              <w:ind w:left="0"/>
              <w:jc w:val="center"/>
            </w:pPr>
            <w:r w:rsidRPr="00F64AE0">
              <w:t>4%↑</w:t>
            </w:r>
          </w:p>
        </w:tc>
      </w:tr>
      <w:tr w:rsidR="00CD2534" w:rsidRPr="00F64AE0" w14:paraId="2F177B9D" w14:textId="77777777" w:rsidTr="00D91A32">
        <w:trPr>
          <w:jc w:val="center"/>
        </w:trPr>
        <w:tc>
          <w:tcPr>
            <w:tcW w:w="2975" w:type="dxa"/>
            <w:vAlign w:val="center"/>
          </w:tcPr>
          <w:p w14:paraId="51AC3E26" w14:textId="77777777" w:rsidR="00CD2534" w:rsidRPr="00F64AE0" w:rsidRDefault="00CD2534" w:rsidP="00D91A32">
            <w:pPr>
              <w:pStyle w:val="Tabletext1"/>
              <w:ind w:left="0"/>
              <w:jc w:val="left"/>
            </w:pPr>
            <w:r w:rsidRPr="00F64AE0">
              <w:t>Assuming 50% Subcutaneous Ig and 50% intravenous Ig use (SCIg=$75.19 per gram; intravenous Ig= $60.41 per gram)</w:t>
            </w:r>
          </w:p>
        </w:tc>
        <w:tc>
          <w:tcPr>
            <w:tcW w:w="1530" w:type="dxa"/>
            <w:vAlign w:val="center"/>
          </w:tcPr>
          <w:p w14:paraId="57D91EAE" w14:textId="77777777" w:rsidR="00CD2534" w:rsidRPr="00F64AE0" w:rsidRDefault="00CD2534" w:rsidP="00D91A32">
            <w:pPr>
              <w:pStyle w:val="Tabletext1"/>
              <w:ind w:left="0"/>
              <w:jc w:val="center"/>
            </w:pPr>
            <w:r w:rsidRPr="00F64AE0">
              <w:t>245,424</w:t>
            </w:r>
          </w:p>
        </w:tc>
        <w:tc>
          <w:tcPr>
            <w:tcW w:w="1503" w:type="dxa"/>
            <w:vAlign w:val="center"/>
          </w:tcPr>
          <w:p w14:paraId="3F7AE21C" w14:textId="77777777" w:rsidR="00CD2534" w:rsidRPr="00F64AE0" w:rsidRDefault="00CD2534" w:rsidP="00D91A32">
            <w:pPr>
              <w:pStyle w:val="Tabletext1"/>
              <w:ind w:left="0"/>
              <w:jc w:val="center"/>
            </w:pPr>
            <w:r w:rsidRPr="00F64AE0">
              <w:t>0.786</w:t>
            </w:r>
          </w:p>
        </w:tc>
        <w:tc>
          <w:tcPr>
            <w:tcW w:w="1511" w:type="dxa"/>
            <w:vAlign w:val="center"/>
          </w:tcPr>
          <w:p w14:paraId="68413166" w14:textId="77777777" w:rsidR="00CD2534" w:rsidRPr="00F64AE0" w:rsidRDefault="00CD2534" w:rsidP="00D91A32">
            <w:pPr>
              <w:pStyle w:val="Tabletext1"/>
              <w:ind w:left="0"/>
              <w:jc w:val="center"/>
            </w:pPr>
            <w:r w:rsidRPr="00F64AE0">
              <w:t>312,161</w:t>
            </w:r>
          </w:p>
        </w:tc>
        <w:tc>
          <w:tcPr>
            <w:tcW w:w="1497" w:type="dxa"/>
            <w:vAlign w:val="center"/>
          </w:tcPr>
          <w:p w14:paraId="2810FF1B" w14:textId="77777777" w:rsidR="00CD2534" w:rsidRPr="00F64AE0" w:rsidRDefault="00CD2534" w:rsidP="00D91A32">
            <w:pPr>
              <w:pStyle w:val="Tabletext1"/>
              <w:ind w:left="0"/>
              <w:jc w:val="center"/>
            </w:pPr>
            <w:r w:rsidRPr="00F64AE0">
              <w:t>2%↓</w:t>
            </w:r>
          </w:p>
        </w:tc>
      </w:tr>
      <w:tr w:rsidR="00CD2534" w:rsidRPr="00F64AE0" w14:paraId="5ED6795D" w14:textId="77777777" w:rsidTr="00D91A32">
        <w:trPr>
          <w:jc w:val="center"/>
        </w:trPr>
        <w:tc>
          <w:tcPr>
            <w:tcW w:w="2975" w:type="dxa"/>
            <w:vAlign w:val="center"/>
          </w:tcPr>
          <w:p w14:paraId="32EDF07B" w14:textId="77777777" w:rsidR="00CD2534" w:rsidRPr="00F64AE0" w:rsidRDefault="00CD2534" w:rsidP="00D91A32">
            <w:pPr>
              <w:pStyle w:val="Tabletext1"/>
              <w:ind w:left="0"/>
              <w:jc w:val="left"/>
            </w:pPr>
            <w:r w:rsidRPr="00F64AE0">
              <w:t>Discount rate (0%)</w:t>
            </w:r>
          </w:p>
        </w:tc>
        <w:tc>
          <w:tcPr>
            <w:tcW w:w="1530" w:type="dxa"/>
            <w:vAlign w:val="center"/>
          </w:tcPr>
          <w:p w14:paraId="6D2F6C3B" w14:textId="77777777" w:rsidR="00CD2534" w:rsidRPr="00F64AE0" w:rsidRDefault="00CD2534" w:rsidP="00D91A32">
            <w:pPr>
              <w:pStyle w:val="Tabletext1"/>
              <w:ind w:left="0"/>
              <w:jc w:val="center"/>
            </w:pPr>
            <w:r w:rsidRPr="00F64AE0">
              <w:t>341,176</w:t>
            </w:r>
          </w:p>
        </w:tc>
        <w:tc>
          <w:tcPr>
            <w:tcW w:w="1503" w:type="dxa"/>
            <w:vAlign w:val="center"/>
          </w:tcPr>
          <w:p w14:paraId="4F58138F" w14:textId="77777777" w:rsidR="00CD2534" w:rsidRPr="00F64AE0" w:rsidRDefault="00CD2534" w:rsidP="00D91A32">
            <w:pPr>
              <w:pStyle w:val="Tabletext1"/>
              <w:ind w:left="0"/>
              <w:jc w:val="center"/>
            </w:pPr>
            <w:r w:rsidRPr="00F64AE0">
              <w:t>1.085</w:t>
            </w:r>
          </w:p>
        </w:tc>
        <w:tc>
          <w:tcPr>
            <w:tcW w:w="1511" w:type="dxa"/>
            <w:vAlign w:val="center"/>
          </w:tcPr>
          <w:p w14:paraId="00F3462C" w14:textId="77777777" w:rsidR="00CD2534" w:rsidRPr="00F64AE0" w:rsidRDefault="00CD2534" w:rsidP="00D91A32">
            <w:pPr>
              <w:pStyle w:val="Tabletext1"/>
              <w:ind w:left="0"/>
              <w:jc w:val="center"/>
            </w:pPr>
            <w:r w:rsidRPr="00F64AE0">
              <w:t>314,560</w:t>
            </w:r>
          </w:p>
        </w:tc>
        <w:tc>
          <w:tcPr>
            <w:tcW w:w="1497" w:type="dxa"/>
            <w:vAlign w:val="center"/>
          </w:tcPr>
          <w:p w14:paraId="0FD7A4B5" w14:textId="77777777" w:rsidR="00CD2534" w:rsidRPr="00F64AE0" w:rsidRDefault="00CD2534" w:rsidP="00D91A32">
            <w:pPr>
              <w:pStyle w:val="Tabletext1"/>
              <w:ind w:left="0"/>
              <w:jc w:val="center"/>
            </w:pPr>
            <w:r w:rsidRPr="00F64AE0">
              <w:t>1%↓</w:t>
            </w:r>
          </w:p>
        </w:tc>
      </w:tr>
      <w:tr w:rsidR="00CD2534" w:rsidRPr="00F64AE0" w14:paraId="0B5ADD24" w14:textId="77777777" w:rsidTr="00D91A32">
        <w:trPr>
          <w:jc w:val="center"/>
        </w:trPr>
        <w:tc>
          <w:tcPr>
            <w:tcW w:w="2975" w:type="dxa"/>
            <w:vAlign w:val="center"/>
          </w:tcPr>
          <w:p w14:paraId="64FAC04F" w14:textId="77777777" w:rsidR="00CD2534" w:rsidRPr="00F64AE0" w:rsidRDefault="00CD2534" w:rsidP="00D91A32">
            <w:pPr>
              <w:pStyle w:val="Tabletext1"/>
              <w:ind w:left="0"/>
              <w:jc w:val="left"/>
            </w:pPr>
            <w:r w:rsidRPr="00F64AE0">
              <w:t>Mean age of MMN patients in RCTs (48 years)</w:t>
            </w:r>
          </w:p>
        </w:tc>
        <w:tc>
          <w:tcPr>
            <w:tcW w:w="1530" w:type="dxa"/>
            <w:vAlign w:val="center"/>
          </w:tcPr>
          <w:p w14:paraId="02B07EDB" w14:textId="77777777" w:rsidR="00CD2534" w:rsidRPr="00F64AE0" w:rsidRDefault="00CD2534" w:rsidP="00D91A32">
            <w:pPr>
              <w:pStyle w:val="Tabletext1"/>
              <w:ind w:left="0"/>
              <w:jc w:val="center"/>
            </w:pPr>
            <w:r w:rsidRPr="00F64AE0">
              <w:t>256,695</w:t>
            </w:r>
          </w:p>
        </w:tc>
        <w:tc>
          <w:tcPr>
            <w:tcW w:w="1503" w:type="dxa"/>
            <w:vAlign w:val="center"/>
          </w:tcPr>
          <w:p w14:paraId="47FF371A" w14:textId="77777777" w:rsidR="00CD2534" w:rsidRPr="00F64AE0" w:rsidRDefault="00CD2534" w:rsidP="00D91A32">
            <w:pPr>
              <w:pStyle w:val="Tabletext1"/>
              <w:ind w:left="0"/>
              <w:jc w:val="center"/>
            </w:pPr>
            <w:r w:rsidRPr="00F64AE0">
              <w:t>0.809</w:t>
            </w:r>
          </w:p>
        </w:tc>
        <w:tc>
          <w:tcPr>
            <w:tcW w:w="1511" w:type="dxa"/>
            <w:vAlign w:val="center"/>
          </w:tcPr>
          <w:p w14:paraId="24F1CC59" w14:textId="77777777" w:rsidR="00CD2534" w:rsidRPr="00F64AE0" w:rsidRDefault="00CD2534" w:rsidP="00D91A32">
            <w:pPr>
              <w:pStyle w:val="Tabletext1"/>
              <w:ind w:left="0"/>
              <w:jc w:val="center"/>
            </w:pPr>
            <w:r w:rsidRPr="00F64AE0">
              <w:t>317,214</w:t>
            </w:r>
          </w:p>
        </w:tc>
        <w:tc>
          <w:tcPr>
            <w:tcW w:w="1497" w:type="dxa"/>
            <w:vAlign w:val="center"/>
          </w:tcPr>
          <w:p w14:paraId="6B392C06" w14:textId="77777777" w:rsidR="00CD2534" w:rsidRPr="00F64AE0" w:rsidRDefault="00CD2534" w:rsidP="00D91A32">
            <w:pPr>
              <w:pStyle w:val="Tabletext1"/>
              <w:ind w:left="0"/>
              <w:jc w:val="center"/>
            </w:pPr>
            <w:r w:rsidRPr="00F64AE0">
              <w:t>0.1%↓</w:t>
            </w:r>
          </w:p>
        </w:tc>
      </w:tr>
      <w:tr w:rsidR="00CD2534" w:rsidRPr="00F64AE0" w14:paraId="78B8F434" w14:textId="77777777" w:rsidTr="00D91A32">
        <w:trPr>
          <w:jc w:val="center"/>
        </w:trPr>
        <w:tc>
          <w:tcPr>
            <w:tcW w:w="2975" w:type="dxa"/>
            <w:vAlign w:val="center"/>
          </w:tcPr>
          <w:p w14:paraId="37E26467" w14:textId="77777777" w:rsidR="00CD2534" w:rsidRPr="00F64AE0" w:rsidRDefault="00CD2534" w:rsidP="00D91A32">
            <w:pPr>
              <w:pStyle w:val="Tabletext1"/>
              <w:ind w:left="0"/>
              <w:jc w:val="left"/>
            </w:pPr>
            <w:r w:rsidRPr="00F64AE0">
              <w:t>Assuming pre-treated patients have a higher probability of responding to intravenous Ig compared to treatment naïve patients (0.929 versus 0.778)</w:t>
            </w:r>
          </w:p>
        </w:tc>
        <w:tc>
          <w:tcPr>
            <w:tcW w:w="1530" w:type="dxa"/>
            <w:vAlign w:val="center"/>
          </w:tcPr>
          <w:p w14:paraId="03329159" w14:textId="77777777" w:rsidR="00CD2534" w:rsidRPr="00F64AE0" w:rsidRDefault="00CD2534" w:rsidP="00D91A32">
            <w:pPr>
              <w:pStyle w:val="Tabletext1"/>
              <w:ind w:left="0"/>
              <w:jc w:val="center"/>
            </w:pPr>
            <w:r w:rsidRPr="00F64AE0">
              <w:t>265,626</w:t>
            </w:r>
          </w:p>
        </w:tc>
        <w:tc>
          <w:tcPr>
            <w:tcW w:w="1503" w:type="dxa"/>
            <w:vAlign w:val="center"/>
          </w:tcPr>
          <w:p w14:paraId="45FEB336" w14:textId="77777777" w:rsidR="00CD2534" w:rsidRPr="00F64AE0" w:rsidRDefault="00CD2534" w:rsidP="00D91A32">
            <w:pPr>
              <w:pStyle w:val="Tabletext1"/>
              <w:ind w:left="0"/>
              <w:jc w:val="center"/>
            </w:pPr>
            <w:r w:rsidRPr="00F64AE0">
              <w:t>0.838</w:t>
            </w:r>
          </w:p>
        </w:tc>
        <w:tc>
          <w:tcPr>
            <w:tcW w:w="1511" w:type="dxa"/>
            <w:vAlign w:val="center"/>
          </w:tcPr>
          <w:p w14:paraId="572DFB14" w14:textId="77777777" w:rsidR="00CD2534" w:rsidRPr="00F64AE0" w:rsidRDefault="00CD2534" w:rsidP="00D91A32">
            <w:pPr>
              <w:pStyle w:val="Tabletext1"/>
              <w:ind w:left="0"/>
              <w:jc w:val="center"/>
            </w:pPr>
            <w:r w:rsidRPr="00F64AE0">
              <w:t xml:space="preserve">316,938 </w:t>
            </w:r>
          </w:p>
        </w:tc>
        <w:tc>
          <w:tcPr>
            <w:tcW w:w="1497" w:type="dxa"/>
            <w:vAlign w:val="center"/>
          </w:tcPr>
          <w:p w14:paraId="1A0624A8" w14:textId="77777777" w:rsidR="00CD2534" w:rsidRPr="00F64AE0" w:rsidRDefault="00CD2534" w:rsidP="00D91A32">
            <w:pPr>
              <w:pStyle w:val="Tabletext1"/>
              <w:ind w:left="0"/>
              <w:jc w:val="center"/>
            </w:pPr>
            <w:r w:rsidRPr="00F64AE0">
              <w:t>0.2%↓</w:t>
            </w:r>
          </w:p>
        </w:tc>
      </w:tr>
      <w:tr w:rsidR="00CD2534" w:rsidRPr="00F64AE0" w14:paraId="7D05370F" w14:textId="77777777" w:rsidTr="00D91A32">
        <w:trPr>
          <w:jc w:val="center"/>
        </w:trPr>
        <w:tc>
          <w:tcPr>
            <w:tcW w:w="2975" w:type="dxa"/>
            <w:vAlign w:val="center"/>
          </w:tcPr>
          <w:p w14:paraId="6A7D716A" w14:textId="77777777" w:rsidR="00CD2534" w:rsidRPr="00F64AE0" w:rsidRDefault="00CD2534" w:rsidP="00D91A32">
            <w:pPr>
              <w:pStyle w:val="Tabletext1"/>
              <w:ind w:left="0"/>
              <w:jc w:val="left"/>
            </w:pPr>
            <w:r w:rsidRPr="00F64AE0">
              <w:t xml:space="preserve">Deterioration in QoL over time: assuming annual decline of utility </w:t>
            </w:r>
            <w:r w:rsidRPr="00F64AE0">
              <w:lastRenderedPageBreak/>
              <w:t>weight of 0.01 in the intravenous Ig arm and 0.032 in no intravenous Ig</w:t>
            </w:r>
            <w:r w:rsidRPr="00F64AE0">
              <w:rPr>
                <w:vertAlign w:val="superscript"/>
              </w:rPr>
              <w:t>1</w:t>
            </w:r>
            <w:r w:rsidRPr="00F64AE0">
              <w:t xml:space="preserve"> arm</w:t>
            </w:r>
          </w:p>
        </w:tc>
        <w:tc>
          <w:tcPr>
            <w:tcW w:w="1530" w:type="dxa"/>
            <w:vAlign w:val="center"/>
          </w:tcPr>
          <w:p w14:paraId="6974D987" w14:textId="77777777" w:rsidR="00CD2534" w:rsidRPr="00F64AE0" w:rsidRDefault="00CD2534" w:rsidP="00D91A32">
            <w:pPr>
              <w:pStyle w:val="Tabletext1"/>
              <w:ind w:left="0"/>
              <w:jc w:val="center"/>
            </w:pPr>
            <w:r w:rsidRPr="00F64AE0">
              <w:lastRenderedPageBreak/>
              <w:t>249,662</w:t>
            </w:r>
          </w:p>
        </w:tc>
        <w:tc>
          <w:tcPr>
            <w:tcW w:w="1503" w:type="dxa"/>
            <w:vAlign w:val="center"/>
          </w:tcPr>
          <w:p w14:paraId="42CA1112" w14:textId="77777777" w:rsidR="00CD2534" w:rsidRPr="00F64AE0" w:rsidRDefault="00CD2534" w:rsidP="00D91A32">
            <w:pPr>
              <w:pStyle w:val="Tabletext1"/>
              <w:ind w:left="0"/>
              <w:jc w:val="center"/>
            </w:pPr>
            <w:r w:rsidRPr="00F64AE0">
              <w:t>2.533</w:t>
            </w:r>
          </w:p>
        </w:tc>
        <w:tc>
          <w:tcPr>
            <w:tcW w:w="1511" w:type="dxa"/>
            <w:vAlign w:val="center"/>
          </w:tcPr>
          <w:p w14:paraId="5CFDB122" w14:textId="77777777" w:rsidR="00CD2534" w:rsidRPr="00F64AE0" w:rsidRDefault="00CD2534" w:rsidP="00D91A32">
            <w:pPr>
              <w:pStyle w:val="Tabletext1"/>
              <w:ind w:left="0"/>
              <w:jc w:val="center"/>
            </w:pPr>
            <w:r w:rsidRPr="00F64AE0">
              <w:t>98,559</w:t>
            </w:r>
          </w:p>
        </w:tc>
        <w:tc>
          <w:tcPr>
            <w:tcW w:w="1497" w:type="dxa"/>
            <w:vAlign w:val="center"/>
          </w:tcPr>
          <w:p w14:paraId="0B815E24" w14:textId="77777777" w:rsidR="00CD2534" w:rsidRPr="00F64AE0" w:rsidRDefault="00CD2534" w:rsidP="00D91A32">
            <w:pPr>
              <w:pStyle w:val="Tabletext1"/>
              <w:ind w:left="0"/>
              <w:jc w:val="center"/>
            </w:pPr>
            <w:r w:rsidRPr="00F64AE0">
              <w:t>69%↓</w:t>
            </w:r>
          </w:p>
        </w:tc>
      </w:tr>
      <w:tr w:rsidR="00CD2534" w:rsidRPr="00F64AE0" w14:paraId="45162368" w14:textId="77777777" w:rsidTr="00D91A32">
        <w:trPr>
          <w:jc w:val="center"/>
        </w:trPr>
        <w:tc>
          <w:tcPr>
            <w:tcW w:w="2975" w:type="dxa"/>
            <w:vAlign w:val="center"/>
          </w:tcPr>
          <w:p w14:paraId="4C1E2C31" w14:textId="77777777" w:rsidR="00CD2534" w:rsidRPr="00F64AE0" w:rsidRDefault="00CD2534" w:rsidP="00D91A32">
            <w:pPr>
              <w:pStyle w:val="Tabletext1"/>
              <w:ind w:left="22"/>
              <w:jc w:val="left"/>
              <w:rPr>
                <w:vertAlign w:val="superscript"/>
              </w:rPr>
            </w:pPr>
            <w:r w:rsidRPr="00F64AE0">
              <w:t>Deterioration in QoL over time: assuming annual reduction of 0.005 in the intravenous Ig arm and 0.016 in no intravenous Ig arm</w:t>
            </w:r>
            <w:r w:rsidRPr="00F64AE0">
              <w:rPr>
                <w:vertAlign w:val="superscript"/>
              </w:rPr>
              <w:t>2</w:t>
            </w:r>
          </w:p>
        </w:tc>
        <w:tc>
          <w:tcPr>
            <w:tcW w:w="1530" w:type="dxa"/>
            <w:vAlign w:val="center"/>
          </w:tcPr>
          <w:p w14:paraId="3C922373" w14:textId="77777777" w:rsidR="00CD2534" w:rsidRPr="00F64AE0" w:rsidRDefault="00CD2534" w:rsidP="00D91A32">
            <w:pPr>
              <w:pStyle w:val="Tabletext1"/>
              <w:ind w:left="0"/>
              <w:jc w:val="center"/>
            </w:pPr>
            <w:r w:rsidRPr="00F64AE0">
              <w:t>249,662</w:t>
            </w:r>
          </w:p>
        </w:tc>
        <w:tc>
          <w:tcPr>
            <w:tcW w:w="1503" w:type="dxa"/>
            <w:vAlign w:val="center"/>
          </w:tcPr>
          <w:p w14:paraId="4D66CFD6" w14:textId="77777777" w:rsidR="00CD2534" w:rsidRPr="00F64AE0" w:rsidRDefault="00CD2534" w:rsidP="00D91A32">
            <w:pPr>
              <w:pStyle w:val="Tabletext1"/>
              <w:ind w:left="0"/>
              <w:jc w:val="center"/>
            </w:pPr>
            <w:r w:rsidRPr="00F64AE0">
              <w:t>1.660</w:t>
            </w:r>
          </w:p>
        </w:tc>
        <w:tc>
          <w:tcPr>
            <w:tcW w:w="1511" w:type="dxa"/>
            <w:vAlign w:val="center"/>
          </w:tcPr>
          <w:p w14:paraId="7C403582" w14:textId="77777777" w:rsidR="00CD2534" w:rsidRPr="00F64AE0" w:rsidRDefault="00CD2534" w:rsidP="00D91A32">
            <w:pPr>
              <w:pStyle w:val="Tabletext1"/>
              <w:ind w:left="0"/>
              <w:jc w:val="center"/>
            </w:pPr>
            <w:r w:rsidRPr="00F64AE0">
              <w:t>150,429</w:t>
            </w:r>
          </w:p>
        </w:tc>
        <w:tc>
          <w:tcPr>
            <w:tcW w:w="1497" w:type="dxa"/>
            <w:vAlign w:val="center"/>
          </w:tcPr>
          <w:p w14:paraId="4651A43A" w14:textId="77777777" w:rsidR="00CD2534" w:rsidRPr="00F64AE0" w:rsidRDefault="00CD2534" w:rsidP="00D91A32">
            <w:pPr>
              <w:pStyle w:val="Tabletext1"/>
              <w:ind w:left="0"/>
              <w:jc w:val="center"/>
            </w:pPr>
            <w:r w:rsidRPr="00F64AE0">
              <w:t>53%↓</w:t>
            </w:r>
          </w:p>
        </w:tc>
      </w:tr>
      <w:tr w:rsidR="00CD2534" w:rsidRPr="00DA3C6E" w14:paraId="7B4FB677" w14:textId="77777777" w:rsidTr="00D91A32">
        <w:trPr>
          <w:jc w:val="center"/>
        </w:trPr>
        <w:tc>
          <w:tcPr>
            <w:tcW w:w="2975" w:type="dxa"/>
            <w:vAlign w:val="center"/>
          </w:tcPr>
          <w:p w14:paraId="7D591A8E" w14:textId="77777777" w:rsidR="00CD2534" w:rsidRPr="00F64AE0" w:rsidRDefault="00CD2534" w:rsidP="00D91A32">
            <w:pPr>
              <w:pStyle w:val="Tabletext1"/>
              <w:ind w:left="22"/>
              <w:jc w:val="left"/>
              <w:rPr>
                <w:vertAlign w:val="superscript"/>
              </w:rPr>
            </w:pPr>
            <w:r w:rsidRPr="00F64AE0">
              <w:t>Deterioration in QoL over time: assuming annual reduction of 0.015 in the intravenous Ig arm and 0.048 in no intravenous Ig arm</w:t>
            </w:r>
            <w:r w:rsidRPr="00F64AE0">
              <w:rPr>
                <w:vertAlign w:val="superscript"/>
              </w:rPr>
              <w:t>3</w:t>
            </w:r>
            <w:r w:rsidRPr="00F64AE0">
              <w:t xml:space="preserve"> </w:t>
            </w:r>
          </w:p>
        </w:tc>
        <w:tc>
          <w:tcPr>
            <w:tcW w:w="1530" w:type="dxa"/>
            <w:vAlign w:val="center"/>
          </w:tcPr>
          <w:p w14:paraId="5E5CA841" w14:textId="77777777" w:rsidR="00CD2534" w:rsidRPr="00F64AE0" w:rsidRDefault="00CD2534" w:rsidP="00D91A32">
            <w:pPr>
              <w:pStyle w:val="Tabletext1"/>
              <w:ind w:left="0"/>
              <w:jc w:val="center"/>
            </w:pPr>
            <w:r w:rsidRPr="00F64AE0">
              <w:t>249,662</w:t>
            </w:r>
          </w:p>
        </w:tc>
        <w:tc>
          <w:tcPr>
            <w:tcW w:w="1503" w:type="dxa"/>
            <w:vAlign w:val="center"/>
          </w:tcPr>
          <w:p w14:paraId="23AFAA65" w14:textId="77777777" w:rsidR="00CD2534" w:rsidRPr="00F64AE0" w:rsidRDefault="00CD2534" w:rsidP="00D91A32">
            <w:pPr>
              <w:pStyle w:val="Tabletext1"/>
              <w:ind w:left="0"/>
              <w:jc w:val="center"/>
            </w:pPr>
            <w:r w:rsidRPr="00F64AE0">
              <w:t>3.407</w:t>
            </w:r>
          </w:p>
        </w:tc>
        <w:tc>
          <w:tcPr>
            <w:tcW w:w="1511" w:type="dxa"/>
            <w:vAlign w:val="center"/>
          </w:tcPr>
          <w:p w14:paraId="2528A3EF" w14:textId="77777777" w:rsidR="00CD2534" w:rsidRPr="00F64AE0" w:rsidRDefault="00CD2534" w:rsidP="00D91A32">
            <w:pPr>
              <w:pStyle w:val="Tabletext1"/>
              <w:ind w:left="0"/>
              <w:jc w:val="center"/>
            </w:pPr>
            <w:r w:rsidRPr="00F64AE0">
              <w:t>73,288</w:t>
            </w:r>
          </w:p>
        </w:tc>
        <w:tc>
          <w:tcPr>
            <w:tcW w:w="1497" w:type="dxa"/>
            <w:vAlign w:val="center"/>
          </w:tcPr>
          <w:p w14:paraId="2325C6FE" w14:textId="77777777" w:rsidR="00CD2534" w:rsidRPr="009612DE" w:rsidRDefault="00CD2534" w:rsidP="00D91A32">
            <w:pPr>
              <w:pStyle w:val="Tabletext1"/>
              <w:ind w:left="0"/>
              <w:jc w:val="center"/>
            </w:pPr>
            <w:r w:rsidRPr="00F64AE0">
              <w:t>77%</w:t>
            </w:r>
          </w:p>
        </w:tc>
      </w:tr>
    </w:tbl>
    <w:p w14:paraId="38457FD3" w14:textId="77777777" w:rsidR="00101A38" w:rsidRPr="00DA3C6E" w:rsidRDefault="00101A38" w:rsidP="005472E0">
      <w:pPr>
        <w:spacing w:after="0" w:line="240" w:lineRule="auto"/>
        <w:rPr>
          <w:rFonts w:ascii="Arial Narrow" w:hAnsi="Arial Narrow"/>
          <w:sz w:val="18"/>
          <w:szCs w:val="18"/>
        </w:rPr>
      </w:pPr>
      <w:r w:rsidRPr="00DA3C6E">
        <w:rPr>
          <w:rFonts w:ascii="Arial Narrow" w:hAnsi="Arial Narrow"/>
          <w:sz w:val="18"/>
          <w:szCs w:val="18"/>
        </w:rPr>
        <w:t xml:space="preserve">Abbreviations: ICER = incremental cost effectiveness ratio; Ig = immunoglobulin; NA = not applicable; </w:t>
      </w:r>
      <w:r w:rsidR="009B5A64" w:rsidRPr="00DA3C6E">
        <w:rPr>
          <w:rFonts w:ascii="Arial Narrow" w:hAnsi="Arial Narrow"/>
          <w:sz w:val="18"/>
          <w:szCs w:val="18"/>
        </w:rPr>
        <w:t xml:space="preserve">NBA = National Blood Authority; </w:t>
      </w:r>
      <w:r w:rsidRPr="00DA3C6E">
        <w:rPr>
          <w:rFonts w:ascii="Arial Narrow" w:hAnsi="Arial Narrow"/>
          <w:sz w:val="18"/>
          <w:szCs w:val="18"/>
        </w:rPr>
        <w:t>RCT = randomised control trials</w:t>
      </w:r>
      <w:r w:rsidR="00C01719" w:rsidRPr="00DA3C6E">
        <w:rPr>
          <w:rFonts w:ascii="Arial Narrow" w:hAnsi="Arial Narrow"/>
          <w:sz w:val="18"/>
          <w:szCs w:val="18"/>
        </w:rPr>
        <w:t>; SC = subcutaneous</w:t>
      </w:r>
      <w:r w:rsidRPr="00DA3C6E">
        <w:rPr>
          <w:rFonts w:ascii="Arial Narrow" w:hAnsi="Arial Narrow"/>
          <w:sz w:val="18"/>
          <w:szCs w:val="18"/>
        </w:rPr>
        <w:t xml:space="preserve">. </w:t>
      </w:r>
    </w:p>
    <w:p w14:paraId="7A5D5D17" w14:textId="77777777" w:rsidR="00AB3092" w:rsidRPr="00DA3C6E" w:rsidRDefault="0051307F" w:rsidP="004617DC">
      <w:pPr>
        <w:spacing w:after="0" w:line="240" w:lineRule="auto"/>
        <w:jc w:val="left"/>
        <w:rPr>
          <w:rFonts w:ascii="Arial Narrow" w:hAnsi="Arial Narrow"/>
          <w:sz w:val="18"/>
          <w:szCs w:val="18"/>
        </w:rPr>
      </w:pPr>
      <w:r w:rsidRPr="00DA3C6E">
        <w:rPr>
          <w:rFonts w:ascii="Arial Narrow" w:hAnsi="Arial Narrow"/>
          <w:sz w:val="18"/>
          <w:szCs w:val="18"/>
        </w:rPr>
        <w:t xml:space="preserve">Notes: </w:t>
      </w:r>
    </w:p>
    <w:p w14:paraId="5D4597E5" w14:textId="436E5270" w:rsidR="000F1B27" w:rsidRPr="00DA3C6E" w:rsidRDefault="0051307F" w:rsidP="004617DC">
      <w:pPr>
        <w:spacing w:after="0" w:line="240" w:lineRule="auto"/>
        <w:jc w:val="left"/>
        <w:rPr>
          <w:rFonts w:ascii="Arial Narrow" w:hAnsi="Arial Narrow"/>
          <w:sz w:val="18"/>
          <w:szCs w:val="18"/>
        </w:rPr>
      </w:pPr>
      <w:r w:rsidRPr="00DA3C6E">
        <w:rPr>
          <w:rFonts w:ascii="Arial Narrow" w:hAnsi="Arial Narrow"/>
          <w:sz w:val="18"/>
          <w:szCs w:val="18"/>
        </w:rPr>
        <w:t xml:space="preserve">1. </w:t>
      </w:r>
      <w:r w:rsidR="00711B92" w:rsidRPr="00DA3C6E">
        <w:rPr>
          <w:rFonts w:ascii="Arial Narrow" w:hAnsi="Arial Narrow"/>
          <w:sz w:val="18"/>
          <w:szCs w:val="18"/>
        </w:rPr>
        <w:t xml:space="preserve">Base case rate of </w:t>
      </w:r>
      <w:r w:rsidR="00FB0205" w:rsidRPr="00DA3C6E">
        <w:rPr>
          <w:rFonts w:ascii="Arial Narrow" w:hAnsi="Arial Narrow"/>
          <w:sz w:val="18"/>
          <w:szCs w:val="18"/>
        </w:rPr>
        <w:t>decline</w:t>
      </w:r>
      <w:r w:rsidR="009013FE" w:rsidRPr="00DA3C6E">
        <w:rPr>
          <w:rFonts w:ascii="Arial Narrow" w:hAnsi="Arial Narrow"/>
          <w:sz w:val="18"/>
          <w:szCs w:val="18"/>
        </w:rPr>
        <w:t xml:space="preserve"> of </w:t>
      </w:r>
      <w:r w:rsidR="005D5914" w:rsidRPr="00DA3C6E">
        <w:rPr>
          <w:rFonts w:ascii="Arial Narrow" w:hAnsi="Arial Narrow"/>
          <w:sz w:val="18"/>
          <w:szCs w:val="18"/>
        </w:rPr>
        <w:t xml:space="preserve">utility </w:t>
      </w:r>
      <w:r w:rsidR="009013FE" w:rsidRPr="00DA3C6E">
        <w:rPr>
          <w:rFonts w:ascii="Arial Narrow" w:hAnsi="Arial Narrow"/>
          <w:sz w:val="18"/>
          <w:szCs w:val="18"/>
        </w:rPr>
        <w:t xml:space="preserve">weight </w:t>
      </w:r>
      <w:r w:rsidR="005D5914" w:rsidRPr="00DA3C6E">
        <w:rPr>
          <w:rFonts w:ascii="Arial Narrow" w:hAnsi="Arial Narrow"/>
          <w:sz w:val="18"/>
          <w:szCs w:val="18"/>
        </w:rPr>
        <w:t>over time</w:t>
      </w:r>
      <w:r w:rsidR="00711B92" w:rsidRPr="00DA3C6E">
        <w:rPr>
          <w:rFonts w:ascii="Arial Narrow" w:hAnsi="Arial Narrow"/>
          <w:sz w:val="18"/>
          <w:szCs w:val="18"/>
        </w:rPr>
        <w:t xml:space="preserve">. </w:t>
      </w:r>
      <w:r w:rsidRPr="00DA3C6E">
        <w:rPr>
          <w:rFonts w:ascii="Arial Narrow" w:hAnsi="Arial Narrow"/>
          <w:sz w:val="18"/>
          <w:szCs w:val="18"/>
        </w:rPr>
        <w:br/>
        <w:t xml:space="preserve">2. Assuming </w:t>
      </w:r>
      <w:r w:rsidR="00F23984" w:rsidRPr="00DA3C6E">
        <w:rPr>
          <w:rFonts w:ascii="Arial Narrow" w:hAnsi="Arial Narrow"/>
          <w:sz w:val="18"/>
          <w:szCs w:val="18"/>
        </w:rPr>
        <w:t xml:space="preserve">- </w:t>
      </w:r>
      <w:r w:rsidR="00711B92" w:rsidRPr="00DA3C6E">
        <w:rPr>
          <w:rFonts w:ascii="Arial Narrow" w:hAnsi="Arial Narrow"/>
          <w:sz w:val="18"/>
          <w:szCs w:val="18"/>
        </w:rPr>
        <w:t>50% of base case rate of deterioration</w:t>
      </w:r>
      <w:r w:rsidR="00B20984" w:rsidRPr="00DA3C6E">
        <w:rPr>
          <w:rFonts w:ascii="Arial Narrow" w:hAnsi="Arial Narrow"/>
          <w:sz w:val="18"/>
          <w:szCs w:val="18"/>
        </w:rPr>
        <w:t>.</w:t>
      </w:r>
    </w:p>
    <w:p w14:paraId="51E108A7" w14:textId="77777777" w:rsidR="004617DC" w:rsidRPr="00DA3C6E" w:rsidRDefault="00F23984" w:rsidP="004617DC">
      <w:pPr>
        <w:spacing w:line="240" w:lineRule="auto"/>
        <w:jc w:val="left"/>
        <w:rPr>
          <w:rFonts w:ascii="Arial Narrow" w:hAnsi="Arial Narrow"/>
          <w:sz w:val="18"/>
          <w:szCs w:val="18"/>
        </w:rPr>
      </w:pPr>
      <w:r w:rsidRPr="00DA3C6E">
        <w:rPr>
          <w:rFonts w:ascii="Arial Narrow" w:hAnsi="Arial Narrow"/>
          <w:sz w:val="18"/>
          <w:szCs w:val="18"/>
        </w:rPr>
        <w:t xml:space="preserve">3. </w:t>
      </w:r>
      <w:r w:rsidR="000F1B27" w:rsidRPr="00DA3C6E">
        <w:rPr>
          <w:rFonts w:ascii="Arial Narrow" w:hAnsi="Arial Narrow"/>
          <w:sz w:val="18"/>
          <w:szCs w:val="18"/>
        </w:rPr>
        <w:t xml:space="preserve">Assuming </w:t>
      </w:r>
      <w:r w:rsidR="00645842" w:rsidRPr="00DA3C6E">
        <w:rPr>
          <w:rFonts w:ascii="Arial Narrow" w:hAnsi="Arial Narrow"/>
          <w:sz w:val="18"/>
          <w:szCs w:val="18"/>
        </w:rPr>
        <w:t xml:space="preserve">+50% of base case rate of </w:t>
      </w:r>
      <w:r w:rsidRPr="00DA3C6E">
        <w:rPr>
          <w:rFonts w:ascii="Arial Narrow" w:hAnsi="Arial Narrow"/>
          <w:sz w:val="18"/>
          <w:szCs w:val="18"/>
        </w:rPr>
        <w:t>deterioration</w:t>
      </w:r>
      <w:r w:rsidR="00B20984" w:rsidRPr="00DA3C6E">
        <w:rPr>
          <w:rFonts w:ascii="Arial Narrow" w:hAnsi="Arial Narrow"/>
          <w:sz w:val="18"/>
          <w:szCs w:val="18"/>
        </w:rPr>
        <w:t>.</w:t>
      </w:r>
    </w:p>
    <w:p w14:paraId="4115CE0D" w14:textId="77777777" w:rsidR="00046FB2" w:rsidRPr="00DA3C6E" w:rsidRDefault="00101A38" w:rsidP="00F02470">
      <w:r w:rsidRPr="00DA3C6E">
        <w:t>Overall, the ICER was most sensitive to the</w:t>
      </w:r>
      <w:r w:rsidR="00135F37" w:rsidRPr="00DA3C6E">
        <w:t xml:space="preserve"> utility weights and </w:t>
      </w:r>
      <w:r w:rsidR="00F63740" w:rsidRPr="00DA3C6E">
        <w:t>to the</w:t>
      </w:r>
      <w:r w:rsidRPr="00DA3C6E">
        <w:t xml:space="preserve"> price of intravenous Ig.</w:t>
      </w:r>
      <w:r w:rsidR="005472E0" w:rsidRPr="00DA3C6E">
        <w:t xml:space="preserve"> It was noted that by </w:t>
      </w:r>
      <w:r w:rsidR="007F5762" w:rsidRPr="00DA3C6E">
        <w:t xml:space="preserve">assuming a deterioration in QoL of MMN patients over time </w:t>
      </w:r>
      <w:r w:rsidR="00697461" w:rsidRPr="00DA3C6E">
        <w:t>had a</w:t>
      </w:r>
      <w:r w:rsidR="005472E0" w:rsidRPr="00DA3C6E">
        <w:t>n</w:t>
      </w:r>
      <w:r w:rsidR="00697461" w:rsidRPr="00DA3C6E">
        <w:t xml:space="preserve"> </w:t>
      </w:r>
      <w:r w:rsidR="005472E0" w:rsidRPr="00DA3C6E">
        <w:t xml:space="preserve">important </w:t>
      </w:r>
      <w:r w:rsidR="00697461" w:rsidRPr="00DA3C6E">
        <w:t>impact on the ICER</w:t>
      </w:r>
      <w:r w:rsidR="00C9443D" w:rsidRPr="00DA3C6E">
        <w:t xml:space="preserve"> (Table 34)</w:t>
      </w:r>
      <w:r w:rsidR="00697461" w:rsidRPr="00DA3C6E">
        <w:t xml:space="preserve">, however, this result </w:t>
      </w:r>
      <w:r w:rsidR="00BB1395" w:rsidRPr="00DA3C6E">
        <w:t>should be considered with caution as the</w:t>
      </w:r>
      <w:r w:rsidR="00CC0397" w:rsidRPr="00DA3C6E">
        <w:t xml:space="preserve">re is </w:t>
      </w:r>
      <w:r w:rsidR="00781050" w:rsidRPr="00DA3C6E">
        <w:t xml:space="preserve">uncertainty </w:t>
      </w:r>
      <w:r w:rsidR="005472E0" w:rsidRPr="00DA3C6E">
        <w:t xml:space="preserve">around the source used to capture this </w:t>
      </w:r>
      <w:r w:rsidR="00AF4FEC" w:rsidRPr="00DA3C6E">
        <w:t>decline in QoL overtime</w:t>
      </w:r>
      <w:r w:rsidR="005472E0" w:rsidRPr="00DA3C6E">
        <w:t xml:space="preserve"> (further details provided in Section D.4). The latter scenario</w:t>
      </w:r>
      <w:r w:rsidR="00F908E1" w:rsidRPr="00DA3C6E">
        <w:t xml:space="preserve"> analysis </w:t>
      </w:r>
      <w:r w:rsidR="001870E4" w:rsidRPr="00DA3C6E">
        <w:t>was based purely on assumptions</w:t>
      </w:r>
      <w:r w:rsidR="00F908E1" w:rsidRPr="00DA3C6E">
        <w:t>.</w:t>
      </w:r>
    </w:p>
    <w:p w14:paraId="45F48ADF" w14:textId="77777777" w:rsidR="00EA5DC1" w:rsidRPr="00EA5DC1" w:rsidRDefault="00F4512B" w:rsidP="00EA5DC1">
      <w:r w:rsidRPr="00DA3C6E">
        <w:t xml:space="preserve">To a lesser extent, the results were also sensitive to the probability of initiating weaning and relapsing after </w:t>
      </w:r>
      <w:r w:rsidR="00691F23" w:rsidRPr="00DA3C6E">
        <w:t xml:space="preserve">initiating </w:t>
      </w:r>
      <w:r w:rsidRPr="00DA3C6E">
        <w:t>weaning.</w:t>
      </w:r>
      <w:r w:rsidR="004608A1" w:rsidRPr="00DA3C6E">
        <w:t xml:space="preserve"> </w:t>
      </w:r>
      <w:r w:rsidR="00FE5D12" w:rsidRPr="00DA3C6E">
        <w:t xml:space="preserve">The ICER was not sensitive </w:t>
      </w:r>
      <w:r w:rsidR="00AA1539" w:rsidRPr="00DA3C6E">
        <w:t xml:space="preserve">to the assumption that pre-treated patients had a higher chance of responding to </w:t>
      </w:r>
      <w:r w:rsidR="00F615F6" w:rsidRPr="00DA3C6E">
        <w:t xml:space="preserve">intravenous Ig compared to treatment naïve patients. </w:t>
      </w:r>
      <w:r w:rsidRPr="00DA3C6E">
        <w:fldChar w:fldCharType="begin"/>
      </w:r>
      <w:r w:rsidRPr="00DA3C6E">
        <w:instrText xml:space="preserve"> REF _Ref31201677 \h </w:instrText>
      </w:r>
      <w:r w:rsidR="00554556" w:rsidRPr="00DA3C6E">
        <w:instrText xml:space="preserve"> \* MERGEFORMAT </w:instrText>
      </w:r>
      <w:r w:rsidRPr="00DA3C6E">
        <w:fldChar w:fldCharType="separate"/>
      </w:r>
      <w:r w:rsidR="00EA5DC1" w:rsidRPr="00DA3C6E">
        <w:t xml:space="preserve">Table </w:t>
      </w:r>
      <w:r w:rsidR="00EA5DC1">
        <w:rPr>
          <w:noProof/>
        </w:rPr>
        <w:t>34</w:t>
      </w:r>
      <w:r w:rsidRPr="00DA3C6E">
        <w:fldChar w:fldCharType="end"/>
      </w:r>
      <w:r w:rsidRPr="00DA3C6E">
        <w:t xml:space="preserve"> shows the key drivers of the </w:t>
      </w:r>
      <w:r w:rsidR="00F63EA5" w:rsidRPr="00DA3C6E">
        <w:t>cost-effectiveness results while</w:t>
      </w:r>
      <w:r w:rsidRPr="00DA3C6E">
        <w:t xml:space="preserve"> </w:t>
      </w:r>
      <w:r w:rsidRPr="00DA3C6E">
        <w:fldChar w:fldCharType="begin"/>
      </w:r>
      <w:r w:rsidRPr="00DA3C6E">
        <w:instrText xml:space="preserve"> REF _Ref34140380 \h </w:instrText>
      </w:r>
      <w:r w:rsidR="00554556" w:rsidRPr="00DA3C6E">
        <w:instrText xml:space="preserve"> \* MERGEFORMAT </w:instrText>
      </w:r>
      <w:r w:rsidRPr="00DA3C6E">
        <w:fldChar w:fldCharType="separate"/>
      </w:r>
      <w:r w:rsidR="00EA5DC1">
        <w:br w:type="page"/>
      </w:r>
    </w:p>
    <w:p w14:paraId="7C8EAB53" w14:textId="471E9D8C" w:rsidR="00101A38" w:rsidRPr="00DA3C6E" w:rsidRDefault="00EA5DC1" w:rsidP="00F02470">
      <w:r w:rsidRPr="00DA3C6E">
        <w:rPr>
          <w:noProof/>
        </w:rPr>
        <w:lastRenderedPageBreak/>
        <w:t>Table</w:t>
      </w:r>
      <w:r w:rsidRPr="00DA3C6E">
        <w:t xml:space="preserve"> </w:t>
      </w:r>
      <w:r>
        <w:rPr>
          <w:noProof/>
        </w:rPr>
        <w:t>57</w:t>
      </w:r>
      <w:r w:rsidR="00F4512B" w:rsidRPr="00DA3C6E">
        <w:fldChar w:fldCharType="end"/>
      </w:r>
      <w:r w:rsidR="00F4512B" w:rsidRPr="00DA3C6E">
        <w:t xml:space="preserve"> in Appendix G shows the </w:t>
      </w:r>
      <w:r w:rsidR="00F63EA5" w:rsidRPr="00DA3C6E">
        <w:t xml:space="preserve">summary of the </w:t>
      </w:r>
      <w:r w:rsidR="00F4512B" w:rsidRPr="00DA3C6E">
        <w:t xml:space="preserve">results for all conducted sensitivity analysis. </w:t>
      </w:r>
    </w:p>
    <w:p w14:paraId="084F90DB" w14:textId="23DFB9FB" w:rsidR="00101A38" w:rsidRPr="00DA3C6E" w:rsidRDefault="00101A38" w:rsidP="00B01655">
      <w:pPr>
        <w:pStyle w:val="Caption"/>
        <w:keepNext/>
        <w:keepLines/>
      </w:pPr>
      <w:bookmarkStart w:id="328" w:name="_Ref31201677"/>
      <w:bookmarkStart w:id="329" w:name="_Toc30497484"/>
      <w:bookmarkStart w:id="330" w:name="_Toc33449612"/>
      <w:bookmarkStart w:id="331" w:name="_Toc37845837"/>
      <w:r w:rsidRPr="00DA3C6E">
        <w:t xml:space="preserve">Table </w:t>
      </w:r>
      <w:r w:rsidR="00515153">
        <w:fldChar w:fldCharType="begin"/>
      </w:r>
      <w:r w:rsidR="00515153">
        <w:instrText xml:space="preserve"> SEQ Table \* ARABIC </w:instrText>
      </w:r>
      <w:r w:rsidR="00515153">
        <w:fldChar w:fldCharType="separate"/>
      </w:r>
      <w:r w:rsidR="00EA5DC1">
        <w:rPr>
          <w:noProof/>
        </w:rPr>
        <w:t>34</w:t>
      </w:r>
      <w:r w:rsidR="00515153">
        <w:rPr>
          <w:noProof/>
        </w:rPr>
        <w:fldChar w:fldCharType="end"/>
      </w:r>
      <w:bookmarkEnd w:id="328"/>
      <w:r w:rsidRPr="00DA3C6E">
        <w:t>: Key drivers of the economic model</w:t>
      </w:r>
      <w:bookmarkEnd w:id="326"/>
      <w:bookmarkEnd w:id="329"/>
      <w:bookmarkEnd w:id="330"/>
      <w:bookmarkEnd w:id="331"/>
    </w:p>
    <w:tbl>
      <w:tblPr>
        <w:tblStyle w:val="TableGrid"/>
        <w:tblW w:w="5000" w:type="pct"/>
        <w:tblLayout w:type="fixed"/>
        <w:tblLook w:val="04A0" w:firstRow="1" w:lastRow="0" w:firstColumn="1" w:lastColumn="0" w:noHBand="0" w:noVBand="1"/>
        <w:tblCaption w:val="Table 34: Key drivers of the economic model"/>
      </w:tblPr>
      <w:tblGrid>
        <w:gridCol w:w="2842"/>
        <w:gridCol w:w="1071"/>
        <w:gridCol w:w="903"/>
        <w:gridCol w:w="1248"/>
        <w:gridCol w:w="1421"/>
        <w:gridCol w:w="1531"/>
      </w:tblGrid>
      <w:tr w:rsidR="00CD2534" w:rsidRPr="00F64AE0" w14:paraId="7B4BEE9F" w14:textId="77777777" w:rsidTr="00CF0FFE">
        <w:trPr>
          <w:trHeight w:val="335"/>
          <w:tblHeader/>
        </w:trPr>
        <w:tc>
          <w:tcPr>
            <w:tcW w:w="1576" w:type="pct"/>
            <w:vMerge w:val="restart"/>
            <w:noWrap/>
            <w:vAlign w:val="center"/>
            <w:hideMark/>
          </w:tcPr>
          <w:p w14:paraId="0373D09A" w14:textId="77777777" w:rsidR="00CD2534" w:rsidRPr="00F64AE0" w:rsidRDefault="00CD2534" w:rsidP="00D91A32">
            <w:pPr>
              <w:spacing w:after="0" w:line="240" w:lineRule="auto"/>
              <w:ind w:left="0"/>
              <w:jc w:val="left"/>
              <w:rPr>
                <w:rFonts w:ascii="Arial Narrow" w:hAnsi="Arial Narrow"/>
                <w:b/>
                <w:bCs/>
                <w:sz w:val="20"/>
                <w:szCs w:val="20"/>
              </w:rPr>
            </w:pPr>
            <w:r w:rsidRPr="00F64AE0">
              <w:rPr>
                <w:rFonts w:ascii="Arial Narrow" w:hAnsi="Arial Narrow"/>
                <w:b/>
                <w:bCs/>
                <w:sz w:val="20"/>
                <w:szCs w:val="20"/>
              </w:rPr>
              <w:t>Variable Description</w:t>
            </w:r>
          </w:p>
        </w:tc>
        <w:tc>
          <w:tcPr>
            <w:tcW w:w="1095" w:type="pct"/>
            <w:gridSpan w:val="2"/>
            <w:noWrap/>
            <w:hideMark/>
          </w:tcPr>
          <w:p w14:paraId="0D1644EB"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 xml:space="preserve">SA </w:t>
            </w:r>
          </w:p>
        </w:tc>
        <w:tc>
          <w:tcPr>
            <w:tcW w:w="1480" w:type="pct"/>
            <w:gridSpan w:val="2"/>
          </w:tcPr>
          <w:p w14:paraId="2A5E9BDA"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 xml:space="preserve"> ICER ($/QALY)</w:t>
            </w:r>
          </w:p>
        </w:tc>
        <w:tc>
          <w:tcPr>
            <w:tcW w:w="849" w:type="pct"/>
            <w:vAlign w:val="center"/>
          </w:tcPr>
          <w:p w14:paraId="0A8DC1AE" w14:textId="77777777" w:rsidR="00CD2534" w:rsidRPr="00F64AE0" w:rsidRDefault="00CD2534" w:rsidP="00D91A32">
            <w:pPr>
              <w:spacing w:after="0" w:line="240" w:lineRule="auto"/>
              <w:ind w:left="0"/>
              <w:jc w:val="left"/>
              <w:rPr>
                <w:rFonts w:ascii="Arial Narrow" w:hAnsi="Arial Narrow"/>
                <w:b/>
                <w:bCs/>
                <w:sz w:val="20"/>
                <w:szCs w:val="20"/>
              </w:rPr>
            </w:pPr>
            <w:r w:rsidRPr="00F64AE0">
              <w:rPr>
                <w:rFonts w:ascii="Arial Narrow" w:hAnsi="Arial Narrow"/>
                <w:b/>
                <w:bCs/>
                <w:sz w:val="20"/>
                <w:szCs w:val="20"/>
              </w:rPr>
              <w:t>Impact</w:t>
            </w:r>
          </w:p>
        </w:tc>
      </w:tr>
      <w:tr w:rsidR="00CD2534" w:rsidRPr="00F64AE0" w14:paraId="395DC9B1" w14:textId="77777777" w:rsidTr="00CF0FFE">
        <w:trPr>
          <w:trHeight w:val="335"/>
          <w:tblHeader/>
        </w:trPr>
        <w:tc>
          <w:tcPr>
            <w:tcW w:w="1576" w:type="pct"/>
            <w:vMerge/>
            <w:noWrap/>
            <w:vAlign w:val="center"/>
          </w:tcPr>
          <w:p w14:paraId="2B0E55BB" w14:textId="77777777" w:rsidR="00CD2534" w:rsidRPr="00F64AE0" w:rsidRDefault="00CD2534" w:rsidP="00D91A32">
            <w:pPr>
              <w:spacing w:after="0" w:line="240" w:lineRule="auto"/>
              <w:jc w:val="left"/>
              <w:rPr>
                <w:rFonts w:ascii="Arial Narrow" w:hAnsi="Arial Narrow"/>
                <w:b/>
                <w:bCs/>
                <w:sz w:val="20"/>
                <w:szCs w:val="20"/>
              </w:rPr>
            </w:pPr>
          </w:p>
        </w:tc>
        <w:tc>
          <w:tcPr>
            <w:tcW w:w="594" w:type="pct"/>
            <w:noWrap/>
          </w:tcPr>
          <w:p w14:paraId="5FFBA619"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Low</w:t>
            </w:r>
          </w:p>
        </w:tc>
        <w:tc>
          <w:tcPr>
            <w:tcW w:w="501" w:type="pct"/>
            <w:noWrap/>
          </w:tcPr>
          <w:p w14:paraId="541FEBA4"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High</w:t>
            </w:r>
          </w:p>
        </w:tc>
        <w:tc>
          <w:tcPr>
            <w:tcW w:w="692" w:type="pct"/>
          </w:tcPr>
          <w:p w14:paraId="679FD542"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 xml:space="preserve">Low </w:t>
            </w:r>
          </w:p>
        </w:tc>
        <w:tc>
          <w:tcPr>
            <w:tcW w:w="788" w:type="pct"/>
          </w:tcPr>
          <w:p w14:paraId="79C52747" w14:textId="77777777" w:rsidR="00CD2534" w:rsidRPr="00F64AE0" w:rsidRDefault="00CD2534" w:rsidP="00D91A32">
            <w:pPr>
              <w:spacing w:after="0" w:line="240" w:lineRule="auto"/>
              <w:ind w:left="0"/>
              <w:rPr>
                <w:rFonts w:ascii="Arial Narrow" w:hAnsi="Arial Narrow"/>
                <w:b/>
                <w:bCs/>
                <w:sz w:val="20"/>
                <w:szCs w:val="20"/>
              </w:rPr>
            </w:pPr>
            <w:r w:rsidRPr="00F64AE0">
              <w:rPr>
                <w:rFonts w:ascii="Arial Narrow" w:hAnsi="Arial Narrow"/>
                <w:b/>
                <w:bCs/>
                <w:sz w:val="20"/>
                <w:szCs w:val="20"/>
              </w:rPr>
              <w:t xml:space="preserve">High </w:t>
            </w:r>
          </w:p>
        </w:tc>
        <w:tc>
          <w:tcPr>
            <w:tcW w:w="849" w:type="pct"/>
            <w:vAlign w:val="center"/>
          </w:tcPr>
          <w:p w14:paraId="1B80DAFD" w14:textId="77777777" w:rsidR="00CD2534" w:rsidRPr="00F64AE0" w:rsidRDefault="00CD2534" w:rsidP="00D91A32">
            <w:pPr>
              <w:spacing w:after="0" w:line="240" w:lineRule="auto"/>
              <w:jc w:val="left"/>
              <w:rPr>
                <w:rFonts w:ascii="Arial Narrow" w:hAnsi="Arial Narrow"/>
                <w:b/>
                <w:bCs/>
                <w:sz w:val="20"/>
                <w:szCs w:val="20"/>
              </w:rPr>
            </w:pPr>
          </w:p>
        </w:tc>
      </w:tr>
      <w:tr w:rsidR="00CD2534" w:rsidRPr="00F64AE0" w14:paraId="776FCAC4" w14:textId="77777777" w:rsidTr="00D91A32">
        <w:trPr>
          <w:trHeight w:val="335"/>
        </w:trPr>
        <w:tc>
          <w:tcPr>
            <w:tcW w:w="1576" w:type="pct"/>
            <w:noWrap/>
            <w:vAlign w:val="center"/>
          </w:tcPr>
          <w:p w14:paraId="5E0F6477" w14:textId="77777777" w:rsidR="00CD2534" w:rsidRPr="00F64AE0" w:rsidRDefault="00CD2534" w:rsidP="00D91A32">
            <w:pPr>
              <w:spacing w:after="0" w:line="240" w:lineRule="auto"/>
              <w:ind w:left="0"/>
              <w:jc w:val="left"/>
              <w:rPr>
                <w:rFonts w:ascii="Arial Narrow" w:hAnsi="Arial Narrow"/>
                <w:b/>
                <w:bCs/>
                <w:sz w:val="20"/>
                <w:szCs w:val="20"/>
              </w:rPr>
            </w:pPr>
            <w:r w:rsidRPr="00F64AE0">
              <w:rPr>
                <w:rFonts w:ascii="Arial Narrow" w:hAnsi="Arial Narrow"/>
                <w:b/>
                <w:bCs/>
                <w:sz w:val="20"/>
                <w:szCs w:val="20"/>
              </w:rPr>
              <w:t>Base case</w:t>
            </w:r>
          </w:p>
        </w:tc>
        <w:tc>
          <w:tcPr>
            <w:tcW w:w="1095" w:type="pct"/>
            <w:gridSpan w:val="2"/>
            <w:noWrap/>
            <w:vAlign w:val="center"/>
          </w:tcPr>
          <w:p w14:paraId="0F8E08EB" w14:textId="77777777" w:rsidR="00CD2534" w:rsidRPr="00F64AE0" w:rsidRDefault="00CD2534" w:rsidP="00D91A32">
            <w:pPr>
              <w:spacing w:after="0" w:line="240" w:lineRule="auto"/>
              <w:rPr>
                <w:rFonts w:ascii="Arial Narrow" w:hAnsi="Arial Narrow"/>
                <w:b/>
                <w:bCs/>
                <w:sz w:val="20"/>
                <w:szCs w:val="20"/>
              </w:rPr>
            </w:pPr>
            <w:r w:rsidRPr="00F64AE0">
              <w:rPr>
                <w:rFonts w:ascii="Arial Narrow" w:hAnsi="Arial Narrow"/>
                <w:b/>
                <w:bCs/>
                <w:sz w:val="20"/>
                <w:szCs w:val="20"/>
              </w:rPr>
              <w:t>NA</w:t>
            </w:r>
          </w:p>
        </w:tc>
        <w:tc>
          <w:tcPr>
            <w:tcW w:w="1480" w:type="pct"/>
            <w:gridSpan w:val="2"/>
            <w:vAlign w:val="center"/>
          </w:tcPr>
          <w:p w14:paraId="56F8D11F" w14:textId="77777777" w:rsidR="00CD2534" w:rsidRPr="00F64AE0" w:rsidRDefault="00CD2534" w:rsidP="00D91A32">
            <w:pPr>
              <w:spacing w:after="0" w:line="240" w:lineRule="auto"/>
              <w:rPr>
                <w:rFonts w:ascii="Arial Narrow" w:hAnsi="Arial Narrow"/>
                <w:b/>
                <w:bCs/>
                <w:sz w:val="20"/>
                <w:szCs w:val="20"/>
              </w:rPr>
            </w:pPr>
            <w:r w:rsidRPr="00F64AE0">
              <w:rPr>
                <w:rFonts w:ascii="Arial Narrow" w:hAnsi="Arial Narrow"/>
                <w:b/>
                <w:bCs/>
                <w:sz w:val="20"/>
                <w:szCs w:val="20"/>
              </w:rPr>
              <w:t>317,552</w:t>
            </w:r>
          </w:p>
        </w:tc>
        <w:tc>
          <w:tcPr>
            <w:tcW w:w="849" w:type="pct"/>
            <w:vAlign w:val="center"/>
          </w:tcPr>
          <w:p w14:paraId="227B837B" w14:textId="77777777" w:rsidR="00CD2534" w:rsidRPr="00F64AE0" w:rsidRDefault="00CD2534" w:rsidP="00D91A32">
            <w:pPr>
              <w:spacing w:after="0" w:line="240" w:lineRule="auto"/>
              <w:ind w:left="0"/>
              <w:jc w:val="left"/>
              <w:rPr>
                <w:rFonts w:ascii="Arial Narrow" w:hAnsi="Arial Narrow"/>
                <w:b/>
                <w:bCs/>
                <w:sz w:val="20"/>
                <w:szCs w:val="20"/>
              </w:rPr>
            </w:pPr>
            <w:r w:rsidRPr="00F64AE0">
              <w:rPr>
                <w:rFonts w:ascii="Arial Narrow" w:hAnsi="Arial Narrow"/>
                <w:b/>
                <w:bCs/>
                <w:sz w:val="20"/>
                <w:szCs w:val="20"/>
              </w:rPr>
              <w:t>NA</w:t>
            </w:r>
          </w:p>
        </w:tc>
      </w:tr>
      <w:tr w:rsidR="00CD2534" w:rsidRPr="00F64AE0" w14:paraId="37CE372E" w14:textId="77777777" w:rsidTr="00D91A32">
        <w:trPr>
          <w:trHeight w:val="335"/>
        </w:trPr>
        <w:tc>
          <w:tcPr>
            <w:tcW w:w="1576" w:type="pct"/>
            <w:noWrap/>
            <w:vAlign w:val="center"/>
          </w:tcPr>
          <w:p w14:paraId="16C2AD2D"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Utility: assuming deterioration in QoL over time</w:t>
            </w:r>
          </w:p>
        </w:tc>
        <w:tc>
          <w:tcPr>
            <w:tcW w:w="1095" w:type="pct"/>
            <w:gridSpan w:val="2"/>
            <w:noWrap/>
            <w:vAlign w:val="center"/>
          </w:tcPr>
          <w:p w14:paraId="457A6772" w14:textId="77777777" w:rsidR="00CD2534" w:rsidRPr="00F64AE0" w:rsidRDefault="00CD2534" w:rsidP="00D91A32">
            <w:pPr>
              <w:spacing w:after="0" w:line="240" w:lineRule="auto"/>
              <w:rPr>
                <w:rFonts w:ascii="Arial Narrow" w:hAnsi="Arial Narrow"/>
                <w:sz w:val="20"/>
                <w:szCs w:val="20"/>
              </w:rPr>
            </w:pPr>
            <w:r w:rsidRPr="00F64AE0">
              <w:rPr>
                <w:rFonts w:ascii="Arial Narrow" w:hAnsi="Arial Narrow"/>
                <w:sz w:val="20"/>
                <w:szCs w:val="20"/>
              </w:rPr>
              <w:t>NA</w:t>
            </w:r>
          </w:p>
        </w:tc>
        <w:tc>
          <w:tcPr>
            <w:tcW w:w="1480" w:type="pct"/>
            <w:gridSpan w:val="2"/>
            <w:vAlign w:val="center"/>
          </w:tcPr>
          <w:p w14:paraId="03DF60ED" w14:textId="77777777" w:rsidR="00CD2534" w:rsidRPr="00F64AE0" w:rsidRDefault="00CD2534" w:rsidP="00D91A32">
            <w:pPr>
              <w:spacing w:after="0" w:line="240" w:lineRule="auto"/>
              <w:rPr>
                <w:rFonts w:ascii="Arial Narrow" w:hAnsi="Arial Narrow"/>
                <w:sz w:val="20"/>
                <w:szCs w:val="20"/>
              </w:rPr>
            </w:pPr>
            <w:r w:rsidRPr="00F64AE0">
              <w:rPr>
                <w:rFonts w:ascii="Arial Narrow" w:hAnsi="Arial Narrow"/>
                <w:sz w:val="20"/>
                <w:szCs w:val="20"/>
              </w:rPr>
              <w:t>98,559</w:t>
            </w:r>
          </w:p>
        </w:tc>
        <w:tc>
          <w:tcPr>
            <w:tcW w:w="849" w:type="pct"/>
            <w:vAlign w:val="center"/>
          </w:tcPr>
          <w:p w14:paraId="2B9615C7"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High</w:t>
            </w:r>
          </w:p>
        </w:tc>
      </w:tr>
      <w:tr w:rsidR="00CD2534" w:rsidRPr="00F64AE0" w14:paraId="234EAEB1" w14:textId="77777777" w:rsidTr="00D91A32">
        <w:trPr>
          <w:trHeight w:val="335"/>
        </w:trPr>
        <w:tc>
          <w:tcPr>
            <w:tcW w:w="1576" w:type="pct"/>
            <w:noWrap/>
            <w:vAlign w:val="center"/>
            <w:hideMark/>
          </w:tcPr>
          <w:p w14:paraId="7D27A8EA"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Utility of BSC</w:t>
            </w:r>
          </w:p>
        </w:tc>
        <w:tc>
          <w:tcPr>
            <w:tcW w:w="594" w:type="pct"/>
            <w:noWrap/>
            <w:vAlign w:val="center"/>
            <w:hideMark/>
          </w:tcPr>
          <w:p w14:paraId="7588049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0.27</w:t>
            </w:r>
          </w:p>
        </w:tc>
        <w:tc>
          <w:tcPr>
            <w:tcW w:w="501" w:type="pct"/>
            <w:noWrap/>
            <w:vAlign w:val="center"/>
            <w:hideMark/>
          </w:tcPr>
          <w:p w14:paraId="7E2581D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0.33</w:t>
            </w:r>
          </w:p>
        </w:tc>
        <w:tc>
          <w:tcPr>
            <w:tcW w:w="692" w:type="pct"/>
            <w:vAlign w:val="center"/>
          </w:tcPr>
          <w:p w14:paraId="7FF37669"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209,740</w:t>
            </w:r>
          </w:p>
        </w:tc>
        <w:tc>
          <w:tcPr>
            <w:tcW w:w="788" w:type="pct"/>
            <w:vAlign w:val="center"/>
          </w:tcPr>
          <w:p w14:paraId="3A12A1D7"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653,441</w:t>
            </w:r>
          </w:p>
        </w:tc>
        <w:tc>
          <w:tcPr>
            <w:tcW w:w="849" w:type="pct"/>
            <w:vAlign w:val="center"/>
          </w:tcPr>
          <w:p w14:paraId="77D78D25"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High</w:t>
            </w:r>
          </w:p>
        </w:tc>
      </w:tr>
      <w:tr w:rsidR="00CD2534" w:rsidRPr="00F64AE0" w14:paraId="4C6369BF" w14:textId="77777777" w:rsidTr="00D91A32">
        <w:trPr>
          <w:trHeight w:val="335"/>
        </w:trPr>
        <w:tc>
          <w:tcPr>
            <w:tcW w:w="1576" w:type="pct"/>
            <w:noWrap/>
            <w:vAlign w:val="center"/>
            <w:hideMark/>
          </w:tcPr>
          <w:p w14:paraId="1C9085A8"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Utility of ‘Responder’</w:t>
            </w:r>
          </w:p>
        </w:tc>
        <w:tc>
          <w:tcPr>
            <w:tcW w:w="594" w:type="pct"/>
            <w:noWrap/>
            <w:vAlign w:val="center"/>
            <w:hideMark/>
          </w:tcPr>
          <w:p w14:paraId="6F645133"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0.33</w:t>
            </w:r>
          </w:p>
        </w:tc>
        <w:tc>
          <w:tcPr>
            <w:tcW w:w="501" w:type="pct"/>
            <w:noWrap/>
            <w:vAlign w:val="center"/>
            <w:hideMark/>
          </w:tcPr>
          <w:p w14:paraId="768C0331"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0.39</w:t>
            </w:r>
          </w:p>
        </w:tc>
        <w:tc>
          <w:tcPr>
            <w:tcW w:w="692" w:type="pct"/>
            <w:vAlign w:val="center"/>
          </w:tcPr>
          <w:p w14:paraId="74635DC4"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211,388</w:t>
            </w:r>
          </w:p>
        </w:tc>
        <w:tc>
          <w:tcPr>
            <w:tcW w:w="788" w:type="pct"/>
            <w:vAlign w:val="center"/>
          </w:tcPr>
          <w:p w14:paraId="231128DB"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$637,945</w:t>
            </w:r>
          </w:p>
        </w:tc>
        <w:tc>
          <w:tcPr>
            <w:tcW w:w="849" w:type="pct"/>
            <w:vAlign w:val="center"/>
          </w:tcPr>
          <w:p w14:paraId="64592EC0"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High</w:t>
            </w:r>
          </w:p>
        </w:tc>
      </w:tr>
      <w:tr w:rsidR="00CD2534" w:rsidRPr="00F64AE0" w14:paraId="1F78801C" w14:textId="77777777" w:rsidTr="00D91A32">
        <w:trPr>
          <w:trHeight w:val="335"/>
        </w:trPr>
        <w:tc>
          <w:tcPr>
            <w:tcW w:w="1576" w:type="pct"/>
            <w:noWrap/>
            <w:vAlign w:val="center"/>
            <w:hideMark/>
          </w:tcPr>
          <w:p w14:paraId="1CDC90BE"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Cost of Ig per gram</w:t>
            </w:r>
          </w:p>
        </w:tc>
        <w:tc>
          <w:tcPr>
            <w:tcW w:w="594" w:type="pct"/>
            <w:noWrap/>
            <w:vAlign w:val="center"/>
            <w:hideMark/>
          </w:tcPr>
          <w:p w14:paraId="54A98005"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$44.94</w:t>
            </w:r>
          </w:p>
        </w:tc>
        <w:tc>
          <w:tcPr>
            <w:tcW w:w="501" w:type="pct"/>
            <w:noWrap/>
            <w:vAlign w:val="center"/>
            <w:hideMark/>
          </w:tcPr>
          <w:p w14:paraId="05A12619"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$140.18</w:t>
            </w:r>
          </w:p>
        </w:tc>
        <w:tc>
          <w:tcPr>
            <w:tcW w:w="692" w:type="pct"/>
            <w:vAlign w:val="center"/>
          </w:tcPr>
          <w:p w14:paraId="123F3E3D"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257,765</w:t>
            </w:r>
          </w:p>
        </w:tc>
        <w:tc>
          <w:tcPr>
            <w:tcW w:w="788" w:type="pct"/>
            <w:vAlign w:val="center"/>
          </w:tcPr>
          <w:p w14:paraId="1F4363A2"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625,839</w:t>
            </w:r>
          </w:p>
        </w:tc>
        <w:tc>
          <w:tcPr>
            <w:tcW w:w="849" w:type="pct"/>
            <w:vAlign w:val="center"/>
          </w:tcPr>
          <w:p w14:paraId="7751FD8A"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High</w:t>
            </w:r>
          </w:p>
        </w:tc>
      </w:tr>
      <w:tr w:rsidR="00CD2534" w:rsidRPr="00F64AE0" w14:paraId="2CA45B53" w14:textId="77777777" w:rsidTr="00D91A32">
        <w:trPr>
          <w:trHeight w:val="335"/>
        </w:trPr>
        <w:tc>
          <w:tcPr>
            <w:tcW w:w="1576" w:type="pct"/>
            <w:noWrap/>
            <w:vAlign w:val="center"/>
            <w:hideMark/>
          </w:tcPr>
          <w:p w14:paraId="6CD77814"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 xml:space="preserve">Transition probability from ‘Responder’ to ‘Responder off- treatment (i.e. probability of weaning) intravenous Ig arm. </w:t>
            </w:r>
          </w:p>
        </w:tc>
        <w:tc>
          <w:tcPr>
            <w:tcW w:w="594" w:type="pct"/>
            <w:noWrap/>
            <w:vAlign w:val="center"/>
            <w:hideMark/>
          </w:tcPr>
          <w:p w14:paraId="2126832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0.00</w:t>
            </w:r>
          </w:p>
        </w:tc>
        <w:tc>
          <w:tcPr>
            <w:tcW w:w="501" w:type="pct"/>
            <w:noWrap/>
            <w:vAlign w:val="center"/>
            <w:hideMark/>
          </w:tcPr>
          <w:p w14:paraId="5D82AB50"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0.25</w:t>
            </w:r>
          </w:p>
        </w:tc>
        <w:tc>
          <w:tcPr>
            <w:tcW w:w="692" w:type="pct"/>
            <w:vAlign w:val="center"/>
          </w:tcPr>
          <w:p w14:paraId="78F2F9B8"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 xml:space="preserve">290,746 </w:t>
            </w:r>
          </w:p>
        </w:tc>
        <w:tc>
          <w:tcPr>
            <w:tcW w:w="788" w:type="pct"/>
            <w:vAlign w:val="center"/>
          </w:tcPr>
          <w:p w14:paraId="1C6309FF"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 xml:space="preserve">327,375 </w:t>
            </w:r>
          </w:p>
        </w:tc>
        <w:tc>
          <w:tcPr>
            <w:tcW w:w="849" w:type="pct"/>
            <w:vAlign w:val="center"/>
          </w:tcPr>
          <w:p w14:paraId="1E8342BF"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 xml:space="preserve">Medium </w:t>
            </w:r>
          </w:p>
        </w:tc>
      </w:tr>
      <w:tr w:rsidR="00CD2534" w:rsidRPr="00DA3C6E" w14:paraId="24C05CE6" w14:textId="77777777" w:rsidTr="00D91A32">
        <w:trPr>
          <w:trHeight w:val="335"/>
        </w:trPr>
        <w:tc>
          <w:tcPr>
            <w:tcW w:w="1576" w:type="pct"/>
            <w:noWrap/>
            <w:vAlign w:val="center"/>
            <w:hideMark/>
          </w:tcPr>
          <w:p w14:paraId="385052FF" w14:textId="77777777" w:rsidR="00CD2534" w:rsidRPr="00F64AE0"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 xml:space="preserve">Transition probability of ‘Responder off-treatment to ‘Initial treatment’ (probability of relapsing). </w:t>
            </w:r>
          </w:p>
        </w:tc>
        <w:tc>
          <w:tcPr>
            <w:tcW w:w="594" w:type="pct"/>
            <w:noWrap/>
            <w:vAlign w:val="center"/>
            <w:hideMark/>
          </w:tcPr>
          <w:p w14:paraId="7C8CE44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0.3</w:t>
            </w:r>
          </w:p>
        </w:tc>
        <w:tc>
          <w:tcPr>
            <w:tcW w:w="501" w:type="pct"/>
            <w:noWrap/>
            <w:vAlign w:val="center"/>
            <w:hideMark/>
          </w:tcPr>
          <w:p w14:paraId="441EDB0D"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0.7</w:t>
            </w:r>
          </w:p>
        </w:tc>
        <w:tc>
          <w:tcPr>
            <w:tcW w:w="692" w:type="pct"/>
            <w:vAlign w:val="center"/>
          </w:tcPr>
          <w:p w14:paraId="6EC6586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 xml:space="preserve">306,535 </w:t>
            </w:r>
          </w:p>
        </w:tc>
        <w:tc>
          <w:tcPr>
            <w:tcW w:w="788" w:type="pct"/>
            <w:vAlign w:val="center"/>
          </w:tcPr>
          <w:p w14:paraId="4A3ABA6A" w14:textId="77777777" w:rsidR="00CD2534" w:rsidRPr="00F64AE0" w:rsidRDefault="00CD2534" w:rsidP="00D91A32">
            <w:pPr>
              <w:spacing w:after="0" w:line="240" w:lineRule="auto"/>
              <w:ind w:left="0"/>
              <w:jc w:val="center"/>
              <w:rPr>
                <w:rFonts w:ascii="Arial Narrow" w:hAnsi="Arial Narrow"/>
                <w:sz w:val="20"/>
                <w:szCs w:val="20"/>
              </w:rPr>
            </w:pPr>
            <w:r w:rsidRPr="00F64AE0">
              <w:rPr>
                <w:rFonts w:ascii="Arial Narrow" w:hAnsi="Arial Narrow"/>
                <w:sz w:val="20"/>
                <w:szCs w:val="20"/>
              </w:rPr>
              <w:t xml:space="preserve">323,091 </w:t>
            </w:r>
          </w:p>
        </w:tc>
        <w:tc>
          <w:tcPr>
            <w:tcW w:w="849" w:type="pct"/>
            <w:vAlign w:val="center"/>
          </w:tcPr>
          <w:p w14:paraId="4A0E6187" w14:textId="77777777" w:rsidR="00CD2534" w:rsidRPr="00DA3C6E" w:rsidRDefault="00CD2534" w:rsidP="00D91A32">
            <w:pPr>
              <w:spacing w:after="0" w:line="240" w:lineRule="auto"/>
              <w:ind w:left="0"/>
              <w:jc w:val="left"/>
              <w:rPr>
                <w:rFonts w:ascii="Arial Narrow" w:hAnsi="Arial Narrow"/>
                <w:sz w:val="20"/>
                <w:szCs w:val="20"/>
              </w:rPr>
            </w:pPr>
            <w:r w:rsidRPr="00F64AE0">
              <w:rPr>
                <w:rFonts w:ascii="Arial Narrow" w:hAnsi="Arial Narrow"/>
                <w:sz w:val="20"/>
                <w:szCs w:val="20"/>
              </w:rPr>
              <w:t>Medium</w:t>
            </w:r>
          </w:p>
        </w:tc>
      </w:tr>
    </w:tbl>
    <w:p w14:paraId="02534385" w14:textId="77777777" w:rsidR="00EB56A7" w:rsidRPr="00DA3C6E" w:rsidRDefault="00EB56A7" w:rsidP="00C5369E">
      <w:pPr>
        <w:spacing w:after="0" w:line="240" w:lineRule="auto"/>
        <w:rPr>
          <w:rFonts w:ascii="Arial Narrow" w:hAnsi="Arial Narrow"/>
          <w:sz w:val="18"/>
          <w:szCs w:val="18"/>
        </w:rPr>
      </w:pPr>
      <w:r w:rsidRPr="00DA3C6E">
        <w:rPr>
          <w:rFonts w:ascii="Arial Narrow" w:hAnsi="Arial Narrow"/>
          <w:sz w:val="18"/>
          <w:szCs w:val="18"/>
        </w:rPr>
        <w:t xml:space="preserve">Abbreviations: </w:t>
      </w:r>
      <w:r w:rsidR="00AE2C93" w:rsidRPr="00DA3C6E">
        <w:rPr>
          <w:rFonts w:ascii="Arial Narrow" w:hAnsi="Arial Narrow"/>
          <w:sz w:val="18"/>
          <w:szCs w:val="18"/>
        </w:rPr>
        <w:t xml:space="preserve">AE = adverse event; </w:t>
      </w:r>
      <w:r w:rsidR="00F52179" w:rsidRPr="00DA3C6E">
        <w:rPr>
          <w:rFonts w:ascii="Arial Narrow" w:hAnsi="Arial Narrow"/>
          <w:sz w:val="18"/>
          <w:szCs w:val="18"/>
        </w:rPr>
        <w:t xml:space="preserve">BSC = best supportive care; </w:t>
      </w:r>
      <w:r w:rsidR="00F63EA5" w:rsidRPr="00DA3C6E">
        <w:rPr>
          <w:rFonts w:ascii="Arial Narrow" w:hAnsi="Arial Narrow"/>
          <w:sz w:val="18"/>
          <w:szCs w:val="18"/>
        </w:rPr>
        <w:t xml:space="preserve">ICER = incremental cost-effectiveness ratio; </w:t>
      </w:r>
      <w:r w:rsidRPr="00DA3C6E">
        <w:rPr>
          <w:rFonts w:ascii="Arial Narrow" w:hAnsi="Arial Narrow"/>
          <w:sz w:val="18"/>
          <w:szCs w:val="18"/>
        </w:rPr>
        <w:t>Ig= immunoglobulin</w:t>
      </w:r>
      <w:r w:rsidR="00A90609" w:rsidRPr="00DA3C6E">
        <w:rPr>
          <w:rFonts w:ascii="Arial Narrow" w:hAnsi="Arial Narrow"/>
          <w:sz w:val="18"/>
          <w:szCs w:val="18"/>
        </w:rPr>
        <w:t>.</w:t>
      </w:r>
      <w:r w:rsidRPr="00DA3C6E">
        <w:rPr>
          <w:rFonts w:ascii="Arial Narrow" w:hAnsi="Arial Narrow"/>
          <w:sz w:val="18"/>
          <w:szCs w:val="18"/>
        </w:rPr>
        <w:t xml:space="preserve"> </w:t>
      </w:r>
    </w:p>
    <w:p w14:paraId="4F51E456" w14:textId="77777777" w:rsidR="00554556" w:rsidRPr="00DA3C6E" w:rsidRDefault="00554556" w:rsidP="00EB56A7">
      <w:pPr>
        <w:rPr>
          <w:rFonts w:ascii="Arial Narrow" w:hAnsi="Arial Narrow"/>
          <w:sz w:val="18"/>
          <w:szCs w:val="18"/>
        </w:rPr>
      </w:pPr>
      <w:r w:rsidRPr="00DA3C6E">
        <w:rPr>
          <w:rFonts w:ascii="Arial Narrow" w:hAnsi="Arial Narrow"/>
          <w:sz w:val="18"/>
          <w:szCs w:val="18"/>
        </w:rPr>
        <w:t xml:space="preserve">Notes: High impact was considered if the ICER varied more than 10% and medium impact if the ICER varied between 1% and 9.9%. </w:t>
      </w:r>
    </w:p>
    <w:bookmarkEnd w:id="327"/>
    <w:p w14:paraId="13B198BB" w14:textId="77777777" w:rsidR="00255AE2" w:rsidRPr="00DA3C6E" w:rsidRDefault="00255AE2">
      <w:pPr>
        <w:spacing w:after="0" w:line="240" w:lineRule="auto"/>
        <w:jc w:val="left"/>
        <w:rPr>
          <w:rFonts w:cs="Arial"/>
          <w:snapToGrid w:val="0"/>
          <w:sz w:val="18"/>
          <w:szCs w:val="20"/>
          <w:lang w:eastAsia="en-US"/>
        </w:rPr>
      </w:pPr>
      <w:r w:rsidRPr="00DA3C6E">
        <w:rPr>
          <w:rFonts w:cs="Arial"/>
          <w:snapToGrid w:val="0"/>
          <w:sz w:val="18"/>
          <w:szCs w:val="20"/>
          <w:lang w:eastAsia="en-US"/>
        </w:rPr>
        <w:br w:type="page"/>
      </w:r>
    </w:p>
    <w:p w14:paraId="1F3CEE1D" w14:textId="77777777" w:rsidR="005A2158" w:rsidRPr="00DA3C6E" w:rsidRDefault="005A2158" w:rsidP="00E359A5">
      <w:pPr>
        <w:pStyle w:val="Heading1"/>
      </w:pPr>
      <w:bookmarkStart w:id="332" w:name="_Toc37845777"/>
      <w:bookmarkStart w:id="333" w:name="_Ref379274614"/>
      <w:r w:rsidRPr="00DA3C6E">
        <w:lastRenderedPageBreak/>
        <w:t>Section E</w:t>
      </w:r>
      <w:r w:rsidRPr="00DA3C6E">
        <w:tab/>
        <w:t>Financial Implications</w:t>
      </w:r>
      <w:bookmarkEnd w:id="332"/>
    </w:p>
    <w:p w14:paraId="7F87A081" w14:textId="467C0F0C" w:rsidR="005A2158" w:rsidRPr="00DA3C6E" w:rsidRDefault="005A2158" w:rsidP="00CF0291">
      <w:bookmarkStart w:id="334" w:name="_Toc214091269"/>
      <w:bookmarkStart w:id="335" w:name="_Toc341796089"/>
      <w:r w:rsidRPr="00DA3C6E">
        <w:t xml:space="preserve">The financial implications and predicted use </w:t>
      </w:r>
      <w:r w:rsidR="00C55E03" w:rsidRPr="00DA3C6E">
        <w:t xml:space="preserve">of intravenous Ig </w:t>
      </w:r>
      <w:r w:rsidRPr="00DA3C6E">
        <w:t xml:space="preserve">in patients with MMN </w:t>
      </w:r>
      <w:r w:rsidR="00722065" w:rsidRPr="00DA3C6E">
        <w:t xml:space="preserve">were </w:t>
      </w:r>
      <w:r w:rsidRPr="00DA3C6E">
        <w:t xml:space="preserve">estimated for a </w:t>
      </w:r>
      <w:r w:rsidR="00CF0291" w:rsidRPr="00DA3C6E">
        <w:t>5</w:t>
      </w:r>
      <w:r w:rsidRPr="00DA3C6E">
        <w:t>-year period based on the calendar years 2019 to 202</w:t>
      </w:r>
      <w:r w:rsidR="00CF0291" w:rsidRPr="00DA3C6E">
        <w:t>4</w:t>
      </w:r>
      <w:r w:rsidRPr="00DA3C6E">
        <w:t xml:space="preserve">. The budget impact model was built in </w:t>
      </w:r>
      <w:r w:rsidR="009600FE" w:rsidRPr="00DA3C6E">
        <w:t xml:space="preserve">Microsoft </w:t>
      </w:r>
      <w:r w:rsidRPr="00DA3C6E">
        <w:t xml:space="preserve">Excel. As described in Section A, </w:t>
      </w:r>
      <w:r w:rsidR="003F2936" w:rsidRPr="00DA3C6E">
        <w:t xml:space="preserve">intravenous Ig </w:t>
      </w:r>
      <w:r w:rsidRPr="00DA3C6E">
        <w:t xml:space="preserve">is already available for the treatment of MMN in Australia. In the hypothetical scenario </w:t>
      </w:r>
      <w:r w:rsidR="00691F23" w:rsidRPr="00DA3C6E">
        <w:t xml:space="preserve">if </w:t>
      </w:r>
      <w:r w:rsidR="00C55E03" w:rsidRPr="00DA3C6E">
        <w:t xml:space="preserve">intravenous Ig </w:t>
      </w:r>
      <w:r w:rsidR="001C24EA" w:rsidRPr="00DA3C6E">
        <w:t xml:space="preserve">were </w:t>
      </w:r>
      <w:r w:rsidRPr="00DA3C6E">
        <w:t xml:space="preserve">no longer available, it was assumed that it would be replaced with BSC. </w:t>
      </w:r>
      <w:r w:rsidR="001C24EA" w:rsidRPr="00DA3C6E">
        <w:t>In that instance, a</w:t>
      </w:r>
      <w:r w:rsidRPr="00DA3C6E">
        <w:t>ll health services directly related to the use</w:t>
      </w:r>
      <w:r w:rsidR="00691F23" w:rsidRPr="00DA3C6E">
        <w:t xml:space="preserve"> of</w:t>
      </w:r>
      <w:r w:rsidRPr="00DA3C6E">
        <w:t xml:space="preserve"> </w:t>
      </w:r>
      <w:r w:rsidR="00C55E03" w:rsidRPr="00DA3C6E">
        <w:t xml:space="preserve">intravenous Ig </w:t>
      </w:r>
      <w:r w:rsidR="00D344EB" w:rsidRPr="00DA3C6E">
        <w:t xml:space="preserve">would </w:t>
      </w:r>
      <w:r w:rsidRPr="00DA3C6E">
        <w:t xml:space="preserve">be </w:t>
      </w:r>
      <w:r w:rsidR="001C24EA" w:rsidRPr="00DA3C6E">
        <w:t xml:space="preserve">excluded </w:t>
      </w:r>
      <w:r w:rsidRPr="00DA3C6E">
        <w:t xml:space="preserve">but those </w:t>
      </w:r>
      <w:r w:rsidR="001C24EA" w:rsidRPr="00DA3C6E">
        <w:t>required for</w:t>
      </w:r>
      <w:r w:rsidRPr="00DA3C6E">
        <w:t xml:space="preserve"> active disease surveillance and other palliative treatments </w:t>
      </w:r>
      <w:r w:rsidR="00D344EB" w:rsidRPr="00DA3C6E">
        <w:t xml:space="preserve">would </w:t>
      </w:r>
      <w:r w:rsidRPr="00DA3C6E">
        <w:t xml:space="preserve">be maintained. </w:t>
      </w:r>
    </w:p>
    <w:p w14:paraId="11256A21" w14:textId="6D5F1BD2" w:rsidR="005A2158" w:rsidRPr="00DA3C6E" w:rsidRDefault="005A2158" w:rsidP="00CF0291">
      <w:r w:rsidRPr="00DA3C6E">
        <w:t xml:space="preserve">A market-based approach based on current utilisation of data of </w:t>
      </w:r>
      <w:r w:rsidR="003F2936" w:rsidRPr="00DA3C6E">
        <w:t xml:space="preserve">intravenous Ig </w:t>
      </w:r>
      <w:r w:rsidRPr="00DA3C6E">
        <w:t xml:space="preserve">use in patients with MMN was used to estimate the financial implications of its current use. Most of the available data reflect </w:t>
      </w:r>
      <w:r w:rsidR="003F2936" w:rsidRPr="00DA3C6E">
        <w:t xml:space="preserve">The Criteria </w:t>
      </w:r>
      <w:r w:rsidRPr="00DA3C6E">
        <w:t xml:space="preserve">V2 except for the period 2018-2019, where the data captures V2 and </w:t>
      </w:r>
      <w:r w:rsidR="00255B71" w:rsidRPr="00DA3C6E">
        <w:t xml:space="preserve">the ongoing implementation of </w:t>
      </w:r>
      <w:r w:rsidR="003F2936" w:rsidRPr="00DA3C6E">
        <w:t xml:space="preserve">The </w:t>
      </w:r>
      <w:r w:rsidRPr="00DA3C6E">
        <w:t>Criteria</w:t>
      </w:r>
      <w:r w:rsidR="007502DE" w:rsidRPr="00DA3C6E">
        <w:t xml:space="preserve"> V3</w:t>
      </w:r>
      <w:r w:rsidRPr="00DA3C6E">
        <w:t xml:space="preserve">. The impact of fully implementing Version 3 may not be reflected from the available data as </w:t>
      </w:r>
      <w:r w:rsidR="003F2936" w:rsidRPr="00DA3C6E">
        <w:t>this version</w:t>
      </w:r>
      <w:r w:rsidRPr="00DA3C6E">
        <w:t xml:space="preserve"> was implemented in </w:t>
      </w:r>
      <w:r w:rsidR="00D344EB" w:rsidRPr="00DA3C6E">
        <w:t>October 201</w:t>
      </w:r>
      <w:r w:rsidR="001D003F" w:rsidRPr="00DA3C6E">
        <w:t>9</w:t>
      </w:r>
      <w:r w:rsidRPr="00DA3C6E">
        <w:t xml:space="preserve">. </w:t>
      </w:r>
      <w:r w:rsidR="00384498" w:rsidRPr="00DA3C6E">
        <w:t xml:space="preserve">The transition from V2 to the Version 3 is expected to result in fewer MMN patients being </w:t>
      </w:r>
      <w:r w:rsidR="00DC635B" w:rsidRPr="00DA3C6E">
        <w:t xml:space="preserve">approved (or being </w:t>
      </w:r>
      <w:r w:rsidR="00384498" w:rsidRPr="00DA3C6E">
        <w:t>assessed</w:t>
      </w:r>
      <w:r w:rsidR="00DC635B" w:rsidRPr="00DA3C6E">
        <w:t>)</w:t>
      </w:r>
      <w:r w:rsidR="00384498" w:rsidRPr="00DA3C6E">
        <w:t xml:space="preserve"> as eligible for treatment with intravenous Ig likely to be administered at a reduced dose. </w:t>
      </w:r>
      <w:r w:rsidRPr="00DA3C6E">
        <w:t xml:space="preserve">Therefore, there is some uncertainty in regard to how trends observed in previous years would represent the </w:t>
      </w:r>
      <w:r w:rsidR="00255B71" w:rsidRPr="00DA3C6E">
        <w:t>expected</w:t>
      </w:r>
      <w:r w:rsidRPr="00DA3C6E">
        <w:t xml:space="preserve"> use of </w:t>
      </w:r>
      <w:r w:rsidR="003F2936" w:rsidRPr="00DA3C6E">
        <w:t xml:space="preserve">intravenous Ig </w:t>
      </w:r>
      <w:r w:rsidRPr="00DA3C6E">
        <w:t xml:space="preserve">for the treatment of MMN patients in Australia. </w:t>
      </w:r>
      <w:r w:rsidR="001F166F" w:rsidRPr="00DA3C6E">
        <w:t xml:space="preserve">In addition, as discussed in Section A, it is also possible that </w:t>
      </w:r>
      <w:r w:rsidR="004553B6" w:rsidRPr="00DA3C6E">
        <w:t>patients with a diagnos</w:t>
      </w:r>
      <w:r w:rsidR="002A1FE5" w:rsidRPr="00DA3C6E">
        <w:t>is</w:t>
      </w:r>
      <w:r w:rsidR="004553B6" w:rsidRPr="00DA3C6E">
        <w:t xml:space="preserve"> different to MMN are currently being treated with intravenous Ig, hence leading to an overestimation of the number of eligible patients. </w:t>
      </w:r>
    </w:p>
    <w:p w14:paraId="636531CD" w14:textId="77777777" w:rsidR="005A2158" w:rsidRPr="00DA3C6E" w:rsidRDefault="005A2158" w:rsidP="0073359F">
      <w:pPr>
        <w:pStyle w:val="Heading2"/>
        <w:numPr>
          <w:ilvl w:val="4"/>
          <w:numId w:val="61"/>
        </w:numPr>
        <w:jc w:val="left"/>
      </w:pPr>
      <w:bookmarkStart w:id="336" w:name="_Toc37845778"/>
      <w:r w:rsidRPr="00DA3C6E">
        <w:t>Justification of the Selection of Sources of Data</w:t>
      </w:r>
      <w:bookmarkEnd w:id="334"/>
      <w:bookmarkEnd w:id="335"/>
      <w:bookmarkEnd w:id="336"/>
    </w:p>
    <w:p w14:paraId="3C34800E" w14:textId="2D89F8F0" w:rsidR="005A2158" w:rsidRPr="00DA3C6E" w:rsidRDefault="005A2158" w:rsidP="00E359A5">
      <w:r w:rsidRPr="00DA3C6E">
        <w:t xml:space="preserve">Several sources were used to estimate the financial implications associated </w:t>
      </w:r>
      <w:r w:rsidR="001C24EA" w:rsidRPr="00DA3C6E">
        <w:t xml:space="preserve">with </w:t>
      </w:r>
      <w:r w:rsidRPr="00DA3C6E">
        <w:t xml:space="preserve">the use of </w:t>
      </w:r>
      <w:r w:rsidR="003F2936" w:rsidRPr="00DA3C6E">
        <w:t xml:space="preserve">intravenous Ig </w:t>
      </w:r>
      <w:r w:rsidRPr="00DA3C6E">
        <w:t xml:space="preserve">for the treatment of MMN patients. The main source to account for </w:t>
      </w:r>
      <w:r w:rsidR="003F2936" w:rsidRPr="00DA3C6E">
        <w:t xml:space="preserve">its </w:t>
      </w:r>
      <w:r w:rsidRPr="00DA3C6E">
        <w:t xml:space="preserve">yearly use was the 2018-2019 NBA report provided for the purpose of this assessment </w:t>
      </w:r>
      <w:r w:rsidR="00DB568A" w:rsidRPr="00DA3C6E">
        <w:fldChar w:fldCharType="begin"/>
      </w:r>
      <w:r w:rsidR="007C7E04">
        <w:instrText xml:space="preserve"> ADDIN EN.CITE &lt;EndNote&gt;&lt;Cite&gt;&lt;Author&gt;NBA&lt;/Author&gt;&lt;Year&gt;2019&lt;/Year&gt;&lt;RecNum&gt;47&lt;/RecNum&gt;&lt;DisplayText&gt;(9)&lt;/DisplayText&gt;&lt;record&gt;&lt;rec-number&gt;47&lt;/rec-number&gt;&lt;foreign-keys&gt;&lt;key app="EN" db-id="0992p2ztn5fez9e2wvnpw2xstd20f9w2dezz" timestamp="1586818281"&gt;47&lt;/key&gt;&lt;/foreign-keys&gt;&lt;ref-type name="Report"&gt;27&lt;/ref-type&gt;&lt;contributors&gt;&lt;authors&gt;&lt;author&gt;NBA&lt;/author&gt;&lt;/authors&gt;&lt;/contributors&gt;&lt;titles&gt;&lt;title&gt;Updated phase 2 HTA conditions report&lt;/title&gt;&lt;/titles&gt;&lt;dates&gt;&lt;year&gt;2019&lt;/year&gt;&lt;/dates&gt;&lt;pub-location&gt;Canberra&lt;/pub-location&gt;&lt;publisher&gt;NBA&lt;/publisher&gt;&lt;urls&gt;&lt;/urls&gt;&lt;/record&gt;&lt;/Cite&gt;&lt;/EndNote&gt;</w:instrText>
      </w:r>
      <w:r w:rsidR="00DB568A" w:rsidRPr="00DA3C6E">
        <w:fldChar w:fldCharType="separate"/>
      </w:r>
      <w:r w:rsidR="00DB568A" w:rsidRPr="00DA3C6E">
        <w:rPr>
          <w:noProof/>
        </w:rPr>
        <w:t>(</w:t>
      </w:r>
      <w:hyperlink w:anchor="_ENREF_9" w:tooltip="NBA, 2019 #47" w:history="1">
        <w:r w:rsidR="00C04BCE" w:rsidRPr="00DA3C6E">
          <w:rPr>
            <w:noProof/>
          </w:rPr>
          <w:t>9</w:t>
        </w:r>
      </w:hyperlink>
      <w:r w:rsidR="00DB568A" w:rsidRPr="00DA3C6E">
        <w:rPr>
          <w:noProof/>
        </w:rPr>
        <w:t>)</w:t>
      </w:r>
      <w:r w:rsidR="00DB568A" w:rsidRPr="00DA3C6E">
        <w:fldChar w:fldCharType="end"/>
      </w:r>
      <w:r w:rsidRPr="00DA3C6E">
        <w:t xml:space="preserve">. The data provided </w:t>
      </w:r>
      <w:r w:rsidR="001178C7" w:rsidRPr="00DA3C6E">
        <w:t xml:space="preserve">in this </w:t>
      </w:r>
      <w:r w:rsidRPr="00DA3C6E">
        <w:t>report</w:t>
      </w:r>
      <w:r w:rsidR="001178C7" w:rsidRPr="00DA3C6E">
        <w:t>, show</w:t>
      </w:r>
      <w:r w:rsidRPr="00DA3C6E">
        <w:t xml:space="preserve"> the number of patients treated </w:t>
      </w:r>
      <w:r w:rsidR="001C24EA" w:rsidRPr="00DA3C6E">
        <w:t xml:space="preserve">with </w:t>
      </w:r>
      <w:r w:rsidRPr="00DA3C6E">
        <w:t xml:space="preserve">MMN, the grams </w:t>
      </w:r>
      <w:r w:rsidR="001C24EA" w:rsidRPr="00DA3C6E">
        <w:t xml:space="preserve">of </w:t>
      </w:r>
      <w:r w:rsidR="001178C7" w:rsidRPr="00DA3C6E">
        <w:t xml:space="preserve">intravenous Ig </w:t>
      </w:r>
      <w:r w:rsidR="00691F23" w:rsidRPr="00DA3C6E">
        <w:t xml:space="preserve">used </w:t>
      </w:r>
      <w:r w:rsidRPr="00DA3C6E">
        <w:t xml:space="preserve">and </w:t>
      </w:r>
      <w:r w:rsidR="00D344EB" w:rsidRPr="00DA3C6E">
        <w:t xml:space="preserve">the </w:t>
      </w:r>
      <w:r w:rsidRPr="00DA3C6E">
        <w:t>associated cost</w:t>
      </w:r>
      <w:r w:rsidR="00D344EB" w:rsidRPr="00DA3C6E">
        <w:t xml:space="preserve"> of </w:t>
      </w:r>
      <w:r w:rsidR="007502DE" w:rsidRPr="00DA3C6E">
        <w:t>intravenous Ig</w:t>
      </w:r>
      <w:r w:rsidRPr="00DA3C6E">
        <w:t xml:space="preserve">. Because there are other health resources to be considered, services were put together based on The </w:t>
      </w:r>
      <w:r w:rsidR="001178C7" w:rsidRPr="00DA3C6E">
        <w:t xml:space="preserve">Criteria </w:t>
      </w:r>
      <w:r w:rsidRPr="00DA3C6E">
        <w:t xml:space="preserve">V3, the EFNS clinical guideline and validated by the </w:t>
      </w:r>
      <w:r w:rsidR="001178C7" w:rsidRPr="00DA3C6E">
        <w:t>Ig Review R</w:t>
      </w:r>
      <w:r w:rsidRPr="00DA3C6E">
        <w:t>eference group. Each health resource was valued using the corresponding MBS/PBS schedule and AR-DRG</w:t>
      </w:r>
      <w:r w:rsidR="001C24EA" w:rsidRPr="00DA3C6E">
        <w:t xml:space="preserve"> as appropriate</w:t>
      </w:r>
      <w:r w:rsidRPr="00DA3C6E">
        <w:t xml:space="preserve">. A summary of the variables with their corresponding source and assumption is presented in </w:t>
      </w:r>
      <w:r w:rsidRPr="00DA3C6E">
        <w:fldChar w:fldCharType="begin"/>
      </w:r>
      <w:r w:rsidRPr="00DA3C6E">
        <w:instrText xml:space="preserve"> REF _Ref29801824 \h </w:instrText>
      </w:r>
      <w:r w:rsidR="00E8759F" w:rsidRPr="00DA3C6E">
        <w:instrText xml:space="preserve"> \* MERGEFORMAT </w:instrText>
      </w:r>
      <w:r w:rsidRPr="00DA3C6E">
        <w:fldChar w:fldCharType="separate"/>
      </w:r>
      <w:r w:rsidR="00EA5DC1" w:rsidRPr="00DA3C6E">
        <w:t xml:space="preserve">Table </w:t>
      </w:r>
      <w:r w:rsidR="00EA5DC1">
        <w:rPr>
          <w:noProof/>
        </w:rPr>
        <w:t>35</w:t>
      </w:r>
      <w:r w:rsidRPr="00DA3C6E">
        <w:fldChar w:fldCharType="end"/>
      </w:r>
      <w:r w:rsidRPr="00DA3C6E">
        <w:t xml:space="preserve">. </w:t>
      </w:r>
    </w:p>
    <w:p w14:paraId="45217938" w14:textId="00171010" w:rsidR="005A2158" w:rsidRPr="00DA3C6E" w:rsidRDefault="005A2158" w:rsidP="00CF0291">
      <w:pPr>
        <w:pStyle w:val="Caption"/>
      </w:pPr>
      <w:bookmarkStart w:id="337" w:name="_Ref29801824"/>
      <w:bookmarkStart w:id="338" w:name="_Toc37845838"/>
      <w:r w:rsidRPr="00DA3C6E">
        <w:t xml:space="preserve">Table </w:t>
      </w:r>
      <w:r w:rsidR="00515153">
        <w:fldChar w:fldCharType="begin"/>
      </w:r>
      <w:r w:rsidR="00515153">
        <w:instrText xml:space="preserve"> SEQ Table \* ARABIC </w:instrText>
      </w:r>
      <w:r w:rsidR="00515153">
        <w:fldChar w:fldCharType="separate"/>
      </w:r>
      <w:r w:rsidR="00EA5DC1">
        <w:rPr>
          <w:noProof/>
        </w:rPr>
        <w:t>35</w:t>
      </w:r>
      <w:r w:rsidR="00515153">
        <w:rPr>
          <w:noProof/>
        </w:rPr>
        <w:fldChar w:fldCharType="end"/>
      </w:r>
      <w:bookmarkEnd w:id="337"/>
      <w:r w:rsidRPr="00DA3C6E">
        <w:t>. Variables and data sources used in the analysis</w:t>
      </w:r>
      <w:bookmarkEnd w:id="338"/>
    </w:p>
    <w:tbl>
      <w:tblPr>
        <w:tblStyle w:val="TableGrid"/>
        <w:tblW w:w="0" w:type="auto"/>
        <w:tblLook w:val="04A0" w:firstRow="1" w:lastRow="0" w:firstColumn="1" w:lastColumn="0" w:noHBand="0" w:noVBand="1"/>
        <w:tblCaption w:val="Table 35. Variables and data sources used in the analysis"/>
      </w:tblPr>
      <w:tblGrid>
        <w:gridCol w:w="3115"/>
        <w:gridCol w:w="2125"/>
        <w:gridCol w:w="3776"/>
      </w:tblGrid>
      <w:tr w:rsidR="005A2158" w:rsidRPr="00DA3C6E" w14:paraId="3EC7282F" w14:textId="77777777" w:rsidTr="00D56F4F">
        <w:trPr>
          <w:tblHeader/>
        </w:trPr>
        <w:tc>
          <w:tcPr>
            <w:tcW w:w="3115" w:type="dxa"/>
            <w:vAlign w:val="center"/>
          </w:tcPr>
          <w:p w14:paraId="303434E8"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 xml:space="preserve">Variable </w:t>
            </w:r>
          </w:p>
        </w:tc>
        <w:tc>
          <w:tcPr>
            <w:tcW w:w="2125" w:type="dxa"/>
            <w:vAlign w:val="center"/>
          </w:tcPr>
          <w:p w14:paraId="5DDE80C5"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Data source</w:t>
            </w:r>
          </w:p>
        </w:tc>
        <w:tc>
          <w:tcPr>
            <w:tcW w:w="3776" w:type="dxa"/>
          </w:tcPr>
          <w:p w14:paraId="3BFEF343"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Assumption</w:t>
            </w:r>
          </w:p>
        </w:tc>
      </w:tr>
      <w:tr w:rsidR="005A2158" w:rsidRPr="00DA3C6E" w14:paraId="46EF4A5D" w14:textId="77777777" w:rsidTr="00FA72EB">
        <w:tc>
          <w:tcPr>
            <w:tcW w:w="3115" w:type="dxa"/>
            <w:vAlign w:val="center"/>
          </w:tcPr>
          <w:p w14:paraId="795D5A8D"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MMN prevalent cases</w:t>
            </w:r>
          </w:p>
        </w:tc>
        <w:tc>
          <w:tcPr>
            <w:tcW w:w="2125" w:type="dxa"/>
            <w:vAlign w:val="center"/>
          </w:tcPr>
          <w:p w14:paraId="0D67DE5E"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HTA Conditions Report 2018-2019, NBA</w:t>
            </w:r>
          </w:p>
        </w:tc>
        <w:tc>
          <w:tcPr>
            <w:tcW w:w="3776" w:type="dxa"/>
          </w:tcPr>
          <w:p w14:paraId="64CA7B76" w14:textId="77777777" w:rsidR="005A2158" w:rsidRPr="00DA3C6E" w:rsidRDefault="001178C7" w:rsidP="00CF0291">
            <w:pPr>
              <w:spacing w:after="0" w:line="240" w:lineRule="auto"/>
              <w:ind w:left="0"/>
              <w:jc w:val="left"/>
              <w:rPr>
                <w:rFonts w:ascii="Arial Narrow" w:hAnsi="Arial Narrow"/>
                <w:sz w:val="20"/>
                <w:szCs w:val="20"/>
              </w:rPr>
            </w:pPr>
            <w:r w:rsidRPr="00DA3C6E">
              <w:rPr>
                <w:rFonts w:ascii="Arial Narrow" w:hAnsi="Arial Narrow"/>
                <w:sz w:val="20"/>
                <w:szCs w:val="20"/>
              </w:rPr>
              <w:t>5</w:t>
            </w:r>
            <w:r w:rsidR="005A2158" w:rsidRPr="00DA3C6E">
              <w:rPr>
                <w:rFonts w:ascii="Arial Narrow" w:hAnsi="Arial Narrow"/>
                <w:sz w:val="20"/>
                <w:szCs w:val="20"/>
              </w:rPr>
              <w:t xml:space="preserve">-year linear projection using data from 2013-2019. </w:t>
            </w:r>
          </w:p>
        </w:tc>
      </w:tr>
      <w:tr w:rsidR="005A2158" w:rsidRPr="00DA3C6E" w14:paraId="049C176D" w14:textId="77777777" w:rsidTr="00FA72EB">
        <w:tc>
          <w:tcPr>
            <w:tcW w:w="3115" w:type="dxa"/>
            <w:vAlign w:val="center"/>
          </w:tcPr>
          <w:p w14:paraId="6504AC39"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Average grams per patients</w:t>
            </w:r>
          </w:p>
        </w:tc>
        <w:tc>
          <w:tcPr>
            <w:tcW w:w="2125" w:type="dxa"/>
            <w:vAlign w:val="center"/>
          </w:tcPr>
          <w:p w14:paraId="7F4FE9C2"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HTA Conditions Report 2018-2019, NBA</w:t>
            </w:r>
          </w:p>
        </w:tc>
        <w:tc>
          <w:tcPr>
            <w:tcW w:w="3776" w:type="dxa"/>
          </w:tcPr>
          <w:p w14:paraId="37C7BCA0" w14:textId="77777777" w:rsidR="005A2158" w:rsidRPr="00DA3C6E" w:rsidRDefault="005A2158" w:rsidP="001178C7">
            <w:pPr>
              <w:spacing w:after="0" w:line="240" w:lineRule="auto"/>
              <w:ind w:left="0"/>
              <w:jc w:val="left"/>
              <w:rPr>
                <w:rFonts w:ascii="Arial Narrow" w:hAnsi="Arial Narrow"/>
                <w:sz w:val="20"/>
                <w:szCs w:val="20"/>
              </w:rPr>
            </w:pPr>
            <w:r w:rsidRPr="00DA3C6E">
              <w:rPr>
                <w:rFonts w:ascii="Arial Narrow" w:hAnsi="Arial Narrow"/>
                <w:sz w:val="20"/>
                <w:szCs w:val="20"/>
              </w:rPr>
              <w:t xml:space="preserve">Assumed constant as per data from the period 2018-2019. Projecting usage was considered inappropriate because changes from The </w:t>
            </w:r>
            <w:r w:rsidRPr="00DA3C6E">
              <w:rPr>
                <w:rFonts w:ascii="Arial Narrow" w:hAnsi="Arial Narrow"/>
                <w:sz w:val="20"/>
                <w:szCs w:val="20"/>
              </w:rPr>
              <w:lastRenderedPageBreak/>
              <w:t xml:space="preserve">Criteria V3 will likely reduce the dose/frequency of administration.  </w:t>
            </w:r>
          </w:p>
        </w:tc>
      </w:tr>
      <w:tr w:rsidR="001178C7" w:rsidRPr="00DA3C6E" w14:paraId="6AFD8F3A" w14:textId="77777777" w:rsidTr="00FA72EB">
        <w:tc>
          <w:tcPr>
            <w:tcW w:w="3115" w:type="dxa"/>
            <w:vAlign w:val="center"/>
          </w:tcPr>
          <w:p w14:paraId="733B6725" w14:textId="77777777" w:rsidR="001178C7" w:rsidRPr="00DA3C6E" w:rsidRDefault="001178C7" w:rsidP="00CF0291">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 xml:space="preserve">Cost per </w:t>
            </w:r>
            <w:r w:rsidR="00134AFC" w:rsidRPr="00DA3C6E">
              <w:rPr>
                <w:rFonts w:ascii="Arial Narrow" w:hAnsi="Arial Narrow"/>
                <w:sz w:val="20"/>
                <w:szCs w:val="20"/>
              </w:rPr>
              <w:t xml:space="preserve">intravenous Ig </w:t>
            </w:r>
            <w:r w:rsidRPr="00DA3C6E">
              <w:rPr>
                <w:rFonts w:ascii="Arial Narrow" w:hAnsi="Arial Narrow"/>
                <w:sz w:val="20"/>
                <w:szCs w:val="20"/>
              </w:rPr>
              <w:t>gram</w:t>
            </w:r>
          </w:p>
        </w:tc>
        <w:tc>
          <w:tcPr>
            <w:tcW w:w="2125" w:type="dxa"/>
            <w:vAlign w:val="center"/>
          </w:tcPr>
          <w:p w14:paraId="48F0D946" w14:textId="77777777" w:rsidR="001178C7" w:rsidRPr="00DA3C6E" w:rsidRDefault="00242A30" w:rsidP="00CF0291">
            <w:pPr>
              <w:spacing w:after="0" w:line="240" w:lineRule="auto"/>
              <w:ind w:left="0"/>
              <w:jc w:val="left"/>
              <w:rPr>
                <w:rFonts w:ascii="Arial Narrow" w:hAnsi="Arial Narrow"/>
                <w:sz w:val="20"/>
                <w:szCs w:val="20"/>
              </w:rPr>
            </w:pPr>
            <w:r w:rsidRPr="00DA3C6E">
              <w:rPr>
                <w:rFonts w:ascii="Arial Narrow" w:hAnsi="Arial Narrow"/>
                <w:sz w:val="20"/>
                <w:szCs w:val="20"/>
              </w:rPr>
              <w:t>P</w:t>
            </w:r>
            <w:r w:rsidR="00D01BF8" w:rsidRPr="00DA3C6E">
              <w:rPr>
                <w:rFonts w:ascii="Arial Narrow" w:hAnsi="Arial Narrow"/>
                <w:sz w:val="20"/>
                <w:szCs w:val="20"/>
              </w:rPr>
              <w:t>rovided by the Do</w:t>
            </w:r>
            <w:r w:rsidRPr="00DA3C6E">
              <w:rPr>
                <w:rFonts w:ascii="Arial Narrow" w:hAnsi="Arial Narrow"/>
                <w:sz w:val="20"/>
                <w:szCs w:val="20"/>
              </w:rPr>
              <w:t>H</w:t>
            </w:r>
            <w:r w:rsidR="00D01BF8" w:rsidRPr="00DA3C6E">
              <w:rPr>
                <w:rFonts w:ascii="Arial Narrow" w:hAnsi="Arial Narrow"/>
                <w:sz w:val="20"/>
                <w:szCs w:val="20"/>
              </w:rPr>
              <w:t xml:space="preserve">. </w:t>
            </w:r>
          </w:p>
        </w:tc>
        <w:tc>
          <w:tcPr>
            <w:tcW w:w="3776" w:type="dxa"/>
            <w:vAlign w:val="center"/>
          </w:tcPr>
          <w:p w14:paraId="5ACC1C62" w14:textId="77777777" w:rsidR="001178C7" w:rsidRPr="00DA3C6E" w:rsidRDefault="00D01BF8" w:rsidP="001178C7">
            <w:pPr>
              <w:spacing w:after="0" w:line="240" w:lineRule="auto"/>
              <w:ind w:left="0"/>
              <w:jc w:val="left"/>
              <w:rPr>
                <w:rFonts w:ascii="Arial Narrow" w:hAnsi="Arial Narrow"/>
                <w:sz w:val="20"/>
                <w:szCs w:val="20"/>
              </w:rPr>
            </w:pPr>
            <w:r w:rsidRPr="00DA3C6E">
              <w:rPr>
                <w:rFonts w:ascii="Arial Narrow" w:hAnsi="Arial Narrow"/>
                <w:sz w:val="20"/>
                <w:szCs w:val="20"/>
              </w:rPr>
              <w:t xml:space="preserve">Base case price corresponds to domestic price not including plasma fractioning. </w:t>
            </w:r>
          </w:p>
          <w:p w14:paraId="6369C027" w14:textId="77777777" w:rsidR="00D01BF8" w:rsidRPr="00DA3C6E" w:rsidRDefault="00D01BF8" w:rsidP="001178C7">
            <w:pPr>
              <w:spacing w:after="0" w:line="240" w:lineRule="auto"/>
              <w:ind w:left="0"/>
              <w:jc w:val="left"/>
              <w:rPr>
                <w:rFonts w:ascii="Arial Narrow" w:hAnsi="Arial Narrow"/>
                <w:sz w:val="20"/>
                <w:szCs w:val="20"/>
              </w:rPr>
            </w:pPr>
            <w:r w:rsidRPr="00DA3C6E">
              <w:rPr>
                <w:rFonts w:ascii="Arial Narrow" w:hAnsi="Arial Narrow"/>
                <w:sz w:val="20"/>
                <w:szCs w:val="20"/>
              </w:rPr>
              <w:t xml:space="preserve">SA will be conducted assuming imported price and domestic price including plasma fractioning. </w:t>
            </w:r>
          </w:p>
        </w:tc>
      </w:tr>
      <w:tr w:rsidR="001178C7" w:rsidRPr="00DA3C6E" w14:paraId="7C654A3C" w14:textId="77777777" w:rsidTr="00FA72EB">
        <w:tc>
          <w:tcPr>
            <w:tcW w:w="3115" w:type="dxa"/>
            <w:vAlign w:val="center"/>
          </w:tcPr>
          <w:p w14:paraId="1C6C95F7" w14:textId="77777777" w:rsidR="001178C7" w:rsidRPr="00DA3C6E" w:rsidRDefault="001178C7" w:rsidP="00CF0291">
            <w:pPr>
              <w:spacing w:after="0" w:line="240" w:lineRule="auto"/>
              <w:ind w:left="0"/>
              <w:jc w:val="left"/>
              <w:rPr>
                <w:rFonts w:ascii="Arial Narrow" w:hAnsi="Arial Narrow"/>
                <w:sz w:val="20"/>
                <w:szCs w:val="20"/>
              </w:rPr>
            </w:pPr>
            <w:r w:rsidRPr="00DA3C6E">
              <w:rPr>
                <w:rFonts w:ascii="Arial Narrow" w:hAnsi="Arial Narrow"/>
                <w:sz w:val="20"/>
                <w:szCs w:val="20"/>
              </w:rPr>
              <w:t>Number of episodes per year</w:t>
            </w:r>
          </w:p>
        </w:tc>
        <w:tc>
          <w:tcPr>
            <w:tcW w:w="2125" w:type="dxa"/>
            <w:vAlign w:val="center"/>
          </w:tcPr>
          <w:p w14:paraId="0CC1DBCE" w14:textId="77777777" w:rsidR="001178C7" w:rsidRPr="00DA3C6E" w:rsidRDefault="00D01BF8" w:rsidP="00CF0291">
            <w:pPr>
              <w:spacing w:after="0" w:line="240" w:lineRule="auto"/>
              <w:ind w:left="0"/>
              <w:jc w:val="left"/>
              <w:rPr>
                <w:rFonts w:ascii="Arial Narrow" w:hAnsi="Arial Narrow"/>
                <w:sz w:val="20"/>
                <w:szCs w:val="20"/>
              </w:rPr>
            </w:pPr>
            <w:r w:rsidRPr="00DA3C6E">
              <w:rPr>
                <w:rFonts w:ascii="Arial Narrow" w:hAnsi="Arial Narrow"/>
                <w:sz w:val="20"/>
                <w:szCs w:val="20"/>
              </w:rPr>
              <w:t>HTA Conditions Report 2018-2019, NBA</w:t>
            </w:r>
            <w:r w:rsidRPr="00DA3C6E" w:rsidDel="00D01BF8">
              <w:rPr>
                <w:rFonts w:ascii="Arial Narrow" w:hAnsi="Arial Narrow"/>
                <w:sz w:val="20"/>
                <w:szCs w:val="20"/>
              </w:rPr>
              <w:t xml:space="preserve"> </w:t>
            </w:r>
          </w:p>
        </w:tc>
        <w:tc>
          <w:tcPr>
            <w:tcW w:w="3776" w:type="dxa"/>
          </w:tcPr>
          <w:p w14:paraId="041A34B9" w14:textId="77777777" w:rsidR="001178C7" w:rsidRPr="00DA3C6E" w:rsidRDefault="00C27960" w:rsidP="00CF0291">
            <w:pPr>
              <w:spacing w:after="0" w:line="240" w:lineRule="auto"/>
              <w:ind w:left="0"/>
              <w:jc w:val="left"/>
              <w:rPr>
                <w:rFonts w:ascii="Arial Narrow" w:hAnsi="Arial Narrow"/>
                <w:sz w:val="20"/>
                <w:szCs w:val="20"/>
              </w:rPr>
            </w:pPr>
            <w:r w:rsidRPr="00DA3C6E">
              <w:rPr>
                <w:rFonts w:ascii="Arial Narrow" w:hAnsi="Arial Narrow"/>
                <w:sz w:val="20"/>
                <w:szCs w:val="20"/>
              </w:rPr>
              <w:t xml:space="preserve">Average number of episodes as per the periods 2017-2018 and 2018-2019 was used and kept constant. </w:t>
            </w:r>
          </w:p>
        </w:tc>
      </w:tr>
      <w:tr w:rsidR="005A2158" w:rsidRPr="00DA3C6E" w14:paraId="0DD93CD7" w14:textId="77777777" w:rsidTr="00FA72EB">
        <w:tc>
          <w:tcPr>
            <w:tcW w:w="3115" w:type="dxa"/>
            <w:vAlign w:val="center"/>
          </w:tcPr>
          <w:p w14:paraId="54DDE65E" w14:textId="77777777" w:rsidR="005A2158" w:rsidRPr="00DA3C6E" w:rsidRDefault="00C55E03" w:rsidP="00CF0291">
            <w:pPr>
              <w:spacing w:after="0" w:line="240" w:lineRule="auto"/>
              <w:ind w:left="0"/>
              <w:jc w:val="left"/>
              <w:rPr>
                <w:rFonts w:ascii="Arial Narrow" w:hAnsi="Arial Narrow"/>
                <w:sz w:val="20"/>
                <w:szCs w:val="20"/>
              </w:rPr>
            </w:pPr>
            <w:r w:rsidRPr="00DA3C6E">
              <w:rPr>
                <w:rFonts w:ascii="Arial Narrow" w:hAnsi="Arial Narrow"/>
                <w:sz w:val="20"/>
                <w:szCs w:val="20"/>
              </w:rPr>
              <w:t xml:space="preserve">Intravenous Ig </w:t>
            </w:r>
            <w:r w:rsidR="005A2158" w:rsidRPr="00DA3C6E">
              <w:rPr>
                <w:rFonts w:ascii="Arial Narrow" w:hAnsi="Arial Narrow"/>
                <w:sz w:val="20"/>
                <w:szCs w:val="20"/>
              </w:rPr>
              <w:t>administration costs</w:t>
            </w:r>
          </w:p>
        </w:tc>
        <w:tc>
          <w:tcPr>
            <w:tcW w:w="2125" w:type="dxa"/>
            <w:vAlign w:val="center"/>
          </w:tcPr>
          <w:p w14:paraId="5FDB86AD"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MBS (Section D)</w:t>
            </w:r>
          </w:p>
        </w:tc>
        <w:tc>
          <w:tcPr>
            <w:tcW w:w="3776" w:type="dxa"/>
          </w:tcPr>
          <w:p w14:paraId="03CA9596" w14:textId="77777777" w:rsidR="005A2158" w:rsidRPr="00DA3C6E" w:rsidRDefault="007502DE" w:rsidP="00CF0291">
            <w:pPr>
              <w:spacing w:after="0" w:line="240" w:lineRule="auto"/>
              <w:ind w:left="0"/>
              <w:jc w:val="left"/>
              <w:rPr>
                <w:rFonts w:ascii="Arial Narrow" w:hAnsi="Arial Narrow"/>
                <w:sz w:val="20"/>
                <w:szCs w:val="20"/>
              </w:rPr>
            </w:pPr>
            <w:r w:rsidRPr="00DA3C6E">
              <w:rPr>
                <w:rFonts w:ascii="Arial Narrow" w:hAnsi="Arial Narrow"/>
                <w:sz w:val="20"/>
                <w:szCs w:val="20"/>
              </w:rPr>
              <w:t>Intravenous</w:t>
            </w:r>
            <w:r w:rsidR="001178C7" w:rsidRPr="00DA3C6E">
              <w:rPr>
                <w:rFonts w:ascii="Arial Narrow" w:hAnsi="Arial Narrow"/>
                <w:sz w:val="20"/>
                <w:szCs w:val="20"/>
              </w:rPr>
              <w:t xml:space="preserve"> Ig </w:t>
            </w:r>
            <w:r w:rsidR="005A2158" w:rsidRPr="00DA3C6E">
              <w:rPr>
                <w:rFonts w:ascii="Arial Narrow" w:hAnsi="Arial Narrow"/>
                <w:sz w:val="20"/>
                <w:szCs w:val="20"/>
              </w:rPr>
              <w:t>administered in hospital (private and public) with a set of pathology tests before each episode.</w:t>
            </w:r>
          </w:p>
        </w:tc>
      </w:tr>
      <w:tr w:rsidR="005A2158" w:rsidRPr="00DA3C6E" w14:paraId="3477F7DF" w14:textId="77777777" w:rsidTr="00FA72EB">
        <w:tc>
          <w:tcPr>
            <w:tcW w:w="3115" w:type="dxa"/>
            <w:vAlign w:val="center"/>
          </w:tcPr>
          <w:p w14:paraId="61FFB110" w14:textId="77777777" w:rsidR="005A2158" w:rsidRPr="00DA3C6E" w:rsidRDefault="00CE4A59" w:rsidP="00CF0291">
            <w:pPr>
              <w:spacing w:after="0" w:line="240" w:lineRule="auto"/>
              <w:ind w:left="0"/>
              <w:jc w:val="left"/>
              <w:rPr>
                <w:rFonts w:ascii="Arial Narrow" w:hAnsi="Arial Narrow"/>
                <w:sz w:val="20"/>
                <w:szCs w:val="20"/>
              </w:rPr>
            </w:pPr>
            <w:r w:rsidRPr="00DA3C6E">
              <w:rPr>
                <w:rFonts w:ascii="Arial Narrow" w:hAnsi="Arial Narrow"/>
                <w:sz w:val="20"/>
                <w:szCs w:val="20"/>
              </w:rPr>
              <w:t xml:space="preserve">Prophylactic </w:t>
            </w:r>
            <w:r w:rsidR="005A2158" w:rsidRPr="00DA3C6E">
              <w:rPr>
                <w:rFonts w:ascii="Arial Narrow" w:hAnsi="Arial Narrow"/>
                <w:sz w:val="20"/>
                <w:szCs w:val="20"/>
              </w:rPr>
              <w:t>medications</w:t>
            </w:r>
            <w:r w:rsidR="005A2158" w:rsidRPr="00DA3C6E">
              <w:rPr>
                <w:rFonts w:ascii="Arial Narrow" w:hAnsi="Arial Narrow"/>
                <w:sz w:val="20"/>
                <w:szCs w:val="20"/>
                <w:vertAlign w:val="superscript"/>
              </w:rPr>
              <w:t>a</w:t>
            </w:r>
            <w:r w:rsidR="005A2158" w:rsidRPr="00DA3C6E">
              <w:rPr>
                <w:rFonts w:ascii="Arial Narrow" w:hAnsi="Arial Narrow"/>
                <w:sz w:val="20"/>
                <w:szCs w:val="20"/>
              </w:rPr>
              <w:t xml:space="preserve"> (antihistamine for infusion reactions)</w:t>
            </w:r>
          </w:p>
        </w:tc>
        <w:tc>
          <w:tcPr>
            <w:tcW w:w="2125" w:type="dxa"/>
            <w:vAlign w:val="center"/>
          </w:tcPr>
          <w:p w14:paraId="29388C0E"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Assumption, PBS (Section D)</w:t>
            </w:r>
          </w:p>
        </w:tc>
        <w:tc>
          <w:tcPr>
            <w:tcW w:w="3776" w:type="dxa"/>
          </w:tcPr>
          <w:p w14:paraId="7961B55F" w14:textId="06EF8C32" w:rsidR="005A2158" w:rsidRPr="00DA3C6E" w:rsidRDefault="001178C7" w:rsidP="00691F23">
            <w:pPr>
              <w:spacing w:after="0" w:line="240" w:lineRule="auto"/>
              <w:ind w:left="0"/>
              <w:jc w:val="left"/>
              <w:rPr>
                <w:rFonts w:ascii="Arial Narrow" w:hAnsi="Arial Narrow"/>
                <w:sz w:val="20"/>
                <w:szCs w:val="20"/>
              </w:rPr>
            </w:pPr>
            <w:r w:rsidRPr="00DA3C6E">
              <w:rPr>
                <w:rFonts w:ascii="Arial Narrow" w:hAnsi="Arial Narrow"/>
                <w:sz w:val="20"/>
                <w:szCs w:val="20"/>
              </w:rPr>
              <w:t xml:space="preserve">Prophylactic </w:t>
            </w:r>
            <w:r w:rsidR="005A2158" w:rsidRPr="00DA3C6E">
              <w:rPr>
                <w:rFonts w:ascii="Arial Narrow" w:hAnsi="Arial Narrow"/>
                <w:sz w:val="20"/>
                <w:szCs w:val="20"/>
              </w:rPr>
              <w:t xml:space="preserve">medication administered before each episode </w:t>
            </w:r>
            <w:r w:rsidR="00691F23" w:rsidRPr="00DA3C6E">
              <w:rPr>
                <w:rFonts w:ascii="Arial Narrow" w:hAnsi="Arial Narrow"/>
                <w:sz w:val="20"/>
                <w:szCs w:val="20"/>
              </w:rPr>
              <w:t xml:space="preserve">to </w:t>
            </w:r>
            <w:r w:rsidR="005A2158" w:rsidRPr="00DA3C6E">
              <w:rPr>
                <w:rFonts w:ascii="Arial Narrow" w:hAnsi="Arial Narrow"/>
                <w:sz w:val="20"/>
                <w:szCs w:val="20"/>
              </w:rPr>
              <w:t>all patients</w:t>
            </w:r>
            <w:r w:rsidR="00691F23" w:rsidRPr="00DA3C6E">
              <w:rPr>
                <w:rFonts w:ascii="Arial Narrow" w:hAnsi="Arial Narrow"/>
                <w:sz w:val="20"/>
                <w:szCs w:val="20"/>
              </w:rPr>
              <w:t xml:space="preserve"> assuming</w:t>
            </w:r>
            <w:r w:rsidR="00C45858" w:rsidRPr="00DA3C6E">
              <w:rPr>
                <w:rFonts w:ascii="Arial Narrow" w:hAnsi="Arial Narrow"/>
                <w:sz w:val="20"/>
                <w:szCs w:val="20"/>
              </w:rPr>
              <w:t xml:space="preserve"> in</w:t>
            </w:r>
            <w:r w:rsidR="00691F23" w:rsidRPr="00DA3C6E">
              <w:rPr>
                <w:rFonts w:ascii="Arial Narrow" w:hAnsi="Arial Narrow"/>
                <w:sz w:val="20"/>
                <w:szCs w:val="20"/>
              </w:rPr>
              <w:t>-</w:t>
            </w:r>
            <w:r w:rsidR="00C45858" w:rsidRPr="00DA3C6E">
              <w:rPr>
                <w:rFonts w:ascii="Arial Narrow" w:hAnsi="Arial Narrow"/>
                <w:sz w:val="20"/>
                <w:szCs w:val="20"/>
              </w:rPr>
              <w:t>hospital use of promethazine 50 mg/2 mL injection.</w:t>
            </w:r>
          </w:p>
        </w:tc>
      </w:tr>
      <w:tr w:rsidR="005A2158" w:rsidRPr="00DA3C6E" w14:paraId="7609C385" w14:textId="77777777" w:rsidTr="00FA72EB">
        <w:tc>
          <w:tcPr>
            <w:tcW w:w="3115" w:type="dxa"/>
            <w:vAlign w:val="center"/>
          </w:tcPr>
          <w:p w14:paraId="796CF150"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Follow</w:t>
            </w:r>
            <w:r w:rsidR="00036A6B" w:rsidRPr="00DA3C6E">
              <w:rPr>
                <w:rFonts w:ascii="Arial Narrow" w:hAnsi="Arial Narrow"/>
                <w:sz w:val="20"/>
                <w:szCs w:val="20"/>
              </w:rPr>
              <w:t>-</w:t>
            </w:r>
            <w:r w:rsidRPr="00DA3C6E">
              <w:rPr>
                <w:rFonts w:ascii="Arial Narrow" w:hAnsi="Arial Narrow"/>
                <w:sz w:val="20"/>
                <w:szCs w:val="20"/>
              </w:rPr>
              <w:t>up costs</w:t>
            </w:r>
          </w:p>
        </w:tc>
        <w:tc>
          <w:tcPr>
            <w:tcW w:w="2125" w:type="dxa"/>
            <w:vAlign w:val="center"/>
          </w:tcPr>
          <w:p w14:paraId="637278F4"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The criteria</w:t>
            </w:r>
            <w:r w:rsidR="00036A6B" w:rsidRPr="00DA3C6E">
              <w:rPr>
                <w:rFonts w:ascii="Arial Narrow" w:hAnsi="Arial Narrow"/>
                <w:sz w:val="20"/>
                <w:szCs w:val="20"/>
              </w:rPr>
              <w:t xml:space="preserve"> V3</w:t>
            </w:r>
            <w:r w:rsidRPr="00DA3C6E">
              <w:rPr>
                <w:rFonts w:ascii="Arial Narrow" w:hAnsi="Arial Narrow"/>
                <w:sz w:val="20"/>
                <w:szCs w:val="20"/>
              </w:rPr>
              <w:t>, EFNS/PNS guideline, MBS (Section D)</w:t>
            </w:r>
          </w:p>
        </w:tc>
        <w:tc>
          <w:tcPr>
            <w:tcW w:w="3776" w:type="dxa"/>
            <w:vAlign w:val="center"/>
          </w:tcPr>
          <w:p w14:paraId="39972240" w14:textId="77777777" w:rsidR="005A2158" w:rsidRPr="00DA3C6E" w:rsidRDefault="005A2158" w:rsidP="00036A6B">
            <w:pPr>
              <w:spacing w:after="0" w:line="240" w:lineRule="auto"/>
              <w:ind w:left="0"/>
              <w:jc w:val="left"/>
              <w:rPr>
                <w:rFonts w:ascii="Arial Narrow" w:hAnsi="Arial Narrow"/>
                <w:sz w:val="20"/>
                <w:szCs w:val="20"/>
              </w:rPr>
            </w:pPr>
            <w:r w:rsidRPr="00DA3C6E">
              <w:rPr>
                <w:rFonts w:ascii="Arial Narrow" w:hAnsi="Arial Narrow"/>
                <w:sz w:val="20"/>
                <w:szCs w:val="20"/>
              </w:rPr>
              <w:t xml:space="preserve">2 follow-up visits per year with pathology tests and </w:t>
            </w:r>
            <w:r w:rsidR="00036A6B" w:rsidRPr="00DA3C6E">
              <w:rPr>
                <w:rFonts w:ascii="Arial Narrow" w:hAnsi="Arial Narrow"/>
                <w:sz w:val="20"/>
                <w:szCs w:val="20"/>
              </w:rPr>
              <w:t xml:space="preserve">associated </w:t>
            </w:r>
            <w:r w:rsidRPr="00DA3C6E">
              <w:rPr>
                <w:rFonts w:ascii="Arial Narrow" w:hAnsi="Arial Narrow"/>
                <w:sz w:val="20"/>
                <w:szCs w:val="20"/>
              </w:rPr>
              <w:t xml:space="preserve">imaging. </w:t>
            </w:r>
          </w:p>
        </w:tc>
      </w:tr>
      <w:tr w:rsidR="005A2158" w:rsidRPr="00DA3C6E" w14:paraId="563DAEF8" w14:textId="77777777" w:rsidTr="00FA72EB">
        <w:tc>
          <w:tcPr>
            <w:tcW w:w="3115" w:type="dxa"/>
            <w:vAlign w:val="center"/>
          </w:tcPr>
          <w:p w14:paraId="6F9EB016"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Adverse events (incidence, costing source)</w:t>
            </w:r>
          </w:p>
        </w:tc>
        <w:tc>
          <w:tcPr>
            <w:tcW w:w="2125" w:type="dxa"/>
            <w:vAlign w:val="center"/>
          </w:tcPr>
          <w:p w14:paraId="35D6360D" w14:textId="06A97CCF" w:rsidR="005A2158" w:rsidRPr="00DA3C6E" w:rsidRDefault="005A2158" w:rsidP="00C04BCE">
            <w:pPr>
              <w:spacing w:after="0" w:line="240" w:lineRule="auto"/>
              <w:ind w:left="0"/>
              <w:jc w:val="left"/>
              <w:rPr>
                <w:rFonts w:ascii="Arial Narrow" w:hAnsi="Arial Narrow"/>
                <w:sz w:val="20"/>
                <w:szCs w:val="20"/>
              </w:rPr>
            </w:pPr>
            <w:r w:rsidRPr="00DA3C6E">
              <w:rPr>
                <w:rFonts w:ascii="Arial Narrow" w:hAnsi="Arial Narrow"/>
                <w:sz w:val="20"/>
                <w:szCs w:val="20"/>
              </w:rPr>
              <w:t>Hahn et al</w:t>
            </w:r>
            <w:r w:rsidR="00036A6B" w:rsidRPr="00DA3C6E">
              <w:rPr>
                <w:rFonts w:ascii="Arial Narrow" w:hAnsi="Arial Narrow"/>
                <w:sz w:val="20"/>
                <w:szCs w:val="20"/>
              </w:rPr>
              <w:t>.</w:t>
            </w:r>
            <w:r w:rsidRPr="00DA3C6E">
              <w:rPr>
                <w:rFonts w:ascii="Arial Narrow" w:hAnsi="Arial Narrow"/>
                <w:sz w:val="20"/>
                <w:szCs w:val="20"/>
              </w:rPr>
              <w:t xml:space="preserve"> 2013</w:t>
            </w:r>
            <w:r w:rsidR="00DB568A" w:rsidRPr="00DA3C6E">
              <w:rPr>
                <w:rFonts w:ascii="Arial Narrow" w:hAnsi="Arial Narrow"/>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szCs w:val="20"/>
              </w:rPr>
              <w:instrText xml:space="preserve"> ADDIN EN.CITE </w:instrText>
            </w:r>
            <w:r w:rsidR="00DB568A" w:rsidRPr="00DA3C6E">
              <w:rPr>
                <w:rFonts w:ascii="Arial Narrow" w:hAnsi="Arial Narrow"/>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szCs w:val="20"/>
              </w:rPr>
              <w:instrText xml:space="preserve"> ADDIN EN.CITE.DATA </w:instrText>
            </w:r>
            <w:r w:rsidR="00DB568A" w:rsidRPr="00DA3C6E">
              <w:rPr>
                <w:rFonts w:ascii="Arial Narrow" w:hAnsi="Arial Narrow"/>
                <w:sz w:val="20"/>
                <w:szCs w:val="20"/>
              </w:rPr>
            </w:r>
            <w:r w:rsidR="00DB568A" w:rsidRPr="00DA3C6E">
              <w:rPr>
                <w:rFonts w:ascii="Arial Narrow" w:hAnsi="Arial Narrow"/>
                <w:sz w:val="20"/>
                <w:szCs w:val="20"/>
              </w:rPr>
              <w:fldChar w:fldCharType="end"/>
            </w:r>
            <w:r w:rsidR="00DB568A" w:rsidRPr="00DA3C6E">
              <w:rPr>
                <w:rFonts w:ascii="Arial Narrow" w:hAnsi="Arial Narrow"/>
                <w:sz w:val="20"/>
                <w:szCs w:val="20"/>
              </w:rPr>
            </w:r>
            <w:r w:rsidR="00DB568A" w:rsidRPr="00DA3C6E">
              <w:rPr>
                <w:rFonts w:ascii="Arial Narrow" w:hAnsi="Arial Narrow"/>
                <w:sz w:val="20"/>
                <w:szCs w:val="20"/>
              </w:rPr>
              <w:fldChar w:fldCharType="separate"/>
            </w:r>
            <w:r w:rsidR="00DB568A" w:rsidRPr="00DA3C6E">
              <w:rPr>
                <w:rFonts w:ascii="Arial Narrow" w:hAnsi="Arial Narrow"/>
                <w:noProof/>
                <w:sz w:val="20"/>
                <w:szCs w:val="20"/>
              </w:rPr>
              <w:t>(</w:t>
            </w:r>
            <w:hyperlink w:anchor="_ENREF_28" w:tooltip="Hahn, 2013 #26" w:history="1">
              <w:r w:rsidR="00C04BCE" w:rsidRPr="00DA3C6E">
                <w:rPr>
                  <w:rFonts w:ascii="Arial Narrow" w:hAnsi="Arial Narrow"/>
                  <w:noProof/>
                  <w:sz w:val="20"/>
                  <w:szCs w:val="20"/>
                </w:rPr>
                <w:t>28</w:t>
              </w:r>
            </w:hyperlink>
            <w:r w:rsidR="00DB568A" w:rsidRPr="00DA3C6E">
              <w:rPr>
                <w:rFonts w:ascii="Arial Narrow" w:hAnsi="Arial Narrow"/>
                <w:noProof/>
                <w:sz w:val="20"/>
                <w:szCs w:val="20"/>
              </w:rPr>
              <w:t>)</w:t>
            </w:r>
            <w:r w:rsidR="00DB568A" w:rsidRPr="00DA3C6E">
              <w:rPr>
                <w:rFonts w:ascii="Arial Narrow" w:hAnsi="Arial Narrow"/>
                <w:sz w:val="20"/>
                <w:szCs w:val="20"/>
              </w:rPr>
              <w:fldChar w:fldCharType="end"/>
            </w:r>
            <w:r w:rsidRPr="00DA3C6E">
              <w:rPr>
                <w:rFonts w:ascii="Arial Narrow" w:hAnsi="Arial Narrow"/>
                <w:sz w:val="20"/>
                <w:szCs w:val="20"/>
              </w:rPr>
              <w:t xml:space="preserve"> &amp; AR-DRG (Section D)</w:t>
            </w:r>
          </w:p>
        </w:tc>
        <w:tc>
          <w:tcPr>
            <w:tcW w:w="3776" w:type="dxa"/>
          </w:tcPr>
          <w:p w14:paraId="75E46683" w14:textId="77777777" w:rsidR="005A2158" w:rsidRPr="00DA3C6E" w:rsidRDefault="005A2158" w:rsidP="001178C7">
            <w:pPr>
              <w:spacing w:after="0" w:line="240" w:lineRule="auto"/>
              <w:ind w:left="0"/>
              <w:jc w:val="left"/>
              <w:rPr>
                <w:rFonts w:ascii="Arial Narrow" w:hAnsi="Arial Narrow"/>
                <w:sz w:val="20"/>
                <w:szCs w:val="20"/>
              </w:rPr>
            </w:pPr>
            <w:r w:rsidRPr="00DA3C6E">
              <w:rPr>
                <w:rFonts w:ascii="Arial Narrow" w:hAnsi="Arial Narrow"/>
                <w:sz w:val="20"/>
                <w:szCs w:val="20"/>
              </w:rPr>
              <w:t xml:space="preserve">The occurrence of </w:t>
            </w:r>
            <w:r w:rsidR="001178C7" w:rsidRPr="00DA3C6E">
              <w:rPr>
                <w:rFonts w:ascii="Arial Narrow" w:hAnsi="Arial Narrow"/>
                <w:sz w:val="20"/>
                <w:szCs w:val="20"/>
              </w:rPr>
              <w:t xml:space="preserve">PE </w:t>
            </w:r>
            <w:r w:rsidRPr="00DA3C6E">
              <w:rPr>
                <w:rFonts w:ascii="Arial Narrow" w:hAnsi="Arial Narrow"/>
                <w:sz w:val="20"/>
                <w:szCs w:val="20"/>
              </w:rPr>
              <w:t xml:space="preserve">was the only SAE </w:t>
            </w:r>
            <w:r w:rsidR="001178C7" w:rsidRPr="00DA3C6E">
              <w:rPr>
                <w:rFonts w:ascii="Arial Narrow" w:hAnsi="Arial Narrow"/>
                <w:sz w:val="20"/>
                <w:szCs w:val="20"/>
              </w:rPr>
              <w:t>considered</w:t>
            </w:r>
            <w:r w:rsidRPr="00DA3C6E">
              <w:rPr>
                <w:rFonts w:ascii="Arial Narrow" w:hAnsi="Arial Narrow"/>
                <w:sz w:val="20"/>
                <w:szCs w:val="20"/>
              </w:rPr>
              <w:t xml:space="preserve">. </w:t>
            </w:r>
          </w:p>
        </w:tc>
      </w:tr>
    </w:tbl>
    <w:p w14:paraId="176E31D8" w14:textId="77777777" w:rsidR="005A2158" w:rsidRPr="00DA3C6E" w:rsidRDefault="005A2158" w:rsidP="00CF0291">
      <w:pPr>
        <w:spacing w:after="0" w:line="240" w:lineRule="auto"/>
        <w:rPr>
          <w:rFonts w:ascii="Arial Narrow" w:hAnsi="Arial Narrow"/>
          <w:sz w:val="18"/>
          <w:szCs w:val="18"/>
        </w:rPr>
      </w:pPr>
      <w:r w:rsidRPr="00DA3C6E">
        <w:rPr>
          <w:rFonts w:ascii="Arial Narrow" w:hAnsi="Arial Narrow"/>
          <w:sz w:val="18"/>
          <w:szCs w:val="18"/>
        </w:rPr>
        <w:t xml:space="preserve">Abbreviations: </w:t>
      </w:r>
      <w:r w:rsidR="00242A30" w:rsidRPr="00DA3C6E">
        <w:rPr>
          <w:rFonts w:ascii="Arial Narrow" w:hAnsi="Arial Narrow"/>
          <w:sz w:val="18"/>
          <w:szCs w:val="18"/>
        </w:rPr>
        <w:t xml:space="preserve">DoH = Department of Health; </w:t>
      </w:r>
      <w:r w:rsidRPr="00DA3C6E">
        <w:rPr>
          <w:rFonts w:ascii="Arial Narrow" w:eastAsia="Calibri" w:hAnsi="Arial Narrow" w:cs="Times New Roman"/>
          <w:sz w:val="18"/>
          <w:lang w:eastAsia="en-US"/>
        </w:rPr>
        <w:t>EFNS/PNS = European federation of neurological societies/Peripheral nerve society</w:t>
      </w:r>
      <w:r w:rsidRPr="00DA3C6E">
        <w:rPr>
          <w:rFonts w:ascii="Arial Narrow" w:hAnsi="Arial Narrow"/>
          <w:sz w:val="18"/>
          <w:szCs w:val="18"/>
        </w:rPr>
        <w:t xml:space="preserve">; </w:t>
      </w:r>
      <w:r w:rsidR="001178C7" w:rsidRPr="00DA3C6E">
        <w:rPr>
          <w:rFonts w:ascii="Arial Narrow" w:hAnsi="Arial Narrow"/>
          <w:sz w:val="18"/>
          <w:szCs w:val="18"/>
        </w:rPr>
        <w:t xml:space="preserve">Ig </w:t>
      </w:r>
      <w:r w:rsidRPr="00DA3C6E">
        <w:rPr>
          <w:rFonts w:ascii="Arial Narrow" w:hAnsi="Arial Narrow"/>
          <w:sz w:val="18"/>
          <w:szCs w:val="18"/>
        </w:rPr>
        <w:t xml:space="preserve">= immunoglobulin; MBS = Medicare Benefits Schedule; </w:t>
      </w:r>
      <w:r w:rsidR="004553B6" w:rsidRPr="00DA3C6E">
        <w:rPr>
          <w:rFonts w:ascii="Arial Narrow" w:hAnsi="Arial Narrow"/>
          <w:sz w:val="18"/>
          <w:szCs w:val="18"/>
        </w:rPr>
        <w:t xml:space="preserve">NBA = National Blood Authority; </w:t>
      </w:r>
      <w:r w:rsidRPr="00DA3C6E">
        <w:rPr>
          <w:rFonts w:ascii="Arial Narrow" w:hAnsi="Arial Narrow"/>
          <w:sz w:val="18"/>
          <w:szCs w:val="18"/>
        </w:rPr>
        <w:t xml:space="preserve">PBS = Pharmaceutical Benefit Schedule; </w:t>
      </w:r>
      <w:r w:rsidR="001178C7" w:rsidRPr="00DA3C6E">
        <w:rPr>
          <w:rFonts w:ascii="Arial Narrow" w:hAnsi="Arial Narrow"/>
          <w:sz w:val="18"/>
          <w:szCs w:val="18"/>
        </w:rPr>
        <w:t xml:space="preserve">PE = pulmonary embolism; </w:t>
      </w:r>
      <w:r w:rsidRPr="00DA3C6E">
        <w:rPr>
          <w:rFonts w:ascii="Arial Narrow" w:hAnsi="Arial Narrow"/>
          <w:sz w:val="18"/>
          <w:szCs w:val="18"/>
        </w:rPr>
        <w:t>SAE = serious adverse event.</w:t>
      </w:r>
    </w:p>
    <w:p w14:paraId="797AE576" w14:textId="77777777" w:rsidR="005A2158" w:rsidRPr="00DA3C6E" w:rsidRDefault="005A2158" w:rsidP="00392022">
      <w:pPr>
        <w:spacing w:line="240" w:lineRule="auto"/>
        <w:rPr>
          <w:rFonts w:ascii="Arial Narrow" w:hAnsi="Arial Narrow"/>
          <w:sz w:val="18"/>
          <w:szCs w:val="18"/>
        </w:rPr>
      </w:pPr>
      <w:r w:rsidRPr="00DA3C6E">
        <w:rPr>
          <w:rFonts w:ascii="Arial Narrow" w:hAnsi="Arial Narrow"/>
          <w:sz w:val="18"/>
          <w:szCs w:val="18"/>
        </w:rPr>
        <w:t xml:space="preserve">Note: </w:t>
      </w:r>
      <w:r w:rsidRPr="00DA3C6E">
        <w:rPr>
          <w:rFonts w:ascii="Arial Narrow" w:hAnsi="Arial Narrow"/>
          <w:sz w:val="18"/>
          <w:szCs w:val="18"/>
          <w:vertAlign w:val="superscript"/>
        </w:rPr>
        <w:t>a</w:t>
      </w:r>
      <w:r w:rsidRPr="00DA3C6E">
        <w:rPr>
          <w:rFonts w:ascii="Arial Narrow" w:hAnsi="Arial Narrow"/>
          <w:sz w:val="18"/>
          <w:szCs w:val="18"/>
        </w:rPr>
        <w:t xml:space="preserve">It was assumed that all patients received a prophylactic dose of antihistamines </w:t>
      </w:r>
      <w:r w:rsidR="000E1893" w:rsidRPr="00DA3C6E">
        <w:rPr>
          <w:rFonts w:ascii="Arial Narrow" w:hAnsi="Arial Narrow"/>
          <w:sz w:val="18"/>
          <w:szCs w:val="18"/>
        </w:rPr>
        <w:t>(promethazine)</w:t>
      </w:r>
      <w:r w:rsidR="000E1893" w:rsidRPr="00DA3C6E">
        <w:rPr>
          <w:rFonts w:ascii="Arial Narrow" w:hAnsi="Arial Narrow"/>
          <w:sz w:val="20"/>
          <w:szCs w:val="20"/>
        </w:rPr>
        <w:t xml:space="preserve"> </w:t>
      </w:r>
      <w:r w:rsidRPr="00DA3C6E">
        <w:rPr>
          <w:rFonts w:ascii="Arial Narrow" w:hAnsi="Arial Narrow"/>
          <w:sz w:val="18"/>
          <w:szCs w:val="18"/>
        </w:rPr>
        <w:t xml:space="preserve">before receiving their corresponding </w:t>
      </w:r>
      <w:r w:rsidR="00C55E03" w:rsidRPr="00DA3C6E">
        <w:rPr>
          <w:rFonts w:ascii="Arial Narrow" w:hAnsi="Arial Narrow"/>
          <w:sz w:val="18"/>
          <w:szCs w:val="18"/>
        </w:rPr>
        <w:t xml:space="preserve">intravenous Ig </w:t>
      </w:r>
      <w:r w:rsidRPr="00DA3C6E">
        <w:rPr>
          <w:rFonts w:ascii="Arial Narrow" w:hAnsi="Arial Narrow"/>
          <w:sz w:val="18"/>
          <w:szCs w:val="18"/>
        </w:rPr>
        <w:t xml:space="preserve">infusion. </w:t>
      </w:r>
    </w:p>
    <w:p w14:paraId="7AC1D055" w14:textId="5A7B09DE" w:rsidR="005A2158" w:rsidRPr="00DA3C6E" w:rsidRDefault="005A2158" w:rsidP="00CF0291">
      <w:r w:rsidRPr="00DA3C6E">
        <w:t xml:space="preserve">The full year </w:t>
      </w:r>
      <w:r w:rsidR="00D344EB" w:rsidRPr="00DA3C6E">
        <w:t xml:space="preserve">of </w:t>
      </w:r>
      <w:r w:rsidRPr="00DA3C6E">
        <w:t xml:space="preserve">data available for the total number of patients receiving </w:t>
      </w:r>
      <w:r w:rsidR="001178C7" w:rsidRPr="00DA3C6E">
        <w:t xml:space="preserve">intravenous Ig </w:t>
      </w:r>
      <w:r w:rsidRPr="00DA3C6E">
        <w:t>for MMN, total grams used and its associated cost is summarised in</w:t>
      </w:r>
      <w:r w:rsidR="0072714A" w:rsidRPr="00DA3C6E">
        <w:t xml:space="preserve"> </w:t>
      </w:r>
      <w:r w:rsidR="0072714A" w:rsidRPr="00DA3C6E">
        <w:fldChar w:fldCharType="begin"/>
      </w:r>
      <w:r w:rsidR="0072714A" w:rsidRPr="00DA3C6E">
        <w:instrText xml:space="preserve"> REF _Ref31113992 \h </w:instrText>
      </w:r>
      <w:r w:rsidR="00E8759F" w:rsidRPr="00DA3C6E">
        <w:instrText xml:space="preserve"> \* MERGEFORMAT </w:instrText>
      </w:r>
      <w:r w:rsidR="0072714A" w:rsidRPr="00DA3C6E">
        <w:fldChar w:fldCharType="separate"/>
      </w:r>
      <w:r w:rsidR="00EA5DC1" w:rsidRPr="00DA3C6E">
        <w:t xml:space="preserve">Table </w:t>
      </w:r>
      <w:r w:rsidR="00EA5DC1">
        <w:rPr>
          <w:noProof/>
        </w:rPr>
        <w:t>36</w:t>
      </w:r>
      <w:r w:rsidR="0072714A" w:rsidRPr="00DA3C6E">
        <w:fldChar w:fldCharType="end"/>
      </w:r>
      <w:r w:rsidRPr="00DA3C6E">
        <w:t xml:space="preserve">. The number of patients and the total grams per year increased at a relatively constant rate in the last 6 years from 2013-2019. The average grams per patient showed a similar trend, however, </w:t>
      </w:r>
      <w:r w:rsidR="00D344EB" w:rsidRPr="00DA3C6E">
        <w:t xml:space="preserve">in </w:t>
      </w:r>
      <w:r w:rsidRPr="00DA3C6E">
        <w:t xml:space="preserve">the last period a slight decrease was observed, from 633 grams in 2017-18 to 626 in 2018-19. This decrease occurred despite the increase from 560 to 596 prevalent MMN patients under treatment with </w:t>
      </w:r>
      <w:r w:rsidR="001178C7" w:rsidRPr="00DA3C6E">
        <w:t xml:space="preserve">intravenous Ig </w:t>
      </w:r>
      <w:r w:rsidRPr="00DA3C6E">
        <w:t xml:space="preserve">in the period 2017-18 and 2018-19 respectively. This may be explained by the implementation of </w:t>
      </w:r>
      <w:r w:rsidR="001178C7" w:rsidRPr="00DA3C6E">
        <w:t xml:space="preserve">The Criteria </w:t>
      </w:r>
      <w:r w:rsidRPr="00DA3C6E">
        <w:t xml:space="preserve">V3. </w:t>
      </w:r>
    </w:p>
    <w:p w14:paraId="78623F71" w14:textId="332787F7" w:rsidR="005A2158" w:rsidRPr="00DA3C6E" w:rsidRDefault="0072714A" w:rsidP="0072714A">
      <w:pPr>
        <w:pStyle w:val="Caption"/>
      </w:pPr>
      <w:bookmarkStart w:id="339" w:name="_Ref31113992"/>
      <w:bookmarkStart w:id="340" w:name="_Toc37845839"/>
      <w:r w:rsidRPr="00DA3C6E">
        <w:t xml:space="preserve">Table </w:t>
      </w:r>
      <w:r w:rsidR="00515153">
        <w:fldChar w:fldCharType="begin"/>
      </w:r>
      <w:r w:rsidR="00515153">
        <w:instrText xml:space="preserve"> SEQ Table \* ARABIC </w:instrText>
      </w:r>
      <w:r w:rsidR="00515153">
        <w:fldChar w:fldCharType="separate"/>
      </w:r>
      <w:r w:rsidR="00EA5DC1">
        <w:rPr>
          <w:noProof/>
        </w:rPr>
        <w:t>36</w:t>
      </w:r>
      <w:r w:rsidR="00515153">
        <w:rPr>
          <w:noProof/>
        </w:rPr>
        <w:fldChar w:fldCharType="end"/>
      </w:r>
      <w:bookmarkEnd w:id="339"/>
      <w:r w:rsidRPr="00DA3C6E">
        <w:t xml:space="preserve">. </w:t>
      </w:r>
      <w:r w:rsidR="005A2158" w:rsidRPr="00DA3C6E">
        <w:t xml:space="preserve">Observed number of patients who received </w:t>
      </w:r>
      <w:r w:rsidR="00C55E03" w:rsidRPr="00DA3C6E">
        <w:t>intravenous Ig</w:t>
      </w:r>
      <w:r w:rsidR="005A2158" w:rsidRPr="00DA3C6E">
        <w:t>, gram used and associated costs in patients diagnosed with MMN from 2013-19</w:t>
      </w:r>
      <w:bookmarkEnd w:id="340"/>
    </w:p>
    <w:tbl>
      <w:tblPr>
        <w:tblStyle w:val="TableGrid"/>
        <w:tblW w:w="0" w:type="auto"/>
        <w:tblLook w:val="04A0" w:firstRow="1" w:lastRow="0" w:firstColumn="1" w:lastColumn="0" w:noHBand="0" w:noVBand="1"/>
        <w:tblCaption w:val="Table 36. Observed number of patients who received intravenous Ig, gram used and associated costs in patients diagnosed with MMN from 2013-19"/>
      </w:tblPr>
      <w:tblGrid>
        <w:gridCol w:w="2972"/>
        <w:gridCol w:w="992"/>
        <w:gridCol w:w="993"/>
        <w:gridCol w:w="992"/>
        <w:gridCol w:w="992"/>
        <w:gridCol w:w="992"/>
        <w:gridCol w:w="1083"/>
      </w:tblGrid>
      <w:tr w:rsidR="005A2158" w:rsidRPr="00DA3C6E" w14:paraId="2F541EC8" w14:textId="77777777" w:rsidTr="00D56F4F">
        <w:trPr>
          <w:tblHeader/>
        </w:trPr>
        <w:tc>
          <w:tcPr>
            <w:tcW w:w="2972" w:type="dxa"/>
            <w:vAlign w:val="center"/>
          </w:tcPr>
          <w:p w14:paraId="6C28C7E9" w14:textId="77777777" w:rsidR="005A2158" w:rsidRPr="00DA3C6E" w:rsidRDefault="005A2158" w:rsidP="00CF0291">
            <w:pPr>
              <w:spacing w:after="0" w:line="240" w:lineRule="auto"/>
              <w:rPr>
                <w:rFonts w:ascii="Arial Narrow" w:hAnsi="Arial Narrow"/>
                <w:sz w:val="20"/>
                <w:szCs w:val="20"/>
              </w:rPr>
            </w:pPr>
          </w:p>
        </w:tc>
        <w:tc>
          <w:tcPr>
            <w:tcW w:w="992" w:type="dxa"/>
            <w:vAlign w:val="center"/>
          </w:tcPr>
          <w:p w14:paraId="738A2B34"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2013-14</w:t>
            </w:r>
          </w:p>
        </w:tc>
        <w:tc>
          <w:tcPr>
            <w:tcW w:w="993" w:type="dxa"/>
            <w:vAlign w:val="center"/>
          </w:tcPr>
          <w:p w14:paraId="16A869F2"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2014-15</w:t>
            </w:r>
          </w:p>
        </w:tc>
        <w:tc>
          <w:tcPr>
            <w:tcW w:w="992" w:type="dxa"/>
            <w:vAlign w:val="center"/>
          </w:tcPr>
          <w:p w14:paraId="55F52CB9"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2015-16</w:t>
            </w:r>
          </w:p>
        </w:tc>
        <w:tc>
          <w:tcPr>
            <w:tcW w:w="992" w:type="dxa"/>
            <w:vAlign w:val="center"/>
          </w:tcPr>
          <w:p w14:paraId="39C19DCF"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2016-17</w:t>
            </w:r>
          </w:p>
        </w:tc>
        <w:tc>
          <w:tcPr>
            <w:tcW w:w="992" w:type="dxa"/>
            <w:vAlign w:val="center"/>
          </w:tcPr>
          <w:p w14:paraId="53CFD78E"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2017-18</w:t>
            </w:r>
          </w:p>
        </w:tc>
        <w:tc>
          <w:tcPr>
            <w:tcW w:w="1083" w:type="dxa"/>
            <w:vAlign w:val="center"/>
          </w:tcPr>
          <w:p w14:paraId="678D35C1"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b/>
                <w:bCs/>
                <w:sz w:val="20"/>
                <w:szCs w:val="20"/>
              </w:rPr>
              <w:t>2018-19</w:t>
            </w:r>
          </w:p>
        </w:tc>
      </w:tr>
      <w:tr w:rsidR="005A2158" w:rsidRPr="00DA3C6E" w14:paraId="5F3C34B6" w14:textId="77777777" w:rsidTr="00CF0291">
        <w:tc>
          <w:tcPr>
            <w:tcW w:w="2972" w:type="dxa"/>
            <w:vAlign w:val="center"/>
          </w:tcPr>
          <w:p w14:paraId="492DA730"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sz w:val="20"/>
                <w:szCs w:val="20"/>
              </w:rPr>
              <w:t>MMN prevalent cases</w:t>
            </w:r>
          </w:p>
        </w:tc>
        <w:tc>
          <w:tcPr>
            <w:tcW w:w="992" w:type="dxa"/>
            <w:vAlign w:val="center"/>
          </w:tcPr>
          <w:p w14:paraId="7773AFAE"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438</w:t>
            </w:r>
          </w:p>
        </w:tc>
        <w:tc>
          <w:tcPr>
            <w:tcW w:w="993" w:type="dxa"/>
            <w:vAlign w:val="center"/>
          </w:tcPr>
          <w:p w14:paraId="2C279ED9"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444</w:t>
            </w:r>
          </w:p>
        </w:tc>
        <w:tc>
          <w:tcPr>
            <w:tcW w:w="992" w:type="dxa"/>
            <w:vAlign w:val="center"/>
          </w:tcPr>
          <w:p w14:paraId="0705AF65"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496</w:t>
            </w:r>
          </w:p>
        </w:tc>
        <w:tc>
          <w:tcPr>
            <w:tcW w:w="992" w:type="dxa"/>
            <w:vAlign w:val="center"/>
          </w:tcPr>
          <w:p w14:paraId="002670E4"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527</w:t>
            </w:r>
          </w:p>
        </w:tc>
        <w:tc>
          <w:tcPr>
            <w:tcW w:w="992" w:type="dxa"/>
            <w:vAlign w:val="center"/>
          </w:tcPr>
          <w:p w14:paraId="5DC57AF9"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560</w:t>
            </w:r>
          </w:p>
        </w:tc>
        <w:tc>
          <w:tcPr>
            <w:tcW w:w="1083" w:type="dxa"/>
            <w:vAlign w:val="center"/>
          </w:tcPr>
          <w:p w14:paraId="7C0B795F"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596</w:t>
            </w:r>
          </w:p>
        </w:tc>
      </w:tr>
      <w:tr w:rsidR="005A2158" w:rsidRPr="00DA3C6E" w14:paraId="2EABDCDF" w14:textId="77777777" w:rsidTr="00CF0291">
        <w:tc>
          <w:tcPr>
            <w:tcW w:w="2972" w:type="dxa"/>
            <w:vAlign w:val="center"/>
          </w:tcPr>
          <w:p w14:paraId="23BF060E"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sz w:val="20"/>
                <w:szCs w:val="20"/>
              </w:rPr>
              <w:t>Incident cases</w:t>
            </w:r>
          </w:p>
        </w:tc>
        <w:tc>
          <w:tcPr>
            <w:tcW w:w="992" w:type="dxa"/>
            <w:vAlign w:val="center"/>
          </w:tcPr>
          <w:p w14:paraId="72581C0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127</w:t>
            </w:r>
          </w:p>
        </w:tc>
        <w:tc>
          <w:tcPr>
            <w:tcW w:w="993" w:type="dxa"/>
            <w:vAlign w:val="center"/>
          </w:tcPr>
          <w:p w14:paraId="39391E2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105</w:t>
            </w:r>
          </w:p>
        </w:tc>
        <w:tc>
          <w:tcPr>
            <w:tcW w:w="992" w:type="dxa"/>
            <w:vAlign w:val="center"/>
          </w:tcPr>
          <w:p w14:paraId="5F477D23"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137</w:t>
            </w:r>
          </w:p>
        </w:tc>
        <w:tc>
          <w:tcPr>
            <w:tcW w:w="992" w:type="dxa"/>
            <w:vAlign w:val="center"/>
          </w:tcPr>
          <w:p w14:paraId="54988AEB"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126</w:t>
            </w:r>
          </w:p>
        </w:tc>
        <w:tc>
          <w:tcPr>
            <w:tcW w:w="992" w:type="dxa"/>
            <w:vAlign w:val="center"/>
          </w:tcPr>
          <w:p w14:paraId="7B16461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125</w:t>
            </w:r>
          </w:p>
        </w:tc>
        <w:tc>
          <w:tcPr>
            <w:tcW w:w="1083" w:type="dxa"/>
            <w:vAlign w:val="center"/>
          </w:tcPr>
          <w:p w14:paraId="208BCFB3"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123</w:t>
            </w:r>
          </w:p>
        </w:tc>
      </w:tr>
      <w:tr w:rsidR="005A2158" w:rsidRPr="00DA3C6E" w14:paraId="33E49D90" w14:textId="77777777" w:rsidTr="00CF0291">
        <w:tc>
          <w:tcPr>
            <w:tcW w:w="2972" w:type="dxa"/>
          </w:tcPr>
          <w:p w14:paraId="12451E7F"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sz w:val="20"/>
                <w:szCs w:val="20"/>
              </w:rPr>
              <w:t xml:space="preserve">Total grams issued/administered </w:t>
            </w:r>
          </w:p>
        </w:tc>
        <w:tc>
          <w:tcPr>
            <w:tcW w:w="992" w:type="dxa"/>
            <w:vAlign w:val="center"/>
          </w:tcPr>
          <w:p w14:paraId="00AFAC8E"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239,791</w:t>
            </w:r>
          </w:p>
        </w:tc>
        <w:tc>
          <w:tcPr>
            <w:tcW w:w="993" w:type="dxa"/>
            <w:vAlign w:val="center"/>
          </w:tcPr>
          <w:p w14:paraId="6E7B82D3"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256,041</w:t>
            </w:r>
          </w:p>
        </w:tc>
        <w:tc>
          <w:tcPr>
            <w:tcW w:w="992" w:type="dxa"/>
            <w:vAlign w:val="center"/>
          </w:tcPr>
          <w:p w14:paraId="1356BE2F"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293,458</w:t>
            </w:r>
          </w:p>
        </w:tc>
        <w:tc>
          <w:tcPr>
            <w:tcW w:w="992" w:type="dxa"/>
            <w:vAlign w:val="center"/>
          </w:tcPr>
          <w:p w14:paraId="01CAD4E3"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331,147</w:t>
            </w:r>
          </w:p>
        </w:tc>
        <w:tc>
          <w:tcPr>
            <w:tcW w:w="992" w:type="dxa"/>
            <w:vAlign w:val="center"/>
          </w:tcPr>
          <w:p w14:paraId="5D55CAB3"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354,434</w:t>
            </w:r>
          </w:p>
        </w:tc>
        <w:tc>
          <w:tcPr>
            <w:tcW w:w="1083" w:type="dxa"/>
            <w:vAlign w:val="center"/>
          </w:tcPr>
          <w:p w14:paraId="3F4E24C0"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372,875</w:t>
            </w:r>
          </w:p>
        </w:tc>
      </w:tr>
      <w:tr w:rsidR="005A2158" w:rsidRPr="00DA3C6E" w14:paraId="463635D4" w14:textId="77777777" w:rsidTr="00CF0291">
        <w:tc>
          <w:tcPr>
            <w:tcW w:w="2972" w:type="dxa"/>
          </w:tcPr>
          <w:p w14:paraId="647D5F8C"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sz w:val="20"/>
                <w:szCs w:val="20"/>
              </w:rPr>
              <w:t>Average grams per patient</w:t>
            </w:r>
          </w:p>
        </w:tc>
        <w:tc>
          <w:tcPr>
            <w:tcW w:w="992" w:type="dxa"/>
            <w:vAlign w:val="center"/>
          </w:tcPr>
          <w:p w14:paraId="38C76D94"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547</w:t>
            </w:r>
          </w:p>
        </w:tc>
        <w:tc>
          <w:tcPr>
            <w:tcW w:w="993" w:type="dxa"/>
            <w:vAlign w:val="center"/>
          </w:tcPr>
          <w:p w14:paraId="55C399EF"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577</w:t>
            </w:r>
          </w:p>
        </w:tc>
        <w:tc>
          <w:tcPr>
            <w:tcW w:w="992" w:type="dxa"/>
            <w:vAlign w:val="center"/>
          </w:tcPr>
          <w:p w14:paraId="4BF5577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592</w:t>
            </w:r>
          </w:p>
        </w:tc>
        <w:tc>
          <w:tcPr>
            <w:tcW w:w="992" w:type="dxa"/>
            <w:vAlign w:val="center"/>
          </w:tcPr>
          <w:p w14:paraId="1E2A454E"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628</w:t>
            </w:r>
          </w:p>
        </w:tc>
        <w:tc>
          <w:tcPr>
            <w:tcW w:w="992" w:type="dxa"/>
            <w:vAlign w:val="center"/>
          </w:tcPr>
          <w:p w14:paraId="56B19495"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633</w:t>
            </w:r>
          </w:p>
        </w:tc>
        <w:tc>
          <w:tcPr>
            <w:tcW w:w="1083" w:type="dxa"/>
            <w:vAlign w:val="center"/>
          </w:tcPr>
          <w:p w14:paraId="759DEA6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626</w:t>
            </w:r>
          </w:p>
        </w:tc>
      </w:tr>
      <w:tr w:rsidR="005A2158" w:rsidRPr="00DA3C6E" w14:paraId="27815C15" w14:textId="77777777" w:rsidTr="00CF0291">
        <w:tc>
          <w:tcPr>
            <w:tcW w:w="2972" w:type="dxa"/>
          </w:tcPr>
          <w:p w14:paraId="28BBD9B6" w14:textId="77777777" w:rsidR="005A2158" w:rsidRPr="00DA3C6E" w:rsidRDefault="005A2158" w:rsidP="00CF0291">
            <w:pPr>
              <w:spacing w:after="0" w:line="240" w:lineRule="auto"/>
              <w:ind w:left="0"/>
              <w:rPr>
                <w:rFonts w:ascii="Arial Narrow" w:hAnsi="Arial Narrow"/>
                <w:sz w:val="20"/>
                <w:szCs w:val="20"/>
              </w:rPr>
            </w:pPr>
            <w:r w:rsidRPr="00DA3C6E">
              <w:rPr>
                <w:rFonts w:ascii="Arial Narrow" w:hAnsi="Arial Narrow"/>
                <w:sz w:val="20"/>
                <w:szCs w:val="20"/>
              </w:rPr>
              <w:t>Average cost per gram of IVIg</w:t>
            </w:r>
          </w:p>
        </w:tc>
        <w:tc>
          <w:tcPr>
            <w:tcW w:w="992" w:type="dxa"/>
            <w:vAlign w:val="center"/>
          </w:tcPr>
          <w:p w14:paraId="499BF0D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NA</w:t>
            </w:r>
          </w:p>
        </w:tc>
        <w:tc>
          <w:tcPr>
            <w:tcW w:w="993" w:type="dxa"/>
            <w:vAlign w:val="center"/>
          </w:tcPr>
          <w:p w14:paraId="7E7313C9"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NA</w:t>
            </w:r>
          </w:p>
        </w:tc>
        <w:tc>
          <w:tcPr>
            <w:tcW w:w="992" w:type="dxa"/>
            <w:vAlign w:val="center"/>
          </w:tcPr>
          <w:p w14:paraId="1FCB0241"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NA</w:t>
            </w:r>
          </w:p>
        </w:tc>
        <w:tc>
          <w:tcPr>
            <w:tcW w:w="992" w:type="dxa"/>
            <w:vAlign w:val="center"/>
          </w:tcPr>
          <w:p w14:paraId="4A223162"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NA</w:t>
            </w:r>
          </w:p>
        </w:tc>
        <w:tc>
          <w:tcPr>
            <w:tcW w:w="992" w:type="dxa"/>
            <w:vAlign w:val="center"/>
          </w:tcPr>
          <w:p w14:paraId="1CCD582B"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$70.13</w:t>
            </w:r>
          </w:p>
        </w:tc>
        <w:tc>
          <w:tcPr>
            <w:tcW w:w="1083" w:type="dxa"/>
            <w:vAlign w:val="center"/>
          </w:tcPr>
          <w:p w14:paraId="0CBC1BC0"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$69.46</w:t>
            </w:r>
          </w:p>
        </w:tc>
      </w:tr>
    </w:tbl>
    <w:p w14:paraId="28B66879" w14:textId="77777777" w:rsidR="005A2158" w:rsidRPr="00DA3C6E" w:rsidRDefault="005A2158" w:rsidP="00CF0291">
      <w:pPr>
        <w:spacing w:after="0" w:line="240" w:lineRule="auto"/>
        <w:rPr>
          <w:rFonts w:ascii="Arial Narrow" w:hAnsi="Arial Narrow"/>
          <w:sz w:val="18"/>
          <w:szCs w:val="18"/>
        </w:rPr>
      </w:pPr>
      <w:r w:rsidRPr="00DA3C6E">
        <w:rPr>
          <w:rFonts w:ascii="Arial Narrow" w:hAnsi="Arial Narrow"/>
          <w:sz w:val="18"/>
          <w:szCs w:val="18"/>
        </w:rPr>
        <w:t xml:space="preserve">Abbreviations: Ig = immunoglobulin; MMN = multifocal motor neuropathy; NA = not applicable. </w:t>
      </w:r>
    </w:p>
    <w:p w14:paraId="78D2B16F" w14:textId="77777777" w:rsidR="005A2158" w:rsidRPr="00DA3C6E" w:rsidRDefault="005A2158" w:rsidP="00CF0291">
      <w:pPr>
        <w:spacing w:line="240" w:lineRule="auto"/>
        <w:rPr>
          <w:rFonts w:ascii="Arial Narrow" w:hAnsi="Arial Narrow"/>
          <w:sz w:val="18"/>
          <w:szCs w:val="18"/>
        </w:rPr>
      </w:pPr>
      <w:r w:rsidRPr="00DA3C6E">
        <w:rPr>
          <w:rFonts w:ascii="Arial Narrow" w:hAnsi="Arial Narrow"/>
          <w:sz w:val="18"/>
          <w:szCs w:val="18"/>
        </w:rPr>
        <w:t xml:space="preserve">Source: NBA National Reports on the issue and use of immunoglobulin Ig 2015-16 and the </w:t>
      </w:r>
      <w:r w:rsidRPr="00DA3C6E">
        <w:rPr>
          <w:rFonts w:ascii="Arial Narrow" w:eastAsia="Calibri" w:hAnsi="Arial Narrow" w:cs="Times New Roman"/>
          <w:sz w:val="18"/>
          <w:lang w:eastAsia="en-US"/>
        </w:rPr>
        <w:t>HTA Conditions Report 1, 2 and 3 provided by the NBA on 06 January 2020 (</w:t>
      </w:r>
      <w:r w:rsidRPr="00DA3C6E">
        <w:rPr>
          <w:rFonts w:ascii="Arial Narrow" w:hAnsi="Arial Narrow"/>
          <w:sz w:val="18"/>
          <w:szCs w:val="18"/>
        </w:rPr>
        <w:t xml:space="preserve">‘Phase 2 HTA conditions data.xlsx' workbook). </w:t>
      </w:r>
    </w:p>
    <w:p w14:paraId="45EDFA77" w14:textId="110E95B9" w:rsidR="005A2158" w:rsidRPr="00DA3C6E" w:rsidRDefault="005A2158" w:rsidP="00CF0291">
      <w:r w:rsidRPr="00DA3C6E">
        <w:t>It should be noted that the data presented in</w:t>
      </w:r>
      <w:r w:rsidR="00284464">
        <w:t xml:space="preserve"> </w:t>
      </w:r>
      <w:r w:rsidR="006E4922" w:rsidRPr="00DA3C6E">
        <w:fldChar w:fldCharType="begin"/>
      </w:r>
      <w:r w:rsidR="006E4922" w:rsidRPr="00DA3C6E">
        <w:instrText xml:space="preserve"> REF _Ref31113992 \h </w:instrText>
      </w:r>
      <w:r w:rsidR="00E8759F" w:rsidRPr="00DA3C6E">
        <w:instrText xml:space="preserve"> \* MERGEFORMAT </w:instrText>
      </w:r>
      <w:r w:rsidR="006E4922" w:rsidRPr="00DA3C6E">
        <w:fldChar w:fldCharType="separate"/>
      </w:r>
      <w:r w:rsidR="00EA5DC1" w:rsidRPr="00DA3C6E">
        <w:t xml:space="preserve">Table </w:t>
      </w:r>
      <w:r w:rsidR="00EA5DC1">
        <w:rPr>
          <w:noProof/>
        </w:rPr>
        <w:t>36</w:t>
      </w:r>
      <w:r w:rsidR="006E4922" w:rsidRPr="00DA3C6E">
        <w:fldChar w:fldCharType="end"/>
      </w:r>
      <w:r w:rsidR="006E4922" w:rsidRPr="00DA3C6E">
        <w:t xml:space="preserve"> </w:t>
      </w:r>
      <w:r w:rsidRPr="00DA3C6E">
        <w:t>do not take into account</w:t>
      </w:r>
      <w:r w:rsidR="00C264AC" w:rsidRPr="00DA3C6E">
        <w:t>;</w:t>
      </w:r>
      <w:r w:rsidRPr="00DA3C6E">
        <w:t xml:space="preserve"> patients diagnosed with MMN but still not eligible to receive </w:t>
      </w:r>
      <w:r w:rsidR="001178C7" w:rsidRPr="00DA3C6E">
        <w:t>intravenous Ig</w:t>
      </w:r>
      <w:r w:rsidRPr="00DA3C6E">
        <w:t xml:space="preserve">, </w:t>
      </w:r>
      <w:r w:rsidR="00C264AC" w:rsidRPr="00DA3C6E">
        <w:t xml:space="preserve">or </w:t>
      </w:r>
      <w:r w:rsidRPr="00DA3C6E">
        <w:t xml:space="preserve">patients who have </w:t>
      </w:r>
      <w:r w:rsidR="00C264AC" w:rsidRPr="00DA3C6E">
        <w:t>previously received</w:t>
      </w:r>
      <w:r w:rsidRPr="00DA3C6E">
        <w:t xml:space="preserve"> </w:t>
      </w:r>
      <w:r w:rsidR="001178C7" w:rsidRPr="00DA3C6E">
        <w:t xml:space="preserve">Ig </w:t>
      </w:r>
      <w:r w:rsidRPr="00DA3C6E">
        <w:t xml:space="preserve">but have discontinued due to </w:t>
      </w:r>
      <w:r w:rsidR="00C264AC" w:rsidRPr="00DA3C6E">
        <w:t>AEs</w:t>
      </w:r>
      <w:r w:rsidRPr="00DA3C6E">
        <w:t xml:space="preserve"> or because they are no longer responder</w:t>
      </w:r>
      <w:r w:rsidR="00691F23" w:rsidRPr="00DA3C6E">
        <w:t>s</w:t>
      </w:r>
      <w:r w:rsidRPr="00DA3C6E">
        <w:t xml:space="preserve">. However, as these </w:t>
      </w:r>
      <w:r w:rsidR="001C24EA" w:rsidRPr="00DA3C6E">
        <w:t>groups</w:t>
      </w:r>
      <w:r w:rsidRPr="00DA3C6E">
        <w:t xml:space="preserve"> </w:t>
      </w:r>
      <w:r w:rsidR="001C24EA" w:rsidRPr="00DA3C6E">
        <w:t xml:space="preserve">could occur in </w:t>
      </w:r>
      <w:r w:rsidR="0072714A" w:rsidRPr="00DA3C6E">
        <w:t>either the No Ig with BSC or</w:t>
      </w:r>
      <w:r w:rsidRPr="00DA3C6E">
        <w:t xml:space="preserve"> </w:t>
      </w:r>
      <w:r w:rsidR="0072714A" w:rsidRPr="00DA3C6E">
        <w:t xml:space="preserve">the </w:t>
      </w:r>
      <w:r w:rsidR="001178C7" w:rsidRPr="00DA3C6E">
        <w:t xml:space="preserve">intravenous Ig </w:t>
      </w:r>
      <w:r w:rsidRPr="00DA3C6E">
        <w:t xml:space="preserve">groups, </w:t>
      </w:r>
      <w:r w:rsidR="001C24EA" w:rsidRPr="00DA3C6E">
        <w:t xml:space="preserve">absence of estimates for these patient pools </w:t>
      </w:r>
      <w:r w:rsidRPr="00DA3C6E">
        <w:t xml:space="preserve">will not impact the overall incremental budget impact results. It is expected that all of these patients would still require BSC to account for the monitoring of their disease and other health </w:t>
      </w:r>
      <w:r w:rsidRPr="00DA3C6E">
        <w:lastRenderedPageBreak/>
        <w:t xml:space="preserve">care services such as physiotherapy or rehabilitation. It was also noted from the observed data that the number of new MMN patients diagnosed each year </w:t>
      </w:r>
      <w:r w:rsidR="00C264AC" w:rsidRPr="00DA3C6E">
        <w:t xml:space="preserve">(incident cases) </w:t>
      </w:r>
      <w:r w:rsidRPr="00DA3C6E">
        <w:t>compared to the</w:t>
      </w:r>
      <w:r w:rsidR="00C264AC" w:rsidRPr="00DA3C6E">
        <w:t xml:space="preserve"> difference in</w:t>
      </w:r>
      <w:r w:rsidRPr="00DA3C6E">
        <w:t xml:space="preserve"> prevalent cases</w:t>
      </w:r>
      <w:r w:rsidR="001178C7" w:rsidRPr="00DA3C6E">
        <w:t xml:space="preserve"> reported the following year</w:t>
      </w:r>
      <w:r w:rsidRPr="00DA3C6E">
        <w:t xml:space="preserve"> do not </w:t>
      </w:r>
      <w:r w:rsidR="00D44013" w:rsidRPr="00DA3C6E">
        <w:t>match</w:t>
      </w:r>
      <w:r w:rsidRPr="00DA3C6E">
        <w:t>. These numbers may partly represent misdiagnosed cases of MND. It is expected that the number of new MMN patients</w:t>
      </w:r>
      <w:r w:rsidR="009C4F15" w:rsidRPr="00DA3C6E">
        <w:t xml:space="preserve"> under intravenous Ig treatment</w:t>
      </w:r>
      <w:r w:rsidRPr="00DA3C6E">
        <w:t xml:space="preserve"> is likely to reduce in the coming years as The Criteria V3 </w:t>
      </w:r>
      <w:r w:rsidR="00663F54" w:rsidRPr="00DA3C6E">
        <w:t xml:space="preserve">introduces further restrictions for treatment </w:t>
      </w:r>
      <w:r w:rsidR="00242A30" w:rsidRPr="00DA3C6E">
        <w:t>initiation</w:t>
      </w:r>
      <w:r w:rsidR="00663F54" w:rsidRPr="00DA3C6E">
        <w:t xml:space="preserve"> and continuation and expands on the exclusion criteria for treatment (further details are provided in Section A.2).  </w:t>
      </w:r>
    </w:p>
    <w:p w14:paraId="55AE8CE8" w14:textId="77777777" w:rsidR="005A2158" w:rsidRPr="00DA3C6E" w:rsidRDefault="005A2158" w:rsidP="0073359F">
      <w:pPr>
        <w:pStyle w:val="Heading2"/>
        <w:numPr>
          <w:ilvl w:val="4"/>
          <w:numId w:val="61"/>
        </w:numPr>
        <w:jc w:val="left"/>
      </w:pPr>
      <w:bookmarkStart w:id="341" w:name="_Toc214091270"/>
      <w:bookmarkStart w:id="342" w:name="_Toc341796094"/>
      <w:bookmarkStart w:id="343" w:name="_Toc37845779"/>
      <w:bookmarkStart w:id="344" w:name="_Toc379118300"/>
      <w:bookmarkStart w:id="345" w:name="_Toc381796483"/>
      <w:bookmarkEnd w:id="333"/>
      <w:r w:rsidRPr="00DA3C6E">
        <w:t>Use and Costs of</w:t>
      </w:r>
      <w:bookmarkEnd w:id="341"/>
      <w:bookmarkEnd w:id="342"/>
      <w:r w:rsidRPr="00DA3C6E">
        <w:t xml:space="preserve"> </w:t>
      </w:r>
      <w:r w:rsidR="00C55E03" w:rsidRPr="00DA3C6E">
        <w:t xml:space="preserve">intravenous Ig </w:t>
      </w:r>
      <w:r w:rsidRPr="00DA3C6E">
        <w:t>for the treatment of MMN</w:t>
      </w:r>
      <w:bookmarkEnd w:id="343"/>
    </w:p>
    <w:p w14:paraId="24608CC8" w14:textId="77777777" w:rsidR="005A2158" w:rsidRPr="00DA3C6E" w:rsidRDefault="005A2158" w:rsidP="00CF0291">
      <w:pPr>
        <w:pStyle w:val="Heading3"/>
      </w:pPr>
      <w:bookmarkStart w:id="346" w:name="_Toc37845780"/>
      <w:bookmarkEnd w:id="344"/>
      <w:bookmarkEnd w:id="345"/>
      <w:r w:rsidRPr="00DA3C6E">
        <w:t xml:space="preserve">Number of MMN patients eligible to receive </w:t>
      </w:r>
      <w:r w:rsidR="00C55E03" w:rsidRPr="00DA3C6E">
        <w:t>intravenous Ig</w:t>
      </w:r>
      <w:bookmarkEnd w:id="346"/>
    </w:p>
    <w:p w14:paraId="270588BC" w14:textId="2B506302" w:rsidR="005A2158" w:rsidRPr="00DA3C6E" w:rsidRDefault="005A2158" w:rsidP="00CF0291">
      <w:r w:rsidRPr="00DA3C6E">
        <w:t>Patient numbers were projected using linear extrapolations fitted to the observed data (</w:t>
      </w:r>
      <w:r w:rsidR="00AE4718" w:rsidRPr="00DA3C6E">
        <w:fldChar w:fldCharType="begin"/>
      </w:r>
      <w:r w:rsidR="00AE4718" w:rsidRPr="00DA3C6E">
        <w:instrText xml:space="preserve"> REF _Ref31206468 \h </w:instrText>
      </w:r>
      <w:r w:rsidR="00E8759F" w:rsidRPr="00DA3C6E">
        <w:instrText xml:space="preserve"> \* MERGEFORMAT </w:instrText>
      </w:r>
      <w:r w:rsidR="00AE4718" w:rsidRPr="00DA3C6E">
        <w:fldChar w:fldCharType="separate"/>
      </w:r>
      <w:r w:rsidR="00EA5DC1" w:rsidRPr="00DA3C6E">
        <w:t xml:space="preserve">Figure </w:t>
      </w:r>
      <w:r w:rsidR="00EA5DC1">
        <w:rPr>
          <w:noProof/>
        </w:rPr>
        <w:t>15</w:t>
      </w:r>
      <w:r w:rsidR="00AE4718" w:rsidRPr="00DA3C6E">
        <w:fldChar w:fldCharType="end"/>
      </w:r>
      <w:r w:rsidRPr="00DA3C6E">
        <w:t xml:space="preserve">). </w:t>
      </w:r>
      <w:r w:rsidR="00E4340D" w:rsidRPr="00DA3C6E">
        <w:t>T</w:t>
      </w:r>
      <w:r w:rsidRPr="00DA3C6E">
        <w:t>he observed data</w:t>
      </w:r>
      <w:r w:rsidR="00E4340D" w:rsidRPr="00DA3C6E">
        <w:t xml:space="preserve"> for </w:t>
      </w:r>
      <w:r w:rsidR="00691F23" w:rsidRPr="00DA3C6E">
        <w:t xml:space="preserve">the </w:t>
      </w:r>
      <w:r w:rsidR="00E4340D" w:rsidRPr="00DA3C6E">
        <w:t>number of prevalent MMN cases</w:t>
      </w:r>
      <w:r w:rsidRPr="00DA3C6E">
        <w:t xml:space="preserve"> </w:t>
      </w:r>
      <w:r w:rsidR="00233ACC" w:rsidRPr="00DA3C6E">
        <w:t xml:space="preserve">were </w:t>
      </w:r>
      <w:r w:rsidRPr="00DA3C6E">
        <w:t xml:space="preserve">linearly projected </w:t>
      </w:r>
      <w:r w:rsidR="00DA353F" w:rsidRPr="00DA3C6E">
        <w:t>based on the constant increase observed in the previous period (between 2014 – 2017). This projection</w:t>
      </w:r>
      <w:r w:rsidRPr="00DA3C6E">
        <w:t xml:space="preserve"> resulted in a total of 761 MMN patients projected to receive </w:t>
      </w:r>
      <w:r w:rsidR="00C55E03" w:rsidRPr="00DA3C6E">
        <w:t xml:space="preserve">intravenous Ig </w:t>
      </w:r>
      <w:r w:rsidRPr="00DA3C6E">
        <w:t xml:space="preserve">by 2024. </w:t>
      </w:r>
    </w:p>
    <w:p w14:paraId="1A5B50FE" w14:textId="0E5DAF94" w:rsidR="005A2158" w:rsidRPr="00DA3C6E" w:rsidRDefault="005A2158" w:rsidP="00205ACB">
      <w:pPr>
        <w:pStyle w:val="Caption"/>
        <w:keepNext/>
      </w:pPr>
      <w:bookmarkStart w:id="347" w:name="_Ref31206468"/>
      <w:bookmarkStart w:id="348" w:name="_Toc37845875"/>
      <w:r w:rsidRPr="00DA3C6E">
        <w:t xml:space="preserve">Figure </w:t>
      </w:r>
      <w:r w:rsidR="00515153">
        <w:fldChar w:fldCharType="begin"/>
      </w:r>
      <w:r w:rsidR="00515153">
        <w:instrText xml:space="preserve"> SEQ Figure \* ARABIC </w:instrText>
      </w:r>
      <w:r w:rsidR="00515153">
        <w:fldChar w:fldCharType="separate"/>
      </w:r>
      <w:r w:rsidR="00EA5DC1">
        <w:rPr>
          <w:noProof/>
        </w:rPr>
        <w:t>15</w:t>
      </w:r>
      <w:r w:rsidR="00515153">
        <w:rPr>
          <w:noProof/>
        </w:rPr>
        <w:fldChar w:fldCharType="end"/>
      </w:r>
      <w:bookmarkEnd w:id="347"/>
      <w:r w:rsidRPr="00DA3C6E">
        <w:t>. Patient number projections</w:t>
      </w:r>
      <w:bookmarkEnd w:id="348"/>
    </w:p>
    <w:p w14:paraId="3C3ED8B2" w14:textId="77777777" w:rsidR="005A2158" w:rsidRPr="00DA3C6E" w:rsidRDefault="009F46D2" w:rsidP="004553B6">
      <w:pPr>
        <w:spacing w:after="0"/>
      </w:pPr>
      <w:r w:rsidRPr="00DA3C6E">
        <w:rPr>
          <w:noProof/>
        </w:rPr>
        <w:drawing>
          <wp:inline distT="0" distB="0" distL="0" distR="0" wp14:anchorId="04F21ABB" wp14:editId="09718DA2">
            <wp:extent cx="4572635" cy="3645535"/>
            <wp:effectExtent l="0" t="0" r="0" b="0"/>
            <wp:docPr id="19" name="Picture 19" title="Figure 15. Patient number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645535"/>
                    </a:xfrm>
                    <a:prstGeom prst="rect">
                      <a:avLst/>
                    </a:prstGeom>
                    <a:noFill/>
                  </pic:spPr>
                </pic:pic>
              </a:graphicData>
            </a:graphic>
          </wp:inline>
        </w:drawing>
      </w:r>
    </w:p>
    <w:p w14:paraId="520BF5E3" w14:textId="77777777" w:rsidR="004D627A" w:rsidRPr="00DA3C6E" w:rsidRDefault="004553B6" w:rsidP="004D627A">
      <w:pPr>
        <w:spacing w:after="0" w:line="240" w:lineRule="auto"/>
        <w:rPr>
          <w:rFonts w:ascii="Arial Narrow" w:hAnsi="Arial Narrow"/>
          <w:sz w:val="18"/>
          <w:szCs w:val="18"/>
        </w:rPr>
      </w:pPr>
      <w:r w:rsidRPr="00DA3C6E">
        <w:rPr>
          <w:rFonts w:ascii="Arial Narrow" w:hAnsi="Arial Narrow"/>
          <w:sz w:val="18"/>
          <w:szCs w:val="18"/>
        </w:rPr>
        <w:t>Abbreviations: MMN = multifocal motor neuropathy.</w:t>
      </w:r>
    </w:p>
    <w:p w14:paraId="2FE4DB69" w14:textId="77777777" w:rsidR="004553B6" w:rsidRPr="00DA3C6E" w:rsidRDefault="004D627A" w:rsidP="004D627A">
      <w:pPr>
        <w:spacing w:line="240" w:lineRule="auto"/>
        <w:rPr>
          <w:rFonts w:ascii="Arial Narrow" w:hAnsi="Arial Narrow"/>
          <w:sz w:val="18"/>
          <w:szCs w:val="18"/>
        </w:rPr>
      </w:pPr>
      <w:r w:rsidRPr="00DA3C6E">
        <w:rPr>
          <w:rFonts w:ascii="Arial Narrow" w:hAnsi="Arial Narrow"/>
          <w:sz w:val="18"/>
          <w:szCs w:val="18"/>
        </w:rPr>
        <w:t xml:space="preserve">Source: NBA National Reports on the issue and use of immunoglobulin Ig 2015-16 and the </w:t>
      </w:r>
      <w:r w:rsidRPr="00DA3C6E">
        <w:rPr>
          <w:rFonts w:ascii="Arial Narrow" w:eastAsia="Calibri" w:hAnsi="Arial Narrow" w:cs="Times New Roman"/>
          <w:sz w:val="18"/>
          <w:lang w:eastAsia="en-US"/>
        </w:rPr>
        <w:t>HTA Conditions Report 1, 2 and 3 provided by the NBA on 06 January 2020 (</w:t>
      </w:r>
      <w:r w:rsidRPr="00DA3C6E">
        <w:rPr>
          <w:rFonts w:ascii="Arial Narrow" w:hAnsi="Arial Narrow"/>
          <w:sz w:val="18"/>
          <w:szCs w:val="18"/>
        </w:rPr>
        <w:t xml:space="preserve">‘Phase 2 HTA conditions data.xlsx' workbook). </w:t>
      </w:r>
    </w:p>
    <w:p w14:paraId="79C20BBB" w14:textId="77777777" w:rsidR="005A2158" w:rsidRPr="00DA3C6E" w:rsidRDefault="005A2158" w:rsidP="00CF0291">
      <w:pPr>
        <w:pStyle w:val="Heading3"/>
      </w:pPr>
      <w:bookmarkStart w:id="349" w:name="_Toc37845781"/>
      <w:r w:rsidRPr="00DA3C6E">
        <w:t xml:space="preserve">Estimated </w:t>
      </w:r>
      <w:r w:rsidR="00C55E03" w:rsidRPr="00DA3C6E">
        <w:t xml:space="preserve">intravenous Ig </w:t>
      </w:r>
      <w:r w:rsidRPr="00DA3C6E">
        <w:t>grams per patient</w:t>
      </w:r>
      <w:bookmarkEnd w:id="349"/>
    </w:p>
    <w:p w14:paraId="2448F4CE" w14:textId="0777697E" w:rsidR="005A2158" w:rsidRPr="00DA3C6E" w:rsidRDefault="005A2158" w:rsidP="00CF0291">
      <w:r w:rsidRPr="00DA3C6E">
        <w:fldChar w:fldCharType="begin"/>
      </w:r>
      <w:r w:rsidRPr="00DA3C6E">
        <w:instrText xml:space="preserve"> REF _Ref29816425 \h </w:instrText>
      </w:r>
      <w:r w:rsidR="00E8759F" w:rsidRPr="00DA3C6E">
        <w:instrText xml:space="preserve"> \* MERGEFORMAT </w:instrText>
      </w:r>
      <w:r w:rsidRPr="00DA3C6E">
        <w:fldChar w:fldCharType="separate"/>
      </w:r>
      <w:r w:rsidR="00EA5DC1" w:rsidRPr="00DA3C6E">
        <w:t xml:space="preserve">Figure </w:t>
      </w:r>
      <w:r w:rsidR="00EA5DC1">
        <w:rPr>
          <w:noProof/>
        </w:rPr>
        <w:t>16</w:t>
      </w:r>
      <w:r w:rsidRPr="00DA3C6E">
        <w:fldChar w:fldCharType="end"/>
      </w:r>
      <w:r w:rsidRPr="00DA3C6E">
        <w:fldChar w:fldCharType="begin"/>
      </w:r>
      <w:r w:rsidRPr="00DA3C6E">
        <w:instrText xml:space="preserve"> REF _Ref29816425 \h </w:instrText>
      </w:r>
      <w:r w:rsidR="00E8759F" w:rsidRPr="00DA3C6E">
        <w:instrText xml:space="preserve"> \* MERGEFORMAT </w:instrText>
      </w:r>
      <w:r w:rsidRPr="00DA3C6E">
        <w:fldChar w:fldCharType="separate"/>
      </w:r>
      <w:r w:rsidR="00EA5DC1" w:rsidRPr="00DA3C6E">
        <w:t xml:space="preserve">Figure </w:t>
      </w:r>
      <w:r w:rsidR="00EA5DC1">
        <w:rPr>
          <w:noProof/>
        </w:rPr>
        <w:t>16</w:t>
      </w:r>
      <w:r w:rsidRPr="00DA3C6E">
        <w:fldChar w:fldCharType="end"/>
      </w:r>
      <w:r w:rsidRPr="00DA3C6E">
        <w:t xml:space="preserve"> shows the average grams per patients from the observed data and the projected constant average assumed throughout the 5-year time horizon. </w:t>
      </w:r>
      <w:r w:rsidR="00E4340D" w:rsidRPr="00DA3C6E">
        <w:t>A</w:t>
      </w:r>
      <w:r w:rsidRPr="00DA3C6E">
        <w:t xml:space="preserve">verage grams per patient were not </w:t>
      </w:r>
      <w:r w:rsidRPr="00DA3C6E">
        <w:lastRenderedPageBreak/>
        <w:t xml:space="preserve">linearly projected (but instead kept constant at 626 grams) </w:t>
      </w:r>
      <w:r w:rsidR="00205ACB" w:rsidRPr="00DA3C6E">
        <w:t xml:space="preserve">as it was assumed a </w:t>
      </w:r>
      <w:r w:rsidRPr="00DA3C6E">
        <w:t>potential dose per patient reducti</w:t>
      </w:r>
      <w:r w:rsidR="00205ACB" w:rsidRPr="00DA3C6E">
        <w:t>on due to the implementation of</w:t>
      </w:r>
      <w:r w:rsidRPr="00DA3C6E">
        <w:t xml:space="preserve"> </w:t>
      </w:r>
      <w:r w:rsidR="00205ACB" w:rsidRPr="00DA3C6E">
        <w:t>T</w:t>
      </w:r>
      <w:r w:rsidRPr="00DA3C6E">
        <w:t xml:space="preserve">he Criteria V3. This assumption was based on the fact that a slight reduction in dose per patient was observed in the last year despite the increased number of prevalent cases under </w:t>
      </w:r>
      <w:r w:rsidR="00C55E03" w:rsidRPr="00DA3C6E">
        <w:t xml:space="preserve">Ig </w:t>
      </w:r>
      <w:r w:rsidRPr="00DA3C6E">
        <w:t xml:space="preserve">treatment. </w:t>
      </w:r>
      <w:r w:rsidR="00663F54" w:rsidRPr="00DA3C6E">
        <w:t xml:space="preserve">A linear projection of the utilised grams per episode was tested as a sensitivity analysis in Section E.6 </w:t>
      </w:r>
    </w:p>
    <w:p w14:paraId="1DE43DA8" w14:textId="5CF1714B" w:rsidR="005A2158" w:rsidRPr="00DA3C6E" w:rsidRDefault="005A2158" w:rsidP="004A30B5">
      <w:pPr>
        <w:pStyle w:val="Caption"/>
        <w:keepNext/>
        <w:keepLines/>
      </w:pPr>
      <w:bookmarkStart w:id="350" w:name="_Ref29816425"/>
      <w:bookmarkStart w:id="351" w:name="_Toc37845876"/>
      <w:r w:rsidRPr="00DA3C6E">
        <w:t xml:space="preserve">Figure </w:t>
      </w:r>
      <w:r w:rsidR="00515153">
        <w:fldChar w:fldCharType="begin"/>
      </w:r>
      <w:r w:rsidR="00515153">
        <w:instrText xml:space="preserve"> SEQ Figure \* ARABIC </w:instrText>
      </w:r>
      <w:r w:rsidR="00515153">
        <w:fldChar w:fldCharType="separate"/>
      </w:r>
      <w:r w:rsidR="00EA5DC1">
        <w:rPr>
          <w:noProof/>
        </w:rPr>
        <w:t>16</w:t>
      </w:r>
      <w:r w:rsidR="00515153">
        <w:rPr>
          <w:noProof/>
        </w:rPr>
        <w:fldChar w:fldCharType="end"/>
      </w:r>
      <w:bookmarkEnd w:id="350"/>
      <w:r w:rsidRPr="00DA3C6E">
        <w:t xml:space="preserve">. Observed and estimated average </w:t>
      </w:r>
      <w:r w:rsidR="00D44013" w:rsidRPr="00DA3C6E">
        <w:t xml:space="preserve">intravenous Ig </w:t>
      </w:r>
      <w:r w:rsidRPr="00DA3C6E">
        <w:t xml:space="preserve">grams </w:t>
      </w:r>
      <w:r w:rsidR="008076F0" w:rsidRPr="00DA3C6E">
        <w:t>per MMN patient.</w:t>
      </w:r>
      <w:bookmarkEnd w:id="351"/>
      <w:r w:rsidR="008076F0" w:rsidRPr="00DA3C6E">
        <w:t xml:space="preserve"> </w:t>
      </w:r>
      <w:r w:rsidRPr="00DA3C6E">
        <w:t xml:space="preserve"> </w:t>
      </w:r>
    </w:p>
    <w:p w14:paraId="16C0CAF9" w14:textId="77777777" w:rsidR="00C129D1" w:rsidRPr="00DA3C6E" w:rsidRDefault="005A2158" w:rsidP="004A30B5">
      <w:pPr>
        <w:keepNext/>
        <w:keepLines/>
        <w:spacing w:after="0"/>
        <w:rPr>
          <w:rFonts w:ascii="Arial Narrow" w:hAnsi="Arial Narrow"/>
          <w:sz w:val="18"/>
          <w:szCs w:val="18"/>
        </w:rPr>
      </w:pPr>
      <w:r w:rsidRPr="00DA3C6E">
        <w:rPr>
          <w:noProof/>
        </w:rPr>
        <w:drawing>
          <wp:inline distT="0" distB="0" distL="0" distR="0" wp14:anchorId="08F114F8" wp14:editId="3E900F08">
            <wp:extent cx="4800600" cy="3721100"/>
            <wp:effectExtent l="0" t="0" r="0" b="12700"/>
            <wp:docPr id="24" name="Chart 24" title="Figure 16. Observed and estimated average intravenous Ig grams per MMN pati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377F08" w14:textId="77777777" w:rsidR="00384498" w:rsidRPr="00DA3C6E" w:rsidRDefault="00384498" w:rsidP="00384498">
      <w:pPr>
        <w:spacing w:after="0" w:line="240" w:lineRule="auto"/>
        <w:rPr>
          <w:rFonts w:ascii="Arial Narrow" w:hAnsi="Arial Narrow"/>
          <w:sz w:val="18"/>
          <w:szCs w:val="18"/>
        </w:rPr>
      </w:pPr>
      <w:r w:rsidRPr="00DA3C6E">
        <w:rPr>
          <w:rFonts w:ascii="Arial Narrow" w:hAnsi="Arial Narrow"/>
          <w:sz w:val="18"/>
          <w:szCs w:val="18"/>
        </w:rPr>
        <w:t>Abbreviations: MMN = multifocal motor neuropathy.</w:t>
      </w:r>
    </w:p>
    <w:p w14:paraId="5511482C" w14:textId="77777777" w:rsidR="005A2158" w:rsidRPr="00DA3C6E" w:rsidRDefault="005A2158" w:rsidP="00D44013">
      <w:pPr>
        <w:spacing w:line="240" w:lineRule="auto"/>
        <w:rPr>
          <w:rFonts w:ascii="Arial Narrow" w:hAnsi="Arial Narrow"/>
          <w:sz w:val="18"/>
          <w:szCs w:val="18"/>
        </w:rPr>
      </w:pPr>
      <w:r w:rsidRPr="00DA3C6E">
        <w:rPr>
          <w:rFonts w:ascii="Arial Narrow" w:hAnsi="Arial Narrow"/>
          <w:sz w:val="18"/>
          <w:szCs w:val="18"/>
        </w:rPr>
        <w:t xml:space="preserve">Source: NBA National Reports on the issue and use of immunoglobulin Ig 2015-16 and the </w:t>
      </w:r>
      <w:r w:rsidRPr="00DA3C6E">
        <w:rPr>
          <w:rFonts w:ascii="Arial Narrow" w:eastAsia="Calibri" w:hAnsi="Arial Narrow" w:cs="Times New Roman"/>
          <w:sz w:val="18"/>
          <w:lang w:eastAsia="en-US"/>
        </w:rPr>
        <w:t>HTA Conditions Report 1, 2 and 3 provided by the NBA on 06 January 2020 (</w:t>
      </w:r>
      <w:r w:rsidRPr="00DA3C6E">
        <w:rPr>
          <w:rFonts w:ascii="Arial Narrow" w:hAnsi="Arial Narrow"/>
          <w:sz w:val="18"/>
          <w:szCs w:val="18"/>
        </w:rPr>
        <w:t xml:space="preserve">‘Phase 2 HTA conditions data.xlsx' workbook). </w:t>
      </w:r>
    </w:p>
    <w:p w14:paraId="130A99FA" w14:textId="55DB600E" w:rsidR="005A2158" w:rsidRPr="00DA3C6E" w:rsidRDefault="005A2158" w:rsidP="00CF0291">
      <w:r w:rsidRPr="00DA3C6E">
        <w:t xml:space="preserve">To estimate the total number of </w:t>
      </w:r>
      <w:r w:rsidR="009C4F15" w:rsidRPr="00DA3C6E">
        <w:t xml:space="preserve">intravenous Ig </w:t>
      </w:r>
      <w:r w:rsidRPr="00DA3C6E">
        <w:t>grams per year, the average grams per patient, was multiplied by the projected number of patients (</w:t>
      </w:r>
      <w:r w:rsidRPr="00DA3C6E">
        <w:fldChar w:fldCharType="begin"/>
      </w:r>
      <w:r w:rsidRPr="00DA3C6E">
        <w:instrText xml:space="preserve"> REF _Ref29821837 \h </w:instrText>
      </w:r>
      <w:r w:rsidR="00E8759F" w:rsidRPr="00DA3C6E">
        <w:instrText xml:space="preserve"> \* MERGEFORMAT </w:instrText>
      </w:r>
      <w:r w:rsidRPr="00DA3C6E">
        <w:fldChar w:fldCharType="separate"/>
      </w:r>
      <w:r w:rsidR="00EA5DC1" w:rsidRPr="00DA3C6E">
        <w:t xml:space="preserve">Table </w:t>
      </w:r>
      <w:r w:rsidR="00EA5DC1">
        <w:rPr>
          <w:noProof/>
        </w:rPr>
        <w:t>37</w:t>
      </w:r>
      <w:r w:rsidRPr="00DA3C6E">
        <w:fldChar w:fldCharType="end"/>
      </w:r>
      <w:r w:rsidRPr="00DA3C6E">
        <w:t xml:space="preserve">). Overall, the total grams increased from 392,544 grams in year 1 to 476,177 grams in year 5 (21% increase). </w:t>
      </w:r>
    </w:p>
    <w:p w14:paraId="18C1C511" w14:textId="723BC8F8" w:rsidR="00B4470D" w:rsidRPr="00DA3C6E" w:rsidRDefault="005A2158" w:rsidP="00CF0291">
      <w:pPr>
        <w:pStyle w:val="Caption"/>
      </w:pPr>
      <w:bookmarkStart w:id="352" w:name="_Ref29821837"/>
      <w:bookmarkStart w:id="353" w:name="_Toc37845840"/>
      <w:r w:rsidRPr="00DA3C6E">
        <w:t xml:space="preserve">Table </w:t>
      </w:r>
      <w:r w:rsidR="00515153">
        <w:fldChar w:fldCharType="begin"/>
      </w:r>
      <w:r w:rsidR="00515153">
        <w:instrText xml:space="preserve"> SEQ Table \* ARABIC </w:instrText>
      </w:r>
      <w:r w:rsidR="00515153">
        <w:fldChar w:fldCharType="separate"/>
      </w:r>
      <w:r w:rsidR="00EA5DC1">
        <w:rPr>
          <w:noProof/>
        </w:rPr>
        <w:t>37</w:t>
      </w:r>
      <w:r w:rsidR="00515153">
        <w:rPr>
          <w:noProof/>
        </w:rPr>
        <w:fldChar w:fldCharType="end"/>
      </w:r>
      <w:bookmarkEnd w:id="352"/>
      <w:r w:rsidRPr="00DA3C6E">
        <w:t xml:space="preserve">. Projected </w:t>
      </w:r>
      <w:r w:rsidR="00C55E03" w:rsidRPr="00DA3C6E">
        <w:t xml:space="preserve">intravenous Ig </w:t>
      </w:r>
      <w:r w:rsidRPr="00DA3C6E">
        <w:t>grams per year</w:t>
      </w:r>
      <w:bookmarkEnd w:id="353"/>
    </w:p>
    <w:tbl>
      <w:tblPr>
        <w:tblStyle w:val="TableGrid"/>
        <w:tblW w:w="9069" w:type="dxa"/>
        <w:tblLook w:val="04A0" w:firstRow="1" w:lastRow="0" w:firstColumn="1" w:lastColumn="0" w:noHBand="0" w:noVBand="1"/>
        <w:tblCaption w:val="Table 37. Projected intravenous Ig grams per year"/>
      </w:tblPr>
      <w:tblGrid>
        <w:gridCol w:w="3116"/>
        <w:gridCol w:w="992"/>
        <w:gridCol w:w="992"/>
        <w:gridCol w:w="993"/>
        <w:gridCol w:w="992"/>
        <w:gridCol w:w="992"/>
        <w:gridCol w:w="992"/>
      </w:tblGrid>
      <w:tr w:rsidR="009F5BAC" w:rsidRPr="00DA3C6E" w14:paraId="70EFBBB1" w14:textId="77777777" w:rsidTr="00D56F4F">
        <w:trPr>
          <w:trHeight w:val="219"/>
          <w:tblHeader/>
        </w:trPr>
        <w:tc>
          <w:tcPr>
            <w:tcW w:w="3116" w:type="dxa"/>
            <w:vAlign w:val="bottom"/>
          </w:tcPr>
          <w:p w14:paraId="5CB1EE52" w14:textId="77777777" w:rsidR="009F5BAC" w:rsidRPr="00DA3C6E" w:rsidRDefault="009F5BAC" w:rsidP="00864900">
            <w:pPr>
              <w:spacing w:after="0" w:line="240" w:lineRule="auto"/>
              <w:rPr>
                <w:rFonts w:ascii="Arial Narrow" w:hAnsi="Arial Narrow" w:cs="Calibri"/>
                <w:b/>
                <w:sz w:val="20"/>
                <w:szCs w:val="20"/>
              </w:rPr>
            </w:pPr>
          </w:p>
        </w:tc>
        <w:tc>
          <w:tcPr>
            <w:tcW w:w="992" w:type="dxa"/>
            <w:noWrap/>
          </w:tcPr>
          <w:p w14:paraId="3110B521" w14:textId="77777777" w:rsidR="009F5BAC" w:rsidRPr="00DA3C6E" w:rsidRDefault="009F5BAC" w:rsidP="00864900">
            <w:pPr>
              <w:spacing w:after="0" w:line="240" w:lineRule="auto"/>
              <w:ind w:left="0"/>
              <w:rPr>
                <w:rFonts w:ascii="Arial Narrow" w:hAnsi="Arial Narrow"/>
                <w:b/>
                <w:sz w:val="20"/>
                <w:szCs w:val="20"/>
              </w:rPr>
            </w:pPr>
            <w:r w:rsidRPr="00DA3C6E">
              <w:rPr>
                <w:rFonts w:ascii="Arial Narrow" w:hAnsi="Arial Narrow"/>
                <w:b/>
                <w:sz w:val="20"/>
                <w:szCs w:val="20"/>
              </w:rPr>
              <w:t>Year 1</w:t>
            </w:r>
          </w:p>
        </w:tc>
        <w:tc>
          <w:tcPr>
            <w:tcW w:w="992" w:type="dxa"/>
            <w:noWrap/>
          </w:tcPr>
          <w:p w14:paraId="690177B2" w14:textId="77777777" w:rsidR="009F5BAC" w:rsidRPr="00DA3C6E" w:rsidRDefault="009F5BAC" w:rsidP="00864900">
            <w:pPr>
              <w:spacing w:after="0" w:line="240" w:lineRule="auto"/>
              <w:ind w:left="0"/>
              <w:rPr>
                <w:rFonts w:ascii="Arial Narrow" w:hAnsi="Arial Narrow"/>
                <w:b/>
                <w:sz w:val="20"/>
                <w:szCs w:val="20"/>
              </w:rPr>
            </w:pPr>
            <w:r w:rsidRPr="00DA3C6E">
              <w:rPr>
                <w:rFonts w:ascii="Arial Narrow" w:hAnsi="Arial Narrow"/>
                <w:b/>
                <w:sz w:val="20"/>
                <w:szCs w:val="20"/>
              </w:rPr>
              <w:t>Year 2</w:t>
            </w:r>
          </w:p>
        </w:tc>
        <w:tc>
          <w:tcPr>
            <w:tcW w:w="993" w:type="dxa"/>
            <w:noWrap/>
          </w:tcPr>
          <w:p w14:paraId="7859D727" w14:textId="77777777" w:rsidR="009F5BAC" w:rsidRPr="00DA3C6E" w:rsidRDefault="009F5BAC" w:rsidP="00864900">
            <w:pPr>
              <w:spacing w:after="0" w:line="240" w:lineRule="auto"/>
              <w:ind w:left="0"/>
              <w:rPr>
                <w:rFonts w:ascii="Arial Narrow" w:hAnsi="Arial Narrow"/>
                <w:b/>
                <w:sz w:val="20"/>
                <w:szCs w:val="20"/>
              </w:rPr>
            </w:pPr>
            <w:r w:rsidRPr="00DA3C6E">
              <w:rPr>
                <w:rFonts w:ascii="Arial Narrow" w:hAnsi="Arial Narrow"/>
                <w:b/>
                <w:sz w:val="20"/>
                <w:szCs w:val="20"/>
              </w:rPr>
              <w:t>Year 3</w:t>
            </w:r>
          </w:p>
        </w:tc>
        <w:tc>
          <w:tcPr>
            <w:tcW w:w="992" w:type="dxa"/>
            <w:noWrap/>
          </w:tcPr>
          <w:p w14:paraId="299FFE29" w14:textId="77777777" w:rsidR="009F5BAC" w:rsidRPr="00DA3C6E" w:rsidRDefault="009F5BAC" w:rsidP="00864900">
            <w:pPr>
              <w:spacing w:after="0" w:line="240" w:lineRule="auto"/>
              <w:ind w:left="0"/>
              <w:rPr>
                <w:rFonts w:ascii="Arial Narrow" w:hAnsi="Arial Narrow"/>
                <w:b/>
                <w:sz w:val="20"/>
                <w:szCs w:val="20"/>
              </w:rPr>
            </w:pPr>
            <w:r w:rsidRPr="00DA3C6E">
              <w:rPr>
                <w:rFonts w:ascii="Arial Narrow" w:hAnsi="Arial Narrow"/>
                <w:b/>
                <w:sz w:val="20"/>
                <w:szCs w:val="20"/>
              </w:rPr>
              <w:t>Year 4</w:t>
            </w:r>
          </w:p>
        </w:tc>
        <w:tc>
          <w:tcPr>
            <w:tcW w:w="992" w:type="dxa"/>
            <w:noWrap/>
          </w:tcPr>
          <w:p w14:paraId="79E642A2" w14:textId="77777777" w:rsidR="009F5BAC" w:rsidRPr="00DA3C6E" w:rsidRDefault="009F5BAC" w:rsidP="00864900">
            <w:pPr>
              <w:spacing w:after="0" w:line="240" w:lineRule="auto"/>
              <w:ind w:left="0"/>
              <w:rPr>
                <w:rFonts w:ascii="Arial Narrow" w:hAnsi="Arial Narrow"/>
                <w:b/>
                <w:sz w:val="20"/>
                <w:szCs w:val="20"/>
              </w:rPr>
            </w:pPr>
            <w:r w:rsidRPr="00DA3C6E">
              <w:rPr>
                <w:rFonts w:ascii="Arial Narrow" w:hAnsi="Arial Narrow"/>
                <w:b/>
                <w:sz w:val="20"/>
                <w:szCs w:val="20"/>
              </w:rPr>
              <w:t>Year 5</w:t>
            </w:r>
          </w:p>
        </w:tc>
        <w:tc>
          <w:tcPr>
            <w:tcW w:w="992" w:type="dxa"/>
          </w:tcPr>
          <w:p w14:paraId="11973598" w14:textId="77777777" w:rsidR="009F5BAC" w:rsidRPr="00DA3C6E" w:rsidRDefault="009F5BAC" w:rsidP="004A30B5">
            <w:pPr>
              <w:spacing w:after="0" w:line="240" w:lineRule="auto"/>
              <w:ind w:left="0"/>
              <w:rPr>
                <w:rFonts w:ascii="Arial Narrow" w:hAnsi="Arial Narrow"/>
                <w:b/>
                <w:sz w:val="20"/>
                <w:szCs w:val="20"/>
              </w:rPr>
            </w:pPr>
            <w:r w:rsidRPr="00DA3C6E">
              <w:rPr>
                <w:rFonts w:ascii="Arial Narrow" w:hAnsi="Arial Narrow"/>
                <w:b/>
                <w:sz w:val="20"/>
                <w:szCs w:val="20"/>
              </w:rPr>
              <w:t>Total over 5 years</w:t>
            </w:r>
          </w:p>
        </w:tc>
      </w:tr>
      <w:tr w:rsidR="009F5BAC" w:rsidRPr="00DA3C6E" w14:paraId="00397FAF" w14:textId="77777777" w:rsidTr="004A30B5">
        <w:trPr>
          <w:trHeight w:val="219"/>
        </w:trPr>
        <w:tc>
          <w:tcPr>
            <w:tcW w:w="3116" w:type="dxa"/>
            <w:vAlign w:val="bottom"/>
          </w:tcPr>
          <w:p w14:paraId="38006D56" w14:textId="77777777" w:rsidR="009F5BAC" w:rsidRPr="00DA3C6E" w:rsidRDefault="009F5BAC" w:rsidP="00864900">
            <w:pPr>
              <w:spacing w:after="0" w:line="240" w:lineRule="auto"/>
              <w:ind w:left="0"/>
              <w:rPr>
                <w:rFonts w:ascii="Arial Narrow" w:hAnsi="Arial Narrow"/>
                <w:sz w:val="20"/>
                <w:szCs w:val="20"/>
              </w:rPr>
            </w:pPr>
            <w:r w:rsidRPr="00DA3C6E">
              <w:rPr>
                <w:rFonts w:ascii="Arial Narrow" w:hAnsi="Arial Narrow" w:cs="Calibri"/>
                <w:sz w:val="20"/>
                <w:szCs w:val="20"/>
              </w:rPr>
              <w:t>MMN prevalent cases</w:t>
            </w:r>
          </w:p>
        </w:tc>
        <w:tc>
          <w:tcPr>
            <w:tcW w:w="992" w:type="dxa"/>
            <w:noWrap/>
            <w:vAlign w:val="center"/>
            <w:hideMark/>
          </w:tcPr>
          <w:p w14:paraId="036F55C9"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627</w:t>
            </w:r>
          </w:p>
        </w:tc>
        <w:tc>
          <w:tcPr>
            <w:tcW w:w="992" w:type="dxa"/>
            <w:noWrap/>
            <w:vAlign w:val="center"/>
            <w:hideMark/>
          </w:tcPr>
          <w:p w14:paraId="613AB5D1"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660</w:t>
            </w:r>
          </w:p>
        </w:tc>
        <w:tc>
          <w:tcPr>
            <w:tcW w:w="993" w:type="dxa"/>
            <w:noWrap/>
            <w:vAlign w:val="center"/>
            <w:hideMark/>
          </w:tcPr>
          <w:p w14:paraId="245DFCCD"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694</w:t>
            </w:r>
          </w:p>
        </w:tc>
        <w:tc>
          <w:tcPr>
            <w:tcW w:w="992" w:type="dxa"/>
            <w:noWrap/>
            <w:vAlign w:val="center"/>
            <w:hideMark/>
          </w:tcPr>
          <w:p w14:paraId="44B81133"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727</w:t>
            </w:r>
          </w:p>
        </w:tc>
        <w:tc>
          <w:tcPr>
            <w:tcW w:w="992" w:type="dxa"/>
            <w:noWrap/>
            <w:vAlign w:val="center"/>
            <w:hideMark/>
          </w:tcPr>
          <w:p w14:paraId="6478AB5D"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761</w:t>
            </w:r>
          </w:p>
        </w:tc>
        <w:tc>
          <w:tcPr>
            <w:tcW w:w="992" w:type="dxa"/>
          </w:tcPr>
          <w:p w14:paraId="045306D3" w14:textId="77777777" w:rsidR="009F5BAC" w:rsidRPr="00DA3C6E" w:rsidRDefault="009F5BAC" w:rsidP="004A30B5">
            <w:pPr>
              <w:spacing w:after="0" w:line="240" w:lineRule="auto"/>
              <w:ind w:left="0"/>
              <w:rPr>
                <w:rFonts w:ascii="Arial Narrow" w:hAnsi="Arial Narrow"/>
                <w:sz w:val="20"/>
                <w:szCs w:val="20"/>
              </w:rPr>
            </w:pPr>
            <w:r w:rsidRPr="00DA3C6E">
              <w:rPr>
                <w:rFonts w:ascii="Arial Narrow" w:hAnsi="Arial Narrow"/>
                <w:sz w:val="20"/>
                <w:szCs w:val="20"/>
              </w:rPr>
              <w:t>3,469</w:t>
            </w:r>
          </w:p>
        </w:tc>
      </w:tr>
      <w:tr w:rsidR="009F5BAC" w:rsidRPr="00DA3C6E" w14:paraId="5B4DFC6D" w14:textId="77777777" w:rsidTr="004A30B5">
        <w:trPr>
          <w:trHeight w:val="219"/>
        </w:trPr>
        <w:tc>
          <w:tcPr>
            <w:tcW w:w="3116" w:type="dxa"/>
            <w:vAlign w:val="bottom"/>
          </w:tcPr>
          <w:p w14:paraId="38E40470" w14:textId="77777777" w:rsidR="009F5BAC" w:rsidRPr="00DA3C6E" w:rsidRDefault="009F5BAC" w:rsidP="00864900">
            <w:pPr>
              <w:spacing w:after="0" w:line="240" w:lineRule="auto"/>
              <w:ind w:left="0"/>
              <w:rPr>
                <w:rFonts w:ascii="Arial Narrow" w:hAnsi="Arial Narrow"/>
                <w:sz w:val="20"/>
                <w:szCs w:val="20"/>
              </w:rPr>
            </w:pPr>
            <w:r w:rsidRPr="00DA3C6E">
              <w:rPr>
                <w:rFonts w:ascii="Arial Narrow" w:hAnsi="Arial Narrow" w:cs="Calibri"/>
                <w:sz w:val="20"/>
                <w:szCs w:val="20"/>
              </w:rPr>
              <w:t xml:space="preserve"> Average grams per patient </w:t>
            </w:r>
          </w:p>
        </w:tc>
        <w:tc>
          <w:tcPr>
            <w:tcW w:w="992" w:type="dxa"/>
            <w:vAlign w:val="center"/>
            <w:hideMark/>
          </w:tcPr>
          <w:p w14:paraId="1E8B0872"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626</w:t>
            </w:r>
          </w:p>
        </w:tc>
        <w:tc>
          <w:tcPr>
            <w:tcW w:w="992" w:type="dxa"/>
            <w:vAlign w:val="center"/>
            <w:hideMark/>
          </w:tcPr>
          <w:p w14:paraId="56CFB16A"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626</w:t>
            </w:r>
          </w:p>
        </w:tc>
        <w:tc>
          <w:tcPr>
            <w:tcW w:w="993" w:type="dxa"/>
            <w:vAlign w:val="center"/>
            <w:hideMark/>
          </w:tcPr>
          <w:p w14:paraId="78D60B97"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626</w:t>
            </w:r>
          </w:p>
        </w:tc>
        <w:tc>
          <w:tcPr>
            <w:tcW w:w="992" w:type="dxa"/>
            <w:vAlign w:val="center"/>
            <w:hideMark/>
          </w:tcPr>
          <w:p w14:paraId="4687A920"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626</w:t>
            </w:r>
          </w:p>
        </w:tc>
        <w:tc>
          <w:tcPr>
            <w:tcW w:w="992" w:type="dxa"/>
            <w:vAlign w:val="center"/>
            <w:hideMark/>
          </w:tcPr>
          <w:p w14:paraId="5D700179" w14:textId="77777777" w:rsidR="009F5BAC" w:rsidRPr="00DA3C6E" w:rsidRDefault="009F5BAC" w:rsidP="00864900">
            <w:pPr>
              <w:spacing w:after="0" w:line="240" w:lineRule="auto"/>
              <w:ind w:left="0"/>
              <w:jc w:val="center"/>
              <w:rPr>
                <w:rFonts w:ascii="Arial Narrow" w:hAnsi="Arial Narrow"/>
                <w:sz w:val="20"/>
                <w:szCs w:val="20"/>
              </w:rPr>
            </w:pPr>
            <w:r w:rsidRPr="00DA3C6E">
              <w:rPr>
                <w:rFonts w:ascii="Arial Narrow" w:hAnsi="Arial Narrow"/>
                <w:sz w:val="20"/>
                <w:szCs w:val="20"/>
              </w:rPr>
              <w:t>626</w:t>
            </w:r>
          </w:p>
        </w:tc>
        <w:tc>
          <w:tcPr>
            <w:tcW w:w="992" w:type="dxa"/>
          </w:tcPr>
          <w:p w14:paraId="2CF5586C" w14:textId="77777777" w:rsidR="009F5BAC" w:rsidRPr="00DA3C6E" w:rsidRDefault="009F5BAC" w:rsidP="004A30B5">
            <w:pPr>
              <w:spacing w:after="0" w:line="240" w:lineRule="auto"/>
              <w:ind w:left="0"/>
              <w:rPr>
                <w:rFonts w:ascii="Arial Narrow" w:hAnsi="Arial Narrow"/>
                <w:sz w:val="20"/>
                <w:szCs w:val="20"/>
              </w:rPr>
            </w:pPr>
            <w:r w:rsidRPr="00DA3C6E">
              <w:rPr>
                <w:rFonts w:ascii="Arial Narrow" w:hAnsi="Arial Narrow"/>
                <w:sz w:val="20"/>
                <w:szCs w:val="20"/>
              </w:rPr>
              <w:t>3,130</w:t>
            </w:r>
          </w:p>
        </w:tc>
      </w:tr>
      <w:tr w:rsidR="009F5BAC" w:rsidRPr="00DA3C6E" w14:paraId="711CD1E8" w14:textId="77777777" w:rsidTr="004A30B5">
        <w:trPr>
          <w:trHeight w:val="219"/>
        </w:trPr>
        <w:tc>
          <w:tcPr>
            <w:tcW w:w="3116" w:type="dxa"/>
            <w:vAlign w:val="bottom"/>
          </w:tcPr>
          <w:p w14:paraId="59D9CF97" w14:textId="77777777" w:rsidR="009F5BAC" w:rsidRPr="00DA3C6E" w:rsidRDefault="009F5BAC" w:rsidP="00864900">
            <w:pPr>
              <w:spacing w:after="0" w:line="240" w:lineRule="auto"/>
              <w:ind w:left="0"/>
              <w:rPr>
                <w:rFonts w:ascii="Arial Narrow" w:hAnsi="Arial Narrow" w:cs="Calibri"/>
                <w:b/>
                <w:sz w:val="20"/>
                <w:szCs w:val="20"/>
              </w:rPr>
            </w:pPr>
            <w:r w:rsidRPr="00DA3C6E">
              <w:rPr>
                <w:rFonts w:ascii="Arial Narrow" w:hAnsi="Arial Narrow" w:cs="Calibri"/>
                <w:b/>
                <w:sz w:val="20"/>
                <w:szCs w:val="20"/>
              </w:rPr>
              <w:t xml:space="preserve">Total grams administered </w:t>
            </w:r>
          </w:p>
        </w:tc>
        <w:tc>
          <w:tcPr>
            <w:tcW w:w="992" w:type="dxa"/>
            <w:noWrap/>
            <w:vAlign w:val="center"/>
          </w:tcPr>
          <w:p w14:paraId="13FDC693" w14:textId="77777777" w:rsidR="009F5BAC" w:rsidRPr="00DA3C6E" w:rsidRDefault="009F5BAC" w:rsidP="00864900">
            <w:pPr>
              <w:spacing w:after="0" w:line="240" w:lineRule="auto"/>
              <w:ind w:left="0"/>
              <w:jc w:val="center"/>
              <w:rPr>
                <w:rFonts w:ascii="Arial Narrow" w:hAnsi="Arial Narrow"/>
                <w:b/>
                <w:sz w:val="20"/>
                <w:szCs w:val="20"/>
              </w:rPr>
            </w:pPr>
            <w:r w:rsidRPr="00DA3C6E">
              <w:rPr>
                <w:rFonts w:ascii="Arial Narrow" w:hAnsi="Arial Narrow"/>
                <w:b/>
                <w:sz w:val="20"/>
                <w:szCs w:val="20"/>
              </w:rPr>
              <w:t>392,544</w:t>
            </w:r>
          </w:p>
        </w:tc>
        <w:tc>
          <w:tcPr>
            <w:tcW w:w="992" w:type="dxa"/>
            <w:noWrap/>
            <w:vAlign w:val="center"/>
          </w:tcPr>
          <w:p w14:paraId="09B7AC67" w14:textId="77777777" w:rsidR="009F5BAC" w:rsidRPr="00DA3C6E" w:rsidRDefault="009F5BAC" w:rsidP="00864900">
            <w:pPr>
              <w:spacing w:after="0" w:line="240" w:lineRule="auto"/>
              <w:ind w:left="0"/>
              <w:jc w:val="center"/>
              <w:rPr>
                <w:rFonts w:ascii="Arial Narrow" w:hAnsi="Arial Narrow"/>
                <w:b/>
                <w:sz w:val="20"/>
                <w:szCs w:val="20"/>
              </w:rPr>
            </w:pPr>
            <w:r w:rsidRPr="00DA3C6E">
              <w:rPr>
                <w:rFonts w:ascii="Arial Narrow" w:hAnsi="Arial Narrow"/>
                <w:b/>
                <w:sz w:val="20"/>
                <w:szCs w:val="20"/>
              </w:rPr>
              <w:t>413,452</w:t>
            </w:r>
          </w:p>
        </w:tc>
        <w:tc>
          <w:tcPr>
            <w:tcW w:w="993" w:type="dxa"/>
            <w:noWrap/>
            <w:vAlign w:val="center"/>
          </w:tcPr>
          <w:p w14:paraId="665DAB54" w14:textId="77777777" w:rsidR="009F5BAC" w:rsidRPr="00DA3C6E" w:rsidRDefault="009F5BAC" w:rsidP="00864900">
            <w:pPr>
              <w:spacing w:after="0" w:line="240" w:lineRule="auto"/>
              <w:ind w:left="0"/>
              <w:jc w:val="center"/>
              <w:rPr>
                <w:rFonts w:ascii="Arial Narrow" w:hAnsi="Arial Narrow"/>
                <w:b/>
                <w:sz w:val="20"/>
                <w:szCs w:val="20"/>
              </w:rPr>
            </w:pPr>
            <w:r w:rsidRPr="00DA3C6E">
              <w:rPr>
                <w:rFonts w:ascii="Arial Narrow" w:hAnsi="Arial Narrow"/>
                <w:b/>
                <w:sz w:val="20"/>
                <w:szCs w:val="20"/>
              </w:rPr>
              <w:t>434,361</w:t>
            </w:r>
          </w:p>
        </w:tc>
        <w:tc>
          <w:tcPr>
            <w:tcW w:w="992" w:type="dxa"/>
            <w:noWrap/>
            <w:vAlign w:val="center"/>
          </w:tcPr>
          <w:p w14:paraId="3282B365" w14:textId="77777777" w:rsidR="009F5BAC" w:rsidRPr="00DA3C6E" w:rsidRDefault="009F5BAC" w:rsidP="00864900">
            <w:pPr>
              <w:spacing w:after="0" w:line="240" w:lineRule="auto"/>
              <w:ind w:left="0"/>
              <w:jc w:val="center"/>
              <w:rPr>
                <w:rFonts w:ascii="Arial Narrow" w:hAnsi="Arial Narrow"/>
                <w:b/>
                <w:sz w:val="20"/>
                <w:szCs w:val="20"/>
              </w:rPr>
            </w:pPr>
            <w:r w:rsidRPr="00DA3C6E">
              <w:rPr>
                <w:rFonts w:ascii="Arial Narrow" w:hAnsi="Arial Narrow"/>
                <w:b/>
                <w:sz w:val="20"/>
                <w:szCs w:val="20"/>
              </w:rPr>
              <w:t>455,269</w:t>
            </w:r>
          </w:p>
        </w:tc>
        <w:tc>
          <w:tcPr>
            <w:tcW w:w="992" w:type="dxa"/>
            <w:noWrap/>
            <w:vAlign w:val="center"/>
          </w:tcPr>
          <w:p w14:paraId="5B290986" w14:textId="77777777" w:rsidR="009F5BAC" w:rsidRPr="00DA3C6E" w:rsidRDefault="009F5BAC" w:rsidP="00864900">
            <w:pPr>
              <w:spacing w:after="0" w:line="240" w:lineRule="auto"/>
              <w:ind w:left="0"/>
              <w:jc w:val="center"/>
              <w:rPr>
                <w:rFonts w:ascii="Arial Narrow" w:hAnsi="Arial Narrow"/>
                <w:b/>
                <w:sz w:val="20"/>
                <w:szCs w:val="20"/>
              </w:rPr>
            </w:pPr>
            <w:r w:rsidRPr="00DA3C6E">
              <w:rPr>
                <w:rFonts w:ascii="Arial Narrow" w:hAnsi="Arial Narrow"/>
                <w:b/>
                <w:sz w:val="20"/>
                <w:szCs w:val="20"/>
              </w:rPr>
              <w:t>476,177</w:t>
            </w:r>
          </w:p>
        </w:tc>
        <w:tc>
          <w:tcPr>
            <w:tcW w:w="992" w:type="dxa"/>
          </w:tcPr>
          <w:p w14:paraId="505F3FBB" w14:textId="77777777" w:rsidR="009F5BAC" w:rsidRPr="00DA3C6E" w:rsidRDefault="009F5BAC" w:rsidP="004A30B5">
            <w:pPr>
              <w:spacing w:after="0" w:line="240" w:lineRule="auto"/>
              <w:ind w:left="0"/>
              <w:rPr>
                <w:rFonts w:ascii="Arial Narrow" w:hAnsi="Arial Narrow"/>
                <w:b/>
                <w:sz w:val="20"/>
                <w:szCs w:val="20"/>
              </w:rPr>
            </w:pPr>
            <w:r w:rsidRPr="00DA3C6E">
              <w:rPr>
                <w:rFonts w:ascii="Arial Narrow" w:hAnsi="Arial Narrow"/>
                <w:b/>
                <w:sz w:val="20"/>
                <w:szCs w:val="20"/>
              </w:rPr>
              <w:t>2,171,803</w:t>
            </w:r>
          </w:p>
        </w:tc>
      </w:tr>
    </w:tbl>
    <w:p w14:paraId="79AD9D79" w14:textId="77777777" w:rsidR="005A2158" w:rsidRPr="00633640" w:rsidRDefault="005A2158" w:rsidP="00633640">
      <w:pPr>
        <w:spacing w:after="0" w:line="240" w:lineRule="auto"/>
        <w:rPr>
          <w:rFonts w:ascii="Arial Narrow" w:hAnsi="Arial Narrow"/>
          <w:sz w:val="18"/>
          <w:szCs w:val="18"/>
        </w:rPr>
      </w:pPr>
      <w:r w:rsidRPr="00633640">
        <w:rPr>
          <w:rFonts w:ascii="Arial Narrow" w:hAnsi="Arial Narrow"/>
          <w:sz w:val="18"/>
          <w:szCs w:val="18"/>
        </w:rPr>
        <w:t xml:space="preserve">Abbreviations: MMN = multifocal motor neuropathy. </w:t>
      </w:r>
    </w:p>
    <w:p w14:paraId="147F3640" w14:textId="77777777" w:rsidR="005A2158" w:rsidRPr="00633640" w:rsidRDefault="005A2158" w:rsidP="00633640">
      <w:pPr>
        <w:spacing w:line="240" w:lineRule="auto"/>
        <w:rPr>
          <w:rFonts w:ascii="Arial Narrow" w:hAnsi="Arial Narrow"/>
          <w:sz w:val="18"/>
          <w:szCs w:val="18"/>
        </w:rPr>
      </w:pPr>
      <w:r w:rsidRPr="00633640">
        <w:rPr>
          <w:rFonts w:ascii="Arial Narrow" w:hAnsi="Arial Narrow"/>
          <w:sz w:val="18"/>
          <w:szCs w:val="18"/>
        </w:rPr>
        <w:t>Source: Projections from observed data from the HTA Conditions Report 1, 2 and 3 provided by the NBA on 06 January 2020 (‘Phase 2 HTA conditions data.xlsx' workbook).</w:t>
      </w:r>
    </w:p>
    <w:p w14:paraId="6F510280" w14:textId="77777777" w:rsidR="005A2158" w:rsidRPr="00DA3C6E" w:rsidRDefault="005A2158" w:rsidP="00CF0291">
      <w:pPr>
        <w:pStyle w:val="Heading3"/>
      </w:pPr>
      <w:bookmarkStart w:id="354" w:name="_Toc37845782"/>
      <w:r w:rsidRPr="00DA3C6E">
        <w:lastRenderedPageBreak/>
        <w:t xml:space="preserve">Estimated cost of </w:t>
      </w:r>
      <w:r w:rsidR="009C4F15" w:rsidRPr="00DA3C6E">
        <w:t>intravenous Ig</w:t>
      </w:r>
      <w:bookmarkEnd w:id="354"/>
      <w:r w:rsidR="009C4F15" w:rsidRPr="00DA3C6E">
        <w:t xml:space="preserve"> </w:t>
      </w:r>
    </w:p>
    <w:p w14:paraId="11D9CCC2" w14:textId="2FFC1BD8" w:rsidR="00F60299" w:rsidRPr="00DA3C6E" w:rsidRDefault="005A2158" w:rsidP="00C25BE9">
      <w:r w:rsidRPr="00DA3C6E">
        <w:t xml:space="preserve">The </w:t>
      </w:r>
      <w:r w:rsidR="00663F54" w:rsidRPr="00DA3C6E">
        <w:t xml:space="preserve">base case </w:t>
      </w:r>
      <w:r w:rsidRPr="00DA3C6E">
        <w:t xml:space="preserve">cost per </w:t>
      </w:r>
      <w:r w:rsidR="009C4F15" w:rsidRPr="00DA3C6E">
        <w:t xml:space="preserve">Ig </w:t>
      </w:r>
      <w:r w:rsidRPr="00DA3C6E">
        <w:t xml:space="preserve">gram was </w:t>
      </w:r>
      <w:r w:rsidR="00663F54" w:rsidRPr="00DA3C6E">
        <w:t>provided by the DoH and corresponds to the domestic price without considering plasma fractioning</w:t>
      </w:r>
      <w:r w:rsidR="00F60299" w:rsidRPr="00DA3C6E">
        <w:t xml:space="preserve"> ($60.41)</w:t>
      </w:r>
      <w:r w:rsidR="00663F54" w:rsidRPr="00DA3C6E">
        <w:t>.</w:t>
      </w:r>
      <w:r w:rsidR="00F60299" w:rsidRPr="00DA3C6E">
        <w:t xml:space="preserve"> </w:t>
      </w:r>
      <w:r w:rsidRPr="00DA3C6E">
        <w:t xml:space="preserve">The total cost was estimated by multiplying the average cost per gram by the total grams administered per year </w:t>
      </w:r>
      <w:r w:rsidR="00912DC1" w:rsidRPr="00DA3C6E">
        <w:t>(</w:t>
      </w:r>
      <w:r w:rsidR="00912DC1" w:rsidRPr="00DA3C6E">
        <w:fldChar w:fldCharType="begin"/>
      </w:r>
      <w:r w:rsidR="00912DC1" w:rsidRPr="00DA3C6E">
        <w:instrText xml:space="preserve"> REF _Ref31201759 \h </w:instrText>
      </w:r>
      <w:r w:rsidR="00E8759F" w:rsidRPr="00DA3C6E">
        <w:instrText xml:space="preserve"> \* MERGEFORMAT </w:instrText>
      </w:r>
      <w:r w:rsidR="00912DC1" w:rsidRPr="00DA3C6E">
        <w:fldChar w:fldCharType="separate"/>
      </w:r>
      <w:r w:rsidR="00EA5DC1" w:rsidRPr="00DA3C6E">
        <w:t xml:space="preserve">Table </w:t>
      </w:r>
      <w:r w:rsidR="00EA5DC1">
        <w:rPr>
          <w:noProof/>
        </w:rPr>
        <w:t>38</w:t>
      </w:r>
      <w:r w:rsidR="00912DC1" w:rsidRPr="00DA3C6E">
        <w:fldChar w:fldCharType="end"/>
      </w:r>
      <w:r w:rsidR="00912DC1" w:rsidRPr="00DA3C6E">
        <w:t>)</w:t>
      </w:r>
      <w:r w:rsidRPr="00DA3C6E">
        <w:t xml:space="preserve">. Considering that the National Blood Agreement estimates that 63% of the product is funded by the </w:t>
      </w:r>
      <w:r w:rsidR="00B32A14" w:rsidRPr="00DA3C6E">
        <w:t xml:space="preserve">Commonwealth </w:t>
      </w:r>
      <w:r w:rsidRPr="00DA3C6E">
        <w:t xml:space="preserve">and 37% by the states and territories, it was estimated that the </w:t>
      </w:r>
      <w:r w:rsidR="00384498" w:rsidRPr="00DA3C6E">
        <w:t xml:space="preserve">overall cost to the Commonwealth </w:t>
      </w:r>
      <w:r w:rsidRPr="00DA3C6E">
        <w:t xml:space="preserve">increased from </w:t>
      </w:r>
      <w:r w:rsidR="00384498" w:rsidRPr="00DA3C6E">
        <w:t xml:space="preserve">$14,930,687 </w:t>
      </w:r>
      <w:r w:rsidRPr="00DA3C6E">
        <w:t xml:space="preserve">in year 1 to </w:t>
      </w:r>
      <w:r w:rsidR="00384498" w:rsidRPr="00DA3C6E">
        <w:t xml:space="preserve">$18,295,725 </w:t>
      </w:r>
      <w:r w:rsidRPr="00DA3C6E">
        <w:t>in year 5,</w:t>
      </w:r>
      <w:r w:rsidR="008076F0" w:rsidRPr="00DA3C6E">
        <w:t xml:space="preserve"> </w:t>
      </w:r>
      <w:r w:rsidRPr="00DA3C6E">
        <w:t xml:space="preserve">resulting in a total cost of </w:t>
      </w:r>
      <w:r w:rsidR="00384498" w:rsidRPr="00DA3C6E">
        <w:t xml:space="preserve">$82,852,456 </w:t>
      </w:r>
      <w:r w:rsidRPr="00DA3C6E">
        <w:t xml:space="preserve">over </w:t>
      </w:r>
      <w:r w:rsidR="00C25BE9" w:rsidRPr="00DA3C6E">
        <w:t xml:space="preserve">a </w:t>
      </w:r>
      <w:r w:rsidRPr="00DA3C6E">
        <w:t>5-year time horizon</w:t>
      </w:r>
      <w:r w:rsidR="00C25BE9" w:rsidRPr="00DA3C6E">
        <w:t>.</w:t>
      </w:r>
      <w:bookmarkStart w:id="355" w:name="_Ref29823632"/>
      <w:r w:rsidR="00F60299" w:rsidRPr="00DA3C6E">
        <w:t xml:space="preserve"> </w:t>
      </w:r>
    </w:p>
    <w:p w14:paraId="6B90E373" w14:textId="4777BE0E" w:rsidR="00C25BE9" w:rsidRPr="00DA3C6E" w:rsidRDefault="00F60299" w:rsidP="00C25BE9">
      <w:r w:rsidRPr="00DA3C6E">
        <w:t>A sensitivity analysis was conducted assuming the international price ($44.94) as the lower bound and domestic price with plasma fractioning ($140.18) as the upper bound. An additional sensitivity analysis was conducted assuming the</w:t>
      </w:r>
      <w:r w:rsidR="00404DC6" w:rsidRPr="00DA3C6E">
        <w:t xml:space="preserve"> agreed</w:t>
      </w:r>
      <w:r w:rsidRPr="00DA3C6E">
        <w:t xml:space="preserve"> weighted average price for </w:t>
      </w:r>
      <w:r w:rsidR="00404DC6" w:rsidRPr="00DA3C6E">
        <w:t>domestic and international Ig as per NBA data for the period 2018-2019 ($94.51</w:t>
      </w:r>
      <w:r w:rsidR="00526149">
        <w:t xml:space="preserve">) </w:t>
      </w:r>
      <w:r w:rsidR="00404DC6" w:rsidRPr="00DA3C6E">
        <w:t>.</w:t>
      </w:r>
      <w:r w:rsidRPr="00DA3C6E">
        <w:t xml:space="preserve"> </w:t>
      </w:r>
      <w:r w:rsidR="00BB719A" w:rsidRPr="00DA3C6E">
        <w:t>The results of these analysis are presented in Section E.6.</w:t>
      </w:r>
    </w:p>
    <w:p w14:paraId="30729CBA" w14:textId="13521752" w:rsidR="005A2158" w:rsidRPr="00DA3C6E" w:rsidRDefault="00C25BE9" w:rsidP="005816F0">
      <w:pPr>
        <w:pStyle w:val="Caption"/>
      </w:pPr>
      <w:bookmarkStart w:id="356" w:name="_Ref31201759"/>
      <w:bookmarkStart w:id="357" w:name="_Toc37845841"/>
      <w:bookmarkEnd w:id="355"/>
      <w:r w:rsidRPr="00DA3C6E">
        <w:t xml:space="preserve">Table </w:t>
      </w:r>
      <w:r w:rsidR="00515153">
        <w:fldChar w:fldCharType="begin"/>
      </w:r>
      <w:r w:rsidR="00515153">
        <w:instrText xml:space="preserve"> SEQ Table \* ARABIC </w:instrText>
      </w:r>
      <w:r w:rsidR="00515153">
        <w:fldChar w:fldCharType="separate"/>
      </w:r>
      <w:r w:rsidR="00EA5DC1">
        <w:rPr>
          <w:noProof/>
        </w:rPr>
        <w:t>38</w:t>
      </w:r>
      <w:r w:rsidR="00515153">
        <w:rPr>
          <w:noProof/>
        </w:rPr>
        <w:fldChar w:fldCharType="end"/>
      </w:r>
      <w:bookmarkEnd w:id="356"/>
      <w:r w:rsidR="005816F0" w:rsidRPr="00DA3C6E">
        <w:t xml:space="preserve">. Cost of </w:t>
      </w:r>
      <w:r w:rsidR="00C55E03" w:rsidRPr="00DA3C6E">
        <w:t xml:space="preserve">intravenous Ig </w:t>
      </w:r>
      <w:r w:rsidR="005816F0" w:rsidRPr="00DA3C6E">
        <w:t>for the treatment of MMN patients, observed and projected estimates.</w:t>
      </w:r>
      <w:bookmarkEnd w:id="357"/>
      <w:r w:rsidR="005816F0" w:rsidRPr="00DA3C6E">
        <w:t xml:space="preserve"> </w:t>
      </w:r>
    </w:p>
    <w:tbl>
      <w:tblPr>
        <w:tblStyle w:val="TableGrid"/>
        <w:tblW w:w="5236" w:type="pct"/>
        <w:tblLayout w:type="fixed"/>
        <w:tblLook w:val="04A0" w:firstRow="1" w:lastRow="0" w:firstColumn="1" w:lastColumn="0" w:noHBand="0" w:noVBand="1"/>
        <w:tblCaption w:val="Table 38. Cost of intravenous Ig for the treatment of MMN patients, observed and projected estimates. "/>
      </w:tblPr>
      <w:tblGrid>
        <w:gridCol w:w="1628"/>
        <w:gridCol w:w="1188"/>
        <w:gridCol w:w="1335"/>
        <w:gridCol w:w="1188"/>
        <w:gridCol w:w="1337"/>
        <w:gridCol w:w="1227"/>
        <w:gridCol w:w="1539"/>
      </w:tblGrid>
      <w:tr w:rsidR="00F60299" w:rsidRPr="00DA3C6E" w14:paraId="1DCCDC2C" w14:textId="77777777" w:rsidTr="00D56F4F">
        <w:trPr>
          <w:trHeight w:val="298"/>
          <w:tblHeader/>
        </w:trPr>
        <w:tc>
          <w:tcPr>
            <w:tcW w:w="862" w:type="pct"/>
            <w:shd w:val="clear" w:color="auto" w:fill="auto"/>
            <w:noWrap/>
            <w:vAlign w:val="center"/>
          </w:tcPr>
          <w:p w14:paraId="37F35F6A" w14:textId="77777777" w:rsidR="00F60299" w:rsidRPr="00DA3C6E" w:rsidRDefault="00F60299" w:rsidP="000E614C">
            <w:pPr>
              <w:spacing w:after="0" w:line="240" w:lineRule="auto"/>
              <w:jc w:val="left"/>
              <w:rPr>
                <w:rFonts w:ascii="Arial Narrow" w:hAnsi="Arial Narrow"/>
                <w:sz w:val="20"/>
                <w:szCs w:val="20"/>
              </w:rPr>
            </w:pPr>
          </w:p>
        </w:tc>
        <w:tc>
          <w:tcPr>
            <w:tcW w:w="629" w:type="pct"/>
            <w:shd w:val="clear" w:color="auto" w:fill="auto"/>
            <w:noWrap/>
            <w:vAlign w:val="center"/>
          </w:tcPr>
          <w:p w14:paraId="0EA0492A"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b/>
                <w:sz w:val="20"/>
                <w:szCs w:val="20"/>
              </w:rPr>
              <w:t>Year 1</w:t>
            </w:r>
          </w:p>
        </w:tc>
        <w:tc>
          <w:tcPr>
            <w:tcW w:w="707" w:type="pct"/>
            <w:shd w:val="clear" w:color="auto" w:fill="auto"/>
            <w:noWrap/>
            <w:vAlign w:val="center"/>
          </w:tcPr>
          <w:p w14:paraId="36239A10"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b/>
                <w:sz w:val="20"/>
                <w:szCs w:val="20"/>
              </w:rPr>
              <w:t>Year 2</w:t>
            </w:r>
          </w:p>
        </w:tc>
        <w:tc>
          <w:tcPr>
            <w:tcW w:w="629" w:type="pct"/>
            <w:shd w:val="clear" w:color="auto" w:fill="auto"/>
            <w:noWrap/>
            <w:vAlign w:val="center"/>
          </w:tcPr>
          <w:p w14:paraId="0EDA2E6F"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b/>
                <w:sz w:val="20"/>
                <w:szCs w:val="20"/>
              </w:rPr>
              <w:t>Year 3</w:t>
            </w:r>
          </w:p>
        </w:tc>
        <w:tc>
          <w:tcPr>
            <w:tcW w:w="708" w:type="pct"/>
            <w:shd w:val="clear" w:color="auto" w:fill="auto"/>
            <w:noWrap/>
            <w:vAlign w:val="center"/>
          </w:tcPr>
          <w:p w14:paraId="63340AE6"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b/>
                <w:sz w:val="20"/>
                <w:szCs w:val="20"/>
              </w:rPr>
              <w:t>Year 4</w:t>
            </w:r>
          </w:p>
        </w:tc>
        <w:tc>
          <w:tcPr>
            <w:tcW w:w="650" w:type="pct"/>
            <w:shd w:val="clear" w:color="auto" w:fill="auto"/>
            <w:noWrap/>
            <w:vAlign w:val="center"/>
          </w:tcPr>
          <w:p w14:paraId="5E930AB2"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b/>
                <w:sz w:val="20"/>
                <w:szCs w:val="20"/>
              </w:rPr>
              <w:t>Year 5</w:t>
            </w:r>
          </w:p>
        </w:tc>
        <w:tc>
          <w:tcPr>
            <w:tcW w:w="815" w:type="pct"/>
            <w:shd w:val="clear" w:color="auto" w:fill="auto"/>
            <w:noWrap/>
            <w:vAlign w:val="center"/>
          </w:tcPr>
          <w:p w14:paraId="4A0E3325" w14:textId="77777777" w:rsidR="00F60299" w:rsidRPr="00DA3C6E" w:rsidRDefault="00F60299" w:rsidP="000E614C">
            <w:pPr>
              <w:spacing w:after="0" w:line="240" w:lineRule="auto"/>
              <w:ind w:left="0"/>
              <w:jc w:val="left"/>
              <w:rPr>
                <w:rFonts w:ascii="Arial Narrow" w:hAnsi="Arial Narrow"/>
                <w:b/>
                <w:sz w:val="20"/>
                <w:szCs w:val="20"/>
              </w:rPr>
            </w:pPr>
            <w:r w:rsidRPr="00DA3C6E">
              <w:rPr>
                <w:rFonts w:ascii="Arial Narrow" w:hAnsi="Arial Narrow"/>
                <w:b/>
                <w:sz w:val="20"/>
                <w:szCs w:val="20"/>
              </w:rPr>
              <w:t>Total over 5-years</w:t>
            </w:r>
          </w:p>
        </w:tc>
      </w:tr>
      <w:tr w:rsidR="00F60299" w:rsidRPr="00DA3C6E" w14:paraId="7A4B1F2B" w14:textId="77777777" w:rsidTr="000E614C">
        <w:trPr>
          <w:trHeight w:val="298"/>
        </w:trPr>
        <w:tc>
          <w:tcPr>
            <w:tcW w:w="862" w:type="pct"/>
            <w:shd w:val="clear" w:color="auto" w:fill="auto"/>
            <w:noWrap/>
            <w:vAlign w:val="center"/>
            <w:hideMark/>
          </w:tcPr>
          <w:p w14:paraId="572753A2"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Cost per gram of intravenous Ig</w:t>
            </w:r>
          </w:p>
        </w:tc>
        <w:tc>
          <w:tcPr>
            <w:tcW w:w="629" w:type="pct"/>
            <w:shd w:val="clear" w:color="auto" w:fill="auto"/>
            <w:noWrap/>
            <w:vAlign w:val="center"/>
            <w:hideMark/>
          </w:tcPr>
          <w:p w14:paraId="1AC04AEA"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707" w:type="pct"/>
            <w:shd w:val="clear" w:color="auto" w:fill="auto"/>
            <w:noWrap/>
            <w:vAlign w:val="center"/>
            <w:hideMark/>
          </w:tcPr>
          <w:p w14:paraId="5E06BD69"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629" w:type="pct"/>
            <w:shd w:val="clear" w:color="auto" w:fill="auto"/>
            <w:noWrap/>
            <w:vAlign w:val="center"/>
            <w:hideMark/>
          </w:tcPr>
          <w:p w14:paraId="439D4D25"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708" w:type="pct"/>
            <w:shd w:val="clear" w:color="auto" w:fill="auto"/>
            <w:noWrap/>
            <w:vAlign w:val="center"/>
            <w:hideMark/>
          </w:tcPr>
          <w:p w14:paraId="04A562C8"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650" w:type="pct"/>
            <w:shd w:val="clear" w:color="auto" w:fill="auto"/>
            <w:noWrap/>
            <w:vAlign w:val="center"/>
            <w:hideMark/>
          </w:tcPr>
          <w:p w14:paraId="57CB3A11"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c>
          <w:tcPr>
            <w:tcW w:w="815" w:type="pct"/>
            <w:shd w:val="clear" w:color="auto" w:fill="auto"/>
            <w:noWrap/>
            <w:vAlign w:val="center"/>
            <w:hideMark/>
          </w:tcPr>
          <w:p w14:paraId="2A7F8CD9"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$60.41</w:t>
            </w:r>
          </w:p>
        </w:tc>
      </w:tr>
      <w:tr w:rsidR="00F60299" w:rsidRPr="00DA3C6E" w14:paraId="025D9D79" w14:textId="77777777" w:rsidTr="000E614C">
        <w:trPr>
          <w:trHeight w:val="298"/>
        </w:trPr>
        <w:tc>
          <w:tcPr>
            <w:tcW w:w="862" w:type="pct"/>
            <w:shd w:val="clear" w:color="auto" w:fill="auto"/>
            <w:noWrap/>
            <w:vAlign w:val="center"/>
          </w:tcPr>
          <w:p w14:paraId="2EF7B99F"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Domestic IVIg (grams) </w:t>
            </w:r>
          </w:p>
        </w:tc>
        <w:tc>
          <w:tcPr>
            <w:tcW w:w="629" w:type="pct"/>
            <w:shd w:val="clear" w:color="auto" w:fill="auto"/>
            <w:noWrap/>
            <w:vAlign w:val="center"/>
          </w:tcPr>
          <w:p w14:paraId="7098CC1F"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97,269 </w:t>
            </w:r>
          </w:p>
        </w:tc>
        <w:tc>
          <w:tcPr>
            <w:tcW w:w="707" w:type="pct"/>
            <w:shd w:val="clear" w:color="auto" w:fill="auto"/>
            <w:noWrap/>
            <w:vAlign w:val="center"/>
          </w:tcPr>
          <w:p w14:paraId="30DBA66B"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102,400 </w:t>
            </w:r>
          </w:p>
        </w:tc>
        <w:tc>
          <w:tcPr>
            <w:tcW w:w="629" w:type="pct"/>
            <w:shd w:val="clear" w:color="auto" w:fill="auto"/>
            <w:noWrap/>
            <w:vAlign w:val="center"/>
          </w:tcPr>
          <w:p w14:paraId="758C12BC"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107,802 </w:t>
            </w:r>
          </w:p>
        </w:tc>
        <w:tc>
          <w:tcPr>
            <w:tcW w:w="708" w:type="pct"/>
            <w:shd w:val="clear" w:color="auto" w:fill="auto"/>
            <w:noWrap/>
            <w:vAlign w:val="center"/>
          </w:tcPr>
          <w:p w14:paraId="19B7BB86"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113,488 </w:t>
            </w:r>
          </w:p>
        </w:tc>
        <w:tc>
          <w:tcPr>
            <w:tcW w:w="650" w:type="pct"/>
            <w:shd w:val="clear" w:color="auto" w:fill="auto"/>
            <w:noWrap/>
            <w:vAlign w:val="center"/>
          </w:tcPr>
          <w:p w14:paraId="38A1B5A8"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119,474 </w:t>
            </w:r>
          </w:p>
        </w:tc>
        <w:tc>
          <w:tcPr>
            <w:tcW w:w="815" w:type="pct"/>
            <w:shd w:val="clear" w:color="auto" w:fill="auto"/>
            <w:noWrap/>
            <w:vAlign w:val="center"/>
          </w:tcPr>
          <w:p w14:paraId="2EC2CDCA"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540,434 </w:t>
            </w:r>
          </w:p>
        </w:tc>
      </w:tr>
      <w:tr w:rsidR="00F60299" w:rsidRPr="00DA3C6E" w14:paraId="3231AA66" w14:textId="77777777" w:rsidTr="000E614C">
        <w:trPr>
          <w:trHeight w:val="298"/>
        </w:trPr>
        <w:tc>
          <w:tcPr>
            <w:tcW w:w="862" w:type="pct"/>
            <w:shd w:val="clear" w:color="auto" w:fill="auto"/>
            <w:noWrap/>
            <w:vAlign w:val="center"/>
          </w:tcPr>
          <w:p w14:paraId="5C6ECB53"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Imported IVIg (grams) </w:t>
            </w:r>
          </w:p>
        </w:tc>
        <w:tc>
          <w:tcPr>
            <w:tcW w:w="629" w:type="pct"/>
            <w:shd w:val="clear" w:color="auto" w:fill="auto"/>
            <w:noWrap/>
            <w:vAlign w:val="center"/>
          </w:tcPr>
          <w:p w14:paraId="217B1AFB"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295,274 </w:t>
            </w:r>
          </w:p>
        </w:tc>
        <w:tc>
          <w:tcPr>
            <w:tcW w:w="707" w:type="pct"/>
            <w:shd w:val="clear" w:color="auto" w:fill="auto"/>
            <w:noWrap/>
            <w:vAlign w:val="center"/>
          </w:tcPr>
          <w:p w14:paraId="0AC6C1EA"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310,850 </w:t>
            </w:r>
          </w:p>
        </w:tc>
        <w:tc>
          <w:tcPr>
            <w:tcW w:w="629" w:type="pct"/>
            <w:shd w:val="clear" w:color="auto" w:fill="auto"/>
            <w:noWrap/>
            <w:vAlign w:val="center"/>
          </w:tcPr>
          <w:p w14:paraId="0609E05D"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327,246 </w:t>
            </w:r>
          </w:p>
        </w:tc>
        <w:tc>
          <w:tcPr>
            <w:tcW w:w="708" w:type="pct"/>
            <w:tcBorders>
              <w:bottom w:val="single" w:sz="4" w:space="0" w:color="auto"/>
            </w:tcBorders>
            <w:shd w:val="clear" w:color="auto" w:fill="auto"/>
            <w:noWrap/>
            <w:vAlign w:val="center"/>
          </w:tcPr>
          <w:p w14:paraId="43F105A9"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344,508 </w:t>
            </w:r>
          </w:p>
        </w:tc>
        <w:tc>
          <w:tcPr>
            <w:tcW w:w="650" w:type="pct"/>
            <w:tcBorders>
              <w:bottom w:val="single" w:sz="4" w:space="0" w:color="auto"/>
            </w:tcBorders>
            <w:shd w:val="clear" w:color="auto" w:fill="auto"/>
            <w:noWrap/>
            <w:vAlign w:val="center"/>
          </w:tcPr>
          <w:p w14:paraId="1072EEE0"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362,681 </w:t>
            </w:r>
          </w:p>
        </w:tc>
        <w:tc>
          <w:tcPr>
            <w:tcW w:w="815" w:type="pct"/>
            <w:tcBorders>
              <w:bottom w:val="single" w:sz="4" w:space="0" w:color="auto"/>
            </w:tcBorders>
            <w:shd w:val="clear" w:color="auto" w:fill="auto"/>
            <w:noWrap/>
            <w:vAlign w:val="center"/>
          </w:tcPr>
          <w:p w14:paraId="2442CFFC"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1,640,559 </w:t>
            </w:r>
          </w:p>
        </w:tc>
      </w:tr>
      <w:tr w:rsidR="00AE2C16" w:rsidRPr="00DA3C6E" w14:paraId="36A23F43" w14:textId="77777777" w:rsidTr="000E614C">
        <w:trPr>
          <w:trHeight w:val="298"/>
        </w:trPr>
        <w:tc>
          <w:tcPr>
            <w:tcW w:w="862" w:type="pct"/>
            <w:shd w:val="clear" w:color="auto" w:fill="auto"/>
            <w:noWrap/>
            <w:vAlign w:val="center"/>
            <w:hideMark/>
          </w:tcPr>
          <w:p w14:paraId="3662D935"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Total cost Domestic intravenous Ig</w:t>
            </w:r>
          </w:p>
        </w:tc>
        <w:tc>
          <w:tcPr>
            <w:tcW w:w="629" w:type="pct"/>
            <w:shd w:val="clear" w:color="auto" w:fill="auto"/>
            <w:noWrap/>
            <w:vAlign w:val="center"/>
            <w:hideMark/>
          </w:tcPr>
          <w:p w14:paraId="09338B0B"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$5,872,559</w:t>
            </w:r>
          </w:p>
        </w:tc>
        <w:tc>
          <w:tcPr>
            <w:tcW w:w="707" w:type="pct"/>
            <w:shd w:val="clear" w:color="auto" w:fill="auto"/>
            <w:noWrap/>
            <w:vAlign w:val="center"/>
            <w:hideMark/>
          </w:tcPr>
          <w:p w14:paraId="1969CEBC"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$6,178,668</w:t>
            </w:r>
          </w:p>
        </w:tc>
        <w:tc>
          <w:tcPr>
            <w:tcW w:w="629" w:type="pct"/>
            <w:shd w:val="clear" w:color="auto" w:fill="auto"/>
            <w:noWrap/>
            <w:vAlign w:val="center"/>
            <w:hideMark/>
          </w:tcPr>
          <w:p w14:paraId="0B2CBC72"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$6,500,733</w:t>
            </w:r>
          </w:p>
        </w:tc>
        <w:tc>
          <w:tcPr>
            <w:tcW w:w="708" w:type="pct"/>
            <w:tcBorders>
              <w:top w:val="single" w:sz="4" w:space="0" w:color="auto"/>
              <w:bottom w:val="single" w:sz="4" w:space="0" w:color="auto"/>
            </w:tcBorders>
            <w:shd w:val="clear" w:color="auto" w:fill="auto"/>
            <w:noWrap/>
            <w:vAlign w:val="center"/>
            <w:hideMark/>
          </w:tcPr>
          <w:p w14:paraId="4E461317"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$6,839,585</w:t>
            </w:r>
          </w:p>
        </w:tc>
        <w:tc>
          <w:tcPr>
            <w:tcW w:w="650" w:type="pct"/>
            <w:tcBorders>
              <w:top w:val="single" w:sz="4" w:space="0" w:color="auto"/>
              <w:bottom w:val="single" w:sz="4" w:space="0" w:color="auto"/>
            </w:tcBorders>
            <w:shd w:val="clear" w:color="auto" w:fill="auto"/>
            <w:noWrap/>
            <w:vAlign w:val="center"/>
            <w:hideMark/>
          </w:tcPr>
          <w:p w14:paraId="7157439A"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$7,196,101</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3BC95A84"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$32,587,646</w:t>
            </w:r>
          </w:p>
        </w:tc>
      </w:tr>
      <w:tr w:rsidR="00AE2C16" w:rsidRPr="00DA3C6E" w14:paraId="63F9CAA3" w14:textId="77777777" w:rsidTr="000E614C">
        <w:trPr>
          <w:trHeight w:val="298"/>
        </w:trPr>
        <w:tc>
          <w:tcPr>
            <w:tcW w:w="862" w:type="pct"/>
            <w:shd w:val="clear" w:color="auto" w:fill="auto"/>
            <w:noWrap/>
            <w:vAlign w:val="center"/>
            <w:hideMark/>
          </w:tcPr>
          <w:p w14:paraId="0961C7DB"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Total cost imported intravenous Ig</w:t>
            </w:r>
          </w:p>
        </w:tc>
        <w:tc>
          <w:tcPr>
            <w:tcW w:w="629" w:type="pct"/>
            <w:shd w:val="clear" w:color="auto" w:fill="auto"/>
            <w:noWrap/>
            <w:vAlign w:val="center"/>
            <w:hideMark/>
          </w:tcPr>
          <w:p w14:paraId="073CE039"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$17,826,944 </w:t>
            </w:r>
          </w:p>
        </w:tc>
        <w:tc>
          <w:tcPr>
            <w:tcW w:w="707" w:type="pct"/>
            <w:shd w:val="clear" w:color="auto" w:fill="auto"/>
            <w:noWrap/>
            <w:vAlign w:val="center"/>
            <w:hideMark/>
          </w:tcPr>
          <w:p w14:paraId="45729F02"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$18,756,179 </w:t>
            </w:r>
          </w:p>
        </w:tc>
        <w:tc>
          <w:tcPr>
            <w:tcW w:w="629" w:type="pct"/>
            <w:shd w:val="clear" w:color="auto" w:fill="auto"/>
            <w:noWrap/>
            <w:vAlign w:val="center"/>
            <w:hideMark/>
          </w:tcPr>
          <w:p w14:paraId="594AE152"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$19,733,850 </w:t>
            </w:r>
          </w:p>
        </w:tc>
        <w:tc>
          <w:tcPr>
            <w:tcW w:w="708" w:type="pct"/>
            <w:tcBorders>
              <w:top w:val="single" w:sz="4" w:space="0" w:color="auto"/>
              <w:bottom w:val="single" w:sz="4" w:space="0" w:color="auto"/>
            </w:tcBorders>
            <w:shd w:val="clear" w:color="auto" w:fill="auto"/>
            <w:noWrap/>
            <w:vAlign w:val="center"/>
            <w:hideMark/>
          </w:tcPr>
          <w:p w14:paraId="28B2FF93"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$20,762,482 </w:t>
            </w:r>
          </w:p>
        </w:tc>
        <w:tc>
          <w:tcPr>
            <w:tcW w:w="650" w:type="pct"/>
            <w:tcBorders>
              <w:top w:val="single" w:sz="4" w:space="0" w:color="auto"/>
              <w:bottom w:val="single" w:sz="4" w:space="0" w:color="auto"/>
            </w:tcBorders>
            <w:shd w:val="clear" w:color="auto" w:fill="auto"/>
            <w:noWrap/>
            <w:vAlign w:val="center"/>
            <w:hideMark/>
          </w:tcPr>
          <w:p w14:paraId="76037CBF"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$21,844,733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7ED59D20"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 xml:space="preserve"> $98,924,188 </w:t>
            </w:r>
          </w:p>
        </w:tc>
      </w:tr>
      <w:tr w:rsidR="00F60299" w:rsidRPr="00DA3C6E" w14:paraId="1FE3CA12" w14:textId="77777777" w:rsidTr="000E614C">
        <w:trPr>
          <w:trHeight w:val="312"/>
        </w:trPr>
        <w:tc>
          <w:tcPr>
            <w:tcW w:w="5000" w:type="pct"/>
            <w:gridSpan w:val="7"/>
            <w:tcBorders>
              <w:right w:val="single" w:sz="4" w:space="0" w:color="auto"/>
            </w:tcBorders>
            <w:shd w:val="clear" w:color="auto" w:fill="auto"/>
            <w:noWrap/>
            <w:vAlign w:val="center"/>
          </w:tcPr>
          <w:p w14:paraId="00DFAC5B" w14:textId="77777777" w:rsidR="00F60299" w:rsidRPr="00DA3C6E" w:rsidRDefault="00F60299" w:rsidP="000E614C">
            <w:pPr>
              <w:spacing w:after="0" w:line="240" w:lineRule="auto"/>
              <w:ind w:left="0"/>
              <w:jc w:val="left"/>
              <w:rPr>
                <w:rFonts w:ascii="Arial Narrow" w:hAnsi="Arial Narrow"/>
                <w:sz w:val="20"/>
                <w:szCs w:val="20"/>
              </w:rPr>
            </w:pPr>
            <w:r w:rsidRPr="00DA3C6E">
              <w:rPr>
                <w:rFonts w:ascii="Arial Narrow" w:hAnsi="Arial Narrow"/>
                <w:sz w:val="20"/>
                <w:szCs w:val="20"/>
              </w:rPr>
              <w:t>Overall costs</w:t>
            </w:r>
          </w:p>
        </w:tc>
      </w:tr>
      <w:tr w:rsidR="00AE2C16" w:rsidRPr="00DA3C6E" w14:paraId="758A6A5F" w14:textId="77777777" w:rsidTr="000E614C">
        <w:trPr>
          <w:trHeight w:val="312"/>
        </w:trPr>
        <w:tc>
          <w:tcPr>
            <w:tcW w:w="862" w:type="pct"/>
            <w:shd w:val="clear" w:color="auto" w:fill="auto"/>
            <w:noWrap/>
            <w:vAlign w:val="center"/>
          </w:tcPr>
          <w:p w14:paraId="00CBD210" w14:textId="77777777" w:rsidR="00AE2C16" w:rsidRPr="00DA3C6E" w:rsidRDefault="00AE2C16" w:rsidP="000E614C">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IVIg cost to the Commonwealth</w:t>
            </w:r>
            <w:r w:rsidRPr="00DA3C6E">
              <w:rPr>
                <w:rFonts w:ascii="Arial Narrow" w:hAnsi="Arial Narrow"/>
                <w:sz w:val="20"/>
                <w:szCs w:val="20"/>
                <w:vertAlign w:val="superscript"/>
              </w:rPr>
              <w:t>a</w:t>
            </w:r>
          </w:p>
        </w:tc>
        <w:tc>
          <w:tcPr>
            <w:tcW w:w="629" w:type="pct"/>
            <w:shd w:val="clear" w:color="auto" w:fill="auto"/>
            <w:noWrap/>
            <w:vAlign w:val="center"/>
          </w:tcPr>
          <w:p w14:paraId="26464D4C"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$14,930,687</w:t>
            </w:r>
          </w:p>
        </w:tc>
        <w:tc>
          <w:tcPr>
            <w:tcW w:w="707" w:type="pct"/>
            <w:shd w:val="clear" w:color="auto" w:fill="auto"/>
            <w:noWrap/>
            <w:vAlign w:val="center"/>
          </w:tcPr>
          <w:p w14:paraId="72103583"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$15,708,954</w:t>
            </w:r>
          </w:p>
        </w:tc>
        <w:tc>
          <w:tcPr>
            <w:tcW w:w="629" w:type="pct"/>
            <w:shd w:val="clear" w:color="auto" w:fill="auto"/>
            <w:noWrap/>
            <w:vAlign w:val="center"/>
          </w:tcPr>
          <w:p w14:paraId="72E1C891"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$16,527,787</w:t>
            </w:r>
          </w:p>
        </w:tc>
        <w:tc>
          <w:tcPr>
            <w:tcW w:w="708" w:type="pct"/>
            <w:tcBorders>
              <w:top w:val="single" w:sz="4" w:space="0" w:color="auto"/>
              <w:bottom w:val="single" w:sz="4" w:space="0" w:color="auto"/>
            </w:tcBorders>
            <w:shd w:val="clear" w:color="auto" w:fill="auto"/>
            <w:noWrap/>
            <w:vAlign w:val="center"/>
          </w:tcPr>
          <w:p w14:paraId="5AD844C1"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$17,389,303</w:t>
            </w:r>
          </w:p>
        </w:tc>
        <w:tc>
          <w:tcPr>
            <w:tcW w:w="650" w:type="pct"/>
            <w:tcBorders>
              <w:top w:val="single" w:sz="4" w:space="0" w:color="auto"/>
              <w:bottom w:val="single" w:sz="4" w:space="0" w:color="auto"/>
            </w:tcBorders>
            <w:shd w:val="clear" w:color="auto" w:fill="auto"/>
            <w:noWrap/>
            <w:vAlign w:val="center"/>
          </w:tcPr>
          <w:p w14:paraId="35D2977A"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$18,295,725</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6B09E45B"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$82,852,456</w:t>
            </w:r>
          </w:p>
        </w:tc>
      </w:tr>
      <w:tr w:rsidR="00AE2C16" w:rsidRPr="00DA3C6E" w14:paraId="2D11A59E" w14:textId="77777777" w:rsidTr="000E614C">
        <w:trPr>
          <w:trHeight w:val="312"/>
        </w:trPr>
        <w:tc>
          <w:tcPr>
            <w:tcW w:w="862" w:type="pct"/>
            <w:shd w:val="clear" w:color="auto" w:fill="auto"/>
            <w:noWrap/>
            <w:vAlign w:val="center"/>
          </w:tcPr>
          <w:p w14:paraId="5A1FAD54" w14:textId="77777777" w:rsidR="00AE2C16" w:rsidRPr="00DA3C6E" w:rsidRDefault="00AE2C16" w:rsidP="000E614C">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Intravenous Ig cost to the states</w:t>
            </w:r>
            <w:r w:rsidRPr="00DA3C6E">
              <w:rPr>
                <w:rFonts w:ascii="Arial Narrow" w:hAnsi="Arial Narrow"/>
                <w:sz w:val="20"/>
                <w:szCs w:val="20"/>
                <w:vertAlign w:val="superscript"/>
              </w:rPr>
              <w:t>a</w:t>
            </w:r>
          </w:p>
        </w:tc>
        <w:tc>
          <w:tcPr>
            <w:tcW w:w="629" w:type="pct"/>
            <w:shd w:val="clear" w:color="auto" w:fill="auto"/>
            <w:noWrap/>
            <w:vAlign w:val="center"/>
          </w:tcPr>
          <w:p w14:paraId="0C49623C"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$8,768,816</w:t>
            </w:r>
          </w:p>
        </w:tc>
        <w:tc>
          <w:tcPr>
            <w:tcW w:w="707" w:type="pct"/>
            <w:shd w:val="clear" w:color="auto" w:fill="auto"/>
            <w:noWrap/>
            <w:vAlign w:val="center"/>
          </w:tcPr>
          <w:p w14:paraId="764A4ECB"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$9,225,893</w:t>
            </w:r>
          </w:p>
        </w:tc>
        <w:tc>
          <w:tcPr>
            <w:tcW w:w="629" w:type="pct"/>
            <w:shd w:val="clear" w:color="auto" w:fill="auto"/>
            <w:noWrap/>
            <w:vAlign w:val="center"/>
          </w:tcPr>
          <w:p w14:paraId="1BBDA807"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$9,706,796</w:t>
            </w:r>
          </w:p>
        </w:tc>
        <w:tc>
          <w:tcPr>
            <w:tcW w:w="708" w:type="pct"/>
            <w:tcBorders>
              <w:top w:val="single" w:sz="4" w:space="0" w:color="auto"/>
              <w:bottom w:val="single" w:sz="4" w:space="0" w:color="auto"/>
            </w:tcBorders>
            <w:shd w:val="clear" w:color="auto" w:fill="auto"/>
            <w:noWrap/>
            <w:vAlign w:val="center"/>
          </w:tcPr>
          <w:p w14:paraId="55E3C5C5"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$10,212,765</w:t>
            </w:r>
          </w:p>
        </w:tc>
        <w:tc>
          <w:tcPr>
            <w:tcW w:w="650" w:type="pct"/>
            <w:tcBorders>
              <w:top w:val="single" w:sz="4" w:space="0" w:color="auto"/>
              <w:bottom w:val="single" w:sz="4" w:space="0" w:color="auto"/>
            </w:tcBorders>
            <w:shd w:val="clear" w:color="auto" w:fill="auto"/>
            <w:noWrap/>
            <w:vAlign w:val="center"/>
          </w:tcPr>
          <w:p w14:paraId="1E26FD5F"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$10,745,108</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58D2E114"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$48,659,379</w:t>
            </w:r>
          </w:p>
        </w:tc>
      </w:tr>
      <w:tr w:rsidR="00AE2C16" w:rsidRPr="00DA3C6E" w14:paraId="4441C38E" w14:textId="77777777" w:rsidTr="000E614C">
        <w:trPr>
          <w:trHeight w:val="312"/>
        </w:trPr>
        <w:tc>
          <w:tcPr>
            <w:tcW w:w="862" w:type="pct"/>
            <w:shd w:val="clear" w:color="auto" w:fill="auto"/>
            <w:noWrap/>
            <w:vAlign w:val="center"/>
          </w:tcPr>
          <w:p w14:paraId="190B60B6"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Total cost</w:t>
            </w:r>
          </w:p>
        </w:tc>
        <w:tc>
          <w:tcPr>
            <w:tcW w:w="629" w:type="pct"/>
            <w:shd w:val="clear" w:color="auto" w:fill="auto"/>
            <w:noWrap/>
            <w:vAlign w:val="center"/>
          </w:tcPr>
          <w:p w14:paraId="6489F670" w14:textId="0B3A481F" w:rsidR="00AE2C16" w:rsidRPr="00DA3C6E" w:rsidRDefault="000E614C" w:rsidP="000E614C">
            <w:pPr>
              <w:spacing w:after="0" w:line="240" w:lineRule="auto"/>
              <w:ind w:left="0"/>
              <w:jc w:val="left"/>
              <w:rPr>
                <w:rFonts w:ascii="Arial Narrow" w:hAnsi="Arial Narrow"/>
                <w:sz w:val="20"/>
                <w:szCs w:val="20"/>
              </w:rPr>
            </w:pPr>
            <w:r>
              <w:rPr>
                <w:rFonts w:ascii="Arial Narrow" w:hAnsi="Arial Narrow"/>
                <w:sz w:val="20"/>
                <w:szCs w:val="20"/>
              </w:rPr>
              <w:t>$</w:t>
            </w:r>
            <w:r w:rsidR="00AE2C16" w:rsidRPr="00DA3C6E">
              <w:rPr>
                <w:rFonts w:ascii="Arial Narrow" w:hAnsi="Arial Narrow"/>
                <w:sz w:val="20"/>
                <w:szCs w:val="20"/>
              </w:rPr>
              <w:t>23,699,504</w:t>
            </w:r>
          </w:p>
        </w:tc>
        <w:tc>
          <w:tcPr>
            <w:tcW w:w="707" w:type="pct"/>
            <w:shd w:val="clear" w:color="auto" w:fill="auto"/>
            <w:noWrap/>
            <w:vAlign w:val="center"/>
          </w:tcPr>
          <w:p w14:paraId="1BC01C1A"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$24,934,847</w:t>
            </w:r>
          </w:p>
        </w:tc>
        <w:tc>
          <w:tcPr>
            <w:tcW w:w="629" w:type="pct"/>
            <w:shd w:val="clear" w:color="auto" w:fill="auto"/>
            <w:noWrap/>
            <w:vAlign w:val="center"/>
          </w:tcPr>
          <w:p w14:paraId="3402DD20"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$26,234,583</w:t>
            </w:r>
          </w:p>
        </w:tc>
        <w:tc>
          <w:tcPr>
            <w:tcW w:w="708" w:type="pct"/>
            <w:tcBorders>
              <w:top w:val="single" w:sz="4" w:space="0" w:color="auto"/>
              <w:bottom w:val="single" w:sz="4" w:space="0" w:color="auto"/>
            </w:tcBorders>
            <w:shd w:val="clear" w:color="auto" w:fill="auto"/>
            <w:noWrap/>
            <w:vAlign w:val="center"/>
          </w:tcPr>
          <w:p w14:paraId="6CE9D9A2"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$27,602,068</w:t>
            </w:r>
          </w:p>
        </w:tc>
        <w:tc>
          <w:tcPr>
            <w:tcW w:w="650" w:type="pct"/>
            <w:tcBorders>
              <w:top w:val="single" w:sz="4" w:space="0" w:color="auto"/>
              <w:bottom w:val="single" w:sz="4" w:space="0" w:color="auto"/>
            </w:tcBorders>
            <w:shd w:val="clear" w:color="auto" w:fill="auto"/>
            <w:noWrap/>
            <w:vAlign w:val="center"/>
          </w:tcPr>
          <w:p w14:paraId="624F00DA"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$29,040,833</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0BE0A5B5" w14:textId="77777777" w:rsidR="00AE2C16" w:rsidRPr="00DA3C6E" w:rsidRDefault="00AE2C16" w:rsidP="000E614C">
            <w:pPr>
              <w:spacing w:after="0" w:line="240" w:lineRule="auto"/>
              <w:ind w:left="0"/>
              <w:jc w:val="left"/>
              <w:rPr>
                <w:rFonts w:ascii="Arial Narrow" w:hAnsi="Arial Narrow"/>
                <w:sz w:val="20"/>
                <w:szCs w:val="20"/>
              </w:rPr>
            </w:pPr>
            <w:r w:rsidRPr="00DA3C6E">
              <w:rPr>
                <w:rFonts w:ascii="Arial Narrow" w:hAnsi="Arial Narrow"/>
                <w:sz w:val="20"/>
                <w:szCs w:val="20"/>
              </w:rPr>
              <w:t>$131,511,835</w:t>
            </w:r>
          </w:p>
        </w:tc>
      </w:tr>
    </w:tbl>
    <w:p w14:paraId="29F7FE45" w14:textId="77777777" w:rsidR="004A30B5" w:rsidRPr="00DA3C6E" w:rsidRDefault="005816F0" w:rsidP="005816F0">
      <w:pPr>
        <w:pStyle w:val="Tablenotes0"/>
        <w:spacing w:after="0"/>
      </w:pPr>
      <w:r w:rsidRPr="00DA3C6E">
        <w:t>Abbreviations: Ig = immunoglobulin; MMN = multifocal motor neuropathy; NBA = National Blood Authority.</w:t>
      </w:r>
    </w:p>
    <w:p w14:paraId="29E2752F" w14:textId="77777777" w:rsidR="005816F0" w:rsidRPr="00DA3C6E" w:rsidRDefault="005816F0" w:rsidP="005816F0">
      <w:pPr>
        <w:pStyle w:val="Tablenotes0"/>
        <w:spacing w:after="0"/>
      </w:pPr>
      <w:r w:rsidRPr="00DA3C6E">
        <w:t xml:space="preserve">Notes: </w:t>
      </w:r>
      <w:r w:rsidRPr="00DA3C6E">
        <w:rPr>
          <w:vertAlign w:val="superscript"/>
        </w:rPr>
        <w:t xml:space="preserve">a </w:t>
      </w:r>
      <w:r w:rsidRPr="00DA3C6E">
        <w:t xml:space="preserve">The National Blood Agreement states that 63% of products are funded by the Commonwealth and 37% by the states and territories. </w:t>
      </w:r>
    </w:p>
    <w:p w14:paraId="6FB656ED" w14:textId="77777777" w:rsidR="005816F0" w:rsidRPr="00DA3C6E" w:rsidRDefault="005816F0" w:rsidP="005816F0">
      <w:pPr>
        <w:pStyle w:val="Tablenotes0"/>
      </w:pPr>
      <w:r w:rsidRPr="00DA3C6E">
        <w:t>Source: Projections from observed data from the HTA Conditions Report 1, 2 and 3 provided by the NBA on 06 January 2020 (‘Phase 2 HTA conditions data.xlsx' workbook)</w:t>
      </w:r>
      <w:r w:rsidR="00242A30" w:rsidRPr="00DA3C6E">
        <w:t xml:space="preserve"> and cost per gram of intravenous Ig was provided by the DoH. </w:t>
      </w:r>
    </w:p>
    <w:p w14:paraId="4131AD8C" w14:textId="77777777" w:rsidR="005A2158" w:rsidRPr="00DA3C6E" w:rsidRDefault="005A2158" w:rsidP="0073359F">
      <w:pPr>
        <w:pStyle w:val="Heading2"/>
        <w:numPr>
          <w:ilvl w:val="4"/>
          <w:numId w:val="61"/>
        </w:numPr>
        <w:jc w:val="left"/>
      </w:pPr>
      <w:bookmarkStart w:id="358" w:name="_Toc379118301"/>
      <w:bookmarkStart w:id="359" w:name="_Toc381796484"/>
      <w:bookmarkStart w:id="360" w:name="_Toc37845783"/>
      <w:r w:rsidRPr="00DA3C6E">
        <w:t>Changes in Use and Cost of</w:t>
      </w:r>
      <w:bookmarkEnd w:id="358"/>
      <w:bookmarkEnd w:id="359"/>
      <w:r w:rsidRPr="00DA3C6E">
        <w:t xml:space="preserve"> Other Medical Services</w:t>
      </w:r>
      <w:bookmarkEnd w:id="360"/>
    </w:p>
    <w:p w14:paraId="29DB999F" w14:textId="77777777" w:rsidR="005A2158" w:rsidRPr="00DA3C6E" w:rsidRDefault="00C55E03" w:rsidP="00CF0291">
      <w:pPr>
        <w:pStyle w:val="Heading3"/>
      </w:pPr>
      <w:bookmarkStart w:id="361" w:name="_Toc37845784"/>
      <w:r w:rsidRPr="00DA3C6E">
        <w:t xml:space="preserve">Intravenous Ig </w:t>
      </w:r>
      <w:r w:rsidR="005A2158" w:rsidRPr="00DA3C6E">
        <w:t>administration related costs</w:t>
      </w:r>
      <w:bookmarkEnd w:id="361"/>
    </w:p>
    <w:p w14:paraId="68A1205B" w14:textId="6C782D8C" w:rsidR="005A2158" w:rsidRPr="00DA3C6E" w:rsidRDefault="005A2158" w:rsidP="00CF0291">
      <w:r w:rsidRPr="00DA3C6E">
        <w:t xml:space="preserve">All patients who currently receive </w:t>
      </w:r>
      <w:r w:rsidR="009F5BAC" w:rsidRPr="00DA3C6E">
        <w:t xml:space="preserve">intravenous Ig </w:t>
      </w:r>
      <w:r w:rsidRPr="00DA3C6E">
        <w:t xml:space="preserve">for the treatment of MMN administered by intravenous infusion, require </w:t>
      </w:r>
      <w:r w:rsidR="00691F23" w:rsidRPr="00DA3C6E">
        <w:t xml:space="preserve">services to be delivered in the hospital setting </w:t>
      </w:r>
      <w:r w:rsidRPr="00DA3C6E">
        <w:t>(</w:t>
      </w:r>
      <w:r w:rsidR="00C25BE9" w:rsidRPr="00DA3C6E">
        <w:fldChar w:fldCharType="begin"/>
      </w:r>
      <w:r w:rsidR="00C25BE9" w:rsidRPr="00DA3C6E">
        <w:instrText xml:space="preserve"> REF _Ref30083344 \h </w:instrText>
      </w:r>
      <w:r w:rsidR="00E8759F" w:rsidRPr="00DA3C6E">
        <w:instrText xml:space="preserve"> \* MERGEFORMAT </w:instrText>
      </w:r>
      <w:r w:rsidR="00C25BE9" w:rsidRPr="00DA3C6E">
        <w:fldChar w:fldCharType="separate"/>
      </w:r>
      <w:r w:rsidR="00EA5DC1" w:rsidRPr="00DA3C6E">
        <w:t xml:space="preserve">Table </w:t>
      </w:r>
      <w:r w:rsidR="00EA5DC1">
        <w:rPr>
          <w:noProof/>
        </w:rPr>
        <w:t>39</w:t>
      </w:r>
      <w:r w:rsidR="00C25BE9" w:rsidRPr="00DA3C6E">
        <w:fldChar w:fldCharType="end"/>
      </w:r>
      <w:r w:rsidRPr="00DA3C6E">
        <w:t xml:space="preserve">). In order to estimate the </w:t>
      </w:r>
      <w:r w:rsidR="009F5BAC" w:rsidRPr="00DA3C6E">
        <w:t>intravenous Ig</w:t>
      </w:r>
      <w:r w:rsidR="009F5BAC" w:rsidRPr="00DA3C6E" w:rsidDel="009F5BAC">
        <w:t xml:space="preserve"> </w:t>
      </w:r>
      <w:r w:rsidRPr="00DA3C6E">
        <w:t xml:space="preserve">administration cost, the average number of treatment episodes for the two latest periods </w:t>
      </w:r>
      <w:r w:rsidR="00A5773A" w:rsidRPr="00DA3C6E">
        <w:t xml:space="preserve">were </w:t>
      </w:r>
      <w:r w:rsidRPr="00DA3C6E">
        <w:t xml:space="preserve">used to account for the projected years assuming these remained constant </w:t>
      </w:r>
      <w:r w:rsidRPr="00DA3C6E">
        <w:lastRenderedPageBreak/>
        <w:t>thereafter. From these, the average number of treatment episodes per patient was estimated, resulting in an average of 14.77 episodes per year</w:t>
      </w:r>
      <w:r w:rsidR="00811025" w:rsidRPr="00DA3C6E">
        <w:t xml:space="preserve"> (this number corresponds to </w:t>
      </w:r>
      <w:r w:rsidR="00A5773A" w:rsidRPr="00DA3C6E">
        <w:t xml:space="preserve">the </w:t>
      </w:r>
      <w:r w:rsidR="00811025" w:rsidRPr="00DA3C6E">
        <w:t>average number of episodes reported for the period 2017-2018 (14.75) and 2018-2019 (14.79))</w:t>
      </w:r>
      <w:r w:rsidRPr="00DA3C6E">
        <w:t xml:space="preserve">. These were used as a proxy for average number of IV infusions per year in order to capture the additional costs associated with the administration of </w:t>
      </w:r>
      <w:r w:rsidR="009F5BAC" w:rsidRPr="00DA3C6E">
        <w:t>intravenous Ig</w:t>
      </w:r>
      <w:r w:rsidRPr="00DA3C6E">
        <w:t xml:space="preserve">. The costing of each treatment episode was consistent with that estimated in Section D for the purpose of the economic </w:t>
      </w:r>
      <w:r w:rsidR="00A5773A" w:rsidRPr="00DA3C6E">
        <w:t xml:space="preserve">evaluation </w:t>
      </w:r>
      <w:r w:rsidRPr="00DA3C6E">
        <w:t xml:space="preserve">(See </w:t>
      </w:r>
      <w:r w:rsidR="00C25BE9" w:rsidRPr="00DA3C6E">
        <w:fldChar w:fldCharType="begin"/>
      </w:r>
      <w:r w:rsidR="00C25BE9" w:rsidRPr="00DA3C6E">
        <w:instrText xml:space="preserve"> REF _Ref30063374 \h  \* MERGEFORMAT </w:instrText>
      </w:r>
      <w:r w:rsidR="00C25BE9" w:rsidRPr="00DA3C6E">
        <w:fldChar w:fldCharType="separate"/>
      </w:r>
      <w:r w:rsidR="00EA5DC1" w:rsidRPr="00DA3C6E">
        <w:t xml:space="preserve">Table </w:t>
      </w:r>
      <w:r w:rsidR="00EA5DC1">
        <w:rPr>
          <w:noProof/>
        </w:rPr>
        <w:t>31</w:t>
      </w:r>
      <w:r w:rsidR="00C25BE9" w:rsidRPr="00DA3C6E">
        <w:fldChar w:fldCharType="end"/>
      </w:r>
      <w:r w:rsidRPr="00DA3C6E">
        <w:t xml:space="preserve">) and maintained constant throughout the 5-year time horizon. </w:t>
      </w:r>
    </w:p>
    <w:p w14:paraId="08633AB9" w14:textId="62E5F2CC" w:rsidR="005A2158" w:rsidRPr="00DA3C6E" w:rsidRDefault="005A2158" w:rsidP="00B5232E">
      <w:pPr>
        <w:pStyle w:val="Caption"/>
        <w:rPr>
          <w:vanish/>
          <w:sz w:val="18"/>
          <w:szCs w:val="18"/>
        </w:rPr>
      </w:pPr>
      <w:bookmarkStart w:id="362" w:name="_Ref30083344"/>
      <w:bookmarkStart w:id="363" w:name="_Toc37845842"/>
      <w:r w:rsidRPr="00DA3C6E">
        <w:t xml:space="preserve">Table </w:t>
      </w:r>
      <w:r w:rsidR="00515153">
        <w:fldChar w:fldCharType="begin"/>
      </w:r>
      <w:r w:rsidR="00515153">
        <w:instrText xml:space="preserve"> SEQ Table \* ARABIC </w:instrText>
      </w:r>
      <w:r w:rsidR="00515153">
        <w:fldChar w:fldCharType="separate"/>
      </w:r>
      <w:r w:rsidR="00EA5DC1">
        <w:rPr>
          <w:noProof/>
        </w:rPr>
        <w:t>39</w:t>
      </w:r>
      <w:r w:rsidR="00515153">
        <w:rPr>
          <w:noProof/>
        </w:rPr>
        <w:fldChar w:fldCharType="end"/>
      </w:r>
      <w:bookmarkEnd w:id="362"/>
      <w:r w:rsidRPr="00DA3C6E">
        <w:t xml:space="preserve">. Administration cost of </w:t>
      </w:r>
      <w:r w:rsidR="009F5BAC" w:rsidRPr="00DA3C6E">
        <w:t>intravenous Ig</w:t>
      </w:r>
      <w:r w:rsidR="009F5BAC" w:rsidRPr="00DA3C6E" w:rsidDel="009F5BAC">
        <w:t xml:space="preserve"> </w:t>
      </w:r>
      <w:r w:rsidRPr="00DA3C6E">
        <w:t>per treatment episode.</w:t>
      </w:r>
      <w:bookmarkEnd w:id="363"/>
      <w:r w:rsidRPr="00DA3C6E">
        <w:t xml:space="preserve"> </w:t>
      </w:r>
    </w:p>
    <w:tbl>
      <w:tblPr>
        <w:tblStyle w:val="TableGrid"/>
        <w:tblW w:w="8980" w:type="dxa"/>
        <w:tblLook w:val="04A0" w:firstRow="1" w:lastRow="0" w:firstColumn="1" w:lastColumn="0" w:noHBand="0" w:noVBand="1"/>
        <w:tblCaption w:val="Table 39. Administration cost of intravenous Ig per treatment episode. "/>
      </w:tblPr>
      <w:tblGrid>
        <w:gridCol w:w="4531"/>
        <w:gridCol w:w="928"/>
        <w:gridCol w:w="1046"/>
        <w:gridCol w:w="1299"/>
        <w:gridCol w:w="1176"/>
      </w:tblGrid>
      <w:tr w:rsidR="00B5232E" w:rsidRPr="00DA3C6E" w14:paraId="2ABC782F" w14:textId="77777777" w:rsidTr="00D56F4F">
        <w:trPr>
          <w:trHeight w:val="280"/>
          <w:tblHeader/>
        </w:trPr>
        <w:tc>
          <w:tcPr>
            <w:tcW w:w="4531" w:type="dxa"/>
            <w:noWrap/>
            <w:hideMark/>
          </w:tcPr>
          <w:p w14:paraId="61D081C1" w14:textId="77777777" w:rsidR="00B5232E" w:rsidRPr="00DA3C6E" w:rsidRDefault="00B5232E" w:rsidP="00BE60D2">
            <w:pPr>
              <w:spacing w:after="0" w:line="240" w:lineRule="auto"/>
              <w:ind w:left="0"/>
              <w:rPr>
                <w:rFonts w:ascii="Arial Narrow" w:hAnsi="Arial Narrow"/>
                <w:b/>
                <w:sz w:val="20"/>
                <w:szCs w:val="20"/>
              </w:rPr>
            </w:pPr>
            <w:bookmarkStart w:id="364" w:name="_Toc379118302"/>
            <w:r w:rsidRPr="00DA3C6E">
              <w:rPr>
                <w:rFonts w:ascii="Arial Narrow" w:hAnsi="Arial Narrow"/>
                <w:b/>
                <w:sz w:val="20"/>
                <w:szCs w:val="20"/>
              </w:rPr>
              <w:t>Items per episode</w:t>
            </w:r>
          </w:p>
        </w:tc>
        <w:tc>
          <w:tcPr>
            <w:tcW w:w="928" w:type="dxa"/>
            <w:noWrap/>
            <w:hideMark/>
          </w:tcPr>
          <w:p w14:paraId="170EABF2" w14:textId="77777777" w:rsidR="00B5232E" w:rsidRPr="00DA3C6E" w:rsidRDefault="00B5232E" w:rsidP="00BE60D2">
            <w:pPr>
              <w:spacing w:after="0" w:line="240" w:lineRule="auto"/>
              <w:ind w:left="0"/>
              <w:rPr>
                <w:rFonts w:ascii="Arial Narrow" w:hAnsi="Arial Narrow"/>
                <w:b/>
                <w:sz w:val="20"/>
                <w:szCs w:val="20"/>
              </w:rPr>
            </w:pPr>
            <w:r w:rsidRPr="00DA3C6E">
              <w:rPr>
                <w:rFonts w:ascii="Arial Narrow" w:hAnsi="Arial Narrow"/>
                <w:b/>
                <w:sz w:val="20"/>
                <w:szCs w:val="20"/>
              </w:rPr>
              <w:t>Quantity</w:t>
            </w:r>
          </w:p>
        </w:tc>
        <w:tc>
          <w:tcPr>
            <w:tcW w:w="1046" w:type="dxa"/>
            <w:noWrap/>
            <w:hideMark/>
          </w:tcPr>
          <w:p w14:paraId="28E72CCC" w14:textId="77777777" w:rsidR="00B5232E" w:rsidRPr="00DA3C6E" w:rsidRDefault="00B5232E" w:rsidP="00BE60D2">
            <w:pPr>
              <w:spacing w:after="0" w:line="240" w:lineRule="auto"/>
              <w:ind w:left="0"/>
              <w:rPr>
                <w:rFonts w:ascii="Arial Narrow" w:hAnsi="Arial Narrow"/>
                <w:b/>
                <w:sz w:val="20"/>
                <w:szCs w:val="20"/>
              </w:rPr>
            </w:pPr>
            <w:r w:rsidRPr="00DA3C6E">
              <w:rPr>
                <w:rFonts w:ascii="Arial Narrow" w:hAnsi="Arial Narrow"/>
                <w:b/>
                <w:sz w:val="20"/>
                <w:szCs w:val="20"/>
              </w:rPr>
              <w:t>Frequency</w:t>
            </w:r>
          </w:p>
        </w:tc>
        <w:tc>
          <w:tcPr>
            <w:tcW w:w="1299" w:type="dxa"/>
            <w:noWrap/>
            <w:hideMark/>
          </w:tcPr>
          <w:p w14:paraId="47AE4555" w14:textId="77777777" w:rsidR="00B5232E" w:rsidRPr="00DA3C6E" w:rsidRDefault="00B5232E" w:rsidP="00BE60D2">
            <w:pPr>
              <w:spacing w:after="0" w:line="240" w:lineRule="auto"/>
              <w:ind w:left="0"/>
              <w:rPr>
                <w:rFonts w:ascii="Arial Narrow" w:hAnsi="Arial Narrow"/>
                <w:b/>
                <w:sz w:val="20"/>
                <w:szCs w:val="20"/>
              </w:rPr>
            </w:pPr>
            <w:r w:rsidRPr="00DA3C6E">
              <w:rPr>
                <w:rFonts w:ascii="Arial Narrow" w:hAnsi="Arial Narrow"/>
                <w:b/>
                <w:sz w:val="20"/>
                <w:szCs w:val="20"/>
              </w:rPr>
              <w:t>Price</w:t>
            </w:r>
          </w:p>
        </w:tc>
        <w:tc>
          <w:tcPr>
            <w:tcW w:w="1176" w:type="dxa"/>
            <w:noWrap/>
            <w:hideMark/>
          </w:tcPr>
          <w:p w14:paraId="03A6A2B4" w14:textId="77777777" w:rsidR="00B5232E" w:rsidRPr="00DA3C6E" w:rsidRDefault="00B5232E" w:rsidP="00BE60D2">
            <w:pPr>
              <w:spacing w:after="0" w:line="240" w:lineRule="auto"/>
              <w:ind w:left="0"/>
              <w:rPr>
                <w:rFonts w:ascii="Arial Narrow" w:hAnsi="Arial Narrow"/>
                <w:b/>
                <w:sz w:val="20"/>
                <w:szCs w:val="20"/>
              </w:rPr>
            </w:pPr>
            <w:r w:rsidRPr="00DA3C6E">
              <w:rPr>
                <w:rFonts w:ascii="Arial Narrow" w:hAnsi="Arial Narrow"/>
                <w:b/>
                <w:sz w:val="20"/>
                <w:szCs w:val="20"/>
              </w:rPr>
              <w:t>Cost</w:t>
            </w:r>
          </w:p>
        </w:tc>
      </w:tr>
      <w:tr w:rsidR="00B5232E" w:rsidRPr="00DA3C6E" w14:paraId="43465586" w14:textId="77777777" w:rsidTr="00BE60D2">
        <w:trPr>
          <w:trHeight w:val="280"/>
        </w:trPr>
        <w:tc>
          <w:tcPr>
            <w:tcW w:w="4531" w:type="dxa"/>
            <w:noWrap/>
            <w:hideMark/>
          </w:tcPr>
          <w:p w14:paraId="1B5B5DAC" w14:textId="77777777" w:rsidR="00B5232E" w:rsidRPr="00DA3C6E" w:rsidRDefault="00B5232E" w:rsidP="00BE60D2">
            <w:pPr>
              <w:spacing w:after="0" w:line="240" w:lineRule="auto"/>
              <w:ind w:left="0"/>
              <w:rPr>
                <w:rFonts w:ascii="Arial Narrow" w:hAnsi="Arial Narrow"/>
                <w:sz w:val="20"/>
                <w:szCs w:val="20"/>
              </w:rPr>
            </w:pPr>
            <w:r w:rsidRPr="00DA3C6E">
              <w:rPr>
                <w:rFonts w:ascii="Arial Narrow" w:hAnsi="Arial Narrow"/>
                <w:sz w:val="20"/>
                <w:szCs w:val="20"/>
              </w:rPr>
              <w:t>Public hospital (outpatient)</w:t>
            </w:r>
          </w:p>
        </w:tc>
        <w:tc>
          <w:tcPr>
            <w:tcW w:w="928" w:type="dxa"/>
            <w:noWrap/>
            <w:vAlign w:val="center"/>
            <w:hideMark/>
          </w:tcPr>
          <w:p w14:paraId="1B25449C"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w:t>
            </w:r>
          </w:p>
        </w:tc>
        <w:tc>
          <w:tcPr>
            <w:tcW w:w="1046" w:type="dxa"/>
            <w:noWrap/>
            <w:vAlign w:val="center"/>
            <w:hideMark/>
          </w:tcPr>
          <w:p w14:paraId="7FC5E631"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67%</w:t>
            </w:r>
          </w:p>
        </w:tc>
        <w:tc>
          <w:tcPr>
            <w:tcW w:w="1299" w:type="dxa"/>
            <w:noWrap/>
            <w:vAlign w:val="center"/>
            <w:hideMark/>
          </w:tcPr>
          <w:p w14:paraId="661CD79D"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$461.00</w:t>
            </w:r>
          </w:p>
        </w:tc>
        <w:tc>
          <w:tcPr>
            <w:tcW w:w="1176" w:type="dxa"/>
            <w:noWrap/>
            <w:vAlign w:val="center"/>
            <w:hideMark/>
          </w:tcPr>
          <w:p w14:paraId="7B889EF0"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$308.87</w:t>
            </w:r>
          </w:p>
        </w:tc>
      </w:tr>
      <w:tr w:rsidR="00B5232E" w:rsidRPr="00DA3C6E" w14:paraId="3DDC354F" w14:textId="77777777" w:rsidTr="00BE60D2">
        <w:trPr>
          <w:trHeight w:val="280"/>
        </w:trPr>
        <w:tc>
          <w:tcPr>
            <w:tcW w:w="4531" w:type="dxa"/>
            <w:noWrap/>
            <w:hideMark/>
          </w:tcPr>
          <w:p w14:paraId="7C4BC4BA" w14:textId="77777777" w:rsidR="00B5232E" w:rsidRPr="00DA3C6E" w:rsidRDefault="00B5232E" w:rsidP="00BE60D2">
            <w:pPr>
              <w:spacing w:after="0" w:line="240" w:lineRule="auto"/>
              <w:ind w:left="0"/>
              <w:rPr>
                <w:rFonts w:ascii="Arial Narrow" w:hAnsi="Arial Narrow"/>
                <w:sz w:val="20"/>
                <w:szCs w:val="20"/>
                <w:vertAlign w:val="superscript"/>
              </w:rPr>
            </w:pPr>
            <w:r w:rsidRPr="00DA3C6E">
              <w:rPr>
                <w:rFonts w:ascii="Arial Narrow" w:hAnsi="Arial Narrow"/>
                <w:sz w:val="20"/>
                <w:szCs w:val="20"/>
              </w:rPr>
              <w:t>Private hospital (outpatient)</w:t>
            </w:r>
            <w:r w:rsidRPr="00DA3C6E">
              <w:rPr>
                <w:rFonts w:ascii="Arial Narrow" w:hAnsi="Arial Narrow"/>
                <w:sz w:val="20"/>
                <w:szCs w:val="20"/>
                <w:vertAlign w:val="superscript"/>
              </w:rPr>
              <w:t>a</w:t>
            </w:r>
          </w:p>
        </w:tc>
        <w:tc>
          <w:tcPr>
            <w:tcW w:w="928" w:type="dxa"/>
            <w:noWrap/>
            <w:vAlign w:val="center"/>
            <w:hideMark/>
          </w:tcPr>
          <w:p w14:paraId="01C7059E"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w:t>
            </w:r>
          </w:p>
        </w:tc>
        <w:tc>
          <w:tcPr>
            <w:tcW w:w="1046" w:type="dxa"/>
            <w:noWrap/>
            <w:vAlign w:val="center"/>
            <w:hideMark/>
          </w:tcPr>
          <w:p w14:paraId="4B2F1D32"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33%</w:t>
            </w:r>
          </w:p>
        </w:tc>
        <w:tc>
          <w:tcPr>
            <w:tcW w:w="1299" w:type="dxa"/>
            <w:noWrap/>
            <w:vAlign w:val="center"/>
            <w:hideMark/>
          </w:tcPr>
          <w:p w14:paraId="697FD3BE"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$500.00</w:t>
            </w:r>
          </w:p>
        </w:tc>
        <w:tc>
          <w:tcPr>
            <w:tcW w:w="1176" w:type="dxa"/>
            <w:noWrap/>
            <w:vAlign w:val="center"/>
            <w:hideMark/>
          </w:tcPr>
          <w:p w14:paraId="67EB02ED"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$165.00</w:t>
            </w:r>
          </w:p>
        </w:tc>
      </w:tr>
      <w:tr w:rsidR="00B5232E" w:rsidRPr="00DA3C6E" w14:paraId="313A9B3B" w14:textId="77777777" w:rsidTr="00BE60D2">
        <w:trPr>
          <w:trHeight w:val="280"/>
        </w:trPr>
        <w:tc>
          <w:tcPr>
            <w:tcW w:w="4531" w:type="dxa"/>
            <w:noWrap/>
            <w:hideMark/>
          </w:tcPr>
          <w:p w14:paraId="43F5F12A" w14:textId="77777777" w:rsidR="00B5232E" w:rsidRPr="00DA3C6E" w:rsidRDefault="00B5232E" w:rsidP="00C55E03">
            <w:pPr>
              <w:spacing w:after="0" w:line="240" w:lineRule="auto"/>
              <w:ind w:left="0"/>
              <w:rPr>
                <w:rFonts w:ascii="Arial Narrow" w:hAnsi="Arial Narrow"/>
                <w:sz w:val="20"/>
                <w:szCs w:val="20"/>
              </w:rPr>
            </w:pPr>
            <w:r w:rsidRPr="00DA3C6E">
              <w:rPr>
                <w:rFonts w:ascii="Arial Narrow" w:hAnsi="Arial Narrow"/>
                <w:sz w:val="20"/>
                <w:szCs w:val="20"/>
              </w:rPr>
              <w:t xml:space="preserve">Pathology tests during </w:t>
            </w:r>
            <w:r w:rsidR="00C55E03" w:rsidRPr="00DA3C6E">
              <w:rPr>
                <w:rFonts w:ascii="Arial Narrow" w:hAnsi="Arial Narrow"/>
                <w:sz w:val="20"/>
                <w:szCs w:val="20"/>
              </w:rPr>
              <w:t xml:space="preserve">intravenous Ig </w:t>
            </w:r>
            <w:r w:rsidRPr="00DA3C6E">
              <w:rPr>
                <w:rFonts w:ascii="Arial Narrow" w:hAnsi="Arial Narrow"/>
                <w:sz w:val="20"/>
                <w:szCs w:val="20"/>
              </w:rPr>
              <w:t>infusion</w:t>
            </w:r>
          </w:p>
        </w:tc>
        <w:tc>
          <w:tcPr>
            <w:tcW w:w="928" w:type="dxa"/>
            <w:noWrap/>
            <w:vAlign w:val="center"/>
            <w:hideMark/>
          </w:tcPr>
          <w:p w14:paraId="4D31AD73"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w:t>
            </w:r>
          </w:p>
        </w:tc>
        <w:tc>
          <w:tcPr>
            <w:tcW w:w="1046" w:type="dxa"/>
            <w:noWrap/>
            <w:vAlign w:val="center"/>
            <w:hideMark/>
          </w:tcPr>
          <w:p w14:paraId="05D802C7"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299" w:type="dxa"/>
            <w:noWrap/>
            <w:vAlign w:val="center"/>
            <w:hideMark/>
          </w:tcPr>
          <w:p w14:paraId="4AEF3248"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$208.90</w:t>
            </w:r>
          </w:p>
        </w:tc>
        <w:tc>
          <w:tcPr>
            <w:tcW w:w="1176" w:type="dxa"/>
            <w:noWrap/>
            <w:vAlign w:val="center"/>
            <w:hideMark/>
          </w:tcPr>
          <w:p w14:paraId="5568D184"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$208.90</w:t>
            </w:r>
          </w:p>
        </w:tc>
      </w:tr>
      <w:tr w:rsidR="00B5232E" w:rsidRPr="00DA3C6E" w14:paraId="517B83B5" w14:textId="77777777" w:rsidTr="00BE60D2">
        <w:trPr>
          <w:trHeight w:val="280"/>
        </w:trPr>
        <w:tc>
          <w:tcPr>
            <w:tcW w:w="4531" w:type="dxa"/>
            <w:noWrap/>
            <w:vAlign w:val="center"/>
          </w:tcPr>
          <w:p w14:paraId="3061FDF3" w14:textId="77777777" w:rsidR="00B5232E" w:rsidRPr="00DA3C6E" w:rsidRDefault="00B5232E" w:rsidP="00BE60D2">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Portacath</w:t>
            </w:r>
            <w:r w:rsidRPr="00DA3C6E">
              <w:rPr>
                <w:rFonts w:ascii="Arial Narrow" w:hAnsi="Arial Narrow"/>
                <w:sz w:val="20"/>
                <w:szCs w:val="20"/>
                <w:vertAlign w:val="superscript"/>
              </w:rPr>
              <w:t>b</w:t>
            </w:r>
          </w:p>
        </w:tc>
        <w:tc>
          <w:tcPr>
            <w:tcW w:w="928" w:type="dxa"/>
            <w:noWrap/>
            <w:vAlign w:val="center"/>
          </w:tcPr>
          <w:p w14:paraId="3A58331C"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w:t>
            </w:r>
          </w:p>
        </w:tc>
        <w:tc>
          <w:tcPr>
            <w:tcW w:w="1046" w:type="dxa"/>
            <w:noWrap/>
            <w:vAlign w:val="center"/>
          </w:tcPr>
          <w:p w14:paraId="64AD9F39"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10%</w:t>
            </w:r>
          </w:p>
        </w:tc>
        <w:tc>
          <w:tcPr>
            <w:tcW w:w="1299" w:type="dxa"/>
            <w:noWrap/>
            <w:vAlign w:val="center"/>
          </w:tcPr>
          <w:p w14:paraId="73C236AE"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$276.75</w:t>
            </w:r>
          </w:p>
        </w:tc>
        <w:tc>
          <w:tcPr>
            <w:tcW w:w="1176" w:type="dxa"/>
            <w:noWrap/>
            <w:vAlign w:val="center"/>
          </w:tcPr>
          <w:p w14:paraId="7CB89D67"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$27.68</w:t>
            </w:r>
          </w:p>
        </w:tc>
      </w:tr>
      <w:tr w:rsidR="00B5232E" w:rsidRPr="00DA3C6E" w14:paraId="41E3599D" w14:textId="77777777" w:rsidTr="00BE60D2">
        <w:trPr>
          <w:trHeight w:val="280"/>
        </w:trPr>
        <w:tc>
          <w:tcPr>
            <w:tcW w:w="4531" w:type="dxa"/>
            <w:noWrap/>
          </w:tcPr>
          <w:p w14:paraId="0A78AA5F" w14:textId="77777777" w:rsidR="00B5232E" w:rsidRPr="00DA3C6E" w:rsidRDefault="00B5232E" w:rsidP="00BE60D2">
            <w:pPr>
              <w:spacing w:after="0" w:line="240" w:lineRule="auto"/>
              <w:ind w:left="0"/>
              <w:rPr>
                <w:rFonts w:ascii="Arial Narrow" w:hAnsi="Arial Narrow"/>
                <w:b/>
                <w:sz w:val="20"/>
                <w:szCs w:val="20"/>
              </w:rPr>
            </w:pPr>
            <w:r w:rsidRPr="00DA3C6E">
              <w:rPr>
                <w:rFonts w:ascii="Arial Narrow" w:hAnsi="Arial Narrow"/>
                <w:b/>
                <w:sz w:val="20"/>
                <w:szCs w:val="20"/>
              </w:rPr>
              <w:t xml:space="preserve">Total </w:t>
            </w:r>
            <w:r w:rsidR="009F5BAC" w:rsidRPr="00DA3C6E">
              <w:rPr>
                <w:rFonts w:ascii="Arial Narrow" w:hAnsi="Arial Narrow"/>
                <w:b/>
                <w:sz w:val="20"/>
                <w:szCs w:val="20"/>
              </w:rPr>
              <w:t>intravenous Ig</w:t>
            </w:r>
            <w:r w:rsidR="004A30B5" w:rsidRPr="00DA3C6E">
              <w:rPr>
                <w:rFonts w:ascii="Arial Narrow" w:hAnsi="Arial Narrow"/>
                <w:b/>
                <w:sz w:val="20"/>
                <w:szCs w:val="20"/>
              </w:rPr>
              <w:t xml:space="preserve"> </w:t>
            </w:r>
            <w:r w:rsidRPr="00DA3C6E">
              <w:rPr>
                <w:rFonts w:ascii="Arial Narrow" w:hAnsi="Arial Narrow"/>
                <w:b/>
                <w:sz w:val="20"/>
                <w:szCs w:val="20"/>
              </w:rPr>
              <w:t>administration cost per episode</w:t>
            </w:r>
          </w:p>
        </w:tc>
        <w:tc>
          <w:tcPr>
            <w:tcW w:w="928" w:type="dxa"/>
            <w:noWrap/>
            <w:vAlign w:val="center"/>
          </w:tcPr>
          <w:p w14:paraId="522CBC67" w14:textId="77777777" w:rsidR="00B5232E" w:rsidRPr="00DA3C6E" w:rsidRDefault="00B5232E" w:rsidP="00BE60D2">
            <w:pPr>
              <w:spacing w:after="0" w:line="240" w:lineRule="auto"/>
              <w:jc w:val="center"/>
              <w:rPr>
                <w:rFonts w:ascii="Arial Narrow" w:hAnsi="Arial Narrow"/>
                <w:b/>
                <w:sz w:val="20"/>
                <w:szCs w:val="20"/>
              </w:rPr>
            </w:pPr>
          </w:p>
        </w:tc>
        <w:tc>
          <w:tcPr>
            <w:tcW w:w="1046" w:type="dxa"/>
            <w:noWrap/>
            <w:vAlign w:val="center"/>
          </w:tcPr>
          <w:p w14:paraId="1944969C" w14:textId="77777777" w:rsidR="00B5232E" w:rsidRPr="00DA3C6E" w:rsidRDefault="00B5232E" w:rsidP="00BE60D2">
            <w:pPr>
              <w:spacing w:after="0" w:line="240" w:lineRule="auto"/>
              <w:jc w:val="center"/>
              <w:rPr>
                <w:rFonts w:ascii="Arial Narrow" w:hAnsi="Arial Narrow"/>
                <w:b/>
                <w:sz w:val="20"/>
                <w:szCs w:val="20"/>
              </w:rPr>
            </w:pPr>
          </w:p>
        </w:tc>
        <w:tc>
          <w:tcPr>
            <w:tcW w:w="1299" w:type="dxa"/>
            <w:noWrap/>
            <w:vAlign w:val="center"/>
          </w:tcPr>
          <w:p w14:paraId="77529451" w14:textId="77777777" w:rsidR="00B5232E" w:rsidRPr="00DA3C6E" w:rsidRDefault="00B5232E" w:rsidP="00BE60D2">
            <w:pPr>
              <w:spacing w:after="0" w:line="240" w:lineRule="auto"/>
              <w:jc w:val="center"/>
              <w:rPr>
                <w:rFonts w:ascii="Arial Narrow" w:hAnsi="Arial Narrow"/>
                <w:b/>
                <w:sz w:val="20"/>
                <w:szCs w:val="20"/>
              </w:rPr>
            </w:pPr>
          </w:p>
        </w:tc>
        <w:tc>
          <w:tcPr>
            <w:tcW w:w="1176" w:type="dxa"/>
            <w:noWrap/>
            <w:vAlign w:val="center"/>
          </w:tcPr>
          <w:p w14:paraId="3610E9BA"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$710.45</w:t>
            </w:r>
          </w:p>
        </w:tc>
      </w:tr>
    </w:tbl>
    <w:p w14:paraId="49F1BC18" w14:textId="77777777" w:rsidR="009F5BAC" w:rsidRPr="00DA3C6E" w:rsidRDefault="009F5BAC" w:rsidP="00B5232E">
      <w:pPr>
        <w:spacing w:after="0" w:line="240" w:lineRule="auto"/>
        <w:rPr>
          <w:rFonts w:ascii="Arial Narrow" w:hAnsi="Arial Narrow"/>
          <w:sz w:val="18"/>
          <w:szCs w:val="18"/>
        </w:rPr>
      </w:pPr>
      <w:r w:rsidRPr="00DA3C6E">
        <w:rPr>
          <w:rFonts w:ascii="Arial Narrow" w:hAnsi="Arial Narrow"/>
          <w:sz w:val="18"/>
          <w:szCs w:val="18"/>
        </w:rPr>
        <w:t>Abbreviations: Ig = immunoglobulin.</w:t>
      </w:r>
    </w:p>
    <w:p w14:paraId="2AD70EAD" w14:textId="492B6A31" w:rsidR="00B5232E" w:rsidRPr="00DA3C6E" w:rsidRDefault="00B5232E" w:rsidP="00633640">
      <w:pPr>
        <w:spacing w:line="240" w:lineRule="auto"/>
        <w:rPr>
          <w:rFonts w:ascii="Arial Narrow" w:hAnsi="Arial Narrow"/>
          <w:sz w:val="18"/>
          <w:szCs w:val="18"/>
        </w:rPr>
      </w:pPr>
      <w:r w:rsidRPr="00DA3C6E">
        <w:rPr>
          <w:rFonts w:ascii="Arial Narrow" w:hAnsi="Arial Narrow"/>
          <w:sz w:val="18"/>
          <w:szCs w:val="18"/>
        </w:rPr>
        <w:t>Note: Frequency for private vs private hospital showed as proportions</w:t>
      </w:r>
      <w:r w:rsidR="000E614C">
        <w:rPr>
          <w:rFonts w:ascii="Arial Narrow" w:hAnsi="Arial Narrow"/>
          <w:sz w:val="18"/>
          <w:szCs w:val="18"/>
        </w:rPr>
        <w:t xml:space="preserve">; </w:t>
      </w:r>
      <w:r w:rsidRPr="00DA3C6E">
        <w:rPr>
          <w:rFonts w:ascii="Arial Narrow" w:hAnsi="Arial Narrow"/>
          <w:sz w:val="18"/>
          <w:szCs w:val="18"/>
          <w:vertAlign w:val="superscript"/>
        </w:rPr>
        <w:t>a</w:t>
      </w:r>
      <w:r w:rsidRPr="00DA3C6E">
        <w:rPr>
          <w:rFonts w:ascii="Arial Narrow" w:hAnsi="Arial Narrow"/>
          <w:sz w:val="18"/>
          <w:szCs w:val="18"/>
        </w:rPr>
        <w:t xml:space="preserve">The unit price corresponds to an assumption; </w:t>
      </w:r>
      <w:r w:rsidRPr="00DA3C6E">
        <w:rPr>
          <w:rFonts w:ascii="Arial Narrow" w:hAnsi="Arial Narrow"/>
          <w:sz w:val="18"/>
          <w:szCs w:val="18"/>
          <w:vertAlign w:val="superscript"/>
        </w:rPr>
        <w:t xml:space="preserve">b </w:t>
      </w:r>
      <w:r w:rsidRPr="00DA3C6E">
        <w:rPr>
          <w:rFonts w:ascii="Arial Narrow" w:hAnsi="Arial Narrow"/>
          <w:sz w:val="18"/>
          <w:szCs w:val="18"/>
        </w:rPr>
        <w:t>it was assumed that a portacath is required by 50% of patients over 5 years</w:t>
      </w:r>
      <w:r w:rsidR="00365584" w:rsidRPr="00DA3C6E">
        <w:rPr>
          <w:rFonts w:ascii="Arial Narrow" w:hAnsi="Arial Narrow"/>
          <w:sz w:val="18"/>
          <w:szCs w:val="18"/>
        </w:rPr>
        <w:t xml:space="preserve"> (MBS item 34528)</w:t>
      </w:r>
      <w:r w:rsidR="00633640">
        <w:rPr>
          <w:rFonts w:ascii="Arial Narrow" w:hAnsi="Arial Narrow"/>
          <w:sz w:val="18"/>
          <w:szCs w:val="18"/>
        </w:rPr>
        <w:t xml:space="preserve">. </w:t>
      </w:r>
    </w:p>
    <w:p w14:paraId="10FCBE34" w14:textId="382B5655" w:rsidR="005A2158" w:rsidRPr="00DA3C6E" w:rsidRDefault="005A2158" w:rsidP="00CF0291">
      <w:r w:rsidRPr="00DA3C6E">
        <w:t xml:space="preserve">The estimated costs associated with the administration of </w:t>
      </w:r>
      <w:r w:rsidR="009F5BAC" w:rsidRPr="00DA3C6E">
        <w:t>intravenous Ig</w:t>
      </w:r>
      <w:r w:rsidR="009F5BAC" w:rsidRPr="00DA3C6E" w:rsidDel="009F5BAC">
        <w:t xml:space="preserve"> </w:t>
      </w:r>
      <w:r w:rsidRPr="00DA3C6E">
        <w:t xml:space="preserve">are summarised in </w:t>
      </w:r>
      <w:r w:rsidRPr="00DA3C6E">
        <w:fldChar w:fldCharType="begin"/>
      </w:r>
      <w:r w:rsidRPr="00DA3C6E">
        <w:instrText xml:space="preserve"> REF _Ref29885456 \h  \* MERGEFORMAT </w:instrText>
      </w:r>
      <w:r w:rsidRPr="00DA3C6E">
        <w:fldChar w:fldCharType="separate"/>
      </w:r>
      <w:r w:rsidR="00EA5DC1" w:rsidRPr="00DA3C6E">
        <w:t xml:space="preserve">Table </w:t>
      </w:r>
      <w:r w:rsidR="00EA5DC1">
        <w:rPr>
          <w:noProof/>
        </w:rPr>
        <w:t>40</w:t>
      </w:r>
      <w:r w:rsidRPr="00DA3C6E">
        <w:fldChar w:fldCharType="end"/>
      </w:r>
      <w:r w:rsidRPr="00DA3C6E">
        <w:t xml:space="preserve">. </w:t>
      </w:r>
      <w:r w:rsidR="00621DA1" w:rsidRPr="00DA3C6E">
        <w:t>Over</w:t>
      </w:r>
      <w:r w:rsidRPr="00DA3C6E">
        <w:t xml:space="preserve"> the time horizon of 5 years, </w:t>
      </w:r>
      <w:r w:rsidR="00621DA1" w:rsidRPr="00DA3C6E">
        <w:t xml:space="preserve">it </w:t>
      </w:r>
      <w:r w:rsidR="00A5773A" w:rsidRPr="00DA3C6E">
        <w:t xml:space="preserve">is </w:t>
      </w:r>
      <w:r w:rsidR="00621DA1" w:rsidRPr="00DA3C6E">
        <w:t xml:space="preserve">estimated that </w:t>
      </w:r>
      <w:r w:rsidRPr="00DA3C6E">
        <w:t xml:space="preserve">a total of $36,396,455 would be spent </w:t>
      </w:r>
      <w:r w:rsidR="00621DA1" w:rsidRPr="00DA3C6E">
        <w:t xml:space="preserve">on </w:t>
      </w:r>
      <w:r w:rsidRPr="00DA3C6E">
        <w:t>administration</w:t>
      </w:r>
      <w:r w:rsidR="00621DA1" w:rsidRPr="00DA3C6E">
        <w:t xml:space="preserve"> purposes</w:t>
      </w:r>
      <w:r w:rsidRPr="00DA3C6E">
        <w:t xml:space="preserve">. </w:t>
      </w:r>
    </w:p>
    <w:p w14:paraId="4B19869D" w14:textId="788A41C4" w:rsidR="005A2158" w:rsidRPr="00DA3C6E" w:rsidRDefault="005A2158" w:rsidP="00B5232E">
      <w:pPr>
        <w:pStyle w:val="Caption"/>
        <w:rPr>
          <w:vanish/>
          <w:sz w:val="18"/>
          <w:szCs w:val="18"/>
        </w:rPr>
      </w:pPr>
      <w:bookmarkStart w:id="365" w:name="_Ref29885456"/>
      <w:bookmarkStart w:id="366" w:name="_Toc37845843"/>
      <w:r w:rsidRPr="00DA3C6E">
        <w:t xml:space="preserve">Table </w:t>
      </w:r>
      <w:r w:rsidR="00515153">
        <w:fldChar w:fldCharType="begin"/>
      </w:r>
      <w:r w:rsidR="00515153">
        <w:instrText xml:space="preserve"> SEQ Table \* ARABIC </w:instrText>
      </w:r>
      <w:r w:rsidR="00515153">
        <w:fldChar w:fldCharType="separate"/>
      </w:r>
      <w:r w:rsidR="00EA5DC1">
        <w:rPr>
          <w:noProof/>
        </w:rPr>
        <w:t>40</w:t>
      </w:r>
      <w:r w:rsidR="00515153">
        <w:rPr>
          <w:noProof/>
        </w:rPr>
        <w:fldChar w:fldCharType="end"/>
      </w:r>
      <w:bookmarkEnd w:id="365"/>
      <w:r w:rsidRPr="00DA3C6E">
        <w:t xml:space="preserve">. Estimated costs associated to the administration of </w:t>
      </w:r>
      <w:r w:rsidR="00C55E03" w:rsidRPr="00DA3C6E">
        <w:t>intravenous Ig</w:t>
      </w:r>
      <w:r w:rsidRPr="00DA3C6E">
        <w:t>.</w:t>
      </w:r>
      <w:bookmarkEnd w:id="366"/>
      <w:r w:rsidRPr="00DA3C6E">
        <w:t xml:space="preserve"> </w:t>
      </w:r>
    </w:p>
    <w:tbl>
      <w:tblPr>
        <w:tblStyle w:val="TableGrid"/>
        <w:tblW w:w="0" w:type="auto"/>
        <w:tblLayout w:type="fixed"/>
        <w:tblLook w:val="04A0" w:firstRow="1" w:lastRow="0" w:firstColumn="1" w:lastColumn="0" w:noHBand="0" w:noVBand="1"/>
        <w:tblCaption w:val="Table 40. Estimated costs associated to the administration of intravenous Ig. "/>
      </w:tblPr>
      <w:tblGrid>
        <w:gridCol w:w="2263"/>
        <w:gridCol w:w="1134"/>
        <w:gridCol w:w="1080"/>
        <w:gridCol w:w="1047"/>
        <w:gridCol w:w="1134"/>
        <w:gridCol w:w="1134"/>
        <w:gridCol w:w="1224"/>
      </w:tblGrid>
      <w:tr w:rsidR="00B5232E" w:rsidRPr="00DA3C6E" w14:paraId="725A2158" w14:textId="77777777" w:rsidTr="00D56F4F">
        <w:trPr>
          <w:trHeight w:val="315"/>
          <w:tblHeader/>
        </w:trPr>
        <w:tc>
          <w:tcPr>
            <w:tcW w:w="2263" w:type="dxa"/>
            <w:noWrap/>
            <w:vAlign w:val="center"/>
          </w:tcPr>
          <w:p w14:paraId="2D4E17F1" w14:textId="77777777" w:rsidR="00B5232E" w:rsidRPr="00DA3C6E" w:rsidRDefault="00B5232E" w:rsidP="00BE60D2">
            <w:pPr>
              <w:spacing w:after="0" w:line="240" w:lineRule="auto"/>
              <w:jc w:val="left"/>
              <w:rPr>
                <w:rFonts w:ascii="Arial Narrow" w:hAnsi="Arial Narrow"/>
                <w:b/>
                <w:sz w:val="20"/>
                <w:szCs w:val="20"/>
              </w:rPr>
            </w:pPr>
          </w:p>
        </w:tc>
        <w:tc>
          <w:tcPr>
            <w:tcW w:w="1134" w:type="dxa"/>
            <w:noWrap/>
            <w:vAlign w:val="center"/>
          </w:tcPr>
          <w:p w14:paraId="27F94966"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1</w:t>
            </w:r>
          </w:p>
        </w:tc>
        <w:tc>
          <w:tcPr>
            <w:tcW w:w="1080" w:type="dxa"/>
            <w:noWrap/>
            <w:vAlign w:val="center"/>
          </w:tcPr>
          <w:p w14:paraId="2181A785"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2</w:t>
            </w:r>
          </w:p>
        </w:tc>
        <w:tc>
          <w:tcPr>
            <w:tcW w:w="1047" w:type="dxa"/>
            <w:noWrap/>
            <w:vAlign w:val="center"/>
          </w:tcPr>
          <w:p w14:paraId="06046E84"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3</w:t>
            </w:r>
          </w:p>
        </w:tc>
        <w:tc>
          <w:tcPr>
            <w:tcW w:w="1134" w:type="dxa"/>
            <w:noWrap/>
            <w:vAlign w:val="center"/>
          </w:tcPr>
          <w:p w14:paraId="73105F38"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4</w:t>
            </w:r>
          </w:p>
        </w:tc>
        <w:tc>
          <w:tcPr>
            <w:tcW w:w="1134" w:type="dxa"/>
            <w:noWrap/>
            <w:vAlign w:val="center"/>
          </w:tcPr>
          <w:p w14:paraId="5621DA0F"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5</w:t>
            </w:r>
          </w:p>
        </w:tc>
        <w:tc>
          <w:tcPr>
            <w:tcW w:w="1224" w:type="dxa"/>
            <w:noWrap/>
            <w:vAlign w:val="center"/>
          </w:tcPr>
          <w:p w14:paraId="6BB74EE2"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Total over 5 years</w:t>
            </w:r>
          </w:p>
        </w:tc>
      </w:tr>
      <w:tr w:rsidR="00B5232E" w:rsidRPr="00DA3C6E" w14:paraId="136A78A2" w14:textId="77777777" w:rsidTr="00BE60D2">
        <w:trPr>
          <w:trHeight w:val="315"/>
        </w:trPr>
        <w:tc>
          <w:tcPr>
            <w:tcW w:w="2263" w:type="dxa"/>
            <w:noWrap/>
            <w:vAlign w:val="center"/>
            <w:hideMark/>
          </w:tcPr>
          <w:p w14:paraId="06BE26E2"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sz w:val="20"/>
                <w:szCs w:val="20"/>
              </w:rPr>
              <w:t xml:space="preserve">Number of </w:t>
            </w:r>
            <w:r w:rsidR="00404DC6" w:rsidRPr="00DA3C6E">
              <w:rPr>
                <w:rFonts w:ascii="Arial Narrow" w:hAnsi="Arial Narrow"/>
                <w:sz w:val="20"/>
                <w:szCs w:val="20"/>
              </w:rPr>
              <w:t xml:space="preserve">episodes </w:t>
            </w:r>
            <w:r w:rsidRPr="00DA3C6E">
              <w:rPr>
                <w:rFonts w:ascii="Arial Narrow" w:hAnsi="Arial Narrow"/>
                <w:sz w:val="20"/>
                <w:szCs w:val="20"/>
              </w:rPr>
              <w:t>per year</w:t>
            </w:r>
          </w:p>
        </w:tc>
        <w:tc>
          <w:tcPr>
            <w:tcW w:w="1134" w:type="dxa"/>
            <w:noWrap/>
            <w:vAlign w:val="center"/>
            <w:hideMark/>
          </w:tcPr>
          <w:p w14:paraId="47E64D98" w14:textId="11B652C5"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8,536</w:t>
            </w:r>
          </w:p>
        </w:tc>
        <w:tc>
          <w:tcPr>
            <w:tcW w:w="1080" w:type="dxa"/>
            <w:noWrap/>
            <w:vAlign w:val="center"/>
            <w:hideMark/>
          </w:tcPr>
          <w:p w14:paraId="693BA179" w14:textId="58047302"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8,536</w:t>
            </w:r>
          </w:p>
        </w:tc>
        <w:tc>
          <w:tcPr>
            <w:tcW w:w="1047" w:type="dxa"/>
            <w:noWrap/>
            <w:vAlign w:val="center"/>
            <w:hideMark/>
          </w:tcPr>
          <w:p w14:paraId="2FAE9652" w14:textId="5869C15B"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8,536</w:t>
            </w:r>
          </w:p>
        </w:tc>
        <w:tc>
          <w:tcPr>
            <w:tcW w:w="1134" w:type="dxa"/>
            <w:noWrap/>
            <w:vAlign w:val="center"/>
            <w:hideMark/>
          </w:tcPr>
          <w:p w14:paraId="57C988D3" w14:textId="6ABDF44B"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8,536</w:t>
            </w:r>
          </w:p>
        </w:tc>
        <w:tc>
          <w:tcPr>
            <w:tcW w:w="1134" w:type="dxa"/>
            <w:noWrap/>
            <w:vAlign w:val="center"/>
            <w:hideMark/>
          </w:tcPr>
          <w:p w14:paraId="6992F9F7" w14:textId="5A8E2361"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8,536</w:t>
            </w:r>
          </w:p>
        </w:tc>
        <w:tc>
          <w:tcPr>
            <w:tcW w:w="1224" w:type="dxa"/>
            <w:noWrap/>
            <w:vAlign w:val="center"/>
            <w:hideMark/>
          </w:tcPr>
          <w:p w14:paraId="468C6779" w14:textId="77777777" w:rsidR="00B5232E" w:rsidRPr="00DA3C6E" w:rsidRDefault="00B5232E" w:rsidP="00BE60D2">
            <w:pPr>
              <w:spacing w:after="0" w:line="240" w:lineRule="auto"/>
              <w:ind w:left="0"/>
              <w:jc w:val="center"/>
              <w:rPr>
                <w:rFonts w:ascii="Arial Narrow" w:hAnsi="Arial Narrow"/>
                <w:sz w:val="20"/>
                <w:szCs w:val="20"/>
              </w:rPr>
            </w:pPr>
          </w:p>
        </w:tc>
      </w:tr>
      <w:tr w:rsidR="00B5232E" w:rsidRPr="00DA3C6E" w14:paraId="4A617196" w14:textId="77777777" w:rsidTr="00BE60D2">
        <w:trPr>
          <w:trHeight w:val="315"/>
        </w:trPr>
        <w:tc>
          <w:tcPr>
            <w:tcW w:w="2263" w:type="dxa"/>
            <w:noWrap/>
            <w:vAlign w:val="bottom"/>
          </w:tcPr>
          <w:p w14:paraId="76A29300"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cs="Calibri"/>
                <w:sz w:val="20"/>
                <w:szCs w:val="20"/>
              </w:rPr>
              <w:t>MMN prevalent cases</w:t>
            </w:r>
          </w:p>
        </w:tc>
        <w:tc>
          <w:tcPr>
            <w:tcW w:w="1134" w:type="dxa"/>
            <w:noWrap/>
            <w:vAlign w:val="center"/>
          </w:tcPr>
          <w:p w14:paraId="55EE5106"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627</w:t>
            </w:r>
          </w:p>
        </w:tc>
        <w:tc>
          <w:tcPr>
            <w:tcW w:w="1080" w:type="dxa"/>
            <w:noWrap/>
            <w:vAlign w:val="center"/>
          </w:tcPr>
          <w:p w14:paraId="32A72DE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660</w:t>
            </w:r>
          </w:p>
        </w:tc>
        <w:tc>
          <w:tcPr>
            <w:tcW w:w="1047" w:type="dxa"/>
            <w:noWrap/>
            <w:vAlign w:val="center"/>
          </w:tcPr>
          <w:p w14:paraId="529968EF"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694</w:t>
            </w:r>
          </w:p>
        </w:tc>
        <w:tc>
          <w:tcPr>
            <w:tcW w:w="1134" w:type="dxa"/>
            <w:noWrap/>
            <w:vAlign w:val="center"/>
          </w:tcPr>
          <w:p w14:paraId="625B8D7C"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727</w:t>
            </w:r>
          </w:p>
        </w:tc>
        <w:tc>
          <w:tcPr>
            <w:tcW w:w="1134" w:type="dxa"/>
            <w:noWrap/>
            <w:vAlign w:val="center"/>
          </w:tcPr>
          <w:p w14:paraId="6D4FC721"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761</w:t>
            </w:r>
          </w:p>
        </w:tc>
        <w:tc>
          <w:tcPr>
            <w:tcW w:w="1224" w:type="dxa"/>
            <w:noWrap/>
            <w:vAlign w:val="center"/>
          </w:tcPr>
          <w:p w14:paraId="28972B36" w14:textId="77777777" w:rsidR="00B5232E" w:rsidRPr="00DA3C6E" w:rsidRDefault="00B5232E" w:rsidP="00BE60D2">
            <w:pPr>
              <w:spacing w:after="0" w:line="240" w:lineRule="auto"/>
              <w:jc w:val="center"/>
              <w:rPr>
                <w:rFonts w:ascii="Arial Narrow" w:hAnsi="Arial Narrow"/>
                <w:sz w:val="20"/>
                <w:szCs w:val="20"/>
              </w:rPr>
            </w:pPr>
          </w:p>
        </w:tc>
      </w:tr>
      <w:tr w:rsidR="00B5232E" w:rsidRPr="00DA3C6E" w14:paraId="3574814D" w14:textId="77777777" w:rsidTr="00BE60D2">
        <w:trPr>
          <w:trHeight w:val="315"/>
        </w:trPr>
        <w:tc>
          <w:tcPr>
            <w:tcW w:w="2263" w:type="dxa"/>
            <w:noWrap/>
            <w:vAlign w:val="center"/>
            <w:hideMark/>
          </w:tcPr>
          <w:p w14:paraId="174F5F76"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sz w:val="20"/>
                <w:szCs w:val="20"/>
              </w:rPr>
              <w:t>Number of episodes per patient/year</w:t>
            </w:r>
          </w:p>
        </w:tc>
        <w:tc>
          <w:tcPr>
            <w:tcW w:w="1134" w:type="dxa"/>
            <w:noWrap/>
            <w:vAlign w:val="center"/>
            <w:hideMark/>
          </w:tcPr>
          <w:p w14:paraId="5B0DEEC8"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080" w:type="dxa"/>
            <w:noWrap/>
            <w:vAlign w:val="center"/>
            <w:hideMark/>
          </w:tcPr>
          <w:p w14:paraId="408E6259"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047" w:type="dxa"/>
            <w:noWrap/>
            <w:vAlign w:val="center"/>
            <w:hideMark/>
          </w:tcPr>
          <w:p w14:paraId="315FB531"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134" w:type="dxa"/>
            <w:noWrap/>
            <w:vAlign w:val="center"/>
            <w:hideMark/>
          </w:tcPr>
          <w:p w14:paraId="3FB6EFDE"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134" w:type="dxa"/>
            <w:noWrap/>
            <w:vAlign w:val="center"/>
            <w:hideMark/>
          </w:tcPr>
          <w:p w14:paraId="681CF408"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224" w:type="dxa"/>
            <w:noWrap/>
            <w:vAlign w:val="center"/>
            <w:hideMark/>
          </w:tcPr>
          <w:p w14:paraId="39CAD5B0" w14:textId="77777777" w:rsidR="00B5232E" w:rsidRPr="00DA3C6E" w:rsidRDefault="00B5232E" w:rsidP="00BE60D2">
            <w:pPr>
              <w:spacing w:after="0" w:line="240" w:lineRule="auto"/>
              <w:ind w:left="0"/>
              <w:jc w:val="center"/>
              <w:rPr>
                <w:rFonts w:ascii="Arial Narrow" w:hAnsi="Arial Narrow"/>
                <w:sz w:val="20"/>
                <w:szCs w:val="20"/>
              </w:rPr>
            </w:pPr>
          </w:p>
        </w:tc>
      </w:tr>
      <w:tr w:rsidR="00B5232E" w:rsidRPr="00DA3C6E" w14:paraId="7F122084" w14:textId="77777777" w:rsidTr="00BE60D2">
        <w:trPr>
          <w:trHeight w:val="315"/>
        </w:trPr>
        <w:tc>
          <w:tcPr>
            <w:tcW w:w="2263" w:type="dxa"/>
            <w:noWrap/>
            <w:vAlign w:val="center"/>
          </w:tcPr>
          <w:p w14:paraId="519141EF" w14:textId="77777777" w:rsidR="00B5232E" w:rsidRPr="00DA3C6E" w:rsidRDefault="00B5232E" w:rsidP="00C55E03">
            <w:pPr>
              <w:spacing w:after="0" w:line="240" w:lineRule="auto"/>
              <w:ind w:left="0"/>
              <w:jc w:val="left"/>
              <w:rPr>
                <w:rFonts w:ascii="Arial Narrow" w:hAnsi="Arial Narrow"/>
                <w:sz w:val="20"/>
                <w:szCs w:val="20"/>
              </w:rPr>
            </w:pPr>
            <w:r w:rsidRPr="00DA3C6E">
              <w:rPr>
                <w:rFonts w:ascii="Arial Narrow" w:hAnsi="Arial Narrow"/>
                <w:sz w:val="20"/>
                <w:szCs w:val="20"/>
              </w:rPr>
              <w:t xml:space="preserve">Total </w:t>
            </w:r>
            <w:r w:rsidR="00C55E03" w:rsidRPr="00DA3C6E">
              <w:rPr>
                <w:rFonts w:ascii="Arial Narrow" w:hAnsi="Arial Narrow"/>
                <w:sz w:val="20"/>
                <w:szCs w:val="20"/>
              </w:rPr>
              <w:t xml:space="preserve">Intravenous </w:t>
            </w:r>
            <w:r w:rsidRPr="00DA3C6E">
              <w:rPr>
                <w:rFonts w:ascii="Arial Narrow" w:hAnsi="Arial Narrow"/>
                <w:sz w:val="20"/>
                <w:szCs w:val="20"/>
              </w:rPr>
              <w:t>administration cost per episode</w:t>
            </w:r>
          </w:p>
        </w:tc>
        <w:tc>
          <w:tcPr>
            <w:tcW w:w="1134" w:type="dxa"/>
            <w:noWrap/>
            <w:vAlign w:val="center"/>
          </w:tcPr>
          <w:p w14:paraId="4C9B5B4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b/>
                <w:sz w:val="20"/>
                <w:szCs w:val="20"/>
              </w:rPr>
              <w:t>$710.45</w:t>
            </w:r>
          </w:p>
        </w:tc>
        <w:tc>
          <w:tcPr>
            <w:tcW w:w="1080" w:type="dxa"/>
            <w:noWrap/>
            <w:vAlign w:val="center"/>
          </w:tcPr>
          <w:p w14:paraId="7F0A348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b/>
                <w:sz w:val="20"/>
                <w:szCs w:val="20"/>
              </w:rPr>
              <w:t>$710.45</w:t>
            </w:r>
          </w:p>
        </w:tc>
        <w:tc>
          <w:tcPr>
            <w:tcW w:w="1047" w:type="dxa"/>
            <w:noWrap/>
            <w:vAlign w:val="center"/>
          </w:tcPr>
          <w:p w14:paraId="458EB2B4"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b/>
                <w:sz w:val="20"/>
                <w:szCs w:val="20"/>
              </w:rPr>
              <w:t>$710.45</w:t>
            </w:r>
          </w:p>
        </w:tc>
        <w:tc>
          <w:tcPr>
            <w:tcW w:w="1134" w:type="dxa"/>
            <w:noWrap/>
            <w:vAlign w:val="center"/>
          </w:tcPr>
          <w:p w14:paraId="0E6A8720"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b/>
                <w:sz w:val="20"/>
                <w:szCs w:val="20"/>
              </w:rPr>
              <w:t>$710.45</w:t>
            </w:r>
          </w:p>
        </w:tc>
        <w:tc>
          <w:tcPr>
            <w:tcW w:w="1134" w:type="dxa"/>
            <w:noWrap/>
            <w:vAlign w:val="center"/>
          </w:tcPr>
          <w:p w14:paraId="27CE8109"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b/>
                <w:sz w:val="20"/>
                <w:szCs w:val="20"/>
              </w:rPr>
              <w:t>$710.45</w:t>
            </w:r>
          </w:p>
        </w:tc>
        <w:tc>
          <w:tcPr>
            <w:tcW w:w="1224" w:type="dxa"/>
            <w:noWrap/>
            <w:vAlign w:val="center"/>
          </w:tcPr>
          <w:p w14:paraId="383908C4" w14:textId="77777777" w:rsidR="00B5232E" w:rsidRPr="00DA3C6E" w:rsidRDefault="00B5232E" w:rsidP="00BE60D2">
            <w:pPr>
              <w:spacing w:after="0" w:line="240" w:lineRule="auto"/>
              <w:jc w:val="center"/>
              <w:rPr>
                <w:rFonts w:ascii="Arial Narrow" w:hAnsi="Arial Narrow"/>
                <w:sz w:val="20"/>
                <w:szCs w:val="20"/>
              </w:rPr>
            </w:pPr>
          </w:p>
        </w:tc>
      </w:tr>
      <w:tr w:rsidR="00B5232E" w:rsidRPr="00DA3C6E" w14:paraId="0F168ED2" w14:textId="77777777" w:rsidTr="00BE60D2">
        <w:trPr>
          <w:trHeight w:val="315"/>
        </w:trPr>
        <w:tc>
          <w:tcPr>
            <w:tcW w:w="2263" w:type="dxa"/>
            <w:noWrap/>
            <w:vAlign w:val="center"/>
            <w:hideMark/>
          </w:tcPr>
          <w:p w14:paraId="75765592" w14:textId="77777777" w:rsidR="00B5232E" w:rsidRPr="00DA3C6E" w:rsidRDefault="00C55E03" w:rsidP="00C55E03">
            <w:pPr>
              <w:spacing w:after="0" w:line="240" w:lineRule="auto"/>
              <w:ind w:left="0"/>
              <w:jc w:val="left"/>
              <w:rPr>
                <w:rFonts w:ascii="Arial Narrow" w:hAnsi="Arial Narrow"/>
                <w:b/>
                <w:sz w:val="20"/>
                <w:szCs w:val="20"/>
              </w:rPr>
            </w:pPr>
            <w:r w:rsidRPr="00DA3C6E">
              <w:rPr>
                <w:rFonts w:ascii="Arial Narrow" w:hAnsi="Arial Narrow"/>
                <w:b/>
                <w:sz w:val="20"/>
                <w:szCs w:val="20"/>
              </w:rPr>
              <w:t>A</w:t>
            </w:r>
            <w:r w:rsidR="00B5232E" w:rsidRPr="00DA3C6E">
              <w:rPr>
                <w:rFonts w:ascii="Arial Narrow" w:hAnsi="Arial Narrow"/>
                <w:b/>
                <w:sz w:val="20"/>
                <w:szCs w:val="20"/>
              </w:rPr>
              <w:t>dministration costs</w:t>
            </w:r>
          </w:p>
        </w:tc>
        <w:tc>
          <w:tcPr>
            <w:tcW w:w="1134" w:type="dxa"/>
            <w:noWrap/>
            <w:vAlign w:val="center"/>
            <w:hideMark/>
          </w:tcPr>
          <w:p w14:paraId="57BDB85A"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$6,578,498</w:t>
            </w:r>
          </w:p>
        </w:tc>
        <w:tc>
          <w:tcPr>
            <w:tcW w:w="1080" w:type="dxa"/>
            <w:noWrap/>
            <w:vAlign w:val="center"/>
            <w:hideMark/>
          </w:tcPr>
          <w:p w14:paraId="24562758"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$6,928,895</w:t>
            </w:r>
          </w:p>
        </w:tc>
        <w:tc>
          <w:tcPr>
            <w:tcW w:w="1047" w:type="dxa"/>
            <w:noWrap/>
            <w:vAlign w:val="center"/>
            <w:hideMark/>
          </w:tcPr>
          <w:p w14:paraId="18301BDC"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$7,279,291</w:t>
            </w:r>
          </w:p>
        </w:tc>
        <w:tc>
          <w:tcPr>
            <w:tcW w:w="1134" w:type="dxa"/>
            <w:noWrap/>
            <w:vAlign w:val="center"/>
            <w:hideMark/>
          </w:tcPr>
          <w:p w14:paraId="08A985F1"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$7,629,687</w:t>
            </w:r>
          </w:p>
        </w:tc>
        <w:tc>
          <w:tcPr>
            <w:tcW w:w="1134" w:type="dxa"/>
            <w:noWrap/>
            <w:vAlign w:val="center"/>
            <w:hideMark/>
          </w:tcPr>
          <w:p w14:paraId="6A8418CF"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$7,980,084</w:t>
            </w:r>
          </w:p>
        </w:tc>
        <w:tc>
          <w:tcPr>
            <w:tcW w:w="1224" w:type="dxa"/>
            <w:noWrap/>
            <w:vAlign w:val="center"/>
            <w:hideMark/>
          </w:tcPr>
          <w:p w14:paraId="68B8A81F"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sz w:val="20"/>
                <w:szCs w:val="20"/>
              </w:rPr>
              <w:t>$36,396,455</w:t>
            </w:r>
          </w:p>
        </w:tc>
      </w:tr>
    </w:tbl>
    <w:p w14:paraId="6F71D4CB" w14:textId="77777777" w:rsidR="00B5232E" w:rsidRPr="00633640" w:rsidRDefault="00B5232E" w:rsidP="00633640">
      <w:pPr>
        <w:pStyle w:val="Tablenotes0"/>
        <w:spacing w:after="0"/>
      </w:pPr>
      <w:r w:rsidRPr="00633640">
        <w:t>Abbreviations: IVIg = intravenous immunoglobulin; MMN = multifocal motor neuropathy.</w:t>
      </w:r>
    </w:p>
    <w:p w14:paraId="214C73FF" w14:textId="03E74EA8" w:rsidR="00B5232E" w:rsidRPr="00633640" w:rsidRDefault="00B5232E" w:rsidP="00633640">
      <w:pPr>
        <w:pStyle w:val="Tablenotes0"/>
        <w:spacing w:after="240"/>
      </w:pPr>
      <w:r w:rsidRPr="00633640">
        <w:t xml:space="preserve">Source: </w:t>
      </w:r>
      <w:r w:rsidR="004234DE" w:rsidRPr="00633640">
        <w:t>Estimations c</w:t>
      </w:r>
      <w:r w:rsidR="00633640">
        <w:t xml:space="preserve">onducted during the assessment; </w:t>
      </w:r>
      <w:r w:rsidRPr="00633640">
        <w:t>HTA Conditions Report 1, 2 and 3 provided by the NBA on 06 January 2020 (‘Phase 2 HTA conditions data.xlsx' workbook).</w:t>
      </w:r>
    </w:p>
    <w:p w14:paraId="0D0AB802" w14:textId="77777777" w:rsidR="005A2158" w:rsidRPr="00DA3C6E" w:rsidRDefault="005A2158" w:rsidP="00CF0291">
      <w:pPr>
        <w:pStyle w:val="Heading3"/>
      </w:pPr>
      <w:bookmarkStart w:id="367" w:name="_Toc37845785"/>
      <w:r w:rsidRPr="00DA3C6E">
        <w:t>Disease monitoring and patient follow-up related costs</w:t>
      </w:r>
      <w:bookmarkEnd w:id="367"/>
    </w:p>
    <w:p w14:paraId="6F41EB4E" w14:textId="5AEFB13A" w:rsidR="005A2158" w:rsidRPr="00DA3C6E" w:rsidRDefault="005A2158" w:rsidP="00CF0291">
      <w:r w:rsidRPr="00DA3C6E">
        <w:t>Disease and treatment monitoring is a critical step to ensure treatment success and overall patient</w:t>
      </w:r>
      <w:r w:rsidR="00D851F8" w:rsidRPr="00DA3C6E">
        <w:t xml:space="preserve"> </w:t>
      </w:r>
      <w:r w:rsidRPr="00DA3C6E">
        <w:t>safety. It was assumed</w:t>
      </w:r>
      <w:r w:rsidR="00D851F8" w:rsidRPr="00DA3C6E">
        <w:t xml:space="preserve"> that </w:t>
      </w:r>
      <w:r w:rsidRPr="00DA3C6E">
        <w:t xml:space="preserve">patients treated with </w:t>
      </w:r>
      <w:r w:rsidR="004234DE" w:rsidRPr="00DA3C6E">
        <w:t xml:space="preserve">intravenous Ig </w:t>
      </w:r>
      <w:r w:rsidR="00B8449D" w:rsidRPr="00DA3C6E">
        <w:t>require monitoring of their disease every 6 months to assess treatment continuation</w:t>
      </w:r>
      <w:r w:rsidR="00526149">
        <w:t xml:space="preserve"> </w:t>
      </w:r>
      <w:r w:rsidR="00526149" w:rsidRPr="00526149">
        <w:t>although the requirement of the Criteria is every 12 months after the initial review.</w:t>
      </w:r>
      <w:r w:rsidRPr="00DA3C6E">
        <w:t xml:space="preserve"> </w:t>
      </w:r>
      <w:r w:rsidR="00621DA1" w:rsidRPr="00DA3C6E">
        <w:t>Patients are required to be reviewed by a neurologist to assess and</w:t>
      </w:r>
      <w:r w:rsidRPr="00DA3C6E">
        <w:t xml:space="preserve"> document clinical efficacy </w:t>
      </w:r>
      <w:r w:rsidR="00621DA1" w:rsidRPr="00DA3C6E">
        <w:t xml:space="preserve">before </w:t>
      </w:r>
      <w:r w:rsidRPr="00DA3C6E">
        <w:t xml:space="preserve">continuation of </w:t>
      </w:r>
      <w:r w:rsidR="004234DE" w:rsidRPr="00DA3C6E">
        <w:t xml:space="preserve">intravenous Ig </w:t>
      </w:r>
      <w:r w:rsidRPr="00DA3C6E">
        <w:t>therapy</w:t>
      </w:r>
      <w:r w:rsidR="00621DA1" w:rsidRPr="00DA3C6E">
        <w:t xml:space="preserve"> can be authorised</w:t>
      </w:r>
      <w:r w:rsidRPr="00DA3C6E">
        <w:t xml:space="preserve">. </w:t>
      </w:r>
      <w:r w:rsidR="00C25BE9" w:rsidRPr="00DA3C6E">
        <w:t>It was</w:t>
      </w:r>
      <w:r w:rsidRPr="00DA3C6E">
        <w:t xml:space="preserve"> assumed, the patient undertakes pathology tests and other physical tests at each review </w:t>
      </w:r>
      <w:r w:rsidR="00C25BE9" w:rsidRPr="00DA3C6E">
        <w:t xml:space="preserve">to be assessed </w:t>
      </w:r>
      <w:r w:rsidRPr="00DA3C6E">
        <w:t xml:space="preserve">for </w:t>
      </w:r>
      <w:r w:rsidR="00C25BE9" w:rsidRPr="00DA3C6E">
        <w:t xml:space="preserve">treatment </w:t>
      </w:r>
      <w:r w:rsidRPr="00DA3C6E">
        <w:t xml:space="preserve">response. In addition, a patient undergoes neuromuscular electro-diagnosis </w:t>
      </w:r>
      <w:r w:rsidRPr="00DA3C6E">
        <w:lastRenderedPageBreak/>
        <w:t>conduction studies once a year (i.e. every other review). It was also assumed that each patient, independent o</w:t>
      </w:r>
      <w:r w:rsidR="00D851F8" w:rsidRPr="00DA3C6E">
        <w:t>f</w:t>
      </w:r>
      <w:r w:rsidRPr="00DA3C6E">
        <w:t xml:space="preserve"> whether they are on </w:t>
      </w:r>
      <w:r w:rsidR="004234DE" w:rsidRPr="00DA3C6E">
        <w:t xml:space="preserve">intravenous Ig </w:t>
      </w:r>
      <w:r w:rsidRPr="00DA3C6E">
        <w:t xml:space="preserve">treatment or not, </w:t>
      </w:r>
      <w:r w:rsidR="00A5773A" w:rsidRPr="00DA3C6E">
        <w:t xml:space="preserve">would </w:t>
      </w:r>
      <w:r w:rsidRPr="00DA3C6E">
        <w:t xml:space="preserve">require physiotherapy and rehabilitation services once a month for the whole duration of their disease. A summary of the estimated costs associated </w:t>
      </w:r>
      <w:r w:rsidR="00D851F8" w:rsidRPr="00DA3C6E">
        <w:t xml:space="preserve">with </w:t>
      </w:r>
      <w:r w:rsidRPr="00DA3C6E">
        <w:t xml:space="preserve">BSC and follow-up is presented in </w:t>
      </w:r>
      <w:r w:rsidRPr="00DA3C6E">
        <w:fldChar w:fldCharType="begin"/>
      </w:r>
      <w:r w:rsidRPr="00DA3C6E">
        <w:instrText xml:space="preserve"> REF _Ref29889322 \h </w:instrText>
      </w:r>
      <w:r w:rsidR="00E8759F" w:rsidRPr="00DA3C6E">
        <w:instrText xml:space="preserve"> \* MERGEFORMAT </w:instrText>
      </w:r>
      <w:r w:rsidRPr="00DA3C6E">
        <w:fldChar w:fldCharType="separate"/>
      </w:r>
      <w:r w:rsidR="00EA5DC1" w:rsidRPr="00DA3C6E">
        <w:t xml:space="preserve">Table </w:t>
      </w:r>
      <w:r w:rsidR="00EA5DC1">
        <w:rPr>
          <w:noProof/>
        </w:rPr>
        <w:t>41</w:t>
      </w:r>
      <w:r w:rsidRPr="00DA3C6E">
        <w:fldChar w:fldCharType="end"/>
      </w:r>
      <w:r w:rsidRPr="00DA3C6E">
        <w:t xml:space="preserve">. The total estimated cost for BSC and follow-up was $3,018.08 per patient per year. </w:t>
      </w:r>
    </w:p>
    <w:p w14:paraId="4EED1395" w14:textId="253B8246" w:rsidR="005A2158" w:rsidRPr="00DA3C6E" w:rsidRDefault="005A2158" w:rsidP="00CF0291">
      <w:pPr>
        <w:pStyle w:val="Caption"/>
      </w:pPr>
      <w:bookmarkStart w:id="368" w:name="_Ref29889322"/>
      <w:bookmarkStart w:id="369" w:name="_Toc37845844"/>
      <w:r w:rsidRPr="00DA3C6E">
        <w:t xml:space="preserve">Table </w:t>
      </w:r>
      <w:r w:rsidR="00515153">
        <w:fldChar w:fldCharType="begin"/>
      </w:r>
      <w:r w:rsidR="00515153">
        <w:instrText xml:space="preserve"> SEQ Table \* ARABIC </w:instrText>
      </w:r>
      <w:r w:rsidR="00515153">
        <w:fldChar w:fldCharType="separate"/>
      </w:r>
      <w:r w:rsidR="00EA5DC1">
        <w:rPr>
          <w:noProof/>
        </w:rPr>
        <w:t>41</w:t>
      </w:r>
      <w:r w:rsidR="00515153">
        <w:rPr>
          <w:noProof/>
        </w:rPr>
        <w:fldChar w:fldCharType="end"/>
      </w:r>
      <w:bookmarkEnd w:id="368"/>
      <w:r w:rsidRPr="00DA3C6E">
        <w:t xml:space="preserve">. Estimated costs associated to follow-up/BSC of MMN patients treated with </w:t>
      </w:r>
      <w:r w:rsidR="004234DE" w:rsidRPr="00DA3C6E">
        <w:t xml:space="preserve">intravenous Ig </w:t>
      </w:r>
      <w:r w:rsidRPr="00DA3C6E">
        <w:t>per year per patient.</w:t>
      </w:r>
      <w:bookmarkEnd w:id="369"/>
      <w:r w:rsidRPr="00DA3C6E">
        <w:t xml:space="preserve"> </w:t>
      </w:r>
    </w:p>
    <w:tbl>
      <w:tblPr>
        <w:tblStyle w:val="TableGrid"/>
        <w:tblW w:w="0" w:type="auto"/>
        <w:tblLook w:val="04A0" w:firstRow="1" w:lastRow="0" w:firstColumn="1" w:lastColumn="0" w:noHBand="0" w:noVBand="1"/>
        <w:tblCaption w:val="Table 41. Estimated costs associated to follow-up/BSC of MMN patients treated with intravenous Ig per year per patient. "/>
      </w:tblPr>
      <w:tblGrid>
        <w:gridCol w:w="2477"/>
        <w:gridCol w:w="2981"/>
        <w:gridCol w:w="1053"/>
        <w:gridCol w:w="1313"/>
        <w:gridCol w:w="1192"/>
      </w:tblGrid>
      <w:tr w:rsidR="005A2158" w:rsidRPr="00DA3C6E" w14:paraId="471837B6" w14:textId="77777777" w:rsidTr="00D56F4F">
        <w:trPr>
          <w:trHeight w:val="315"/>
          <w:tblHeader/>
        </w:trPr>
        <w:tc>
          <w:tcPr>
            <w:tcW w:w="2477" w:type="dxa"/>
            <w:noWrap/>
            <w:vAlign w:val="center"/>
            <w:hideMark/>
          </w:tcPr>
          <w:p w14:paraId="78152BE5"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Items per follow-up</w:t>
            </w:r>
          </w:p>
        </w:tc>
        <w:tc>
          <w:tcPr>
            <w:tcW w:w="2981" w:type="dxa"/>
            <w:noWrap/>
            <w:vAlign w:val="center"/>
            <w:hideMark/>
          </w:tcPr>
          <w:p w14:paraId="5F41D831" w14:textId="77777777" w:rsidR="005A2158" w:rsidRPr="00DA3C6E" w:rsidRDefault="005A2158" w:rsidP="00CF0291">
            <w:pPr>
              <w:spacing w:after="0" w:line="240" w:lineRule="auto"/>
              <w:jc w:val="left"/>
              <w:rPr>
                <w:rFonts w:ascii="Arial Narrow" w:hAnsi="Arial Narrow"/>
                <w:b/>
                <w:sz w:val="20"/>
                <w:szCs w:val="20"/>
              </w:rPr>
            </w:pPr>
            <w:r w:rsidRPr="00DA3C6E">
              <w:rPr>
                <w:rFonts w:ascii="Arial Narrow" w:hAnsi="Arial Narrow"/>
                <w:b/>
                <w:sz w:val="20"/>
                <w:szCs w:val="20"/>
              </w:rPr>
              <w:t>Quantity per year</w:t>
            </w:r>
          </w:p>
        </w:tc>
        <w:tc>
          <w:tcPr>
            <w:tcW w:w="1053" w:type="dxa"/>
            <w:noWrap/>
            <w:vAlign w:val="center"/>
            <w:hideMark/>
          </w:tcPr>
          <w:p w14:paraId="7C0FAE22"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Frequency</w:t>
            </w:r>
          </w:p>
        </w:tc>
        <w:tc>
          <w:tcPr>
            <w:tcW w:w="1313" w:type="dxa"/>
            <w:noWrap/>
            <w:vAlign w:val="center"/>
            <w:hideMark/>
          </w:tcPr>
          <w:p w14:paraId="0098427F" w14:textId="77777777" w:rsidR="005A2158" w:rsidRPr="00DA3C6E" w:rsidRDefault="00A978DD"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 xml:space="preserve">Item </w:t>
            </w:r>
            <w:r w:rsidR="000A497B" w:rsidRPr="00DA3C6E">
              <w:rPr>
                <w:rFonts w:ascii="Arial Narrow" w:hAnsi="Arial Narrow"/>
                <w:b/>
                <w:sz w:val="20"/>
                <w:szCs w:val="20"/>
              </w:rPr>
              <w:t>p</w:t>
            </w:r>
            <w:r w:rsidR="005A2158" w:rsidRPr="00DA3C6E">
              <w:rPr>
                <w:rFonts w:ascii="Arial Narrow" w:hAnsi="Arial Narrow"/>
                <w:b/>
                <w:sz w:val="20"/>
                <w:szCs w:val="20"/>
              </w:rPr>
              <w:t>rice</w:t>
            </w:r>
          </w:p>
        </w:tc>
        <w:tc>
          <w:tcPr>
            <w:tcW w:w="1192" w:type="dxa"/>
            <w:noWrap/>
            <w:vAlign w:val="center"/>
            <w:hideMark/>
          </w:tcPr>
          <w:p w14:paraId="6C3BA43A" w14:textId="77777777" w:rsidR="005A2158" w:rsidRPr="00DA3C6E" w:rsidRDefault="00A978DD" w:rsidP="000A497B">
            <w:pPr>
              <w:spacing w:after="0" w:line="240" w:lineRule="auto"/>
              <w:ind w:left="0"/>
              <w:jc w:val="left"/>
              <w:rPr>
                <w:rFonts w:ascii="Arial Narrow" w:hAnsi="Arial Narrow"/>
                <w:b/>
                <w:sz w:val="20"/>
                <w:szCs w:val="20"/>
              </w:rPr>
            </w:pPr>
            <w:r w:rsidRPr="00DA3C6E">
              <w:rPr>
                <w:rFonts w:ascii="Arial Narrow" w:hAnsi="Arial Narrow"/>
                <w:b/>
                <w:sz w:val="20"/>
                <w:szCs w:val="20"/>
              </w:rPr>
              <w:t xml:space="preserve">Annual </w:t>
            </w:r>
            <w:r w:rsidR="000A497B" w:rsidRPr="00DA3C6E">
              <w:rPr>
                <w:rFonts w:ascii="Arial Narrow" w:hAnsi="Arial Narrow"/>
                <w:b/>
                <w:sz w:val="20"/>
                <w:szCs w:val="20"/>
              </w:rPr>
              <w:t>c</w:t>
            </w:r>
            <w:r w:rsidR="005A2158" w:rsidRPr="00DA3C6E">
              <w:rPr>
                <w:rFonts w:ascii="Arial Narrow" w:hAnsi="Arial Narrow"/>
                <w:b/>
                <w:sz w:val="20"/>
                <w:szCs w:val="20"/>
              </w:rPr>
              <w:t>ost</w:t>
            </w:r>
          </w:p>
        </w:tc>
      </w:tr>
      <w:tr w:rsidR="005A2158" w:rsidRPr="00DA3C6E" w14:paraId="22B10FB8" w14:textId="77777777" w:rsidTr="00CF0291">
        <w:trPr>
          <w:trHeight w:val="315"/>
        </w:trPr>
        <w:tc>
          <w:tcPr>
            <w:tcW w:w="2477" w:type="dxa"/>
            <w:noWrap/>
            <w:vAlign w:val="center"/>
            <w:hideMark/>
          </w:tcPr>
          <w:p w14:paraId="071E230D"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Specialist consultation</w:t>
            </w:r>
            <w:r w:rsidR="00365584" w:rsidRPr="00DA3C6E">
              <w:rPr>
                <w:rFonts w:ascii="Arial Narrow" w:hAnsi="Arial Narrow"/>
                <w:sz w:val="20"/>
                <w:szCs w:val="20"/>
                <w:vertAlign w:val="superscript"/>
              </w:rPr>
              <w:t>1</w:t>
            </w:r>
            <w:r w:rsidRPr="00DA3C6E">
              <w:rPr>
                <w:rFonts w:ascii="Arial Narrow" w:hAnsi="Arial Narrow"/>
                <w:sz w:val="20"/>
                <w:szCs w:val="20"/>
              </w:rPr>
              <w:t xml:space="preserve"> </w:t>
            </w:r>
          </w:p>
        </w:tc>
        <w:tc>
          <w:tcPr>
            <w:tcW w:w="2981" w:type="dxa"/>
            <w:noWrap/>
            <w:vAlign w:val="center"/>
            <w:hideMark/>
          </w:tcPr>
          <w:p w14:paraId="2A336CB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2.00</w:t>
            </w:r>
          </w:p>
        </w:tc>
        <w:tc>
          <w:tcPr>
            <w:tcW w:w="1053" w:type="dxa"/>
            <w:noWrap/>
            <w:vAlign w:val="center"/>
            <w:hideMark/>
          </w:tcPr>
          <w:p w14:paraId="11DE446F"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313" w:type="dxa"/>
            <w:noWrap/>
            <w:vAlign w:val="center"/>
            <w:hideMark/>
          </w:tcPr>
          <w:p w14:paraId="16F40049" w14:textId="77777777" w:rsidR="005A2158" w:rsidRPr="00DA3C6E" w:rsidRDefault="005A2158" w:rsidP="00365584">
            <w:pPr>
              <w:spacing w:after="0" w:line="240" w:lineRule="auto"/>
              <w:ind w:left="0"/>
              <w:jc w:val="center"/>
              <w:rPr>
                <w:rFonts w:ascii="Arial Narrow" w:hAnsi="Arial Narrow"/>
                <w:sz w:val="20"/>
                <w:szCs w:val="20"/>
                <w:vertAlign w:val="superscript"/>
              </w:rPr>
            </w:pPr>
            <w:r w:rsidRPr="00DA3C6E">
              <w:rPr>
                <w:rFonts w:ascii="Arial Narrow" w:hAnsi="Arial Narrow"/>
                <w:sz w:val="20"/>
                <w:szCs w:val="20"/>
              </w:rPr>
              <w:t>$124.93</w:t>
            </w:r>
          </w:p>
        </w:tc>
        <w:tc>
          <w:tcPr>
            <w:tcW w:w="1192" w:type="dxa"/>
            <w:noWrap/>
            <w:vAlign w:val="center"/>
            <w:hideMark/>
          </w:tcPr>
          <w:p w14:paraId="29BBBF92"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$249.85</w:t>
            </w:r>
          </w:p>
        </w:tc>
      </w:tr>
      <w:tr w:rsidR="005A2158" w:rsidRPr="00DA3C6E" w14:paraId="6AF8E606" w14:textId="77777777" w:rsidTr="00CF0291">
        <w:trPr>
          <w:trHeight w:val="315"/>
        </w:trPr>
        <w:tc>
          <w:tcPr>
            <w:tcW w:w="2477" w:type="dxa"/>
            <w:noWrap/>
            <w:vAlign w:val="center"/>
            <w:hideMark/>
          </w:tcPr>
          <w:p w14:paraId="7DB4CAD9" w14:textId="77777777" w:rsidR="005A2158" w:rsidRPr="00DA3C6E" w:rsidRDefault="005A2158" w:rsidP="00CF0291">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Pathology tests</w:t>
            </w:r>
            <w:r w:rsidR="00365584" w:rsidRPr="00DA3C6E">
              <w:rPr>
                <w:rFonts w:ascii="Arial Narrow" w:hAnsi="Arial Narrow"/>
                <w:sz w:val="20"/>
                <w:szCs w:val="20"/>
                <w:vertAlign w:val="superscript"/>
              </w:rPr>
              <w:t>2</w:t>
            </w:r>
          </w:p>
        </w:tc>
        <w:tc>
          <w:tcPr>
            <w:tcW w:w="2981" w:type="dxa"/>
            <w:noWrap/>
            <w:vAlign w:val="center"/>
            <w:hideMark/>
          </w:tcPr>
          <w:p w14:paraId="1BD6F234"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2.00</w:t>
            </w:r>
          </w:p>
        </w:tc>
        <w:tc>
          <w:tcPr>
            <w:tcW w:w="1053" w:type="dxa"/>
            <w:noWrap/>
            <w:vAlign w:val="center"/>
            <w:hideMark/>
          </w:tcPr>
          <w:p w14:paraId="201662A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313" w:type="dxa"/>
            <w:noWrap/>
            <w:vAlign w:val="center"/>
            <w:hideMark/>
          </w:tcPr>
          <w:p w14:paraId="15D439A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$417.80</w:t>
            </w:r>
          </w:p>
        </w:tc>
        <w:tc>
          <w:tcPr>
            <w:tcW w:w="1192" w:type="dxa"/>
            <w:noWrap/>
            <w:vAlign w:val="center"/>
            <w:hideMark/>
          </w:tcPr>
          <w:p w14:paraId="09B474FE"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$835.60</w:t>
            </w:r>
          </w:p>
        </w:tc>
      </w:tr>
      <w:tr w:rsidR="005A2158" w:rsidRPr="00DA3C6E" w14:paraId="38F13DD0" w14:textId="77777777" w:rsidTr="00CF0291">
        <w:trPr>
          <w:trHeight w:val="315"/>
        </w:trPr>
        <w:tc>
          <w:tcPr>
            <w:tcW w:w="2477" w:type="dxa"/>
            <w:noWrap/>
            <w:vAlign w:val="center"/>
            <w:hideMark/>
          </w:tcPr>
          <w:p w14:paraId="699D6565" w14:textId="77777777" w:rsidR="005A2158" w:rsidRPr="00DA3C6E" w:rsidRDefault="005A2158" w:rsidP="00CF0291">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Diagnostic imaging</w:t>
            </w:r>
            <w:r w:rsidR="00365584" w:rsidRPr="00DA3C6E">
              <w:rPr>
                <w:rFonts w:ascii="Arial Narrow" w:hAnsi="Arial Narrow"/>
                <w:sz w:val="20"/>
                <w:szCs w:val="20"/>
                <w:vertAlign w:val="superscript"/>
              </w:rPr>
              <w:t>3</w:t>
            </w:r>
          </w:p>
        </w:tc>
        <w:tc>
          <w:tcPr>
            <w:tcW w:w="2981" w:type="dxa"/>
            <w:noWrap/>
            <w:vAlign w:val="center"/>
            <w:hideMark/>
          </w:tcPr>
          <w:p w14:paraId="5647BF3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053" w:type="dxa"/>
            <w:noWrap/>
            <w:vAlign w:val="center"/>
            <w:hideMark/>
          </w:tcPr>
          <w:p w14:paraId="197F6D8F"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313" w:type="dxa"/>
            <w:noWrap/>
            <w:vAlign w:val="center"/>
            <w:hideMark/>
          </w:tcPr>
          <w:p w14:paraId="489AD2DA"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$227.55</w:t>
            </w:r>
          </w:p>
        </w:tc>
        <w:tc>
          <w:tcPr>
            <w:tcW w:w="1192" w:type="dxa"/>
            <w:noWrap/>
            <w:vAlign w:val="center"/>
            <w:hideMark/>
          </w:tcPr>
          <w:p w14:paraId="7697CF1B"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$227.55</w:t>
            </w:r>
          </w:p>
        </w:tc>
      </w:tr>
      <w:tr w:rsidR="005A2158" w:rsidRPr="00DA3C6E" w14:paraId="549D7ED9" w14:textId="77777777" w:rsidTr="00CF0291">
        <w:trPr>
          <w:trHeight w:val="315"/>
        </w:trPr>
        <w:tc>
          <w:tcPr>
            <w:tcW w:w="9016" w:type="dxa"/>
            <w:gridSpan w:val="5"/>
            <w:noWrap/>
            <w:vAlign w:val="center"/>
          </w:tcPr>
          <w:p w14:paraId="19DD29E9" w14:textId="77777777" w:rsidR="005A2158" w:rsidRPr="00DA3C6E" w:rsidRDefault="005A2158" w:rsidP="00CF0291">
            <w:pPr>
              <w:spacing w:after="0" w:line="240" w:lineRule="auto"/>
              <w:ind w:left="0"/>
              <w:rPr>
                <w:rFonts w:ascii="Arial Narrow" w:hAnsi="Arial Narrow"/>
                <w:b/>
                <w:sz w:val="20"/>
                <w:szCs w:val="20"/>
              </w:rPr>
            </w:pPr>
            <w:r w:rsidRPr="00DA3C6E">
              <w:rPr>
                <w:rFonts w:ascii="Arial Narrow" w:hAnsi="Arial Narrow"/>
                <w:b/>
                <w:sz w:val="20"/>
                <w:szCs w:val="20"/>
              </w:rPr>
              <w:t>BSC</w:t>
            </w:r>
          </w:p>
        </w:tc>
      </w:tr>
      <w:tr w:rsidR="005A2158" w:rsidRPr="00DA3C6E" w14:paraId="4380A782" w14:textId="77777777" w:rsidTr="00CF0291">
        <w:trPr>
          <w:trHeight w:val="315"/>
        </w:trPr>
        <w:tc>
          <w:tcPr>
            <w:tcW w:w="2477" w:type="dxa"/>
            <w:noWrap/>
            <w:vAlign w:val="center"/>
          </w:tcPr>
          <w:p w14:paraId="3918354E" w14:textId="77777777" w:rsidR="005A2158" w:rsidRPr="00DA3C6E" w:rsidRDefault="005A2158" w:rsidP="00CF0291">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Physiotherapy</w:t>
            </w:r>
            <w:r w:rsidR="00F538CD" w:rsidRPr="00DA3C6E">
              <w:rPr>
                <w:rFonts w:ascii="Arial Narrow" w:hAnsi="Arial Narrow"/>
                <w:sz w:val="20"/>
                <w:szCs w:val="20"/>
                <w:vertAlign w:val="superscript"/>
              </w:rPr>
              <w:t>4</w:t>
            </w:r>
          </w:p>
        </w:tc>
        <w:tc>
          <w:tcPr>
            <w:tcW w:w="2981" w:type="dxa"/>
            <w:noWrap/>
            <w:vAlign w:val="center"/>
          </w:tcPr>
          <w:p w14:paraId="70C1CF71"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12.00</w:t>
            </w:r>
          </w:p>
        </w:tc>
        <w:tc>
          <w:tcPr>
            <w:tcW w:w="1053" w:type="dxa"/>
            <w:noWrap/>
            <w:vAlign w:val="center"/>
          </w:tcPr>
          <w:p w14:paraId="564027A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313" w:type="dxa"/>
            <w:noWrap/>
            <w:vAlign w:val="center"/>
          </w:tcPr>
          <w:p w14:paraId="763DE00C"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$63.25</w:t>
            </w:r>
          </w:p>
        </w:tc>
        <w:tc>
          <w:tcPr>
            <w:tcW w:w="1192" w:type="dxa"/>
            <w:noWrap/>
            <w:vAlign w:val="center"/>
          </w:tcPr>
          <w:p w14:paraId="3EC916E8"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$759.00</w:t>
            </w:r>
          </w:p>
        </w:tc>
      </w:tr>
      <w:tr w:rsidR="005A2158" w:rsidRPr="00DA3C6E" w14:paraId="26A88EC1" w14:textId="77777777" w:rsidTr="00CF0291">
        <w:trPr>
          <w:trHeight w:val="315"/>
        </w:trPr>
        <w:tc>
          <w:tcPr>
            <w:tcW w:w="2477" w:type="dxa"/>
            <w:noWrap/>
            <w:vAlign w:val="center"/>
          </w:tcPr>
          <w:p w14:paraId="39A70F47" w14:textId="77777777" w:rsidR="005A2158" w:rsidRPr="00DA3C6E" w:rsidRDefault="005A2158" w:rsidP="00CF0291">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Rehabilitation</w:t>
            </w:r>
            <w:r w:rsidR="00F538CD" w:rsidRPr="00DA3C6E">
              <w:rPr>
                <w:rFonts w:ascii="Arial Narrow" w:hAnsi="Arial Narrow"/>
                <w:sz w:val="20"/>
                <w:szCs w:val="20"/>
                <w:vertAlign w:val="superscript"/>
              </w:rPr>
              <w:t>5</w:t>
            </w:r>
          </w:p>
        </w:tc>
        <w:tc>
          <w:tcPr>
            <w:tcW w:w="2981" w:type="dxa"/>
            <w:noWrap/>
            <w:vAlign w:val="center"/>
          </w:tcPr>
          <w:p w14:paraId="5901E398"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12.00</w:t>
            </w:r>
          </w:p>
        </w:tc>
        <w:tc>
          <w:tcPr>
            <w:tcW w:w="1053" w:type="dxa"/>
            <w:noWrap/>
            <w:vAlign w:val="center"/>
          </w:tcPr>
          <w:p w14:paraId="38851F0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100%</w:t>
            </w:r>
          </w:p>
        </w:tc>
        <w:tc>
          <w:tcPr>
            <w:tcW w:w="1313" w:type="dxa"/>
            <w:noWrap/>
            <w:vAlign w:val="center"/>
          </w:tcPr>
          <w:p w14:paraId="66041D1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$78.84</w:t>
            </w:r>
          </w:p>
        </w:tc>
        <w:tc>
          <w:tcPr>
            <w:tcW w:w="1192" w:type="dxa"/>
            <w:noWrap/>
            <w:vAlign w:val="center"/>
          </w:tcPr>
          <w:p w14:paraId="46DCFB7C"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$946.08</w:t>
            </w:r>
          </w:p>
        </w:tc>
      </w:tr>
      <w:tr w:rsidR="005A2158" w:rsidRPr="00DA3C6E" w14:paraId="3F252416" w14:textId="77777777" w:rsidTr="00CF0291">
        <w:trPr>
          <w:trHeight w:val="315"/>
        </w:trPr>
        <w:tc>
          <w:tcPr>
            <w:tcW w:w="2477" w:type="dxa"/>
            <w:noWrap/>
            <w:vAlign w:val="center"/>
          </w:tcPr>
          <w:p w14:paraId="2B793943"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Total follow-up costs</w:t>
            </w:r>
          </w:p>
        </w:tc>
        <w:tc>
          <w:tcPr>
            <w:tcW w:w="2981" w:type="dxa"/>
            <w:noWrap/>
            <w:vAlign w:val="center"/>
          </w:tcPr>
          <w:p w14:paraId="64968D30" w14:textId="77777777" w:rsidR="005A2158" w:rsidRPr="00DA3C6E" w:rsidRDefault="005A2158" w:rsidP="00CF0291">
            <w:pPr>
              <w:spacing w:after="0" w:line="240" w:lineRule="auto"/>
              <w:jc w:val="center"/>
              <w:rPr>
                <w:rFonts w:ascii="Arial Narrow" w:hAnsi="Arial Narrow"/>
                <w:b/>
                <w:sz w:val="20"/>
                <w:szCs w:val="20"/>
              </w:rPr>
            </w:pPr>
          </w:p>
        </w:tc>
        <w:tc>
          <w:tcPr>
            <w:tcW w:w="1053" w:type="dxa"/>
            <w:noWrap/>
            <w:vAlign w:val="center"/>
          </w:tcPr>
          <w:p w14:paraId="7EB36012" w14:textId="77777777" w:rsidR="005A2158" w:rsidRPr="00DA3C6E" w:rsidRDefault="005A2158" w:rsidP="00CF0291">
            <w:pPr>
              <w:spacing w:after="0" w:line="240" w:lineRule="auto"/>
              <w:jc w:val="center"/>
              <w:rPr>
                <w:rFonts w:ascii="Arial Narrow" w:hAnsi="Arial Narrow"/>
                <w:b/>
                <w:sz w:val="20"/>
                <w:szCs w:val="20"/>
              </w:rPr>
            </w:pPr>
          </w:p>
        </w:tc>
        <w:tc>
          <w:tcPr>
            <w:tcW w:w="1313" w:type="dxa"/>
            <w:noWrap/>
            <w:vAlign w:val="center"/>
          </w:tcPr>
          <w:p w14:paraId="4279997C" w14:textId="77777777" w:rsidR="005A2158" w:rsidRPr="00DA3C6E" w:rsidRDefault="005A2158" w:rsidP="00CF0291">
            <w:pPr>
              <w:spacing w:after="0" w:line="240" w:lineRule="auto"/>
              <w:jc w:val="center"/>
              <w:rPr>
                <w:rFonts w:ascii="Arial Narrow" w:hAnsi="Arial Narrow"/>
                <w:b/>
                <w:sz w:val="20"/>
                <w:szCs w:val="20"/>
              </w:rPr>
            </w:pPr>
          </w:p>
        </w:tc>
        <w:tc>
          <w:tcPr>
            <w:tcW w:w="1192" w:type="dxa"/>
            <w:noWrap/>
            <w:vAlign w:val="center"/>
          </w:tcPr>
          <w:p w14:paraId="4E020921"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$3,018.08</w:t>
            </w:r>
          </w:p>
        </w:tc>
      </w:tr>
    </w:tbl>
    <w:p w14:paraId="0EE62574" w14:textId="77777777" w:rsidR="004234DE" w:rsidRPr="00C94608" w:rsidRDefault="004234DE" w:rsidP="00C94608">
      <w:pPr>
        <w:spacing w:after="0" w:line="240" w:lineRule="auto"/>
        <w:rPr>
          <w:rFonts w:ascii="Arial Narrow" w:hAnsi="Arial Narrow"/>
          <w:sz w:val="18"/>
          <w:szCs w:val="18"/>
        </w:rPr>
      </w:pPr>
      <w:r w:rsidRPr="00C94608">
        <w:rPr>
          <w:rFonts w:ascii="Arial Narrow" w:hAnsi="Arial Narrow"/>
          <w:sz w:val="18"/>
          <w:szCs w:val="18"/>
        </w:rPr>
        <w:t xml:space="preserve">Abbreviations: BSC = best supportive care; Ig = immunoglobulin; MMN = multifocal motor neuropathy. </w:t>
      </w:r>
    </w:p>
    <w:p w14:paraId="2E37953B" w14:textId="77777777" w:rsidR="005A2158" w:rsidRPr="00C94608" w:rsidRDefault="005A2158" w:rsidP="00C94608">
      <w:pPr>
        <w:spacing w:after="0" w:line="240" w:lineRule="auto"/>
        <w:rPr>
          <w:rFonts w:ascii="Arial Narrow" w:hAnsi="Arial Narrow"/>
          <w:sz w:val="18"/>
          <w:szCs w:val="18"/>
        </w:rPr>
      </w:pPr>
      <w:r w:rsidRPr="00C94608">
        <w:rPr>
          <w:rFonts w:ascii="Arial Narrow" w:hAnsi="Arial Narrow"/>
          <w:sz w:val="18"/>
          <w:szCs w:val="18"/>
        </w:rPr>
        <w:t>Abbreviations: BSC = best supportive care; IVIg = intravenous immunoglobulin; MMN = multifocal motor neuropathy.</w:t>
      </w:r>
    </w:p>
    <w:p w14:paraId="3AC5D1D3" w14:textId="77777777" w:rsidR="00C94608" w:rsidRDefault="00365584" w:rsidP="00C94608">
      <w:pPr>
        <w:spacing w:after="0" w:line="240" w:lineRule="auto"/>
        <w:rPr>
          <w:rFonts w:ascii="Arial Narrow" w:hAnsi="Arial Narrow"/>
          <w:sz w:val="18"/>
          <w:szCs w:val="18"/>
        </w:rPr>
      </w:pPr>
      <w:r w:rsidRPr="00C94608">
        <w:rPr>
          <w:rFonts w:ascii="Arial Narrow" w:hAnsi="Arial Narrow"/>
          <w:sz w:val="18"/>
          <w:szCs w:val="18"/>
        </w:rPr>
        <w:t xml:space="preserve">Note: </w:t>
      </w:r>
    </w:p>
    <w:p w14:paraId="69EBBDD0" w14:textId="77777777" w:rsidR="00C94608" w:rsidRDefault="00365584" w:rsidP="00C94608">
      <w:pPr>
        <w:spacing w:after="0" w:line="240" w:lineRule="auto"/>
        <w:rPr>
          <w:rFonts w:ascii="Arial Narrow" w:hAnsi="Arial Narrow"/>
          <w:sz w:val="18"/>
          <w:szCs w:val="18"/>
        </w:rPr>
      </w:pPr>
      <w:r w:rsidRPr="00C94608">
        <w:rPr>
          <w:rFonts w:ascii="Arial Narrow" w:hAnsi="Arial Narrow"/>
          <w:sz w:val="18"/>
          <w:szCs w:val="18"/>
          <w:vertAlign w:val="superscript"/>
        </w:rPr>
        <w:t>1</w:t>
      </w:r>
      <w:r w:rsidRPr="00C94608">
        <w:rPr>
          <w:rFonts w:ascii="Arial Narrow" w:hAnsi="Arial Narrow"/>
          <w:sz w:val="18"/>
          <w:szCs w:val="18"/>
        </w:rPr>
        <w:t xml:space="preserve">Average price for the following MBS item numbers: 6013, 6007, 6015 and 6011; </w:t>
      </w:r>
    </w:p>
    <w:p w14:paraId="79FBAAE4" w14:textId="637C70E0" w:rsidR="00D96AFB" w:rsidRDefault="00365584" w:rsidP="00C94608">
      <w:pPr>
        <w:spacing w:after="0" w:line="240" w:lineRule="auto"/>
        <w:rPr>
          <w:rFonts w:ascii="Arial Narrow" w:hAnsi="Arial Narrow"/>
          <w:sz w:val="18"/>
          <w:szCs w:val="18"/>
        </w:rPr>
      </w:pPr>
      <w:r w:rsidRPr="00C94608">
        <w:rPr>
          <w:rFonts w:ascii="Arial Narrow" w:hAnsi="Arial Narrow"/>
          <w:sz w:val="18"/>
          <w:szCs w:val="18"/>
          <w:vertAlign w:val="superscript"/>
        </w:rPr>
        <w:t>2</w:t>
      </w:r>
      <w:r w:rsidRPr="00C94608">
        <w:rPr>
          <w:rFonts w:ascii="Arial Narrow" w:hAnsi="Arial Narrow"/>
          <w:sz w:val="18"/>
          <w:szCs w:val="18"/>
        </w:rPr>
        <w:t xml:space="preserve">includes: CBC count (65070), </w:t>
      </w:r>
      <w:r w:rsidR="00D96AFB">
        <w:rPr>
          <w:rFonts w:ascii="Arial Narrow" w:hAnsi="Arial Narrow"/>
          <w:sz w:val="18"/>
          <w:szCs w:val="18"/>
        </w:rPr>
        <w:t>c</w:t>
      </w:r>
      <w:r w:rsidRPr="00C94608">
        <w:rPr>
          <w:rFonts w:ascii="Arial Narrow" w:hAnsi="Arial Narrow"/>
          <w:sz w:val="18"/>
          <w:szCs w:val="18"/>
        </w:rPr>
        <w:t xml:space="preserve">ryoglobulin (71059), glucose testing (701), renal function test (12527), serum creatinine level (66500); </w:t>
      </w:r>
      <w:r w:rsidR="00D96AFB">
        <w:rPr>
          <w:rFonts w:ascii="Arial Narrow" w:hAnsi="Arial Narrow"/>
          <w:sz w:val="18"/>
          <w:szCs w:val="18"/>
          <w:vertAlign w:val="superscript"/>
        </w:rPr>
        <w:t>3</w:t>
      </w:r>
      <w:r w:rsidRPr="00C94608">
        <w:rPr>
          <w:rFonts w:ascii="Arial Narrow" w:hAnsi="Arial Narrow"/>
          <w:sz w:val="18"/>
          <w:szCs w:val="18"/>
        </w:rPr>
        <w:t>Neuromuscular electrodiagnosis conduction studies on 4 or more nerves with or without electromyography OR recordings from single fibres of nerves and muscles OR both examinations</w:t>
      </w:r>
      <w:r w:rsidR="00F538CD" w:rsidRPr="00C94608">
        <w:rPr>
          <w:rFonts w:ascii="Arial Narrow" w:hAnsi="Arial Narrow"/>
          <w:sz w:val="18"/>
          <w:szCs w:val="18"/>
        </w:rPr>
        <w:t xml:space="preserve"> (MBS item 11018); </w:t>
      </w:r>
    </w:p>
    <w:p w14:paraId="25DF51AA" w14:textId="77777777" w:rsidR="00D96AFB" w:rsidRDefault="00F538CD" w:rsidP="00C94608">
      <w:pPr>
        <w:spacing w:after="0" w:line="240" w:lineRule="auto"/>
        <w:rPr>
          <w:rFonts w:ascii="Arial Narrow" w:hAnsi="Arial Narrow"/>
          <w:sz w:val="18"/>
          <w:szCs w:val="18"/>
        </w:rPr>
      </w:pPr>
      <w:r w:rsidRPr="00D96AFB">
        <w:rPr>
          <w:rFonts w:ascii="Arial Narrow" w:hAnsi="Arial Narrow"/>
          <w:sz w:val="18"/>
          <w:szCs w:val="18"/>
          <w:vertAlign w:val="superscript"/>
        </w:rPr>
        <w:t>4</w:t>
      </w:r>
      <w:r w:rsidRPr="00C94608">
        <w:rPr>
          <w:rFonts w:ascii="Arial Narrow" w:hAnsi="Arial Narrow"/>
          <w:sz w:val="18"/>
          <w:szCs w:val="18"/>
        </w:rPr>
        <w:t xml:space="preserve">MBS item 10960; </w:t>
      </w:r>
    </w:p>
    <w:p w14:paraId="2564B3DB" w14:textId="6CA58B56" w:rsidR="00365584" w:rsidRPr="00C94608" w:rsidRDefault="00F538CD" w:rsidP="00C94608">
      <w:pPr>
        <w:spacing w:after="0" w:line="240" w:lineRule="auto"/>
        <w:rPr>
          <w:rFonts w:ascii="Arial Narrow" w:hAnsi="Arial Narrow"/>
          <w:sz w:val="18"/>
          <w:szCs w:val="18"/>
        </w:rPr>
      </w:pPr>
      <w:r w:rsidRPr="00D96AFB">
        <w:rPr>
          <w:rFonts w:ascii="Arial Narrow" w:hAnsi="Arial Narrow"/>
          <w:sz w:val="18"/>
          <w:szCs w:val="18"/>
          <w:vertAlign w:val="superscript"/>
        </w:rPr>
        <w:t>5</w:t>
      </w:r>
      <w:r w:rsidRPr="00C94608">
        <w:rPr>
          <w:rFonts w:ascii="Arial Narrow" w:hAnsi="Arial Narrow"/>
          <w:sz w:val="18"/>
          <w:szCs w:val="18"/>
        </w:rPr>
        <w:t xml:space="preserve"> Average of the following MBS items: 880, 385, 386, 387, 388. </w:t>
      </w:r>
    </w:p>
    <w:p w14:paraId="23548D9C" w14:textId="77777777" w:rsidR="004234DE" w:rsidRPr="00C94608" w:rsidRDefault="005A2158" w:rsidP="00C94608">
      <w:pPr>
        <w:spacing w:line="240" w:lineRule="auto"/>
        <w:rPr>
          <w:rFonts w:ascii="Arial Narrow" w:hAnsi="Arial Narrow"/>
          <w:sz w:val="18"/>
          <w:szCs w:val="18"/>
        </w:rPr>
      </w:pPr>
      <w:r w:rsidRPr="00C94608">
        <w:rPr>
          <w:rFonts w:ascii="Arial Narrow" w:hAnsi="Arial Narrow"/>
          <w:sz w:val="18"/>
          <w:szCs w:val="18"/>
        </w:rPr>
        <w:t xml:space="preserve">Source: </w:t>
      </w:r>
      <w:r w:rsidR="004234DE" w:rsidRPr="00C94608">
        <w:rPr>
          <w:rFonts w:ascii="Arial Narrow" w:hAnsi="Arial Narrow"/>
          <w:sz w:val="18"/>
          <w:szCs w:val="18"/>
        </w:rPr>
        <w:t xml:space="preserve">Estimations conducted during the assessment. </w:t>
      </w:r>
    </w:p>
    <w:p w14:paraId="7DC96439" w14:textId="53D595A4" w:rsidR="005A2158" w:rsidRPr="00DA3C6E" w:rsidRDefault="005A2158" w:rsidP="00CF0291">
      <w:r w:rsidRPr="00DA3C6E">
        <w:t>The estimated annual BSC and follow-up cost</w:t>
      </w:r>
      <w:r w:rsidR="00D851F8" w:rsidRPr="00DA3C6E">
        <w:t>s</w:t>
      </w:r>
      <w:r w:rsidRPr="00DA3C6E">
        <w:t xml:space="preserve"> over 5 years are summarised in </w:t>
      </w:r>
      <w:r w:rsidRPr="00DA3C6E">
        <w:fldChar w:fldCharType="begin"/>
      </w:r>
      <w:r w:rsidRPr="00DA3C6E">
        <w:instrText xml:space="preserve"> REF _Ref29890054 \h </w:instrText>
      </w:r>
      <w:r w:rsidR="00E8759F" w:rsidRPr="00DA3C6E">
        <w:instrText xml:space="preserve"> \* MERGEFORMAT </w:instrText>
      </w:r>
      <w:r w:rsidRPr="00DA3C6E">
        <w:fldChar w:fldCharType="separate"/>
      </w:r>
      <w:r w:rsidR="00EA5DC1" w:rsidRPr="00D96AFB">
        <w:t xml:space="preserve">Table </w:t>
      </w:r>
      <w:r w:rsidR="00EA5DC1">
        <w:rPr>
          <w:noProof/>
        </w:rPr>
        <w:t>42</w:t>
      </w:r>
      <w:r w:rsidRPr="00DA3C6E">
        <w:fldChar w:fldCharType="end"/>
      </w:r>
      <w:r w:rsidRPr="00DA3C6E">
        <w:fldChar w:fldCharType="begin"/>
      </w:r>
      <w:r w:rsidRPr="00DA3C6E">
        <w:instrText xml:space="preserve"> REF _Ref29885456 \h  \* MERGEFORMAT </w:instrText>
      </w:r>
      <w:r w:rsidRPr="00DA3C6E">
        <w:fldChar w:fldCharType="separate"/>
      </w:r>
      <w:r w:rsidR="00EA5DC1" w:rsidRPr="00DA3C6E">
        <w:t xml:space="preserve">Table </w:t>
      </w:r>
      <w:r w:rsidR="00EA5DC1">
        <w:rPr>
          <w:noProof/>
        </w:rPr>
        <w:t>40</w:t>
      </w:r>
      <w:r w:rsidRPr="00DA3C6E">
        <w:fldChar w:fldCharType="end"/>
      </w:r>
      <w:r w:rsidRPr="00DA3C6E">
        <w:t>.  A total of $4,555,235 would be spent on BSC and follow-up over 5 years.</w:t>
      </w:r>
    </w:p>
    <w:p w14:paraId="3216D4A5" w14:textId="62376AEE" w:rsidR="005A2158" w:rsidRPr="00D96AFB" w:rsidRDefault="005A2158" w:rsidP="00D96AFB">
      <w:pPr>
        <w:pStyle w:val="Caption"/>
      </w:pPr>
      <w:bookmarkStart w:id="370" w:name="_Ref29890054"/>
      <w:bookmarkStart w:id="371" w:name="_Toc37845845"/>
      <w:r w:rsidRPr="00D96AFB">
        <w:t xml:space="preserve">Table </w:t>
      </w:r>
      <w:r w:rsidR="00515153">
        <w:fldChar w:fldCharType="begin"/>
      </w:r>
      <w:r w:rsidR="00515153">
        <w:instrText xml:space="preserve"> SEQ Table \* ARABIC </w:instrText>
      </w:r>
      <w:r w:rsidR="00515153">
        <w:fldChar w:fldCharType="separate"/>
      </w:r>
      <w:r w:rsidR="00EA5DC1">
        <w:rPr>
          <w:noProof/>
        </w:rPr>
        <w:t>42</w:t>
      </w:r>
      <w:r w:rsidR="00515153">
        <w:rPr>
          <w:noProof/>
        </w:rPr>
        <w:fldChar w:fldCharType="end"/>
      </w:r>
      <w:bookmarkEnd w:id="370"/>
      <w:r w:rsidRPr="00D96AFB">
        <w:t>. Estimated costs associated to disease monitoring and patients follow-up per year.</w:t>
      </w:r>
      <w:bookmarkEnd w:id="371"/>
      <w:r w:rsidRPr="00D96AFB">
        <w:t xml:space="preserve"> </w:t>
      </w:r>
    </w:p>
    <w:tbl>
      <w:tblPr>
        <w:tblStyle w:val="TableGrid"/>
        <w:tblW w:w="0" w:type="auto"/>
        <w:tblLayout w:type="fixed"/>
        <w:tblLook w:val="04A0" w:firstRow="1" w:lastRow="0" w:firstColumn="1" w:lastColumn="0" w:noHBand="0" w:noVBand="1"/>
        <w:tblCaption w:val="Table 42. Estimated costs associated to disease monitoring and patients follow-up per year. "/>
      </w:tblPr>
      <w:tblGrid>
        <w:gridCol w:w="2263"/>
        <w:gridCol w:w="1134"/>
        <w:gridCol w:w="1080"/>
        <w:gridCol w:w="1047"/>
        <w:gridCol w:w="1134"/>
        <w:gridCol w:w="1134"/>
        <w:gridCol w:w="1224"/>
      </w:tblGrid>
      <w:tr w:rsidR="005A2158" w:rsidRPr="00DA3C6E" w14:paraId="7CEB0381" w14:textId="77777777" w:rsidTr="00D56F4F">
        <w:trPr>
          <w:trHeight w:val="315"/>
          <w:tblHeader/>
        </w:trPr>
        <w:tc>
          <w:tcPr>
            <w:tcW w:w="2263" w:type="dxa"/>
            <w:noWrap/>
            <w:vAlign w:val="center"/>
          </w:tcPr>
          <w:p w14:paraId="30E8942F" w14:textId="77777777" w:rsidR="005A2158" w:rsidRPr="00DA3C6E" w:rsidRDefault="005A2158" w:rsidP="00CF0291">
            <w:pPr>
              <w:spacing w:after="0" w:line="240" w:lineRule="auto"/>
              <w:jc w:val="left"/>
              <w:rPr>
                <w:rFonts w:ascii="Arial Narrow" w:hAnsi="Arial Narrow"/>
                <w:b/>
                <w:sz w:val="20"/>
                <w:szCs w:val="20"/>
              </w:rPr>
            </w:pPr>
          </w:p>
        </w:tc>
        <w:tc>
          <w:tcPr>
            <w:tcW w:w="1134" w:type="dxa"/>
            <w:noWrap/>
            <w:vAlign w:val="center"/>
          </w:tcPr>
          <w:p w14:paraId="6589AB89"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1</w:t>
            </w:r>
          </w:p>
        </w:tc>
        <w:tc>
          <w:tcPr>
            <w:tcW w:w="1080" w:type="dxa"/>
            <w:noWrap/>
            <w:vAlign w:val="center"/>
          </w:tcPr>
          <w:p w14:paraId="6D868627"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2</w:t>
            </w:r>
          </w:p>
        </w:tc>
        <w:tc>
          <w:tcPr>
            <w:tcW w:w="1047" w:type="dxa"/>
            <w:noWrap/>
            <w:vAlign w:val="center"/>
          </w:tcPr>
          <w:p w14:paraId="5CD568C6"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3</w:t>
            </w:r>
          </w:p>
        </w:tc>
        <w:tc>
          <w:tcPr>
            <w:tcW w:w="1134" w:type="dxa"/>
            <w:noWrap/>
            <w:vAlign w:val="center"/>
          </w:tcPr>
          <w:p w14:paraId="02214F45"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4</w:t>
            </w:r>
          </w:p>
        </w:tc>
        <w:tc>
          <w:tcPr>
            <w:tcW w:w="1134" w:type="dxa"/>
            <w:noWrap/>
            <w:vAlign w:val="center"/>
          </w:tcPr>
          <w:p w14:paraId="52EACDA7"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5</w:t>
            </w:r>
          </w:p>
        </w:tc>
        <w:tc>
          <w:tcPr>
            <w:tcW w:w="1224" w:type="dxa"/>
            <w:noWrap/>
            <w:vAlign w:val="center"/>
          </w:tcPr>
          <w:p w14:paraId="14E0535E"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Total over 5 years</w:t>
            </w:r>
          </w:p>
        </w:tc>
      </w:tr>
      <w:tr w:rsidR="005A2158" w:rsidRPr="00DA3C6E" w14:paraId="320ECE90" w14:textId="77777777" w:rsidTr="00CF0291">
        <w:trPr>
          <w:trHeight w:val="315"/>
        </w:trPr>
        <w:tc>
          <w:tcPr>
            <w:tcW w:w="2263" w:type="dxa"/>
            <w:noWrap/>
            <w:vAlign w:val="bottom"/>
          </w:tcPr>
          <w:p w14:paraId="5EF25B35"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cs="Calibri"/>
                <w:sz w:val="20"/>
                <w:szCs w:val="20"/>
              </w:rPr>
              <w:t>MMN prevalent cases</w:t>
            </w:r>
          </w:p>
        </w:tc>
        <w:tc>
          <w:tcPr>
            <w:tcW w:w="1134" w:type="dxa"/>
            <w:noWrap/>
            <w:vAlign w:val="center"/>
          </w:tcPr>
          <w:p w14:paraId="12A1D719"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627</w:t>
            </w:r>
          </w:p>
        </w:tc>
        <w:tc>
          <w:tcPr>
            <w:tcW w:w="1080" w:type="dxa"/>
            <w:noWrap/>
            <w:vAlign w:val="center"/>
          </w:tcPr>
          <w:p w14:paraId="65C5A190"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660</w:t>
            </w:r>
          </w:p>
        </w:tc>
        <w:tc>
          <w:tcPr>
            <w:tcW w:w="1047" w:type="dxa"/>
            <w:noWrap/>
            <w:vAlign w:val="center"/>
          </w:tcPr>
          <w:p w14:paraId="69D3F61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694</w:t>
            </w:r>
          </w:p>
        </w:tc>
        <w:tc>
          <w:tcPr>
            <w:tcW w:w="1134" w:type="dxa"/>
            <w:noWrap/>
            <w:vAlign w:val="center"/>
          </w:tcPr>
          <w:p w14:paraId="0394B5F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727</w:t>
            </w:r>
          </w:p>
        </w:tc>
        <w:tc>
          <w:tcPr>
            <w:tcW w:w="1134" w:type="dxa"/>
            <w:noWrap/>
            <w:vAlign w:val="center"/>
          </w:tcPr>
          <w:p w14:paraId="7B155D8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761</w:t>
            </w:r>
          </w:p>
        </w:tc>
        <w:tc>
          <w:tcPr>
            <w:tcW w:w="1224" w:type="dxa"/>
            <w:noWrap/>
            <w:vAlign w:val="center"/>
          </w:tcPr>
          <w:p w14:paraId="7DB208F6" w14:textId="77777777" w:rsidR="005A2158" w:rsidRPr="00DA3C6E" w:rsidRDefault="005A2158" w:rsidP="00CF0291">
            <w:pPr>
              <w:spacing w:after="0" w:line="240" w:lineRule="auto"/>
              <w:jc w:val="center"/>
              <w:rPr>
                <w:rFonts w:ascii="Arial Narrow" w:hAnsi="Arial Narrow"/>
                <w:sz w:val="20"/>
                <w:szCs w:val="20"/>
              </w:rPr>
            </w:pPr>
          </w:p>
        </w:tc>
      </w:tr>
      <w:tr w:rsidR="005A2158" w:rsidRPr="00DA3C6E" w14:paraId="0BD2F718" w14:textId="77777777" w:rsidTr="00CF0291">
        <w:trPr>
          <w:trHeight w:val="315"/>
        </w:trPr>
        <w:tc>
          <w:tcPr>
            <w:tcW w:w="2263" w:type="dxa"/>
            <w:noWrap/>
            <w:vAlign w:val="center"/>
          </w:tcPr>
          <w:p w14:paraId="7D173443"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Total  BSC and follow-up cost per patient</w:t>
            </w:r>
          </w:p>
        </w:tc>
        <w:tc>
          <w:tcPr>
            <w:tcW w:w="1134" w:type="dxa"/>
            <w:noWrap/>
            <w:vAlign w:val="center"/>
          </w:tcPr>
          <w:p w14:paraId="7E3CF941"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$3,018.08</w:t>
            </w:r>
          </w:p>
        </w:tc>
        <w:tc>
          <w:tcPr>
            <w:tcW w:w="1080" w:type="dxa"/>
            <w:noWrap/>
            <w:vAlign w:val="center"/>
          </w:tcPr>
          <w:p w14:paraId="043329D4"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$3,018.08</w:t>
            </w:r>
          </w:p>
        </w:tc>
        <w:tc>
          <w:tcPr>
            <w:tcW w:w="1047" w:type="dxa"/>
            <w:noWrap/>
            <w:vAlign w:val="center"/>
          </w:tcPr>
          <w:p w14:paraId="39D85D31"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$3,018.08</w:t>
            </w:r>
          </w:p>
        </w:tc>
        <w:tc>
          <w:tcPr>
            <w:tcW w:w="1134" w:type="dxa"/>
            <w:noWrap/>
            <w:vAlign w:val="center"/>
          </w:tcPr>
          <w:p w14:paraId="3C7BFCF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$3,018.08</w:t>
            </w:r>
          </w:p>
        </w:tc>
        <w:tc>
          <w:tcPr>
            <w:tcW w:w="1134" w:type="dxa"/>
            <w:noWrap/>
            <w:vAlign w:val="center"/>
          </w:tcPr>
          <w:p w14:paraId="7BA4533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$3,018.08</w:t>
            </w:r>
          </w:p>
        </w:tc>
        <w:tc>
          <w:tcPr>
            <w:tcW w:w="1224" w:type="dxa"/>
            <w:noWrap/>
            <w:vAlign w:val="center"/>
          </w:tcPr>
          <w:p w14:paraId="6A1A3E3F" w14:textId="77777777" w:rsidR="005A2158" w:rsidRPr="00DA3C6E" w:rsidRDefault="005A2158" w:rsidP="00CF0291">
            <w:pPr>
              <w:spacing w:after="0" w:line="240" w:lineRule="auto"/>
              <w:jc w:val="center"/>
              <w:rPr>
                <w:rFonts w:ascii="Arial Narrow" w:hAnsi="Arial Narrow"/>
                <w:sz w:val="20"/>
                <w:szCs w:val="20"/>
              </w:rPr>
            </w:pPr>
          </w:p>
        </w:tc>
      </w:tr>
      <w:tr w:rsidR="005A2158" w:rsidRPr="00DA3C6E" w14:paraId="0E3291E4" w14:textId="77777777" w:rsidTr="00CF0291">
        <w:trPr>
          <w:trHeight w:val="315"/>
        </w:trPr>
        <w:tc>
          <w:tcPr>
            <w:tcW w:w="2263" w:type="dxa"/>
            <w:noWrap/>
            <w:vAlign w:val="center"/>
            <w:hideMark/>
          </w:tcPr>
          <w:p w14:paraId="375DFF07"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Total follow-up costs</w:t>
            </w:r>
          </w:p>
        </w:tc>
        <w:tc>
          <w:tcPr>
            <w:tcW w:w="1134" w:type="dxa"/>
            <w:noWrap/>
            <w:vAlign w:val="center"/>
            <w:hideMark/>
          </w:tcPr>
          <w:p w14:paraId="2C0D88EF"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$823,339</w:t>
            </w:r>
          </w:p>
        </w:tc>
        <w:tc>
          <w:tcPr>
            <w:tcW w:w="1080" w:type="dxa"/>
            <w:noWrap/>
            <w:vAlign w:val="center"/>
            <w:hideMark/>
          </w:tcPr>
          <w:p w14:paraId="1E4B070D"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$867,193</w:t>
            </w:r>
          </w:p>
        </w:tc>
        <w:tc>
          <w:tcPr>
            <w:tcW w:w="1047" w:type="dxa"/>
            <w:noWrap/>
            <w:vAlign w:val="center"/>
            <w:hideMark/>
          </w:tcPr>
          <w:p w14:paraId="3F5A497A"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$911,047</w:t>
            </w:r>
          </w:p>
        </w:tc>
        <w:tc>
          <w:tcPr>
            <w:tcW w:w="1134" w:type="dxa"/>
            <w:noWrap/>
            <w:vAlign w:val="center"/>
            <w:hideMark/>
          </w:tcPr>
          <w:p w14:paraId="05C1994D"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$954,901</w:t>
            </w:r>
          </w:p>
        </w:tc>
        <w:tc>
          <w:tcPr>
            <w:tcW w:w="1134" w:type="dxa"/>
            <w:noWrap/>
            <w:vAlign w:val="center"/>
            <w:hideMark/>
          </w:tcPr>
          <w:p w14:paraId="6F22D97D"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$998,755</w:t>
            </w:r>
          </w:p>
        </w:tc>
        <w:tc>
          <w:tcPr>
            <w:tcW w:w="1224" w:type="dxa"/>
            <w:noWrap/>
            <w:vAlign w:val="center"/>
            <w:hideMark/>
          </w:tcPr>
          <w:p w14:paraId="26FE8B4B"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$4,555,235</w:t>
            </w:r>
          </w:p>
        </w:tc>
      </w:tr>
      <w:tr w:rsidR="00130154" w:rsidRPr="00DA3C6E" w14:paraId="6A61273B" w14:textId="77777777" w:rsidTr="00FA72EB">
        <w:trPr>
          <w:trHeight w:val="315"/>
        </w:trPr>
        <w:tc>
          <w:tcPr>
            <w:tcW w:w="2263" w:type="dxa"/>
            <w:noWrap/>
            <w:vAlign w:val="center"/>
          </w:tcPr>
          <w:p w14:paraId="4513A2E8" w14:textId="77777777" w:rsidR="00130154" w:rsidRPr="00DA3C6E" w:rsidRDefault="00130154" w:rsidP="00FA72EB">
            <w:pPr>
              <w:spacing w:after="0" w:line="240" w:lineRule="auto"/>
              <w:ind w:left="0"/>
              <w:jc w:val="left"/>
              <w:rPr>
                <w:rFonts w:ascii="Arial Narrow" w:hAnsi="Arial Narrow"/>
                <w:b/>
                <w:sz w:val="20"/>
                <w:szCs w:val="20"/>
              </w:rPr>
            </w:pPr>
            <w:r w:rsidRPr="00DA3C6E">
              <w:rPr>
                <w:rFonts w:ascii="Arial Narrow" w:hAnsi="Arial Narrow"/>
                <w:b/>
                <w:sz w:val="20"/>
                <w:szCs w:val="20"/>
              </w:rPr>
              <w:t>Total BSC costs</w:t>
            </w:r>
          </w:p>
        </w:tc>
        <w:tc>
          <w:tcPr>
            <w:tcW w:w="1134" w:type="dxa"/>
            <w:noWrap/>
            <w:vAlign w:val="center"/>
          </w:tcPr>
          <w:p w14:paraId="1D5D7846"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$1,069,199</w:t>
            </w:r>
          </w:p>
        </w:tc>
        <w:tc>
          <w:tcPr>
            <w:tcW w:w="1080" w:type="dxa"/>
            <w:noWrap/>
            <w:vAlign w:val="center"/>
          </w:tcPr>
          <w:p w14:paraId="25DBCEAD"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$1,126,149</w:t>
            </w:r>
          </w:p>
        </w:tc>
        <w:tc>
          <w:tcPr>
            <w:tcW w:w="1047" w:type="dxa"/>
            <w:noWrap/>
            <w:vAlign w:val="center"/>
          </w:tcPr>
          <w:p w14:paraId="7C9493FE"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$1,183,098</w:t>
            </w:r>
          </w:p>
        </w:tc>
        <w:tc>
          <w:tcPr>
            <w:tcW w:w="1134" w:type="dxa"/>
            <w:noWrap/>
            <w:vAlign w:val="center"/>
          </w:tcPr>
          <w:p w14:paraId="6AFE6C9C"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$1,240,048</w:t>
            </w:r>
          </w:p>
        </w:tc>
        <w:tc>
          <w:tcPr>
            <w:tcW w:w="1134" w:type="dxa"/>
            <w:noWrap/>
            <w:vAlign w:val="center"/>
          </w:tcPr>
          <w:p w14:paraId="3D9987E5"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$1,296,998</w:t>
            </w:r>
          </w:p>
        </w:tc>
        <w:tc>
          <w:tcPr>
            <w:tcW w:w="1224" w:type="dxa"/>
            <w:noWrap/>
            <w:vAlign w:val="center"/>
          </w:tcPr>
          <w:p w14:paraId="45FF3355" w14:textId="77777777" w:rsidR="00130154" w:rsidRPr="00DA3C6E" w:rsidRDefault="00130154" w:rsidP="00FA72EB">
            <w:pPr>
              <w:spacing w:after="0" w:line="240" w:lineRule="auto"/>
              <w:ind w:left="0"/>
              <w:jc w:val="center"/>
              <w:rPr>
                <w:rFonts w:ascii="Arial Narrow" w:hAnsi="Arial Narrow"/>
                <w:b/>
                <w:sz w:val="20"/>
                <w:szCs w:val="20"/>
              </w:rPr>
            </w:pPr>
            <w:r w:rsidRPr="00DA3C6E">
              <w:rPr>
                <w:rFonts w:ascii="Arial Narrow" w:hAnsi="Arial Narrow"/>
                <w:b/>
                <w:sz w:val="20"/>
                <w:szCs w:val="20"/>
              </w:rPr>
              <w:t>$5,915,491</w:t>
            </w:r>
          </w:p>
        </w:tc>
      </w:tr>
    </w:tbl>
    <w:p w14:paraId="2C2AFD18" w14:textId="77777777" w:rsidR="00C25BE9" w:rsidRPr="00DA3C6E" w:rsidRDefault="00C25BE9" w:rsidP="000E1893">
      <w:pPr>
        <w:spacing w:after="0" w:line="240" w:lineRule="auto"/>
        <w:rPr>
          <w:rFonts w:ascii="Arial Narrow" w:hAnsi="Arial Narrow"/>
          <w:sz w:val="18"/>
          <w:szCs w:val="18"/>
        </w:rPr>
      </w:pPr>
      <w:r w:rsidRPr="00DA3C6E">
        <w:rPr>
          <w:rFonts w:ascii="Arial Narrow" w:hAnsi="Arial Narrow"/>
          <w:sz w:val="18"/>
          <w:szCs w:val="18"/>
        </w:rPr>
        <w:t>Abbreviations:</w:t>
      </w:r>
      <w:r w:rsidR="008E001F" w:rsidRPr="00DA3C6E">
        <w:rPr>
          <w:rFonts w:ascii="Arial Narrow" w:hAnsi="Arial Narrow"/>
          <w:sz w:val="18"/>
          <w:szCs w:val="18"/>
        </w:rPr>
        <w:t xml:space="preserve"> BSC = best supportive care. </w:t>
      </w:r>
    </w:p>
    <w:p w14:paraId="083C4276" w14:textId="77777777" w:rsidR="004234DE" w:rsidRPr="00DA3C6E" w:rsidRDefault="004234DE" w:rsidP="000E1893">
      <w:pPr>
        <w:spacing w:line="240" w:lineRule="auto"/>
        <w:rPr>
          <w:rFonts w:ascii="Arial Narrow" w:hAnsi="Arial Narrow"/>
          <w:sz w:val="18"/>
          <w:szCs w:val="18"/>
        </w:rPr>
      </w:pPr>
      <w:r w:rsidRPr="00DA3C6E">
        <w:rPr>
          <w:rFonts w:ascii="Arial Narrow" w:hAnsi="Arial Narrow"/>
          <w:sz w:val="18"/>
          <w:szCs w:val="18"/>
        </w:rPr>
        <w:t xml:space="preserve">Source: Estimations conducted during the assessment. </w:t>
      </w:r>
    </w:p>
    <w:p w14:paraId="0ACE59F3" w14:textId="77777777" w:rsidR="005A2158" w:rsidRPr="00DA3C6E" w:rsidRDefault="005A2158" w:rsidP="00CF0291">
      <w:pPr>
        <w:pStyle w:val="Heading3"/>
      </w:pPr>
      <w:bookmarkStart w:id="372" w:name="_Toc37845786"/>
      <w:r w:rsidRPr="00DA3C6E">
        <w:t xml:space="preserve">Changes in costs associated </w:t>
      </w:r>
      <w:r w:rsidR="00D851F8" w:rsidRPr="00DA3C6E">
        <w:t>with</w:t>
      </w:r>
      <w:r w:rsidRPr="00DA3C6E">
        <w:t xml:space="preserve"> AEs caused by the use of </w:t>
      </w:r>
      <w:r w:rsidR="004234DE" w:rsidRPr="00DA3C6E">
        <w:t>intravenous Ig</w:t>
      </w:r>
      <w:bookmarkEnd w:id="372"/>
    </w:p>
    <w:p w14:paraId="295D71C8" w14:textId="343C886D" w:rsidR="005A2158" w:rsidRPr="00DA3C6E" w:rsidRDefault="005A2158" w:rsidP="00CF0291">
      <w:r w:rsidRPr="00DA3C6E">
        <w:t>It was assumed that a patient under</w:t>
      </w:r>
      <w:r w:rsidR="00A5773A" w:rsidRPr="00DA3C6E">
        <w:t>going</w:t>
      </w:r>
      <w:r w:rsidRPr="00DA3C6E">
        <w:t xml:space="preserve"> </w:t>
      </w:r>
      <w:r w:rsidR="004234DE" w:rsidRPr="00DA3C6E">
        <w:t xml:space="preserve">intravenous Ig </w:t>
      </w:r>
      <w:r w:rsidRPr="00DA3C6E">
        <w:t xml:space="preserve">treatment is at a higher risk of </w:t>
      </w:r>
      <w:r w:rsidR="00A5773A" w:rsidRPr="00DA3C6E">
        <w:t xml:space="preserve">experiencing a </w:t>
      </w:r>
      <w:r w:rsidRPr="00DA3C6E">
        <w:t xml:space="preserve">PE. All other AEs were considered minor and likely to be managed through reducing the rate of infusion or by using over the counter (OTC) medications. It was also assumed that a patient suffering </w:t>
      </w:r>
      <w:r w:rsidR="00A5773A" w:rsidRPr="00DA3C6E">
        <w:t xml:space="preserve">a </w:t>
      </w:r>
      <w:r w:rsidRPr="00DA3C6E">
        <w:t>PE</w:t>
      </w:r>
      <w:r w:rsidR="008E001F" w:rsidRPr="00DA3C6E">
        <w:t xml:space="preserve"> </w:t>
      </w:r>
      <w:r w:rsidR="00A5773A" w:rsidRPr="00DA3C6E">
        <w:t xml:space="preserve">would </w:t>
      </w:r>
      <w:r w:rsidRPr="00DA3C6E">
        <w:t xml:space="preserve">require hospitalisation and all costs would be incurred by </w:t>
      </w:r>
      <w:r w:rsidR="00D851F8" w:rsidRPr="00DA3C6E">
        <w:t>Medicare</w:t>
      </w:r>
      <w:r w:rsidRPr="00DA3C6E">
        <w:t xml:space="preserve"> and </w:t>
      </w:r>
      <w:r w:rsidR="00D851F8" w:rsidRPr="00DA3C6E">
        <w:t>hospital funding</w:t>
      </w:r>
      <w:r w:rsidRPr="00DA3C6E">
        <w:t xml:space="preserve"> (AR-DRG). </w:t>
      </w:r>
      <w:r w:rsidR="00E64481" w:rsidRPr="00DA3C6E">
        <w:t xml:space="preserve">The annual cost per PE event per patient per year was estimated at $7,619.90. </w:t>
      </w:r>
      <w:r w:rsidRPr="00DA3C6E">
        <w:t xml:space="preserve">The </w:t>
      </w:r>
      <w:r w:rsidRPr="00DA3C6E">
        <w:lastRenderedPageBreak/>
        <w:t>incidence of PE was sourced from Hahn et al. 2013</w: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 </w:instrText>
      </w:r>
      <w:r w:rsidR="00DB568A"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28" w:tooltip="Hahn, 2013 #26" w:history="1">
        <w:r w:rsidR="00C04BCE" w:rsidRPr="00DA3C6E">
          <w:rPr>
            <w:noProof/>
          </w:rPr>
          <w:t>28</w:t>
        </w:r>
      </w:hyperlink>
      <w:r w:rsidR="00DB568A" w:rsidRPr="00DA3C6E">
        <w:rPr>
          <w:noProof/>
        </w:rPr>
        <w:t>)</w:t>
      </w:r>
      <w:r w:rsidR="00DB568A" w:rsidRPr="00DA3C6E">
        <w:fldChar w:fldCharType="end"/>
      </w:r>
      <w:r w:rsidR="008E001F" w:rsidRPr="00DA3C6E">
        <w:t xml:space="preserve">, </w:t>
      </w:r>
      <w:r w:rsidRPr="00DA3C6E">
        <w:t xml:space="preserve">assumed constant at 5% and that this event would lead to treatment discontinuation. </w:t>
      </w:r>
    </w:p>
    <w:p w14:paraId="00E2C978" w14:textId="2326A2D6" w:rsidR="005A2158" w:rsidRPr="00DA3C6E" w:rsidRDefault="005A2158" w:rsidP="00CF0291">
      <w:r w:rsidRPr="00DA3C6E">
        <w:t xml:space="preserve">A summary of all </w:t>
      </w:r>
      <w:r w:rsidR="000A497B" w:rsidRPr="00DA3C6E">
        <w:t xml:space="preserve">health care budget </w:t>
      </w:r>
      <w:r w:rsidRPr="00DA3C6E">
        <w:t xml:space="preserve">related costs is presented in </w:t>
      </w:r>
      <w:r w:rsidRPr="00DA3C6E">
        <w:fldChar w:fldCharType="begin"/>
      </w:r>
      <w:r w:rsidRPr="00DA3C6E">
        <w:instrText xml:space="preserve"> REF _Ref29891884 \h </w:instrText>
      </w:r>
      <w:r w:rsidR="00E8759F" w:rsidRPr="00DA3C6E">
        <w:instrText xml:space="preserve"> \* MERGEFORMAT </w:instrText>
      </w:r>
      <w:r w:rsidRPr="00DA3C6E">
        <w:fldChar w:fldCharType="separate"/>
      </w:r>
      <w:r w:rsidR="00EA5DC1" w:rsidRPr="00D96AFB">
        <w:t xml:space="preserve">Table </w:t>
      </w:r>
      <w:r w:rsidR="00EA5DC1">
        <w:rPr>
          <w:noProof/>
        </w:rPr>
        <w:t>43</w:t>
      </w:r>
      <w:r w:rsidRPr="00DA3C6E">
        <w:fldChar w:fldCharType="end"/>
      </w:r>
      <w:r w:rsidRPr="00DA3C6E">
        <w:t>. The estimated total cost to the MBS over 5 years was estimated at $48,068,815.</w:t>
      </w:r>
    </w:p>
    <w:p w14:paraId="1757C2D5" w14:textId="48C2FA87" w:rsidR="005A2158" w:rsidRPr="00D96AFB" w:rsidRDefault="005A2158" w:rsidP="00D96AFB">
      <w:pPr>
        <w:pStyle w:val="Caption"/>
        <w:keepNext/>
        <w:keepLines/>
      </w:pPr>
      <w:bookmarkStart w:id="373" w:name="_Ref29891884"/>
      <w:bookmarkStart w:id="374" w:name="_Toc37845846"/>
      <w:r w:rsidRPr="00D96AFB">
        <w:t xml:space="preserve">Table </w:t>
      </w:r>
      <w:r w:rsidR="00515153">
        <w:fldChar w:fldCharType="begin"/>
      </w:r>
      <w:r w:rsidR="00515153">
        <w:instrText xml:space="preserve"> SEQ Table \* ARABIC </w:instrText>
      </w:r>
      <w:r w:rsidR="00515153">
        <w:fldChar w:fldCharType="separate"/>
      </w:r>
      <w:r w:rsidR="00EA5DC1">
        <w:rPr>
          <w:noProof/>
        </w:rPr>
        <w:t>43</w:t>
      </w:r>
      <w:r w:rsidR="00515153">
        <w:rPr>
          <w:noProof/>
        </w:rPr>
        <w:fldChar w:fldCharType="end"/>
      </w:r>
      <w:bookmarkEnd w:id="373"/>
      <w:r w:rsidRPr="00D96AFB">
        <w:t>. Estimated costs to the</w:t>
      </w:r>
      <w:r w:rsidR="000A497B" w:rsidRPr="00D96AFB">
        <w:t xml:space="preserve"> health care budget</w:t>
      </w:r>
      <w:bookmarkEnd w:id="374"/>
    </w:p>
    <w:tbl>
      <w:tblPr>
        <w:tblStyle w:val="TableGrid"/>
        <w:tblW w:w="0" w:type="auto"/>
        <w:tblLayout w:type="fixed"/>
        <w:tblLook w:val="04A0" w:firstRow="1" w:lastRow="0" w:firstColumn="1" w:lastColumn="0" w:noHBand="0" w:noVBand="1"/>
        <w:tblCaption w:val="Table 43. Estimated costs to the health care budget"/>
      </w:tblPr>
      <w:tblGrid>
        <w:gridCol w:w="2122"/>
        <w:gridCol w:w="1134"/>
        <w:gridCol w:w="1134"/>
        <w:gridCol w:w="1134"/>
        <w:gridCol w:w="1175"/>
        <w:gridCol w:w="1162"/>
        <w:gridCol w:w="1155"/>
      </w:tblGrid>
      <w:tr w:rsidR="00B5232E" w:rsidRPr="00DA3C6E" w14:paraId="5750589C" w14:textId="77777777" w:rsidTr="000E1893">
        <w:trPr>
          <w:trHeight w:val="315"/>
          <w:tblHeader/>
        </w:trPr>
        <w:tc>
          <w:tcPr>
            <w:tcW w:w="2122" w:type="dxa"/>
            <w:noWrap/>
            <w:vAlign w:val="center"/>
          </w:tcPr>
          <w:p w14:paraId="1CDA2EBD" w14:textId="77777777" w:rsidR="00B5232E" w:rsidRPr="00DA3C6E" w:rsidRDefault="00B5232E" w:rsidP="00BE60D2">
            <w:pPr>
              <w:spacing w:after="0" w:line="240" w:lineRule="auto"/>
              <w:jc w:val="left"/>
              <w:rPr>
                <w:rFonts w:ascii="Arial Narrow" w:hAnsi="Arial Narrow"/>
                <w:b/>
                <w:sz w:val="20"/>
                <w:szCs w:val="20"/>
              </w:rPr>
            </w:pPr>
          </w:p>
        </w:tc>
        <w:tc>
          <w:tcPr>
            <w:tcW w:w="1134" w:type="dxa"/>
            <w:noWrap/>
            <w:vAlign w:val="center"/>
          </w:tcPr>
          <w:p w14:paraId="793FC0F7"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Year 1</w:t>
            </w:r>
          </w:p>
        </w:tc>
        <w:tc>
          <w:tcPr>
            <w:tcW w:w="1134" w:type="dxa"/>
            <w:noWrap/>
            <w:vAlign w:val="center"/>
          </w:tcPr>
          <w:p w14:paraId="1DDAC40C"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Year 2</w:t>
            </w:r>
          </w:p>
        </w:tc>
        <w:tc>
          <w:tcPr>
            <w:tcW w:w="1134" w:type="dxa"/>
            <w:noWrap/>
            <w:vAlign w:val="center"/>
          </w:tcPr>
          <w:p w14:paraId="6C9FC969"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Year 3</w:t>
            </w:r>
          </w:p>
        </w:tc>
        <w:tc>
          <w:tcPr>
            <w:tcW w:w="1175" w:type="dxa"/>
            <w:noWrap/>
            <w:vAlign w:val="center"/>
          </w:tcPr>
          <w:p w14:paraId="48FEC52B"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Year 4</w:t>
            </w:r>
          </w:p>
        </w:tc>
        <w:tc>
          <w:tcPr>
            <w:tcW w:w="1162" w:type="dxa"/>
            <w:noWrap/>
            <w:vAlign w:val="center"/>
          </w:tcPr>
          <w:p w14:paraId="70DEDE8E"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Year 5</w:t>
            </w:r>
          </w:p>
        </w:tc>
        <w:tc>
          <w:tcPr>
            <w:tcW w:w="1155" w:type="dxa"/>
            <w:noWrap/>
            <w:vAlign w:val="center"/>
          </w:tcPr>
          <w:p w14:paraId="310CE8EB" w14:textId="77777777" w:rsidR="00B5232E" w:rsidRPr="00DA3C6E" w:rsidRDefault="00B5232E" w:rsidP="00BE60D2">
            <w:pPr>
              <w:spacing w:after="0" w:line="240" w:lineRule="auto"/>
              <w:ind w:left="0"/>
              <w:jc w:val="left"/>
              <w:rPr>
                <w:rFonts w:ascii="Arial Narrow" w:hAnsi="Arial Narrow"/>
                <w:b/>
                <w:sz w:val="20"/>
                <w:szCs w:val="20"/>
              </w:rPr>
            </w:pPr>
            <w:r w:rsidRPr="00DA3C6E">
              <w:rPr>
                <w:rFonts w:ascii="Arial Narrow" w:hAnsi="Arial Narrow"/>
                <w:b/>
                <w:sz w:val="20"/>
                <w:szCs w:val="20"/>
              </w:rPr>
              <w:t>Total over 5 years</w:t>
            </w:r>
          </w:p>
        </w:tc>
      </w:tr>
      <w:tr w:rsidR="00B5232E" w:rsidRPr="00DA3C6E" w14:paraId="6DB74100" w14:textId="77777777" w:rsidTr="000E1893">
        <w:trPr>
          <w:trHeight w:val="315"/>
          <w:tblHeader/>
        </w:trPr>
        <w:tc>
          <w:tcPr>
            <w:tcW w:w="2122" w:type="dxa"/>
            <w:noWrap/>
            <w:vAlign w:val="center"/>
            <w:hideMark/>
          </w:tcPr>
          <w:p w14:paraId="40643F53" w14:textId="77777777" w:rsidR="00B5232E" w:rsidRPr="00DA3C6E" w:rsidRDefault="00E64481" w:rsidP="00BE60D2">
            <w:pPr>
              <w:spacing w:after="0" w:line="240" w:lineRule="auto"/>
              <w:ind w:left="0"/>
              <w:jc w:val="left"/>
              <w:rPr>
                <w:rFonts w:ascii="Arial Narrow" w:hAnsi="Arial Narrow"/>
                <w:sz w:val="20"/>
                <w:szCs w:val="20"/>
              </w:rPr>
            </w:pPr>
            <w:r w:rsidRPr="00DA3C6E">
              <w:rPr>
                <w:rFonts w:ascii="Arial Narrow" w:hAnsi="Arial Narrow"/>
                <w:sz w:val="20"/>
                <w:szCs w:val="20"/>
              </w:rPr>
              <w:t xml:space="preserve">Intravenous Ig </w:t>
            </w:r>
            <w:r w:rsidR="00B5232E" w:rsidRPr="00DA3C6E">
              <w:rPr>
                <w:rFonts w:ascii="Arial Narrow" w:hAnsi="Arial Narrow"/>
                <w:sz w:val="20"/>
                <w:szCs w:val="20"/>
              </w:rPr>
              <w:t>administration costs</w:t>
            </w:r>
          </w:p>
        </w:tc>
        <w:tc>
          <w:tcPr>
            <w:tcW w:w="1134" w:type="dxa"/>
            <w:noWrap/>
            <w:vAlign w:val="center"/>
            <w:hideMark/>
          </w:tcPr>
          <w:p w14:paraId="60DE2725"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$6,578,498</w:t>
            </w:r>
          </w:p>
        </w:tc>
        <w:tc>
          <w:tcPr>
            <w:tcW w:w="1134" w:type="dxa"/>
            <w:noWrap/>
            <w:vAlign w:val="center"/>
            <w:hideMark/>
          </w:tcPr>
          <w:p w14:paraId="4590A808"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$6,928,895</w:t>
            </w:r>
          </w:p>
        </w:tc>
        <w:tc>
          <w:tcPr>
            <w:tcW w:w="1134" w:type="dxa"/>
            <w:noWrap/>
            <w:vAlign w:val="center"/>
            <w:hideMark/>
          </w:tcPr>
          <w:p w14:paraId="598B22D5"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$7,279,291</w:t>
            </w:r>
          </w:p>
        </w:tc>
        <w:tc>
          <w:tcPr>
            <w:tcW w:w="1175" w:type="dxa"/>
            <w:noWrap/>
            <w:vAlign w:val="center"/>
            <w:hideMark/>
          </w:tcPr>
          <w:p w14:paraId="49C41CBF"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$7,629,687</w:t>
            </w:r>
          </w:p>
        </w:tc>
        <w:tc>
          <w:tcPr>
            <w:tcW w:w="1162" w:type="dxa"/>
            <w:noWrap/>
            <w:vAlign w:val="center"/>
            <w:hideMark/>
          </w:tcPr>
          <w:p w14:paraId="038F9D4A"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$7,980,084</w:t>
            </w:r>
          </w:p>
        </w:tc>
        <w:tc>
          <w:tcPr>
            <w:tcW w:w="1155" w:type="dxa"/>
            <w:noWrap/>
            <w:vAlign w:val="center"/>
            <w:hideMark/>
          </w:tcPr>
          <w:p w14:paraId="3791C174"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$36,396,455</w:t>
            </w:r>
          </w:p>
        </w:tc>
      </w:tr>
      <w:tr w:rsidR="00B5232E" w:rsidRPr="00DA3C6E" w14:paraId="77BAC348" w14:textId="77777777" w:rsidTr="000E1893">
        <w:trPr>
          <w:trHeight w:val="315"/>
          <w:tblHeader/>
        </w:trPr>
        <w:tc>
          <w:tcPr>
            <w:tcW w:w="2122" w:type="dxa"/>
            <w:noWrap/>
            <w:vAlign w:val="center"/>
            <w:hideMark/>
          </w:tcPr>
          <w:p w14:paraId="2A45903E"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sz w:val="20"/>
                <w:szCs w:val="20"/>
              </w:rPr>
              <w:t>Follow-up costs</w:t>
            </w:r>
          </w:p>
        </w:tc>
        <w:tc>
          <w:tcPr>
            <w:tcW w:w="1134" w:type="dxa"/>
            <w:noWrap/>
            <w:vAlign w:val="center"/>
            <w:hideMark/>
          </w:tcPr>
          <w:p w14:paraId="49BB5C16"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$823,339</w:t>
            </w:r>
          </w:p>
        </w:tc>
        <w:tc>
          <w:tcPr>
            <w:tcW w:w="1134" w:type="dxa"/>
            <w:noWrap/>
            <w:vAlign w:val="center"/>
            <w:hideMark/>
          </w:tcPr>
          <w:p w14:paraId="33C88F5C"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$867,193</w:t>
            </w:r>
          </w:p>
        </w:tc>
        <w:tc>
          <w:tcPr>
            <w:tcW w:w="1134" w:type="dxa"/>
            <w:noWrap/>
            <w:vAlign w:val="center"/>
            <w:hideMark/>
          </w:tcPr>
          <w:p w14:paraId="30308E52"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$911,047</w:t>
            </w:r>
          </w:p>
        </w:tc>
        <w:tc>
          <w:tcPr>
            <w:tcW w:w="1175" w:type="dxa"/>
            <w:noWrap/>
            <w:vAlign w:val="center"/>
            <w:hideMark/>
          </w:tcPr>
          <w:p w14:paraId="51D0A7B8"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$954,901</w:t>
            </w:r>
          </w:p>
        </w:tc>
        <w:tc>
          <w:tcPr>
            <w:tcW w:w="1162" w:type="dxa"/>
            <w:noWrap/>
            <w:vAlign w:val="center"/>
            <w:hideMark/>
          </w:tcPr>
          <w:p w14:paraId="4CBF2612"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$998,755</w:t>
            </w:r>
          </w:p>
        </w:tc>
        <w:tc>
          <w:tcPr>
            <w:tcW w:w="1155" w:type="dxa"/>
            <w:noWrap/>
            <w:vAlign w:val="center"/>
            <w:hideMark/>
          </w:tcPr>
          <w:p w14:paraId="5C244D6A"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$4,555,235</w:t>
            </w:r>
          </w:p>
        </w:tc>
      </w:tr>
      <w:tr w:rsidR="00B5232E" w:rsidRPr="00DA3C6E" w14:paraId="49E9DFCB" w14:textId="77777777" w:rsidTr="000E1893">
        <w:trPr>
          <w:trHeight w:val="315"/>
          <w:tblHeader/>
        </w:trPr>
        <w:tc>
          <w:tcPr>
            <w:tcW w:w="2122" w:type="dxa"/>
            <w:noWrap/>
            <w:vAlign w:val="center"/>
            <w:hideMark/>
          </w:tcPr>
          <w:p w14:paraId="52E290F3"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sz w:val="20"/>
                <w:szCs w:val="20"/>
              </w:rPr>
              <w:t>BSC</w:t>
            </w:r>
          </w:p>
        </w:tc>
        <w:tc>
          <w:tcPr>
            <w:tcW w:w="1134" w:type="dxa"/>
            <w:noWrap/>
            <w:vAlign w:val="center"/>
            <w:hideMark/>
          </w:tcPr>
          <w:p w14:paraId="58DF946A"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$1,069,199</w:t>
            </w:r>
          </w:p>
        </w:tc>
        <w:tc>
          <w:tcPr>
            <w:tcW w:w="1134" w:type="dxa"/>
            <w:noWrap/>
            <w:vAlign w:val="center"/>
            <w:hideMark/>
          </w:tcPr>
          <w:p w14:paraId="144D940E"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$1,126,149</w:t>
            </w:r>
          </w:p>
        </w:tc>
        <w:tc>
          <w:tcPr>
            <w:tcW w:w="1134" w:type="dxa"/>
            <w:noWrap/>
            <w:vAlign w:val="center"/>
            <w:hideMark/>
          </w:tcPr>
          <w:p w14:paraId="7F35A5FD"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$1,183,098</w:t>
            </w:r>
          </w:p>
        </w:tc>
        <w:tc>
          <w:tcPr>
            <w:tcW w:w="1175" w:type="dxa"/>
            <w:noWrap/>
            <w:vAlign w:val="center"/>
            <w:hideMark/>
          </w:tcPr>
          <w:p w14:paraId="482DD0FF"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$1,240,048</w:t>
            </w:r>
          </w:p>
        </w:tc>
        <w:tc>
          <w:tcPr>
            <w:tcW w:w="1162" w:type="dxa"/>
            <w:noWrap/>
            <w:vAlign w:val="center"/>
            <w:hideMark/>
          </w:tcPr>
          <w:p w14:paraId="20B7AAA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$1,296,998</w:t>
            </w:r>
          </w:p>
        </w:tc>
        <w:tc>
          <w:tcPr>
            <w:tcW w:w="1155" w:type="dxa"/>
            <w:noWrap/>
            <w:vAlign w:val="center"/>
            <w:hideMark/>
          </w:tcPr>
          <w:p w14:paraId="411B2867"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$5,915,491</w:t>
            </w:r>
          </w:p>
        </w:tc>
      </w:tr>
      <w:tr w:rsidR="00B5232E" w:rsidRPr="00DA3C6E" w14:paraId="7440E272" w14:textId="77777777" w:rsidTr="000E1893">
        <w:trPr>
          <w:trHeight w:val="315"/>
          <w:tblHeader/>
        </w:trPr>
        <w:tc>
          <w:tcPr>
            <w:tcW w:w="2122" w:type="dxa"/>
            <w:noWrap/>
            <w:vAlign w:val="center"/>
            <w:hideMark/>
          </w:tcPr>
          <w:p w14:paraId="2C3B4990" w14:textId="77777777" w:rsidR="00B5232E" w:rsidRPr="00DA3C6E" w:rsidRDefault="00B5232E" w:rsidP="00BE60D2">
            <w:pPr>
              <w:spacing w:after="0" w:line="240" w:lineRule="auto"/>
              <w:ind w:left="0"/>
              <w:jc w:val="left"/>
              <w:rPr>
                <w:rFonts w:ascii="Arial Narrow" w:hAnsi="Arial Narrow"/>
                <w:sz w:val="20"/>
                <w:szCs w:val="20"/>
              </w:rPr>
            </w:pPr>
            <w:r w:rsidRPr="00DA3C6E">
              <w:rPr>
                <w:rFonts w:ascii="Arial Narrow" w:hAnsi="Arial Narrow"/>
                <w:sz w:val="20"/>
                <w:szCs w:val="20"/>
              </w:rPr>
              <w:t>Total cost of AE</w:t>
            </w:r>
          </w:p>
        </w:tc>
        <w:tc>
          <w:tcPr>
            <w:tcW w:w="1134" w:type="dxa"/>
            <w:noWrap/>
            <w:vAlign w:val="center"/>
            <w:hideMark/>
          </w:tcPr>
          <w:p w14:paraId="7981D27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$217,190</w:t>
            </w:r>
          </w:p>
        </w:tc>
        <w:tc>
          <w:tcPr>
            <w:tcW w:w="1134" w:type="dxa"/>
            <w:noWrap/>
            <w:vAlign w:val="center"/>
            <w:hideMark/>
          </w:tcPr>
          <w:p w14:paraId="0474A93B"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$228,759</w:t>
            </w:r>
          </w:p>
        </w:tc>
        <w:tc>
          <w:tcPr>
            <w:tcW w:w="1134" w:type="dxa"/>
            <w:noWrap/>
            <w:vAlign w:val="center"/>
            <w:hideMark/>
          </w:tcPr>
          <w:p w14:paraId="0A8CE952"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$240,327</w:t>
            </w:r>
          </w:p>
        </w:tc>
        <w:tc>
          <w:tcPr>
            <w:tcW w:w="1175" w:type="dxa"/>
            <w:noWrap/>
            <w:vAlign w:val="center"/>
            <w:hideMark/>
          </w:tcPr>
          <w:p w14:paraId="5ADF9AB2"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$251,895</w:t>
            </w:r>
          </w:p>
        </w:tc>
        <w:tc>
          <w:tcPr>
            <w:tcW w:w="1162" w:type="dxa"/>
            <w:noWrap/>
            <w:vAlign w:val="center"/>
            <w:hideMark/>
          </w:tcPr>
          <w:p w14:paraId="4F3E8970"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$263,464</w:t>
            </w:r>
          </w:p>
        </w:tc>
        <w:tc>
          <w:tcPr>
            <w:tcW w:w="1155" w:type="dxa"/>
            <w:noWrap/>
            <w:vAlign w:val="center"/>
            <w:hideMark/>
          </w:tcPr>
          <w:p w14:paraId="2D2B614F" w14:textId="77777777" w:rsidR="00B5232E" w:rsidRPr="00DA3C6E" w:rsidRDefault="00B5232E" w:rsidP="00BE60D2">
            <w:pPr>
              <w:spacing w:after="0" w:line="240" w:lineRule="auto"/>
              <w:ind w:left="0"/>
              <w:jc w:val="center"/>
              <w:rPr>
                <w:rFonts w:ascii="Arial Narrow" w:hAnsi="Arial Narrow"/>
                <w:sz w:val="20"/>
                <w:szCs w:val="20"/>
              </w:rPr>
            </w:pPr>
            <w:r w:rsidRPr="00DA3C6E">
              <w:rPr>
                <w:rFonts w:ascii="Arial Narrow" w:hAnsi="Arial Narrow"/>
                <w:sz w:val="20"/>
                <w:szCs w:val="20"/>
              </w:rPr>
              <w:t>$1,201,635</w:t>
            </w:r>
          </w:p>
        </w:tc>
      </w:tr>
      <w:tr w:rsidR="00B5232E" w:rsidRPr="00DA3C6E" w14:paraId="4721815A" w14:textId="77777777" w:rsidTr="000E1893">
        <w:trPr>
          <w:trHeight w:val="330"/>
          <w:tblHeader/>
        </w:trPr>
        <w:tc>
          <w:tcPr>
            <w:tcW w:w="2122" w:type="dxa"/>
            <w:noWrap/>
            <w:vAlign w:val="center"/>
            <w:hideMark/>
          </w:tcPr>
          <w:p w14:paraId="783C2BF1" w14:textId="77777777" w:rsidR="00B5232E" w:rsidRPr="00DA3C6E" w:rsidRDefault="00B5232E" w:rsidP="000A497B">
            <w:pPr>
              <w:spacing w:after="0" w:line="240" w:lineRule="auto"/>
              <w:ind w:left="0"/>
              <w:jc w:val="left"/>
              <w:rPr>
                <w:rFonts w:ascii="Arial Narrow" w:hAnsi="Arial Narrow"/>
                <w:b/>
                <w:sz w:val="20"/>
                <w:szCs w:val="20"/>
              </w:rPr>
            </w:pPr>
            <w:r w:rsidRPr="00DA3C6E">
              <w:rPr>
                <w:rFonts w:ascii="Arial Narrow" w:hAnsi="Arial Narrow"/>
                <w:b/>
                <w:sz w:val="20"/>
                <w:szCs w:val="20"/>
              </w:rPr>
              <w:t xml:space="preserve">Total cost to the </w:t>
            </w:r>
            <w:r w:rsidR="000A497B" w:rsidRPr="00DA3C6E">
              <w:rPr>
                <w:rFonts w:ascii="Arial Narrow" w:hAnsi="Arial Narrow"/>
                <w:b/>
                <w:sz w:val="20"/>
                <w:szCs w:val="20"/>
              </w:rPr>
              <w:t>health care budget</w:t>
            </w:r>
          </w:p>
        </w:tc>
        <w:tc>
          <w:tcPr>
            <w:tcW w:w="1134" w:type="dxa"/>
            <w:noWrap/>
            <w:vAlign w:val="center"/>
            <w:hideMark/>
          </w:tcPr>
          <w:p w14:paraId="376EB88F"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$8,688,226</w:t>
            </w:r>
          </w:p>
        </w:tc>
        <w:tc>
          <w:tcPr>
            <w:tcW w:w="1134" w:type="dxa"/>
            <w:noWrap/>
            <w:vAlign w:val="center"/>
            <w:hideMark/>
          </w:tcPr>
          <w:p w14:paraId="2DAB111B"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$9,150,994</w:t>
            </w:r>
          </w:p>
        </w:tc>
        <w:tc>
          <w:tcPr>
            <w:tcW w:w="1134" w:type="dxa"/>
            <w:noWrap/>
            <w:vAlign w:val="center"/>
            <w:hideMark/>
          </w:tcPr>
          <w:p w14:paraId="16BBF368"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$9,613,763</w:t>
            </w:r>
          </w:p>
        </w:tc>
        <w:tc>
          <w:tcPr>
            <w:tcW w:w="1175" w:type="dxa"/>
            <w:noWrap/>
            <w:vAlign w:val="center"/>
            <w:hideMark/>
          </w:tcPr>
          <w:p w14:paraId="437591E8"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$10,076,532</w:t>
            </w:r>
          </w:p>
        </w:tc>
        <w:tc>
          <w:tcPr>
            <w:tcW w:w="1162" w:type="dxa"/>
            <w:noWrap/>
            <w:vAlign w:val="center"/>
            <w:hideMark/>
          </w:tcPr>
          <w:p w14:paraId="106B42CE"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$10,539,300</w:t>
            </w:r>
          </w:p>
        </w:tc>
        <w:tc>
          <w:tcPr>
            <w:tcW w:w="1155" w:type="dxa"/>
            <w:noWrap/>
            <w:vAlign w:val="center"/>
            <w:hideMark/>
          </w:tcPr>
          <w:p w14:paraId="7DEEA449" w14:textId="77777777" w:rsidR="00B5232E" w:rsidRPr="00DA3C6E" w:rsidRDefault="00B5232E" w:rsidP="00BE60D2">
            <w:pPr>
              <w:spacing w:after="0" w:line="240" w:lineRule="auto"/>
              <w:ind w:left="0"/>
              <w:jc w:val="center"/>
              <w:rPr>
                <w:rFonts w:ascii="Arial Narrow" w:hAnsi="Arial Narrow"/>
                <w:b/>
                <w:sz w:val="20"/>
                <w:szCs w:val="20"/>
              </w:rPr>
            </w:pPr>
            <w:r w:rsidRPr="00DA3C6E">
              <w:rPr>
                <w:rFonts w:ascii="Arial Narrow" w:hAnsi="Arial Narrow"/>
                <w:b/>
                <w:sz w:val="20"/>
                <w:szCs w:val="20"/>
              </w:rPr>
              <w:t>$48,068,815</w:t>
            </w:r>
          </w:p>
        </w:tc>
      </w:tr>
    </w:tbl>
    <w:p w14:paraId="6B6C24D9" w14:textId="77777777" w:rsidR="00B5232E" w:rsidRPr="00633640" w:rsidRDefault="00B5232E" w:rsidP="00633640">
      <w:pPr>
        <w:spacing w:after="0" w:line="240" w:lineRule="auto"/>
        <w:rPr>
          <w:rFonts w:ascii="Arial Narrow" w:hAnsi="Arial Narrow"/>
          <w:sz w:val="18"/>
          <w:szCs w:val="18"/>
        </w:rPr>
      </w:pPr>
      <w:r w:rsidRPr="00633640">
        <w:rPr>
          <w:rFonts w:ascii="Arial Narrow" w:hAnsi="Arial Narrow"/>
          <w:sz w:val="18"/>
          <w:szCs w:val="18"/>
        </w:rPr>
        <w:t>Abbreviations: AE = adverse event; BSC = best supportive care; IVIg = intravenous immunoglobulin; MBS = Medicare Benefits Schedule.</w:t>
      </w:r>
    </w:p>
    <w:p w14:paraId="2ECE79CA" w14:textId="77777777" w:rsidR="004234DE" w:rsidRPr="00633640" w:rsidRDefault="00B5232E" w:rsidP="00633640">
      <w:pPr>
        <w:spacing w:after="0" w:line="240" w:lineRule="auto"/>
        <w:rPr>
          <w:rFonts w:ascii="Arial Narrow" w:hAnsi="Arial Narrow"/>
          <w:sz w:val="18"/>
          <w:szCs w:val="18"/>
        </w:rPr>
      </w:pPr>
      <w:r w:rsidRPr="00633640">
        <w:rPr>
          <w:rFonts w:ascii="Arial Narrow" w:hAnsi="Arial Narrow"/>
          <w:sz w:val="18"/>
          <w:szCs w:val="18"/>
        </w:rPr>
        <w:t xml:space="preserve">Source: </w:t>
      </w:r>
      <w:r w:rsidR="004234DE" w:rsidRPr="00633640">
        <w:rPr>
          <w:rFonts w:ascii="Arial Narrow" w:hAnsi="Arial Narrow"/>
          <w:sz w:val="18"/>
          <w:szCs w:val="18"/>
        </w:rPr>
        <w:t>Estimations conducted during the assessment.</w:t>
      </w:r>
    </w:p>
    <w:p w14:paraId="42231605" w14:textId="77777777" w:rsidR="00B5232E" w:rsidRPr="00633640" w:rsidRDefault="00B5232E" w:rsidP="00633640">
      <w:pPr>
        <w:spacing w:after="0" w:line="240" w:lineRule="auto"/>
        <w:rPr>
          <w:rFonts w:ascii="Arial Narrow" w:hAnsi="Arial Narrow"/>
          <w:sz w:val="18"/>
          <w:szCs w:val="18"/>
        </w:rPr>
      </w:pPr>
      <w:r w:rsidRPr="00633640">
        <w:rPr>
          <w:rFonts w:ascii="Arial Narrow" w:hAnsi="Arial Narrow"/>
          <w:sz w:val="18"/>
          <w:szCs w:val="18"/>
        </w:rPr>
        <w:t>HTA Conditions Report 1, 2 and 3 provided by the NBA on 06 January 2020 (‘Phase 2 HTA conditions data.xlsx' workbook); MBS schedule.</w:t>
      </w:r>
    </w:p>
    <w:p w14:paraId="57109D46" w14:textId="77777777" w:rsidR="005A2158" w:rsidRPr="00DA3C6E" w:rsidRDefault="005A2158" w:rsidP="0073359F">
      <w:pPr>
        <w:pStyle w:val="Heading2"/>
        <w:numPr>
          <w:ilvl w:val="4"/>
          <w:numId w:val="61"/>
        </w:numPr>
        <w:jc w:val="left"/>
      </w:pPr>
      <w:bookmarkStart w:id="375" w:name="_Toc381796485"/>
      <w:bookmarkStart w:id="376" w:name="_Toc37845787"/>
      <w:r w:rsidRPr="00DA3C6E">
        <w:t>Financial Implications for the MBS</w:t>
      </w:r>
      <w:bookmarkEnd w:id="364"/>
      <w:bookmarkEnd w:id="375"/>
      <w:bookmarkEnd w:id="376"/>
      <w:r w:rsidRPr="00DA3C6E">
        <w:t xml:space="preserve"> </w:t>
      </w:r>
    </w:p>
    <w:p w14:paraId="336E7001" w14:textId="2C8C6883" w:rsidR="005A2158" w:rsidRPr="00DA3C6E" w:rsidRDefault="005A2158" w:rsidP="000E1893">
      <w:r w:rsidRPr="00DA3C6E">
        <w:t xml:space="preserve">The financial implications to the MBS </w:t>
      </w:r>
      <w:r w:rsidR="00D851F8" w:rsidRPr="00DA3C6E">
        <w:t xml:space="preserve">that would </w:t>
      </w:r>
      <w:r w:rsidRPr="00DA3C6E">
        <w:t xml:space="preserve">result from the delisting of </w:t>
      </w:r>
      <w:r w:rsidR="000A497B" w:rsidRPr="00DA3C6E">
        <w:t xml:space="preserve">intravenous Ig </w:t>
      </w:r>
      <w:r w:rsidRPr="00DA3C6E">
        <w:t>are summarised in</w:t>
      </w:r>
      <w:r w:rsidR="009E5A09" w:rsidRPr="00DA3C6E">
        <w:t xml:space="preserve"> </w:t>
      </w:r>
      <w:r w:rsidR="00225421" w:rsidRPr="00DA3C6E">
        <w:fldChar w:fldCharType="begin"/>
      </w:r>
      <w:r w:rsidR="00225421" w:rsidRPr="00DA3C6E">
        <w:instrText xml:space="preserve"> REF _Ref395200179 \h </w:instrText>
      </w:r>
      <w:r w:rsidR="000E1893" w:rsidRPr="00DA3C6E">
        <w:instrText xml:space="preserve"> \* MERGEFORMAT </w:instrText>
      </w:r>
      <w:r w:rsidR="00225421" w:rsidRPr="00DA3C6E">
        <w:fldChar w:fldCharType="separate"/>
      </w:r>
      <w:r w:rsidR="00EA5DC1" w:rsidRPr="00D96AFB">
        <w:t xml:space="preserve">Table </w:t>
      </w:r>
      <w:r w:rsidR="00EA5DC1">
        <w:t>44</w:t>
      </w:r>
      <w:r w:rsidR="00225421" w:rsidRPr="00DA3C6E">
        <w:fldChar w:fldCharType="end"/>
      </w:r>
      <w:r w:rsidRPr="00DA3C6E">
        <w:t xml:space="preserve">. As expected, </w:t>
      </w:r>
      <w:r w:rsidR="00DC775E" w:rsidRPr="00DA3C6E">
        <w:t xml:space="preserve">ceasing the supply of </w:t>
      </w:r>
      <w:r w:rsidR="000A497B" w:rsidRPr="00DA3C6E">
        <w:t>intravenous Ig</w:t>
      </w:r>
      <w:r w:rsidR="00DC775E" w:rsidRPr="00DA3C6E">
        <w:t xml:space="preserve"> in this population</w:t>
      </w:r>
      <w:r w:rsidRPr="00DA3C6E">
        <w:t xml:space="preserve"> would lead to a reduction of the overall costs</w:t>
      </w:r>
      <w:r w:rsidR="00DC775E" w:rsidRPr="00DA3C6E">
        <w:t>,</w:t>
      </w:r>
      <w:r w:rsidRPr="00DA3C6E">
        <w:t xml:space="preserve"> </w:t>
      </w:r>
      <w:r w:rsidR="00DC775E" w:rsidRPr="00DA3C6E">
        <w:t>as the associated administration costs would no longer be required</w:t>
      </w:r>
      <w:r w:rsidRPr="00DA3C6E">
        <w:t>. Patients would still</w:t>
      </w:r>
      <w:r w:rsidR="00DC775E" w:rsidRPr="00DA3C6E">
        <w:t xml:space="preserve"> receive BSC which includes</w:t>
      </w:r>
      <w:r w:rsidRPr="00DA3C6E">
        <w:t xml:space="preserve"> monitoring of the disease</w:t>
      </w:r>
      <w:r w:rsidR="00DC775E" w:rsidRPr="00DA3C6E">
        <w:t>,</w:t>
      </w:r>
      <w:r w:rsidRPr="00DA3C6E">
        <w:t xml:space="preserve"> as well as </w:t>
      </w:r>
      <w:r w:rsidR="00E8759F" w:rsidRPr="00DA3C6E">
        <w:t>other services</w:t>
      </w:r>
      <w:r w:rsidRPr="00DA3C6E">
        <w:t xml:space="preserve"> such as physiotherapy and rehabilitation. </w:t>
      </w:r>
    </w:p>
    <w:p w14:paraId="2ECBAD95" w14:textId="41549A38" w:rsidR="005A2158" w:rsidRPr="00D96AFB" w:rsidRDefault="005A2158" w:rsidP="00D96AFB">
      <w:pPr>
        <w:pStyle w:val="Caption"/>
      </w:pPr>
      <w:bookmarkStart w:id="377" w:name="_Ref395200179"/>
      <w:bookmarkStart w:id="378" w:name="_Toc37845847"/>
      <w:r w:rsidRPr="00D96AFB">
        <w:t xml:space="preserve">Table </w:t>
      </w:r>
      <w:r w:rsidR="00515153">
        <w:fldChar w:fldCharType="begin"/>
      </w:r>
      <w:r w:rsidR="00515153">
        <w:instrText xml:space="preserve"> SEQ Table \* ARABIC </w:instrText>
      </w:r>
      <w:r w:rsidR="00515153">
        <w:fldChar w:fldCharType="separate"/>
      </w:r>
      <w:r w:rsidR="00EA5DC1">
        <w:rPr>
          <w:noProof/>
        </w:rPr>
        <w:t>44</w:t>
      </w:r>
      <w:r w:rsidR="00515153">
        <w:rPr>
          <w:noProof/>
        </w:rPr>
        <w:fldChar w:fldCharType="end"/>
      </w:r>
      <w:bookmarkEnd w:id="377"/>
      <w:r w:rsidRPr="00D96AFB">
        <w:t>. Total costs to the MBS associated with delisting IVIg as a treatment option for MMN patients.</w:t>
      </w:r>
      <w:bookmarkEnd w:id="378"/>
      <w:r w:rsidRPr="00D96AFB">
        <w:t xml:space="preserve"> </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5 Total costs to the MBS associated with XXX"/>
        <w:tblDescription w:val="This table provides a summary of the financial impact of the proposed new medical service over the next five years."/>
      </w:tblPr>
      <w:tblGrid>
        <w:gridCol w:w="2153"/>
        <w:gridCol w:w="1243"/>
        <w:gridCol w:w="83"/>
        <w:gridCol w:w="1326"/>
        <w:gridCol w:w="1326"/>
        <w:gridCol w:w="1330"/>
        <w:gridCol w:w="1333"/>
      </w:tblGrid>
      <w:tr w:rsidR="005A2158" w:rsidRPr="00DA3C6E" w14:paraId="36E1095D" w14:textId="77777777" w:rsidTr="00CF0291">
        <w:trPr>
          <w:trHeight w:val="300"/>
          <w:tblHeader/>
        </w:trPr>
        <w:tc>
          <w:tcPr>
            <w:tcW w:w="1224" w:type="pct"/>
            <w:tcBorders>
              <w:bottom w:val="single" w:sz="4" w:space="0" w:color="auto"/>
            </w:tcBorders>
            <w:shd w:val="clear" w:color="auto" w:fill="auto"/>
            <w:vAlign w:val="center"/>
          </w:tcPr>
          <w:p w14:paraId="56CEF116"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color w:val="FFFFFF" w:themeColor="background1"/>
                <w:sz w:val="20"/>
                <w:szCs w:val="20"/>
              </w:rPr>
              <w:t>-</w:t>
            </w:r>
          </w:p>
        </w:tc>
        <w:tc>
          <w:tcPr>
            <w:tcW w:w="754" w:type="pct"/>
            <w:gridSpan w:val="2"/>
            <w:tcBorders>
              <w:bottom w:val="single" w:sz="4" w:space="0" w:color="auto"/>
            </w:tcBorders>
            <w:vAlign w:val="center"/>
          </w:tcPr>
          <w:p w14:paraId="5C03CF87"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sz w:val="20"/>
                <w:szCs w:val="20"/>
              </w:rPr>
              <w:t>2015-16</w:t>
            </w:r>
          </w:p>
        </w:tc>
        <w:tc>
          <w:tcPr>
            <w:tcW w:w="754" w:type="pct"/>
            <w:tcBorders>
              <w:bottom w:val="single" w:sz="4" w:space="0" w:color="auto"/>
            </w:tcBorders>
            <w:shd w:val="clear" w:color="auto" w:fill="auto"/>
            <w:vAlign w:val="center"/>
          </w:tcPr>
          <w:p w14:paraId="193D5586"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sz w:val="20"/>
                <w:szCs w:val="20"/>
              </w:rPr>
              <w:t>2016-17</w:t>
            </w:r>
          </w:p>
        </w:tc>
        <w:tc>
          <w:tcPr>
            <w:tcW w:w="754" w:type="pct"/>
            <w:tcBorders>
              <w:bottom w:val="single" w:sz="4" w:space="0" w:color="auto"/>
            </w:tcBorders>
            <w:shd w:val="clear" w:color="auto" w:fill="auto"/>
            <w:vAlign w:val="center"/>
          </w:tcPr>
          <w:p w14:paraId="6106A33C"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sz w:val="20"/>
                <w:szCs w:val="20"/>
              </w:rPr>
              <w:t>2017-18</w:t>
            </w:r>
          </w:p>
        </w:tc>
        <w:tc>
          <w:tcPr>
            <w:tcW w:w="756" w:type="pct"/>
            <w:tcBorders>
              <w:bottom w:val="single" w:sz="4" w:space="0" w:color="auto"/>
            </w:tcBorders>
            <w:shd w:val="clear" w:color="auto" w:fill="auto"/>
            <w:vAlign w:val="center"/>
          </w:tcPr>
          <w:p w14:paraId="56B11F6B"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sz w:val="20"/>
                <w:szCs w:val="20"/>
              </w:rPr>
              <w:t>2018-19</w:t>
            </w:r>
          </w:p>
        </w:tc>
        <w:tc>
          <w:tcPr>
            <w:tcW w:w="758" w:type="pct"/>
            <w:tcBorders>
              <w:bottom w:val="single" w:sz="4" w:space="0" w:color="auto"/>
            </w:tcBorders>
            <w:shd w:val="clear" w:color="auto" w:fill="auto"/>
            <w:vAlign w:val="center"/>
          </w:tcPr>
          <w:p w14:paraId="640F37EA" w14:textId="77777777" w:rsidR="005A2158" w:rsidRPr="00DA3C6E" w:rsidRDefault="005A2158" w:rsidP="00CF0291">
            <w:pPr>
              <w:keepNext/>
              <w:tabs>
                <w:tab w:val="left" w:pos="851"/>
              </w:tabs>
              <w:spacing w:before="40" w:after="40" w:line="240" w:lineRule="auto"/>
              <w:ind w:left="851" w:hanging="851"/>
              <w:jc w:val="left"/>
              <w:rPr>
                <w:rFonts w:ascii="Arial Narrow" w:hAnsi="Arial Narrow"/>
                <w:b/>
                <w:sz w:val="20"/>
                <w:szCs w:val="20"/>
              </w:rPr>
            </w:pPr>
            <w:r w:rsidRPr="00DA3C6E">
              <w:rPr>
                <w:rFonts w:ascii="Arial Narrow" w:hAnsi="Arial Narrow"/>
                <w:b/>
                <w:sz w:val="20"/>
                <w:szCs w:val="20"/>
              </w:rPr>
              <w:t>2019-20</w:t>
            </w:r>
          </w:p>
        </w:tc>
      </w:tr>
      <w:tr w:rsidR="005A2158" w:rsidRPr="00DA3C6E" w14:paraId="70780420" w14:textId="77777777" w:rsidTr="00CF0291">
        <w:trPr>
          <w:trHeight w:val="300"/>
        </w:trPr>
        <w:tc>
          <w:tcPr>
            <w:tcW w:w="1224" w:type="pct"/>
            <w:tcBorders>
              <w:right w:val="nil"/>
            </w:tcBorders>
            <w:shd w:val="clear" w:color="auto" w:fill="auto"/>
            <w:vAlign w:val="center"/>
          </w:tcPr>
          <w:p w14:paraId="72310A33" w14:textId="77777777" w:rsidR="005A2158" w:rsidRPr="00DA3C6E" w:rsidRDefault="00C55E03" w:rsidP="00CF0291">
            <w:pPr>
              <w:widowControl w:val="0"/>
              <w:tabs>
                <w:tab w:val="left" w:pos="851"/>
              </w:tabs>
              <w:spacing w:before="40" w:after="40" w:line="240" w:lineRule="auto"/>
              <w:jc w:val="left"/>
              <w:rPr>
                <w:rFonts w:ascii="Arial Narrow" w:hAnsi="Arial Narrow"/>
                <w:b/>
                <w:sz w:val="20"/>
                <w:szCs w:val="20"/>
              </w:rPr>
            </w:pPr>
            <w:r w:rsidRPr="00DA3C6E">
              <w:rPr>
                <w:rFonts w:ascii="Arial Narrow" w:hAnsi="Arial Narrow"/>
                <w:b/>
                <w:sz w:val="20"/>
                <w:szCs w:val="20"/>
              </w:rPr>
              <w:t>Intravenous Ig</w:t>
            </w:r>
          </w:p>
        </w:tc>
        <w:tc>
          <w:tcPr>
            <w:tcW w:w="754" w:type="pct"/>
            <w:gridSpan w:val="2"/>
            <w:tcBorders>
              <w:left w:val="nil"/>
              <w:right w:val="nil"/>
            </w:tcBorders>
            <w:vAlign w:val="center"/>
          </w:tcPr>
          <w:p w14:paraId="5E61496D" w14:textId="77777777" w:rsidR="005A2158" w:rsidRPr="00DA3C6E" w:rsidRDefault="005A2158" w:rsidP="00CF0291">
            <w:pPr>
              <w:widowControl w:val="0"/>
              <w:spacing w:before="40" w:after="40" w:line="240" w:lineRule="auto"/>
              <w:jc w:val="left"/>
              <w:rPr>
                <w:rFonts w:ascii="Arial Narrow" w:hAnsi="Arial Narrow"/>
                <w:b/>
                <w:color w:val="FFFFFF" w:themeColor="background1"/>
                <w:sz w:val="20"/>
                <w:szCs w:val="20"/>
              </w:rPr>
            </w:pPr>
            <w:r w:rsidRPr="00DA3C6E">
              <w:rPr>
                <w:rFonts w:ascii="Arial Narrow" w:hAnsi="Arial Narrow"/>
                <w:b/>
                <w:color w:val="FFFFFF" w:themeColor="background1"/>
                <w:sz w:val="20"/>
                <w:szCs w:val="20"/>
              </w:rPr>
              <w:t>-</w:t>
            </w:r>
          </w:p>
        </w:tc>
        <w:tc>
          <w:tcPr>
            <w:tcW w:w="754" w:type="pct"/>
            <w:tcBorders>
              <w:left w:val="nil"/>
              <w:right w:val="nil"/>
            </w:tcBorders>
            <w:shd w:val="clear" w:color="auto" w:fill="auto"/>
            <w:vAlign w:val="center"/>
          </w:tcPr>
          <w:p w14:paraId="554AC106" w14:textId="77777777" w:rsidR="005A2158" w:rsidRPr="00DA3C6E" w:rsidRDefault="005A2158" w:rsidP="00CF0291">
            <w:pPr>
              <w:widowControl w:val="0"/>
              <w:spacing w:before="40" w:after="40" w:line="240" w:lineRule="auto"/>
              <w:jc w:val="left"/>
              <w:rPr>
                <w:rFonts w:ascii="Arial Narrow" w:hAnsi="Arial Narrow"/>
                <w:b/>
                <w:color w:val="FFFFFF" w:themeColor="background1"/>
                <w:sz w:val="20"/>
                <w:szCs w:val="20"/>
              </w:rPr>
            </w:pPr>
            <w:r w:rsidRPr="00DA3C6E">
              <w:rPr>
                <w:rFonts w:ascii="Arial Narrow" w:hAnsi="Arial Narrow"/>
                <w:b/>
                <w:color w:val="FFFFFF" w:themeColor="background1"/>
                <w:sz w:val="20"/>
                <w:szCs w:val="20"/>
              </w:rPr>
              <w:t>-</w:t>
            </w:r>
          </w:p>
        </w:tc>
        <w:tc>
          <w:tcPr>
            <w:tcW w:w="754" w:type="pct"/>
            <w:tcBorders>
              <w:left w:val="nil"/>
              <w:right w:val="nil"/>
            </w:tcBorders>
            <w:shd w:val="clear" w:color="auto" w:fill="auto"/>
            <w:vAlign w:val="center"/>
          </w:tcPr>
          <w:p w14:paraId="2FDBE8A2" w14:textId="77777777" w:rsidR="005A2158" w:rsidRPr="00DA3C6E" w:rsidRDefault="005A2158" w:rsidP="00CF0291">
            <w:pPr>
              <w:widowControl w:val="0"/>
              <w:spacing w:before="40" w:after="40" w:line="240" w:lineRule="auto"/>
              <w:jc w:val="left"/>
              <w:rPr>
                <w:rFonts w:ascii="Arial Narrow" w:hAnsi="Arial Narrow"/>
                <w:b/>
                <w:color w:val="FFFFFF" w:themeColor="background1"/>
                <w:sz w:val="20"/>
                <w:szCs w:val="20"/>
              </w:rPr>
            </w:pPr>
            <w:r w:rsidRPr="00DA3C6E">
              <w:rPr>
                <w:rFonts w:ascii="Arial Narrow" w:hAnsi="Arial Narrow"/>
                <w:b/>
                <w:color w:val="FFFFFF" w:themeColor="background1"/>
                <w:sz w:val="20"/>
                <w:szCs w:val="20"/>
              </w:rPr>
              <w:t>-</w:t>
            </w:r>
          </w:p>
        </w:tc>
        <w:tc>
          <w:tcPr>
            <w:tcW w:w="756" w:type="pct"/>
            <w:tcBorders>
              <w:left w:val="nil"/>
              <w:right w:val="nil"/>
            </w:tcBorders>
            <w:shd w:val="clear" w:color="auto" w:fill="auto"/>
            <w:vAlign w:val="center"/>
          </w:tcPr>
          <w:p w14:paraId="22786672" w14:textId="77777777" w:rsidR="005A2158" w:rsidRPr="00DA3C6E" w:rsidRDefault="005A2158" w:rsidP="00CF0291">
            <w:pPr>
              <w:widowControl w:val="0"/>
              <w:spacing w:before="40" w:after="40" w:line="240" w:lineRule="auto"/>
              <w:jc w:val="left"/>
              <w:rPr>
                <w:rFonts w:ascii="Arial Narrow" w:hAnsi="Arial Narrow"/>
                <w:b/>
                <w:color w:val="FFFFFF" w:themeColor="background1"/>
                <w:sz w:val="20"/>
                <w:szCs w:val="20"/>
              </w:rPr>
            </w:pPr>
            <w:r w:rsidRPr="00DA3C6E">
              <w:rPr>
                <w:rFonts w:ascii="Arial Narrow" w:hAnsi="Arial Narrow"/>
                <w:b/>
                <w:color w:val="FFFFFF" w:themeColor="background1"/>
                <w:sz w:val="20"/>
                <w:szCs w:val="20"/>
              </w:rPr>
              <w:t>-</w:t>
            </w:r>
          </w:p>
        </w:tc>
        <w:tc>
          <w:tcPr>
            <w:tcW w:w="758" w:type="pct"/>
            <w:tcBorders>
              <w:left w:val="nil"/>
              <w:right w:val="single" w:sz="4" w:space="0" w:color="auto"/>
            </w:tcBorders>
            <w:shd w:val="clear" w:color="auto" w:fill="auto"/>
            <w:vAlign w:val="center"/>
          </w:tcPr>
          <w:p w14:paraId="7FFEE3D9" w14:textId="77777777" w:rsidR="005A2158" w:rsidRPr="00DA3C6E" w:rsidRDefault="005A2158" w:rsidP="00CF0291">
            <w:pPr>
              <w:widowControl w:val="0"/>
              <w:spacing w:before="40" w:after="40" w:line="240" w:lineRule="auto"/>
              <w:jc w:val="left"/>
              <w:rPr>
                <w:rFonts w:ascii="Arial Narrow" w:hAnsi="Arial Narrow"/>
                <w:b/>
                <w:color w:val="FFFFFF" w:themeColor="background1"/>
                <w:sz w:val="20"/>
                <w:szCs w:val="20"/>
              </w:rPr>
            </w:pPr>
            <w:r w:rsidRPr="00DA3C6E">
              <w:rPr>
                <w:rFonts w:ascii="Arial Narrow" w:hAnsi="Arial Narrow"/>
                <w:b/>
                <w:color w:val="FFFFFF" w:themeColor="background1"/>
                <w:sz w:val="20"/>
                <w:szCs w:val="20"/>
              </w:rPr>
              <w:t>-</w:t>
            </w:r>
          </w:p>
        </w:tc>
      </w:tr>
      <w:tr w:rsidR="005A2158" w:rsidRPr="00DA3C6E" w14:paraId="04BF384F" w14:textId="77777777" w:rsidTr="00CF0291">
        <w:trPr>
          <w:trHeight w:val="300"/>
        </w:trPr>
        <w:tc>
          <w:tcPr>
            <w:tcW w:w="1224" w:type="pct"/>
            <w:shd w:val="clear" w:color="auto" w:fill="auto"/>
            <w:vAlign w:val="center"/>
          </w:tcPr>
          <w:p w14:paraId="4743290D" w14:textId="77777777" w:rsidR="005A2158" w:rsidRPr="00DA3C6E" w:rsidRDefault="005A2158" w:rsidP="00CF0291">
            <w:pPr>
              <w:widowControl w:val="0"/>
              <w:tabs>
                <w:tab w:val="left" w:pos="851"/>
              </w:tabs>
              <w:spacing w:before="40" w:after="40" w:line="240" w:lineRule="auto"/>
              <w:ind w:left="851" w:hanging="851"/>
              <w:jc w:val="left"/>
              <w:rPr>
                <w:rFonts w:ascii="Arial Narrow" w:hAnsi="Arial Narrow"/>
                <w:sz w:val="20"/>
                <w:szCs w:val="20"/>
              </w:rPr>
            </w:pPr>
            <w:r w:rsidRPr="00DA3C6E">
              <w:rPr>
                <w:rFonts w:ascii="Arial Narrow" w:hAnsi="Arial Narrow"/>
                <w:sz w:val="20"/>
                <w:szCs w:val="20"/>
              </w:rPr>
              <w:t>MBS Cost</w:t>
            </w:r>
          </w:p>
        </w:tc>
        <w:tc>
          <w:tcPr>
            <w:tcW w:w="754" w:type="pct"/>
            <w:gridSpan w:val="2"/>
            <w:vAlign w:val="center"/>
          </w:tcPr>
          <w:p w14:paraId="768AA113" w14:textId="77777777" w:rsidR="005A2158" w:rsidRPr="00DA3C6E" w:rsidRDefault="005A2158" w:rsidP="00CF0291">
            <w:pPr>
              <w:widowControl w:val="0"/>
              <w:spacing w:before="40" w:after="40" w:line="240" w:lineRule="auto"/>
              <w:jc w:val="center"/>
              <w:rPr>
                <w:rFonts w:ascii="Arial Narrow" w:hAnsi="Arial Narrow"/>
                <w:sz w:val="20"/>
                <w:szCs w:val="20"/>
              </w:rPr>
            </w:pPr>
            <w:r w:rsidRPr="00DA3C6E">
              <w:rPr>
                <w:rFonts w:ascii="Arial Narrow" w:hAnsi="Arial Narrow"/>
                <w:sz w:val="20"/>
                <w:szCs w:val="20"/>
              </w:rPr>
              <w:t>$8,688,226</w:t>
            </w:r>
          </w:p>
        </w:tc>
        <w:tc>
          <w:tcPr>
            <w:tcW w:w="754" w:type="pct"/>
            <w:shd w:val="clear" w:color="auto" w:fill="auto"/>
            <w:vAlign w:val="center"/>
          </w:tcPr>
          <w:p w14:paraId="3F524F70" w14:textId="77777777" w:rsidR="005A2158" w:rsidRPr="00DA3C6E" w:rsidRDefault="005A2158" w:rsidP="00CF0291">
            <w:pPr>
              <w:widowControl w:val="0"/>
              <w:spacing w:before="40" w:after="40" w:line="240" w:lineRule="auto"/>
              <w:jc w:val="center"/>
              <w:rPr>
                <w:rFonts w:ascii="Arial Narrow" w:hAnsi="Arial Narrow"/>
                <w:sz w:val="20"/>
                <w:szCs w:val="20"/>
              </w:rPr>
            </w:pPr>
            <w:r w:rsidRPr="00DA3C6E">
              <w:rPr>
                <w:rFonts w:ascii="Arial Narrow" w:hAnsi="Arial Narrow"/>
                <w:sz w:val="20"/>
                <w:szCs w:val="20"/>
              </w:rPr>
              <w:t>$9,150,994</w:t>
            </w:r>
          </w:p>
        </w:tc>
        <w:tc>
          <w:tcPr>
            <w:tcW w:w="754" w:type="pct"/>
            <w:shd w:val="clear" w:color="auto" w:fill="auto"/>
            <w:vAlign w:val="center"/>
          </w:tcPr>
          <w:p w14:paraId="53BE4724" w14:textId="77777777" w:rsidR="005A2158" w:rsidRPr="00DA3C6E" w:rsidRDefault="005A2158" w:rsidP="00CF0291">
            <w:pPr>
              <w:widowControl w:val="0"/>
              <w:spacing w:before="40" w:after="40" w:line="240" w:lineRule="auto"/>
              <w:jc w:val="center"/>
              <w:rPr>
                <w:rFonts w:ascii="Arial Narrow" w:hAnsi="Arial Narrow"/>
                <w:sz w:val="20"/>
                <w:szCs w:val="20"/>
              </w:rPr>
            </w:pPr>
            <w:r w:rsidRPr="00DA3C6E">
              <w:rPr>
                <w:rFonts w:ascii="Arial Narrow" w:hAnsi="Arial Narrow"/>
                <w:sz w:val="20"/>
                <w:szCs w:val="20"/>
              </w:rPr>
              <w:t>$9,613,763</w:t>
            </w:r>
          </w:p>
        </w:tc>
        <w:tc>
          <w:tcPr>
            <w:tcW w:w="756" w:type="pct"/>
            <w:shd w:val="clear" w:color="auto" w:fill="auto"/>
            <w:vAlign w:val="center"/>
          </w:tcPr>
          <w:p w14:paraId="45BC068C" w14:textId="77777777" w:rsidR="005A2158" w:rsidRPr="00DA3C6E" w:rsidRDefault="005A2158" w:rsidP="00CF0291">
            <w:pPr>
              <w:widowControl w:val="0"/>
              <w:spacing w:before="40" w:after="40" w:line="240" w:lineRule="auto"/>
              <w:jc w:val="center"/>
              <w:rPr>
                <w:rFonts w:ascii="Arial Narrow" w:hAnsi="Arial Narrow"/>
                <w:sz w:val="20"/>
                <w:szCs w:val="20"/>
              </w:rPr>
            </w:pPr>
            <w:r w:rsidRPr="00DA3C6E">
              <w:rPr>
                <w:rFonts w:ascii="Arial Narrow" w:hAnsi="Arial Narrow"/>
                <w:sz w:val="20"/>
                <w:szCs w:val="20"/>
              </w:rPr>
              <w:t>$10,076,532</w:t>
            </w:r>
          </w:p>
        </w:tc>
        <w:tc>
          <w:tcPr>
            <w:tcW w:w="758" w:type="pct"/>
            <w:shd w:val="clear" w:color="auto" w:fill="auto"/>
            <w:vAlign w:val="center"/>
          </w:tcPr>
          <w:p w14:paraId="5953F3DD" w14:textId="77777777" w:rsidR="005A2158" w:rsidRPr="00DA3C6E" w:rsidRDefault="005A2158" w:rsidP="00CF0291">
            <w:pPr>
              <w:widowControl w:val="0"/>
              <w:spacing w:before="40" w:after="40" w:line="240" w:lineRule="auto"/>
              <w:jc w:val="center"/>
              <w:rPr>
                <w:rFonts w:ascii="Arial Narrow" w:hAnsi="Arial Narrow"/>
                <w:sz w:val="20"/>
                <w:szCs w:val="20"/>
              </w:rPr>
            </w:pPr>
            <w:r w:rsidRPr="00DA3C6E">
              <w:rPr>
                <w:rFonts w:ascii="Arial Narrow" w:hAnsi="Arial Narrow"/>
                <w:sz w:val="20"/>
                <w:szCs w:val="20"/>
              </w:rPr>
              <w:t>$10,539,300</w:t>
            </w:r>
          </w:p>
        </w:tc>
      </w:tr>
      <w:tr w:rsidR="005A2158" w:rsidRPr="00DA3C6E" w14:paraId="477018F3" w14:textId="77777777" w:rsidTr="00CF0291">
        <w:trPr>
          <w:trHeight w:val="300"/>
        </w:trPr>
        <w:tc>
          <w:tcPr>
            <w:tcW w:w="5000" w:type="pct"/>
            <w:gridSpan w:val="7"/>
            <w:shd w:val="clear" w:color="auto" w:fill="auto"/>
            <w:vAlign w:val="center"/>
          </w:tcPr>
          <w:p w14:paraId="36DFEC11" w14:textId="77777777" w:rsidR="005A2158" w:rsidRPr="00DA3C6E" w:rsidRDefault="005A2158" w:rsidP="00C55E03">
            <w:pPr>
              <w:widowControl w:val="0"/>
              <w:spacing w:before="40" w:after="40" w:line="240" w:lineRule="auto"/>
              <w:rPr>
                <w:rFonts w:ascii="Arial Narrow" w:hAnsi="Arial Narrow"/>
                <w:b/>
                <w:sz w:val="20"/>
                <w:szCs w:val="20"/>
              </w:rPr>
            </w:pPr>
            <w:r w:rsidRPr="00DA3C6E">
              <w:rPr>
                <w:rFonts w:ascii="Arial Narrow" w:hAnsi="Arial Narrow"/>
                <w:b/>
                <w:sz w:val="20"/>
                <w:szCs w:val="20"/>
              </w:rPr>
              <w:t xml:space="preserve">No </w:t>
            </w:r>
            <w:r w:rsidR="00C55E03" w:rsidRPr="00DA3C6E">
              <w:rPr>
                <w:rFonts w:ascii="Arial Narrow" w:hAnsi="Arial Narrow"/>
                <w:b/>
                <w:sz w:val="20"/>
                <w:szCs w:val="20"/>
              </w:rPr>
              <w:t>Ig</w:t>
            </w:r>
            <w:r w:rsidR="000E1893" w:rsidRPr="00DA3C6E">
              <w:rPr>
                <w:rFonts w:ascii="Arial Narrow" w:hAnsi="Arial Narrow"/>
                <w:b/>
                <w:sz w:val="20"/>
                <w:szCs w:val="20"/>
              </w:rPr>
              <w:t xml:space="preserve"> with BSC</w:t>
            </w:r>
          </w:p>
        </w:tc>
      </w:tr>
      <w:tr w:rsidR="005A2158" w:rsidRPr="00DA3C6E" w14:paraId="7E60A741" w14:textId="77777777" w:rsidTr="00CF0291">
        <w:trPr>
          <w:trHeight w:val="300"/>
        </w:trPr>
        <w:tc>
          <w:tcPr>
            <w:tcW w:w="1224" w:type="pct"/>
            <w:shd w:val="clear" w:color="auto" w:fill="auto"/>
            <w:vAlign w:val="center"/>
          </w:tcPr>
          <w:p w14:paraId="3279F4C6" w14:textId="77777777" w:rsidR="005A2158" w:rsidRPr="00DA3C6E" w:rsidRDefault="005A2158" w:rsidP="00CF0291">
            <w:pPr>
              <w:widowControl w:val="0"/>
              <w:spacing w:before="40" w:after="40" w:line="240" w:lineRule="auto"/>
              <w:jc w:val="left"/>
              <w:rPr>
                <w:rFonts w:ascii="Arial Narrow" w:hAnsi="Arial Narrow"/>
                <w:sz w:val="20"/>
                <w:szCs w:val="20"/>
              </w:rPr>
            </w:pPr>
            <w:r w:rsidRPr="00DA3C6E">
              <w:rPr>
                <w:rFonts w:ascii="Arial Narrow" w:hAnsi="Arial Narrow"/>
                <w:sz w:val="20"/>
                <w:szCs w:val="20"/>
              </w:rPr>
              <w:t>MBS Cost</w:t>
            </w:r>
          </w:p>
        </w:tc>
        <w:tc>
          <w:tcPr>
            <w:tcW w:w="707" w:type="pct"/>
            <w:shd w:val="clear" w:color="auto" w:fill="auto"/>
            <w:vAlign w:val="center"/>
          </w:tcPr>
          <w:p w14:paraId="0BB0293F"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sz w:val="20"/>
                <w:szCs w:val="20"/>
              </w:rPr>
              <w:t>$1,892,537</w:t>
            </w:r>
          </w:p>
        </w:tc>
        <w:tc>
          <w:tcPr>
            <w:tcW w:w="801" w:type="pct"/>
            <w:gridSpan w:val="2"/>
            <w:shd w:val="clear" w:color="auto" w:fill="auto"/>
            <w:vAlign w:val="center"/>
          </w:tcPr>
          <w:p w14:paraId="002B1D26"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sz w:val="20"/>
                <w:szCs w:val="20"/>
              </w:rPr>
              <w:t>$1,993,341</w:t>
            </w:r>
          </w:p>
        </w:tc>
        <w:tc>
          <w:tcPr>
            <w:tcW w:w="754" w:type="pct"/>
            <w:shd w:val="clear" w:color="auto" w:fill="auto"/>
            <w:vAlign w:val="center"/>
          </w:tcPr>
          <w:p w14:paraId="1109E451"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sz w:val="20"/>
                <w:szCs w:val="20"/>
              </w:rPr>
              <w:t>$2,094,145</w:t>
            </w:r>
          </w:p>
        </w:tc>
        <w:tc>
          <w:tcPr>
            <w:tcW w:w="756" w:type="pct"/>
            <w:shd w:val="clear" w:color="auto" w:fill="auto"/>
            <w:vAlign w:val="center"/>
          </w:tcPr>
          <w:p w14:paraId="4388C308"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sz w:val="20"/>
                <w:szCs w:val="20"/>
              </w:rPr>
              <w:t>$2,194,949</w:t>
            </w:r>
          </w:p>
        </w:tc>
        <w:tc>
          <w:tcPr>
            <w:tcW w:w="758" w:type="pct"/>
            <w:shd w:val="clear" w:color="auto" w:fill="auto"/>
            <w:vAlign w:val="center"/>
          </w:tcPr>
          <w:p w14:paraId="70AED650"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sz w:val="20"/>
                <w:szCs w:val="20"/>
              </w:rPr>
              <w:t>$2,295,753</w:t>
            </w:r>
          </w:p>
        </w:tc>
      </w:tr>
      <w:tr w:rsidR="005A2158" w:rsidRPr="00DA3C6E" w14:paraId="55276B01" w14:textId="77777777" w:rsidTr="00CF0291">
        <w:trPr>
          <w:trHeight w:val="300"/>
        </w:trPr>
        <w:tc>
          <w:tcPr>
            <w:tcW w:w="1224" w:type="pct"/>
            <w:shd w:val="clear" w:color="auto" w:fill="auto"/>
            <w:vAlign w:val="center"/>
          </w:tcPr>
          <w:p w14:paraId="5CFD73E7" w14:textId="77777777" w:rsidR="005A2158" w:rsidRPr="00DA3C6E" w:rsidRDefault="005A2158" w:rsidP="00CF0291">
            <w:pPr>
              <w:widowControl w:val="0"/>
              <w:spacing w:before="40" w:after="40" w:line="240" w:lineRule="auto"/>
              <w:jc w:val="left"/>
              <w:rPr>
                <w:rFonts w:ascii="Arial Narrow" w:hAnsi="Arial Narrow"/>
                <w:b/>
                <w:sz w:val="20"/>
                <w:szCs w:val="20"/>
              </w:rPr>
            </w:pPr>
            <w:r w:rsidRPr="00DA3C6E">
              <w:rPr>
                <w:rFonts w:ascii="Arial Narrow" w:hAnsi="Arial Narrow"/>
                <w:b/>
                <w:sz w:val="20"/>
                <w:szCs w:val="20"/>
              </w:rPr>
              <w:t>Net cost</w:t>
            </w:r>
          </w:p>
        </w:tc>
        <w:tc>
          <w:tcPr>
            <w:tcW w:w="707" w:type="pct"/>
            <w:shd w:val="clear" w:color="auto" w:fill="auto"/>
            <w:vAlign w:val="center"/>
          </w:tcPr>
          <w:p w14:paraId="02545889"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b/>
                <w:sz w:val="20"/>
                <w:szCs w:val="20"/>
              </w:rPr>
              <w:t>-6,795,689</w:t>
            </w:r>
          </w:p>
        </w:tc>
        <w:tc>
          <w:tcPr>
            <w:tcW w:w="801" w:type="pct"/>
            <w:gridSpan w:val="2"/>
            <w:shd w:val="clear" w:color="auto" w:fill="auto"/>
            <w:vAlign w:val="center"/>
          </w:tcPr>
          <w:p w14:paraId="78D53DA8"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b/>
                <w:sz w:val="20"/>
                <w:szCs w:val="20"/>
              </w:rPr>
              <w:t>-$7,157,653</w:t>
            </w:r>
          </w:p>
        </w:tc>
        <w:tc>
          <w:tcPr>
            <w:tcW w:w="754" w:type="pct"/>
            <w:shd w:val="clear" w:color="auto" w:fill="auto"/>
            <w:vAlign w:val="center"/>
          </w:tcPr>
          <w:p w14:paraId="27AB5796"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b/>
                <w:sz w:val="20"/>
                <w:szCs w:val="20"/>
              </w:rPr>
              <w:t>-$7,519,618</w:t>
            </w:r>
          </w:p>
        </w:tc>
        <w:tc>
          <w:tcPr>
            <w:tcW w:w="756" w:type="pct"/>
            <w:shd w:val="clear" w:color="auto" w:fill="auto"/>
            <w:vAlign w:val="center"/>
          </w:tcPr>
          <w:p w14:paraId="734BE224"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b/>
                <w:sz w:val="20"/>
                <w:szCs w:val="20"/>
              </w:rPr>
              <w:t>-$7,881,583</w:t>
            </w:r>
          </w:p>
        </w:tc>
        <w:tc>
          <w:tcPr>
            <w:tcW w:w="758" w:type="pct"/>
            <w:shd w:val="clear" w:color="auto" w:fill="auto"/>
            <w:vAlign w:val="center"/>
          </w:tcPr>
          <w:p w14:paraId="412F7850" w14:textId="77777777" w:rsidR="005A2158" w:rsidRPr="00DA3C6E" w:rsidRDefault="005A2158" w:rsidP="00CF0291">
            <w:pPr>
              <w:widowControl w:val="0"/>
              <w:spacing w:before="40" w:after="40" w:line="240" w:lineRule="auto"/>
              <w:jc w:val="center"/>
              <w:rPr>
                <w:rFonts w:ascii="Arial Narrow" w:hAnsi="Arial Narrow"/>
                <w:b/>
                <w:sz w:val="20"/>
                <w:szCs w:val="20"/>
              </w:rPr>
            </w:pPr>
            <w:r w:rsidRPr="00DA3C6E">
              <w:rPr>
                <w:rFonts w:ascii="Arial Narrow" w:hAnsi="Arial Narrow"/>
                <w:b/>
                <w:sz w:val="20"/>
                <w:szCs w:val="20"/>
              </w:rPr>
              <w:t>-$8,243,547</w:t>
            </w:r>
          </w:p>
        </w:tc>
      </w:tr>
    </w:tbl>
    <w:p w14:paraId="6440EC50" w14:textId="12B239DA" w:rsidR="005A2158" w:rsidRPr="00DA3C6E" w:rsidRDefault="005A2158" w:rsidP="0073359F">
      <w:pPr>
        <w:pStyle w:val="Heading2"/>
        <w:numPr>
          <w:ilvl w:val="4"/>
          <w:numId w:val="61"/>
        </w:numPr>
        <w:jc w:val="left"/>
      </w:pPr>
      <w:bookmarkStart w:id="379" w:name="_Toc37845788"/>
      <w:r w:rsidRPr="00DA3C6E">
        <w:t xml:space="preserve">Financial Implications for </w:t>
      </w:r>
      <w:r w:rsidR="00A5773A" w:rsidRPr="00DA3C6E">
        <w:t xml:space="preserve">the </w:t>
      </w:r>
      <w:r w:rsidRPr="00DA3C6E">
        <w:t>Government Health Budget</w:t>
      </w:r>
      <w:bookmarkEnd w:id="379"/>
    </w:p>
    <w:p w14:paraId="29B6A8EF" w14:textId="77777777" w:rsidR="005A2158" w:rsidRPr="00DA3C6E" w:rsidRDefault="005A2158" w:rsidP="00CF0291">
      <w:pPr>
        <w:pStyle w:val="Heading3"/>
      </w:pPr>
      <w:bookmarkStart w:id="380" w:name="_Toc37845789"/>
      <w:r w:rsidRPr="00DA3C6E">
        <w:t>Other Government Impacts</w:t>
      </w:r>
      <w:bookmarkEnd w:id="380"/>
    </w:p>
    <w:p w14:paraId="5F7B9391" w14:textId="40BBAF07" w:rsidR="005A2158" w:rsidRPr="00DA3C6E" w:rsidRDefault="005A2158" w:rsidP="00CF0291">
      <w:r w:rsidRPr="00DA3C6E">
        <w:t xml:space="preserve">As part of the administration of </w:t>
      </w:r>
      <w:r w:rsidR="00225421" w:rsidRPr="00DA3C6E">
        <w:t xml:space="preserve">intravenous Ig </w:t>
      </w:r>
      <w:r w:rsidRPr="00DA3C6E">
        <w:t xml:space="preserve">costs, it was assumed that </w:t>
      </w:r>
      <w:r w:rsidR="008641B0" w:rsidRPr="00DA3C6E">
        <w:t>all patients receive prophylactic antihistamines as a preventative measure for infusion reactions</w:t>
      </w:r>
      <w:r w:rsidRPr="00DA3C6E">
        <w:t xml:space="preserve">. The use of antihistamines impacts the PBS and a summary of the overall costs is presented in </w:t>
      </w:r>
      <w:r w:rsidRPr="00DA3C6E">
        <w:fldChar w:fldCharType="begin"/>
      </w:r>
      <w:r w:rsidRPr="00DA3C6E">
        <w:instrText xml:space="preserve"> REF _Ref29900653 \h </w:instrText>
      </w:r>
      <w:r w:rsidR="00E8759F" w:rsidRPr="00DA3C6E">
        <w:instrText xml:space="preserve"> \* MERGEFORMAT </w:instrText>
      </w:r>
      <w:r w:rsidRPr="00DA3C6E">
        <w:fldChar w:fldCharType="separate"/>
      </w:r>
      <w:r w:rsidR="00EA5DC1" w:rsidRPr="00D96AFB">
        <w:t xml:space="preserve">Table </w:t>
      </w:r>
      <w:r w:rsidR="00EA5DC1">
        <w:rPr>
          <w:noProof/>
        </w:rPr>
        <w:t>45</w:t>
      </w:r>
      <w:r w:rsidRPr="00DA3C6E">
        <w:fldChar w:fldCharType="end"/>
      </w:r>
      <w:r w:rsidRPr="00DA3C6E">
        <w:t xml:space="preserve">. </w:t>
      </w:r>
    </w:p>
    <w:p w14:paraId="22D90B1A" w14:textId="503419E9" w:rsidR="005A2158" w:rsidRPr="00D96AFB" w:rsidRDefault="005A2158" w:rsidP="00D96AFB">
      <w:pPr>
        <w:pStyle w:val="Caption"/>
      </w:pPr>
      <w:bookmarkStart w:id="381" w:name="_Ref29900653"/>
      <w:bookmarkStart w:id="382" w:name="_Toc37845848"/>
      <w:r w:rsidRPr="00D96AFB">
        <w:t xml:space="preserve">Table </w:t>
      </w:r>
      <w:r w:rsidR="00515153">
        <w:fldChar w:fldCharType="begin"/>
      </w:r>
      <w:r w:rsidR="00515153">
        <w:instrText xml:space="preserve"> SEQ Table \* ARABIC </w:instrText>
      </w:r>
      <w:r w:rsidR="00515153">
        <w:fldChar w:fldCharType="separate"/>
      </w:r>
      <w:r w:rsidR="00EA5DC1">
        <w:rPr>
          <w:noProof/>
        </w:rPr>
        <w:t>45</w:t>
      </w:r>
      <w:r w:rsidR="00515153">
        <w:rPr>
          <w:noProof/>
        </w:rPr>
        <w:fldChar w:fldCharType="end"/>
      </w:r>
      <w:bookmarkEnd w:id="381"/>
      <w:r w:rsidRPr="00D96AFB">
        <w:t xml:space="preserve">. Estimated costs associated </w:t>
      </w:r>
      <w:r w:rsidR="00A5773A" w:rsidRPr="00D96AFB">
        <w:t xml:space="preserve">with </w:t>
      </w:r>
      <w:r w:rsidRPr="00D96AFB">
        <w:t xml:space="preserve">the use of premedications for </w:t>
      </w:r>
      <w:r w:rsidR="000E1893" w:rsidRPr="00D96AFB">
        <w:t>i</w:t>
      </w:r>
      <w:r w:rsidR="00C55E03" w:rsidRPr="00D96AFB">
        <w:t xml:space="preserve">ntravenous Ig </w:t>
      </w:r>
      <w:r w:rsidRPr="00D96AFB">
        <w:t>related infusion reactions</w:t>
      </w:r>
      <w:bookmarkEnd w:id="382"/>
    </w:p>
    <w:tbl>
      <w:tblPr>
        <w:tblStyle w:val="TableGrid"/>
        <w:tblW w:w="0" w:type="auto"/>
        <w:tblLayout w:type="fixed"/>
        <w:tblLook w:val="04A0" w:firstRow="1" w:lastRow="0" w:firstColumn="1" w:lastColumn="0" w:noHBand="0" w:noVBand="1"/>
        <w:tblCaption w:val="Table 45. Estimated costs associated with the use of premedications for intravenous Ig related infusion reactions"/>
      </w:tblPr>
      <w:tblGrid>
        <w:gridCol w:w="2263"/>
        <w:gridCol w:w="1134"/>
        <w:gridCol w:w="1080"/>
        <w:gridCol w:w="1047"/>
        <w:gridCol w:w="1134"/>
        <w:gridCol w:w="1134"/>
        <w:gridCol w:w="1224"/>
      </w:tblGrid>
      <w:tr w:rsidR="005A2158" w:rsidRPr="00DA3C6E" w14:paraId="6D7D4B4B" w14:textId="77777777" w:rsidTr="00D56F4F">
        <w:trPr>
          <w:trHeight w:val="315"/>
          <w:tblHeader/>
        </w:trPr>
        <w:tc>
          <w:tcPr>
            <w:tcW w:w="2263" w:type="dxa"/>
            <w:noWrap/>
            <w:vAlign w:val="center"/>
          </w:tcPr>
          <w:p w14:paraId="7B8BADB9" w14:textId="77777777" w:rsidR="005A2158" w:rsidRPr="00DA3C6E" w:rsidRDefault="005A2158" w:rsidP="00CF0291">
            <w:pPr>
              <w:spacing w:after="0" w:line="240" w:lineRule="auto"/>
              <w:jc w:val="left"/>
              <w:rPr>
                <w:rFonts w:ascii="Arial Narrow" w:hAnsi="Arial Narrow"/>
                <w:b/>
                <w:sz w:val="20"/>
                <w:szCs w:val="20"/>
              </w:rPr>
            </w:pPr>
          </w:p>
        </w:tc>
        <w:tc>
          <w:tcPr>
            <w:tcW w:w="1134" w:type="dxa"/>
            <w:noWrap/>
            <w:vAlign w:val="center"/>
          </w:tcPr>
          <w:p w14:paraId="389484C6"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1</w:t>
            </w:r>
          </w:p>
        </w:tc>
        <w:tc>
          <w:tcPr>
            <w:tcW w:w="1080" w:type="dxa"/>
            <w:noWrap/>
            <w:vAlign w:val="center"/>
          </w:tcPr>
          <w:p w14:paraId="34B66F6E"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2</w:t>
            </w:r>
          </w:p>
        </w:tc>
        <w:tc>
          <w:tcPr>
            <w:tcW w:w="1047" w:type="dxa"/>
            <w:noWrap/>
            <w:vAlign w:val="center"/>
          </w:tcPr>
          <w:p w14:paraId="55DD9E16"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3</w:t>
            </w:r>
          </w:p>
        </w:tc>
        <w:tc>
          <w:tcPr>
            <w:tcW w:w="1134" w:type="dxa"/>
            <w:noWrap/>
            <w:vAlign w:val="center"/>
          </w:tcPr>
          <w:p w14:paraId="320684A4"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4</w:t>
            </w:r>
          </w:p>
        </w:tc>
        <w:tc>
          <w:tcPr>
            <w:tcW w:w="1134" w:type="dxa"/>
            <w:noWrap/>
            <w:vAlign w:val="center"/>
          </w:tcPr>
          <w:p w14:paraId="3F1B4877"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cs="Calibri"/>
                <w:b/>
                <w:bCs/>
                <w:color w:val="000000"/>
                <w:sz w:val="20"/>
                <w:szCs w:val="20"/>
              </w:rPr>
              <w:t>Year 5</w:t>
            </w:r>
          </w:p>
        </w:tc>
        <w:tc>
          <w:tcPr>
            <w:tcW w:w="1224" w:type="dxa"/>
            <w:noWrap/>
            <w:vAlign w:val="center"/>
          </w:tcPr>
          <w:p w14:paraId="14B7E29D"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Total over 5 years</w:t>
            </w:r>
          </w:p>
        </w:tc>
      </w:tr>
      <w:tr w:rsidR="005A2158" w:rsidRPr="00DA3C6E" w14:paraId="5D2FE41B" w14:textId="77777777" w:rsidTr="00CF0291">
        <w:trPr>
          <w:trHeight w:val="315"/>
        </w:trPr>
        <w:tc>
          <w:tcPr>
            <w:tcW w:w="2263" w:type="dxa"/>
            <w:noWrap/>
            <w:vAlign w:val="bottom"/>
          </w:tcPr>
          <w:p w14:paraId="7ABE672A"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cs="Calibri"/>
                <w:sz w:val="20"/>
                <w:szCs w:val="20"/>
              </w:rPr>
              <w:t>MMN prevalent cases</w:t>
            </w:r>
          </w:p>
        </w:tc>
        <w:tc>
          <w:tcPr>
            <w:tcW w:w="1134" w:type="dxa"/>
            <w:noWrap/>
            <w:vAlign w:val="center"/>
          </w:tcPr>
          <w:p w14:paraId="7588BE40"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627</w:t>
            </w:r>
          </w:p>
        </w:tc>
        <w:tc>
          <w:tcPr>
            <w:tcW w:w="1080" w:type="dxa"/>
            <w:noWrap/>
            <w:vAlign w:val="center"/>
          </w:tcPr>
          <w:p w14:paraId="19F7912B"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660</w:t>
            </w:r>
          </w:p>
        </w:tc>
        <w:tc>
          <w:tcPr>
            <w:tcW w:w="1047" w:type="dxa"/>
            <w:noWrap/>
            <w:vAlign w:val="center"/>
          </w:tcPr>
          <w:p w14:paraId="4988D219"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694</w:t>
            </w:r>
          </w:p>
        </w:tc>
        <w:tc>
          <w:tcPr>
            <w:tcW w:w="1134" w:type="dxa"/>
            <w:noWrap/>
            <w:vAlign w:val="center"/>
          </w:tcPr>
          <w:p w14:paraId="20F0DAC2"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727</w:t>
            </w:r>
          </w:p>
        </w:tc>
        <w:tc>
          <w:tcPr>
            <w:tcW w:w="1134" w:type="dxa"/>
            <w:noWrap/>
            <w:vAlign w:val="center"/>
          </w:tcPr>
          <w:p w14:paraId="5304F780"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761</w:t>
            </w:r>
          </w:p>
        </w:tc>
        <w:tc>
          <w:tcPr>
            <w:tcW w:w="1224" w:type="dxa"/>
            <w:noWrap/>
            <w:vAlign w:val="center"/>
          </w:tcPr>
          <w:p w14:paraId="0097DE18" w14:textId="77777777" w:rsidR="005A2158" w:rsidRPr="00DA3C6E" w:rsidRDefault="005A2158" w:rsidP="00633640">
            <w:pPr>
              <w:spacing w:after="0" w:line="240" w:lineRule="auto"/>
              <w:ind w:left="0"/>
              <w:rPr>
                <w:rFonts w:ascii="Arial Narrow" w:hAnsi="Arial Narrow"/>
                <w:sz w:val="20"/>
                <w:szCs w:val="20"/>
              </w:rPr>
            </w:pPr>
          </w:p>
        </w:tc>
      </w:tr>
      <w:tr w:rsidR="005A2158" w:rsidRPr="00DA3C6E" w14:paraId="6A221B53" w14:textId="77777777" w:rsidTr="00CF0291">
        <w:trPr>
          <w:trHeight w:val="315"/>
        </w:trPr>
        <w:tc>
          <w:tcPr>
            <w:tcW w:w="2263" w:type="dxa"/>
            <w:noWrap/>
            <w:vAlign w:val="center"/>
            <w:hideMark/>
          </w:tcPr>
          <w:p w14:paraId="114ED227"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Number of episodes per patient/year</w:t>
            </w:r>
          </w:p>
        </w:tc>
        <w:tc>
          <w:tcPr>
            <w:tcW w:w="1134" w:type="dxa"/>
            <w:noWrap/>
            <w:vAlign w:val="center"/>
            <w:hideMark/>
          </w:tcPr>
          <w:p w14:paraId="17E0E82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080" w:type="dxa"/>
            <w:noWrap/>
            <w:vAlign w:val="center"/>
            <w:hideMark/>
          </w:tcPr>
          <w:p w14:paraId="2A36ECAC"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047" w:type="dxa"/>
            <w:noWrap/>
            <w:vAlign w:val="center"/>
            <w:hideMark/>
          </w:tcPr>
          <w:p w14:paraId="1822476C"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134" w:type="dxa"/>
            <w:noWrap/>
            <w:vAlign w:val="center"/>
            <w:hideMark/>
          </w:tcPr>
          <w:p w14:paraId="761AB1E7"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134" w:type="dxa"/>
            <w:noWrap/>
            <w:vAlign w:val="center"/>
            <w:hideMark/>
          </w:tcPr>
          <w:p w14:paraId="7927E98B"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14.77</w:t>
            </w:r>
          </w:p>
        </w:tc>
        <w:tc>
          <w:tcPr>
            <w:tcW w:w="1224" w:type="dxa"/>
            <w:noWrap/>
            <w:vAlign w:val="center"/>
            <w:hideMark/>
          </w:tcPr>
          <w:p w14:paraId="0B3778CE" w14:textId="77777777" w:rsidR="005A2158" w:rsidRPr="00DA3C6E" w:rsidRDefault="005A2158" w:rsidP="00633640">
            <w:pPr>
              <w:spacing w:after="0" w:line="240" w:lineRule="auto"/>
              <w:ind w:left="0"/>
              <w:rPr>
                <w:rFonts w:ascii="Arial Narrow" w:hAnsi="Arial Narrow"/>
                <w:sz w:val="20"/>
                <w:szCs w:val="20"/>
              </w:rPr>
            </w:pPr>
          </w:p>
        </w:tc>
      </w:tr>
      <w:tr w:rsidR="005A2158" w:rsidRPr="00DA3C6E" w14:paraId="5E77592B" w14:textId="77777777" w:rsidTr="00CF0291">
        <w:trPr>
          <w:trHeight w:val="315"/>
        </w:trPr>
        <w:tc>
          <w:tcPr>
            <w:tcW w:w="2263" w:type="dxa"/>
            <w:noWrap/>
            <w:vAlign w:val="center"/>
          </w:tcPr>
          <w:p w14:paraId="397F2A9A" w14:textId="77777777" w:rsidR="005A2158" w:rsidRPr="00DA3C6E" w:rsidRDefault="005A2158" w:rsidP="000E1893">
            <w:pPr>
              <w:spacing w:after="0" w:line="240" w:lineRule="auto"/>
              <w:ind w:left="0"/>
              <w:jc w:val="left"/>
              <w:rPr>
                <w:rFonts w:ascii="Arial Narrow" w:hAnsi="Arial Narrow"/>
                <w:sz w:val="20"/>
                <w:szCs w:val="20"/>
              </w:rPr>
            </w:pPr>
            <w:r w:rsidRPr="00DA3C6E">
              <w:rPr>
                <w:rFonts w:ascii="Arial Narrow" w:hAnsi="Arial Narrow"/>
                <w:sz w:val="20"/>
                <w:szCs w:val="20"/>
              </w:rPr>
              <w:t xml:space="preserve">Total </w:t>
            </w:r>
            <w:r w:rsidR="000E1893" w:rsidRPr="00DA3C6E">
              <w:rPr>
                <w:rFonts w:ascii="Arial Narrow" w:hAnsi="Arial Narrow"/>
                <w:sz w:val="20"/>
                <w:szCs w:val="20"/>
              </w:rPr>
              <w:t xml:space="preserve">prophylactic </w:t>
            </w:r>
            <w:r w:rsidRPr="00DA3C6E">
              <w:rPr>
                <w:rFonts w:ascii="Arial Narrow" w:hAnsi="Arial Narrow"/>
                <w:sz w:val="20"/>
                <w:szCs w:val="20"/>
              </w:rPr>
              <w:t>medications</w:t>
            </w:r>
            <w:r w:rsidR="000E1893" w:rsidRPr="00DA3C6E">
              <w:rPr>
                <w:rFonts w:ascii="Arial Narrow" w:hAnsi="Arial Narrow"/>
                <w:sz w:val="20"/>
                <w:szCs w:val="20"/>
                <w:vertAlign w:val="superscript"/>
              </w:rPr>
              <w:t>a</w:t>
            </w:r>
            <w:r w:rsidRPr="00DA3C6E">
              <w:rPr>
                <w:rFonts w:ascii="Arial Narrow" w:hAnsi="Arial Narrow"/>
                <w:sz w:val="20"/>
                <w:szCs w:val="20"/>
              </w:rPr>
              <w:t xml:space="preserve"> cost per episode</w:t>
            </w:r>
          </w:p>
        </w:tc>
        <w:tc>
          <w:tcPr>
            <w:tcW w:w="1134" w:type="dxa"/>
            <w:noWrap/>
            <w:vAlign w:val="center"/>
          </w:tcPr>
          <w:p w14:paraId="5E921B8D"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$35.07</w:t>
            </w:r>
          </w:p>
        </w:tc>
        <w:tc>
          <w:tcPr>
            <w:tcW w:w="1080" w:type="dxa"/>
            <w:noWrap/>
            <w:vAlign w:val="center"/>
          </w:tcPr>
          <w:p w14:paraId="2637E69C"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$35.07</w:t>
            </w:r>
          </w:p>
        </w:tc>
        <w:tc>
          <w:tcPr>
            <w:tcW w:w="1047" w:type="dxa"/>
            <w:noWrap/>
            <w:vAlign w:val="center"/>
          </w:tcPr>
          <w:p w14:paraId="4996C836"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$35.07</w:t>
            </w:r>
          </w:p>
        </w:tc>
        <w:tc>
          <w:tcPr>
            <w:tcW w:w="1134" w:type="dxa"/>
            <w:noWrap/>
            <w:vAlign w:val="center"/>
          </w:tcPr>
          <w:p w14:paraId="388B9BC8"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$35.07</w:t>
            </w:r>
          </w:p>
        </w:tc>
        <w:tc>
          <w:tcPr>
            <w:tcW w:w="1134" w:type="dxa"/>
            <w:noWrap/>
            <w:vAlign w:val="center"/>
          </w:tcPr>
          <w:p w14:paraId="5EE40B2A" w14:textId="77777777" w:rsidR="005A2158" w:rsidRPr="00DA3C6E" w:rsidRDefault="005A2158" w:rsidP="00CF0291">
            <w:pPr>
              <w:spacing w:after="0" w:line="240" w:lineRule="auto"/>
              <w:ind w:left="0"/>
              <w:jc w:val="center"/>
              <w:rPr>
                <w:rFonts w:ascii="Arial Narrow" w:hAnsi="Arial Narrow"/>
                <w:sz w:val="20"/>
                <w:szCs w:val="20"/>
              </w:rPr>
            </w:pPr>
            <w:r w:rsidRPr="00DA3C6E">
              <w:rPr>
                <w:rFonts w:ascii="Arial Narrow" w:hAnsi="Arial Narrow"/>
                <w:sz w:val="20"/>
                <w:szCs w:val="20"/>
              </w:rPr>
              <w:t>$35.07</w:t>
            </w:r>
          </w:p>
        </w:tc>
        <w:tc>
          <w:tcPr>
            <w:tcW w:w="1224" w:type="dxa"/>
            <w:noWrap/>
            <w:vAlign w:val="center"/>
          </w:tcPr>
          <w:p w14:paraId="6D8D3D58" w14:textId="77777777" w:rsidR="005A2158" w:rsidRPr="00DA3C6E" w:rsidRDefault="005A2158" w:rsidP="00633640">
            <w:pPr>
              <w:spacing w:after="0" w:line="240" w:lineRule="auto"/>
              <w:ind w:left="0"/>
              <w:rPr>
                <w:rFonts w:ascii="Arial Narrow" w:hAnsi="Arial Narrow"/>
                <w:sz w:val="20"/>
                <w:szCs w:val="20"/>
              </w:rPr>
            </w:pPr>
          </w:p>
        </w:tc>
      </w:tr>
      <w:tr w:rsidR="005A2158" w:rsidRPr="00DA3C6E" w14:paraId="387A2B3E" w14:textId="77777777" w:rsidTr="00CF0291">
        <w:trPr>
          <w:trHeight w:val="315"/>
        </w:trPr>
        <w:tc>
          <w:tcPr>
            <w:tcW w:w="2263" w:type="dxa"/>
            <w:noWrap/>
            <w:vAlign w:val="center"/>
            <w:hideMark/>
          </w:tcPr>
          <w:p w14:paraId="23A4BEBC"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Pre-medication costs</w:t>
            </w:r>
          </w:p>
          <w:p w14:paraId="0235EC4C"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Cost to the PBS</w:t>
            </w:r>
          </w:p>
        </w:tc>
        <w:tc>
          <w:tcPr>
            <w:tcW w:w="1134" w:type="dxa"/>
            <w:noWrap/>
            <w:vAlign w:val="center"/>
            <w:hideMark/>
          </w:tcPr>
          <w:p w14:paraId="69B6C359"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$324,737</w:t>
            </w:r>
          </w:p>
        </w:tc>
        <w:tc>
          <w:tcPr>
            <w:tcW w:w="1080" w:type="dxa"/>
            <w:noWrap/>
            <w:vAlign w:val="center"/>
            <w:hideMark/>
          </w:tcPr>
          <w:p w14:paraId="23711FD4"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$342,034</w:t>
            </w:r>
          </w:p>
        </w:tc>
        <w:tc>
          <w:tcPr>
            <w:tcW w:w="1047" w:type="dxa"/>
            <w:noWrap/>
            <w:vAlign w:val="center"/>
            <w:hideMark/>
          </w:tcPr>
          <w:p w14:paraId="45DEC11C"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$359,331</w:t>
            </w:r>
          </w:p>
        </w:tc>
        <w:tc>
          <w:tcPr>
            <w:tcW w:w="1134" w:type="dxa"/>
            <w:noWrap/>
            <w:vAlign w:val="center"/>
            <w:hideMark/>
          </w:tcPr>
          <w:p w14:paraId="0DA338C0"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$376,628</w:t>
            </w:r>
          </w:p>
        </w:tc>
        <w:tc>
          <w:tcPr>
            <w:tcW w:w="1134" w:type="dxa"/>
            <w:noWrap/>
            <w:vAlign w:val="center"/>
            <w:hideMark/>
          </w:tcPr>
          <w:p w14:paraId="49C4CE9A"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$393,924</w:t>
            </w:r>
          </w:p>
        </w:tc>
        <w:tc>
          <w:tcPr>
            <w:tcW w:w="1224" w:type="dxa"/>
            <w:noWrap/>
            <w:vAlign w:val="center"/>
            <w:hideMark/>
          </w:tcPr>
          <w:p w14:paraId="1E36D445" w14:textId="77777777" w:rsidR="005A2158" w:rsidRPr="00DA3C6E" w:rsidRDefault="005A2158" w:rsidP="00CF0291">
            <w:pPr>
              <w:spacing w:after="0" w:line="240" w:lineRule="auto"/>
              <w:ind w:left="0"/>
              <w:jc w:val="center"/>
              <w:rPr>
                <w:rFonts w:ascii="Arial Narrow" w:hAnsi="Arial Narrow"/>
                <w:b/>
                <w:sz w:val="20"/>
                <w:szCs w:val="20"/>
              </w:rPr>
            </w:pPr>
            <w:r w:rsidRPr="00DA3C6E">
              <w:rPr>
                <w:rFonts w:ascii="Arial Narrow" w:hAnsi="Arial Narrow"/>
                <w:b/>
                <w:sz w:val="20"/>
                <w:szCs w:val="20"/>
              </w:rPr>
              <w:t>$1,796,654</w:t>
            </w:r>
          </w:p>
        </w:tc>
      </w:tr>
    </w:tbl>
    <w:p w14:paraId="41D9AAA3" w14:textId="77777777" w:rsidR="005A2158" w:rsidRPr="00DA3C6E" w:rsidRDefault="005A2158" w:rsidP="008E001F">
      <w:pPr>
        <w:pStyle w:val="Tablenotes0"/>
        <w:spacing w:after="0"/>
      </w:pPr>
      <w:r w:rsidRPr="00DA3C6E">
        <w:t>Abbreviations: Ig = immunoglobulin; MMN = multifocal motor neuropathy; PBS = Pharmaceutical Benefit Scheme.</w:t>
      </w:r>
    </w:p>
    <w:p w14:paraId="56740322" w14:textId="77777777" w:rsidR="000E1893" w:rsidRPr="00DA3C6E" w:rsidRDefault="000E1893" w:rsidP="008E001F">
      <w:pPr>
        <w:pStyle w:val="Tablenotes0"/>
        <w:spacing w:after="0"/>
      </w:pPr>
      <w:r w:rsidRPr="00DA3C6E">
        <w:t xml:space="preserve">Note: </w:t>
      </w:r>
      <w:r w:rsidRPr="00DA3C6E">
        <w:rPr>
          <w:vertAlign w:val="superscript"/>
        </w:rPr>
        <w:t>a</w:t>
      </w:r>
      <w:r w:rsidRPr="00DA3C6E">
        <w:t>In hospital use of promethazine hydrochloride 50 mg/2 mL injection</w:t>
      </w:r>
    </w:p>
    <w:p w14:paraId="3BA919FA" w14:textId="77777777" w:rsidR="005A2158" w:rsidRPr="00DA3C6E" w:rsidRDefault="005A2158" w:rsidP="00FA72EB">
      <w:pPr>
        <w:pStyle w:val="Tablenotes0"/>
        <w:spacing w:after="240"/>
      </w:pPr>
      <w:r w:rsidRPr="00DA3C6E">
        <w:t>Source: HTA Conditions Report 1, 2 and 3 provided by the NBA on 06 January 2020 (‘Phase 2 HTA conditions data.xlsx' workbook).</w:t>
      </w:r>
    </w:p>
    <w:p w14:paraId="61565180" w14:textId="27EA336C" w:rsidR="005A2158" w:rsidRDefault="005A2158" w:rsidP="00CF0291">
      <w:r w:rsidRPr="00DA3C6E">
        <w:t xml:space="preserve">The net financial implications for the government budget associated with the funding of </w:t>
      </w:r>
      <w:r w:rsidR="00C55E03" w:rsidRPr="00DA3C6E">
        <w:t xml:space="preserve">intravenous Ig </w:t>
      </w:r>
      <w:r w:rsidR="00CE12E8" w:rsidRPr="00DA3C6E">
        <w:t>for</w:t>
      </w:r>
      <w:r w:rsidRPr="00DA3C6E">
        <w:t xml:space="preserve"> the treatment of MMN patients in Australia are presented in </w:t>
      </w:r>
      <w:r w:rsidRPr="00DA3C6E">
        <w:fldChar w:fldCharType="begin"/>
      </w:r>
      <w:r w:rsidRPr="00DA3C6E">
        <w:instrText xml:space="preserve"> REF _Ref29901951 \h  \* MERGEFORMAT </w:instrText>
      </w:r>
      <w:r w:rsidRPr="00DA3C6E">
        <w:fldChar w:fldCharType="separate"/>
      </w:r>
      <w:r w:rsidR="00EA5DC1" w:rsidRPr="00D96AFB">
        <w:t xml:space="preserve">Table </w:t>
      </w:r>
      <w:r w:rsidR="00EA5DC1">
        <w:rPr>
          <w:noProof/>
        </w:rPr>
        <w:t>46</w:t>
      </w:r>
      <w:r w:rsidRPr="00DA3C6E">
        <w:fldChar w:fldCharType="end"/>
      </w:r>
      <w:r w:rsidR="00225421" w:rsidRPr="00DA3C6E">
        <w:fldChar w:fldCharType="begin"/>
      </w:r>
      <w:r w:rsidR="00225421" w:rsidRPr="00DA3C6E">
        <w:instrText xml:space="preserve"> REF _Ref29901951 \h </w:instrText>
      </w:r>
      <w:r w:rsidR="00E8759F" w:rsidRPr="00DA3C6E">
        <w:instrText xml:space="preserve"> \* MERGEFORMAT </w:instrText>
      </w:r>
      <w:r w:rsidR="00225421" w:rsidRPr="00DA3C6E">
        <w:fldChar w:fldCharType="separate"/>
      </w:r>
      <w:r w:rsidR="00EA5DC1" w:rsidRPr="00D96AFB">
        <w:t xml:space="preserve">Table </w:t>
      </w:r>
      <w:r w:rsidR="00EA5DC1">
        <w:rPr>
          <w:noProof/>
        </w:rPr>
        <w:t>46</w:t>
      </w:r>
      <w:r w:rsidR="00225421" w:rsidRPr="00DA3C6E">
        <w:fldChar w:fldCharType="end"/>
      </w:r>
      <w:r w:rsidRPr="00DA3C6E">
        <w:t xml:space="preserve">. </w:t>
      </w:r>
      <w:r w:rsidR="00225421" w:rsidRPr="00DA3C6E">
        <w:t xml:space="preserve">Overall, the net reduction in government costs of </w:t>
      </w:r>
      <w:r w:rsidR="0092391E" w:rsidRPr="00DA3C6E">
        <w:t>ceasing supply</w:t>
      </w:r>
      <w:r w:rsidR="00225421" w:rsidRPr="00DA3C6E">
        <w:t xml:space="preserve"> of intravenous Ig for the treatment of MMN would result in </w:t>
      </w:r>
      <w:r w:rsidR="00C5701B" w:rsidRPr="00DA3C6E">
        <w:t xml:space="preserve">a 5-year cost reduction of </w:t>
      </w:r>
      <w:r w:rsidR="0019700B" w:rsidRPr="00DA3C6E">
        <w:t xml:space="preserve">-$170,906,578. </w:t>
      </w:r>
    </w:p>
    <w:p w14:paraId="478198DB" w14:textId="6D8EBA41" w:rsidR="005A2158" w:rsidRPr="00D96AFB" w:rsidRDefault="005A2158" w:rsidP="00D96AFB">
      <w:pPr>
        <w:pStyle w:val="Caption"/>
      </w:pPr>
      <w:bookmarkStart w:id="383" w:name="_Ref29901951"/>
      <w:bookmarkStart w:id="384" w:name="_Toc37845849"/>
      <w:r w:rsidRPr="00D96AFB">
        <w:t xml:space="preserve">Table </w:t>
      </w:r>
      <w:r w:rsidR="00515153">
        <w:fldChar w:fldCharType="begin"/>
      </w:r>
      <w:r w:rsidR="00515153">
        <w:instrText xml:space="preserve"> SEQ Table \* AR</w:instrText>
      </w:r>
      <w:r w:rsidR="00515153">
        <w:instrText xml:space="preserve">ABIC </w:instrText>
      </w:r>
      <w:r w:rsidR="00515153">
        <w:fldChar w:fldCharType="separate"/>
      </w:r>
      <w:r w:rsidR="00EA5DC1">
        <w:rPr>
          <w:noProof/>
        </w:rPr>
        <w:t>46</w:t>
      </w:r>
      <w:r w:rsidR="00515153">
        <w:rPr>
          <w:noProof/>
        </w:rPr>
        <w:fldChar w:fldCharType="end"/>
      </w:r>
      <w:bookmarkEnd w:id="383"/>
      <w:r w:rsidRPr="00D96AFB">
        <w:t xml:space="preserve">. Net financial implications to government associated with the use of </w:t>
      </w:r>
      <w:r w:rsidR="003969B0" w:rsidRPr="00D96AFB">
        <w:t xml:space="preserve">intravenous Ig </w:t>
      </w:r>
      <w:r w:rsidRPr="00D96AFB">
        <w:t>for the treatment of MMN</w:t>
      </w:r>
      <w:bookmarkEnd w:id="384"/>
      <w:r w:rsidRPr="00D96AFB">
        <w:t xml:space="preserve"> </w:t>
      </w:r>
    </w:p>
    <w:tbl>
      <w:tblPr>
        <w:tblStyle w:val="TableGrid"/>
        <w:tblW w:w="9488" w:type="dxa"/>
        <w:tblLayout w:type="fixed"/>
        <w:tblLook w:val="04A0" w:firstRow="1" w:lastRow="0" w:firstColumn="1" w:lastColumn="0" w:noHBand="0" w:noVBand="1"/>
        <w:tblCaption w:val="Table 46. Net financial implications to government associated with the use of intravenous Ig for the treatment of MMN "/>
      </w:tblPr>
      <w:tblGrid>
        <w:gridCol w:w="591"/>
        <w:gridCol w:w="1492"/>
        <w:gridCol w:w="1193"/>
        <w:gridCol w:w="1342"/>
        <w:gridCol w:w="1193"/>
        <w:gridCol w:w="1193"/>
        <w:gridCol w:w="1193"/>
        <w:gridCol w:w="1291"/>
      </w:tblGrid>
      <w:tr w:rsidR="005A2158" w:rsidRPr="00D56F4F" w14:paraId="56C26750" w14:textId="77777777" w:rsidTr="00D56F4F">
        <w:trPr>
          <w:trHeight w:val="101"/>
          <w:tblHeader/>
        </w:trPr>
        <w:tc>
          <w:tcPr>
            <w:tcW w:w="591" w:type="dxa"/>
          </w:tcPr>
          <w:p w14:paraId="51D1DEFA" w14:textId="77777777" w:rsidR="005A2158" w:rsidRPr="00D56F4F" w:rsidRDefault="005A2158" w:rsidP="00CF0291">
            <w:pPr>
              <w:spacing w:after="0" w:line="240" w:lineRule="auto"/>
              <w:jc w:val="left"/>
              <w:rPr>
                <w:rFonts w:ascii="Arial Narrow" w:hAnsi="Arial Narrow"/>
                <w:b/>
                <w:sz w:val="20"/>
                <w:szCs w:val="20"/>
              </w:rPr>
            </w:pPr>
          </w:p>
        </w:tc>
        <w:tc>
          <w:tcPr>
            <w:tcW w:w="1492" w:type="dxa"/>
            <w:noWrap/>
            <w:vAlign w:val="center"/>
          </w:tcPr>
          <w:p w14:paraId="7B63F95A" w14:textId="77777777" w:rsidR="005A2158" w:rsidRPr="00D56F4F" w:rsidRDefault="005A2158" w:rsidP="00CF0291">
            <w:pPr>
              <w:spacing w:after="0" w:line="240" w:lineRule="auto"/>
              <w:ind w:left="0"/>
              <w:jc w:val="left"/>
              <w:rPr>
                <w:rFonts w:ascii="Arial Narrow" w:hAnsi="Arial Narrow"/>
                <w:b/>
                <w:sz w:val="20"/>
                <w:szCs w:val="20"/>
              </w:rPr>
            </w:pPr>
          </w:p>
        </w:tc>
        <w:tc>
          <w:tcPr>
            <w:tcW w:w="1193" w:type="dxa"/>
            <w:noWrap/>
            <w:vAlign w:val="center"/>
          </w:tcPr>
          <w:p w14:paraId="4561FE69"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Year 1</w:t>
            </w:r>
          </w:p>
        </w:tc>
        <w:tc>
          <w:tcPr>
            <w:tcW w:w="1342" w:type="dxa"/>
            <w:noWrap/>
            <w:vAlign w:val="center"/>
          </w:tcPr>
          <w:p w14:paraId="5B69E0C7"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Year 2</w:t>
            </w:r>
          </w:p>
        </w:tc>
        <w:tc>
          <w:tcPr>
            <w:tcW w:w="1193" w:type="dxa"/>
            <w:noWrap/>
            <w:vAlign w:val="center"/>
          </w:tcPr>
          <w:p w14:paraId="07E11BF2"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Year 3</w:t>
            </w:r>
          </w:p>
        </w:tc>
        <w:tc>
          <w:tcPr>
            <w:tcW w:w="1193" w:type="dxa"/>
            <w:noWrap/>
            <w:vAlign w:val="center"/>
          </w:tcPr>
          <w:p w14:paraId="61F9CABC"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Year 4</w:t>
            </w:r>
          </w:p>
        </w:tc>
        <w:tc>
          <w:tcPr>
            <w:tcW w:w="1193" w:type="dxa"/>
            <w:noWrap/>
            <w:vAlign w:val="center"/>
          </w:tcPr>
          <w:p w14:paraId="46E37480"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Year 5</w:t>
            </w:r>
          </w:p>
        </w:tc>
        <w:tc>
          <w:tcPr>
            <w:tcW w:w="1288" w:type="dxa"/>
            <w:noWrap/>
            <w:vAlign w:val="center"/>
          </w:tcPr>
          <w:p w14:paraId="1EF9230D" w14:textId="77777777" w:rsidR="005A2158" w:rsidRPr="00D56F4F" w:rsidRDefault="005A2158" w:rsidP="00CF0291">
            <w:pPr>
              <w:spacing w:after="0" w:line="240" w:lineRule="auto"/>
              <w:ind w:left="0"/>
              <w:jc w:val="left"/>
              <w:rPr>
                <w:rFonts w:ascii="Arial Narrow" w:hAnsi="Arial Narrow" w:cs="Calibri"/>
                <w:b/>
                <w:color w:val="000000"/>
                <w:sz w:val="20"/>
                <w:szCs w:val="20"/>
              </w:rPr>
            </w:pPr>
            <w:r w:rsidRPr="00D56F4F">
              <w:rPr>
                <w:rFonts w:ascii="Arial Narrow" w:hAnsi="Arial Narrow" w:cs="Calibri"/>
                <w:b/>
                <w:color w:val="000000"/>
                <w:sz w:val="20"/>
                <w:szCs w:val="20"/>
              </w:rPr>
              <w:t>Total over 5-years</w:t>
            </w:r>
          </w:p>
        </w:tc>
      </w:tr>
      <w:tr w:rsidR="00BB719A" w:rsidRPr="00DA3C6E" w14:paraId="1DB5F2C3" w14:textId="77777777" w:rsidTr="00FA72EB">
        <w:trPr>
          <w:trHeight w:val="106"/>
        </w:trPr>
        <w:tc>
          <w:tcPr>
            <w:tcW w:w="591" w:type="dxa"/>
            <w:vMerge w:val="restart"/>
            <w:textDirection w:val="btLr"/>
            <w:vAlign w:val="center"/>
          </w:tcPr>
          <w:p w14:paraId="7B024DBD" w14:textId="77777777" w:rsidR="00BB719A" w:rsidRPr="00DA3C6E" w:rsidRDefault="00BB719A" w:rsidP="00BB719A">
            <w:pPr>
              <w:spacing w:after="0" w:line="240" w:lineRule="auto"/>
              <w:ind w:right="113"/>
              <w:jc w:val="center"/>
              <w:rPr>
                <w:rFonts w:ascii="Arial Narrow" w:hAnsi="Arial Narrow"/>
                <w:sz w:val="20"/>
                <w:szCs w:val="20"/>
              </w:rPr>
            </w:pPr>
            <w:r w:rsidRPr="00DA3C6E">
              <w:rPr>
                <w:rFonts w:ascii="Arial Narrow" w:hAnsi="Arial Narrow"/>
                <w:sz w:val="20"/>
                <w:szCs w:val="20"/>
              </w:rPr>
              <w:t>Intravenous Ig</w:t>
            </w:r>
          </w:p>
        </w:tc>
        <w:tc>
          <w:tcPr>
            <w:tcW w:w="1492" w:type="dxa"/>
            <w:noWrap/>
            <w:vAlign w:val="center"/>
            <w:hideMark/>
          </w:tcPr>
          <w:p w14:paraId="226D3829" w14:textId="77777777" w:rsidR="00BB719A" w:rsidRPr="00DA3C6E" w:rsidRDefault="00BB719A" w:rsidP="00BB719A">
            <w:pPr>
              <w:spacing w:after="0" w:line="240" w:lineRule="auto"/>
              <w:ind w:left="0"/>
              <w:jc w:val="left"/>
              <w:rPr>
                <w:rFonts w:ascii="Arial Narrow" w:hAnsi="Arial Narrow"/>
                <w:sz w:val="20"/>
                <w:szCs w:val="20"/>
              </w:rPr>
            </w:pPr>
            <w:r w:rsidRPr="00DA3C6E">
              <w:rPr>
                <w:rFonts w:ascii="Arial Narrow" w:hAnsi="Arial Narrow"/>
                <w:sz w:val="20"/>
                <w:szCs w:val="20"/>
              </w:rPr>
              <w:t xml:space="preserve">IVIg total cost </w:t>
            </w:r>
          </w:p>
        </w:tc>
        <w:tc>
          <w:tcPr>
            <w:tcW w:w="1193" w:type="dxa"/>
            <w:noWrap/>
            <w:vAlign w:val="center"/>
            <w:hideMark/>
          </w:tcPr>
          <w:p w14:paraId="531030F8"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$23,699,504 </w:t>
            </w:r>
          </w:p>
        </w:tc>
        <w:tc>
          <w:tcPr>
            <w:tcW w:w="1342" w:type="dxa"/>
            <w:noWrap/>
            <w:vAlign w:val="center"/>
            <w:hideMark/>
          </w:tcPr>
          <w:p w14:paraId="2F337D26"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$24,934,847 </w:t>
            </w:r>
          </w:p>
        </w:tc>
        <w:tc>
          <w:tcPr>
            <w:tcW w:w="1193" w:type="dxa"/>
            <w:noWrap/>
            <w:vAlign w:val="center"/>
            <w:hideMark/>
          </w:tcPr>
          <w:p w14:paraId="6554F996"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$26,234,583 </w:t>
            </w:r>
          </w:p>
        </w:tc>
        <w:tc>
          <w:tcPr>
            <w:tcW w:w="1193" w:type="dxa"/>
            <w:noWrap/>
            <w:vAlign w:val="center"/>
            <w:hideMark/>
          </w:tcPr>
          <w:p w14:paraId="07F7E715"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$27,602,068 </w:t>
            </w:r>
          </w:p>
        </w:tc>
        <w:tc>
          <w:tcPr>
            <w:tcW w:w="1193" w:type="dxa"/>
            <w:noWrap/>
            <w:vAlign w:val="center"/>
            <w:hideMark/>
          </w:tcPr>
          <w:p w14:paraId="4C68C035"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$29,040,833 </w:t>
            </w:r>
          </w:p>
        </w:tc>
        <w:tc>
          <w:tcPr>
            <w:tcW w:w="1288" w:type="dxa"/>
            <w:noWrap/>
            <w:vAlign w:val="center"/>
            <w:hideMark/>
          </w:tcPr>
          <w:p w14:paraId="69A29834"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$131,511,835 </w:t>
            </w:r>
          </w:p>
        </w:tc>
      </w:tr>
      <w:tr w:rsidR="00BB719A" w:rsidRPr="00DA3C6E" w14:paraId="0B50CF21" w14:textId="77777777" w:rsidTr="00FA72EB">
        <w:trPr>
          <w:trHeight w:val="106"/>
        </w:trPr>
        <w:tc>
          <w:tcPr>
            <w:tcW w:w="591" w:type="dxa"/>
            <w:vMerge/>
            <w:vAlign w:val="center"/>
          </w:tcPr>
          <w:p w14:paraId="682EDD95" w14:textId="77777777" w:rsidR="00BB719A" w:rsidRPr="00DA3C6E" w:rsidRDefault="00BB719A" w:rsidP="00BB719A">
            <w:pPr>
              <w:spacing w:after="0" w:line="240" w:lineRule="auto"/>
              <w:jc w:val="center"/>
              <w:rPr>
                <w:rFonts w:ascii="Arial Narrow" w:hAnsi="Arial Narrow"/>
                <w:sz w:val="20"/>
                <w:szCs w:val="20"/>
              </w:rPr>
            </w:pPr>
          </w:p>
        </w:tc>
        <w:tc>
          <w:tcPr>
            <w:tcW w:w="1492" w:type="dxa"/>
            <w:noWrap/>
            <w:vAlign w:val="center"/>
          </w:tcPr>
          <w:p w14:paraId="68F7868D" w14:textId="77777777" w:rsidR="00BB719A" w:rsidRPr="00DA3C6E" w:rsidRDefault="00BB719A" w:rsidP="00BB719A">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IVIg cost to the Commonwealth</w:t>
            </w:r>
            <w:r w:rsidRPr="00DA3C6E">
              <w:rPr>
                <w:rFonts w:ascii="Arial Narrow" w:hAnsi="Arial Narrow"/>
                <w:sz w:val="20"/>
                <w:szCs w:val="20"/>
                <w:vertAlign w:val="superscript"/>
              </w:rPr>
              <w:t>a</w:t>
            </w:r>
          </w:p>
        </w:tc>
        <w:tc>
          <w:tcPr>
            <w:tcW w:w="1193" w:type="dxa"/>
            <w:noWrap/>
            <w:vAlign w:val="center"/>
          </w:tcPr>
          <w:p w14:paraId="7AF1BEDD"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$14,930,687 </w:t>
            </w:r>
          </w:p>
        </w:tc>
        <w:tc>
          <w:tcPr>
            <w:tcW w:w="1342" w:type="dxa"/>
            <w:noWrap/>
            <w:vAlign w:val="center"/>
          </w:tcPr>
          <w:p w14:paraId="273416DA"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$15,708,954 </w:t>
            </w:r>
          </w:p>
        </w:tc>
        <w:tc>
          <w:tcPr>
            <w:tcW w:w="1193" w:type="dxa"/>
            <w:noWrap/>
            <w:vAlign w:val="center"/>
          </w:tcPr>
          <w:p w14:paraId="145D78B2"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$16,527,787 </w:t>
            </w:r>
          </w:p>
        </w:tc>
        <w:tc>
          <w:tcPr>
            <w:tcW w:w="1193" w:type="dxa"/>
            <w:noWrap/>
            <w:vAlign w:val="center"/>
          </w:tcPr>
          <w:p w14:paraId="60EC13C9"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$17,389,303 </w:t>
            </w:r>
          </w:p>
        </w:tc>
        <w:tc>
          <w:tcPr>
            <w:tcW w:w="1193" w:type="dxa"/>
            <w:noWrap/>
            <w:vAlign w:val="center"/>
          </w:tcPr>
          <w:p w14:paraId="5BBFFF07"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$18,295,725 </w:t>
            </w:r>
          </w:p>
        </w:tc>
        <w:tc>
          <w:tcPr>
            <w:tcW w:w="1288" w:type="dxa"/>
            <w:noWrap/>
            <w:vAlign w:val="center"/>
          </w:tcPr>
          <w:p w14:paraId="6FA796CB"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$82,852,456 </w:t>
            </w:r>
          </w:p>
        </w:tc>
      </w:tr>
      <w:tr w:rsidR="00BB719A" w:rsidRPr="00DA3C6E" w14:paraId="5136CBEE" w14:textId="77777777" w:rsidTr="00FA72EB">
        <w:trPr>
          <w:trHeight w:val="106"/>
        </w:trPr>
        <w:tc>
          <w:tcPr>
            <w:tcW w:w="591" w:type="dxa"/>
            <w:vMerge/>
            <w:vAlign w:val="center"/>
          </w:tcPr>
          <w:p w14:paraId="3626CF53" w14:textId="77777777" w:rsidR="00BB719A" w:rsidRPr="00DA3C6E" w:rsidRDefault="00BB719A" w:rsidP="00BB719A">
            <w:pPr>
              <w:spacing w:after="0" w:line="240" w:lineRule="auto"/>
              <w:jc w:val="center"/>
              <w:rPr>
                <w:rFonts w:ascii="Arial Narrow" w:hAnsi="Arial Narrow"/>
                <w:sz w:val="20"/>
                <w:szCs w:val="20"/>
              </w:rPr>
            </w:pPr>
          </w:p>
        </w:tc>
        <w:tc>
          <w:tcPr>
            <w:tcW w:w="1492" w:type="dxa"/>
            <w:noWrap/>
            <w:vAlign w:val="center"/>
          </w:tcPr>
          <w:p w14:paraId="09EC6EAF" w14:textId="77777777" w:rsidR="00BB719A" w:rsidRPr="00DA3C6E" w:rsidRDefault="00BB719A" w:rsidP="00BB719A">
            <w:pPr>
              <w:spacing w:after="0" w:line="240" w:lineRule="auto"/>
              <w:ind w:left="0"/>
              <w:jc w:val="left"/>
              <w:rPr>
                <w:rFonts w:ascii="Arial Narrow" w:hAnsi="Arial Narrow"/>
                <w:sz w:val="20"/>
                <w:szCs w:val="20"/>
                <w:vertAlign w:val="superscript"/>
              </w:rPr>
            </w:pPr>
            <w:r w:rsidRPr="00DA3C6E">
              <w:rPr>
                <w:rFonts w:ascii="Arial Narrow" w:hAnsi="Arial Narrow"/>
                <w:sz w:val="20"/>
                <w:szCs w:val="20"/>
              </w:rPr>
              <w:t>IVIg cost to the states</w:t>
            </w:r>
            <w:r w:rsidRPr="00DA3C6E">
              <w:rPr>
                <w:rFonts w:ascii="Arial Narrow" w:hAnsi="Arial Narrow"/>
                <w:sz w:val="20"/>
                <w:szCs w:val="20"/>
                <w:vertAlign w:val="superscript"/>
              </w:rPr>
              <w:t>a</w:t>
            </w:r>
          </w:p>
        </w:tc>
        <w:tc>
          <w:tcPr>
            <w:tcW w:w="1193" w:type="dxa"/>
            <w:noWrap/>
            <w:vAlign w:val="center"/>
          </w:tcPr>
          <w:p w14:paraId="4E5EE6A5"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$8,768,816 </w:t>
            </w:r>
          </w:p>
        </w:tc>
        <w:tc>
          <w:tcPr>
            <w:tcW w:w="1342" w:type="dxa"/>
            <w:noWrap/>
            <w:vAlign w:val="center"/>
          </w:tcPr>
          <w:p w14:paraId="29C33530"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$9,225,893 </w:t>
            </w:r>
          </w:p>
        </w:tc>
        <w:tc>
          <w:tcPr>
            <w:tcW w:w="1193" w:type="dxa"/>
            <w:noWrap/>
            <w:vAlign w:val="center"/>
          </w:tcPr>
          <w:p w14:paraId="40DC45D5"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$9,706,796 </w:t>
            </w:r>
          </w:p>
        </w:tc>
        <w:tc>
          <w:tcPr>
            <w:tcW w:w="1193" w:type="dxa"/>
            <w:noWrap/>
            <w:vAlign w:val="center"/>
          </w:tcPr>
          <w:p w14:paraId="5D6FDC96"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$10,212,765 </w:t>
            </w:r>
          </w:p>
        </w:tc>
        <w:tc>
          <w:tcPr>
            <w:tcW w:w="1193" w:type="dxa"/>
            <w:noWrap/>
            <w:vAlign w:val="center"/>
          </w:tcPr>
          <w:p w14:paraId="276E4906"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$10,745,108 </w:t>
            </w:r>
          </w:p>
        </w:tc>
        <w:tc>
          <w:tcPr>
            <w:tcW w:w="1288" w:type="dxa"/>
            <w:noWrap/>
            <w:vAlign w:val="center"/>
          </w:tcPr>
          <w:p w14:paraId="4CF43F8C"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$48,659,379 </w:t>
            </w:r>
          </w:p>
        </w:tc>
      </w:tr>
      <w:tr w:rsidR="00BB719A" w:rsidRPr="00DA3C6E" w14:paraId="314EAEAE" w14:textId="77777777" w:rsidTr="00FA72EB">
        <w:trPr>
          <w:trHeight w:val="106"/>
        </w:trPr>
        <w:tc>
          <w:tcPr>
            <w:tcW w:w="591" w:type="dxa"/>
            <w:vMerge/>
            <w:vAlign w:val="center"/>
          </w:tcPr>
          <w:p w14:paraId="3E3A3CC8" w14:textId="77777777" w:rsidR="00BB719A" w:rsidRPr="00DA3C6E" w:rsidRDefault="00BB719A" w:rsidP="00BB719A">
            <w:pPr>
              <w:spacing w:after="0" w:line="240" w:lineRule="auto"/>
              <w:jc w:val="center"/>
              <w:rPr>
                <w:rFonts w:ascii="Arial Narrow" w:hAnsi="Arial Narrow"/>
                <w:sz w:val="20"/>
                <w:szCs w:val="20"/>
              </w:rPr>
            </w:pPr>
          </w:p>
        </w:tc>
        <w:tc>
          <w:tcPr>
            <w:tcW w:w="1492" w:type="dxa"/>
            <w:noWrap/>
            <w:vAlign w:val="center"/>
          </w:tcPr>
          <w:p w14:paraId="5B3A9DE5" w14:textId="77777777" w:rsidR="00BB719A" w:rsidRPr="00DA3C6E" w:rsidRDefault="00BB719A" w:rsidP="00BB719A">
            <w:pPr>
              <w:spacing w:after="0" w:line="240" w:lineRule="auto"/>
              <w:ind w:left="0"/>
              <w:jc w:val="left"/>
              <w:rPr>
                <w:rFonts w:ascii="Arial Narrow" w:hAnsi="Arial Narrow"/>
                <w:sz w:val="20"/>
                <w:szCs w:val="20"/>
              </w:rPr>
            </w:pPr>
            <w:r w:rsidRPr="00DA3C6E">
              <w:rPr>
                <w:rFonts w:ascii="Arial Narrow" w:hAnsi="Arial Narrow"/>
                <w:sz w:val="20"/>
                <w:szCs w:val="20"/>
              </w:rPr>
              <w:t xml:space="preserve">MBS costs (administration, follow-up, BSC and AEs). </w:t>
            </w:r>
          </w:p>
        </w:tc>
        <w:tc>
          <w:tcPr>
            <w:tcW w:w="1193" w:type="dxa"/>
            <w:noWrap/>
            <w:vAlign w:val="center"/>
          </w:tcPr>
          <w:p w14:paraId="72C840D7"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$8,688,226 </w:t>
            </w:r>
          </w:p>
        </w:tc>
        <w:tc>
          <w:tcPr>
            <w:tcW w:w="1342" w:type="dxa"/>
            <w:noWrap/>
            <w:vAlign w:val="center"/>
          </w:tcPr>
          <w:p w14:paraId="076C7278"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$9,150,994 </w:t>
            </w:r>
          </w:p>
        </w:tc>
        <w:tc>
          <w:tcPr>
            <w:tcW w:w="1193" w:type="dxa"/>
            <w:noWrap/>
            <w:vAlign w:val="center"/>
          </w:tcPr>
          <w:p w14:paraId="66700A88"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$9,613,763 </w:t>
            </w:r>
          </w:p>
        </w:tc>
        <w:tc>
          <w:tcPr>
            <w:tcW w:w="1193" w:type="dxa"/>
            <w:noWrap/>
            <w:vAlign w:val="center"/>
          </w:tcPr>
          <w:p w14:paraId="7350F24C"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$10,076,532 </w:t>
            </w:r>
          </w:p>
        </w:tc>
        <w:tc>
          <w:tcPr>
            <w:tcW w:w="1193" w:type="dxa"/>
            <w:noWrap/>
            <w:vAlign w:val="center"/>
          </w:tcPr>
          <w:p w14:paraId="036C4739"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$10,539,300 </w:t>
            </w:r>
          </w:p>
        </w:tc>
        <w:tc>
          <w:tcPr>
            <w:tcW w:w="1288" w:type="dxa"/>
            <w:noWrap/>
            <w:vAlign w:val="center"/>
          </w:tcPr>
          <w:p w14:paraId="6BF501B0"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$48,068,815 </w:t>
            </w:r>
          </w:p>
        </w:tc>
      </w:tr>
      <w:tr w:rsidR="005A2158" w:rsidRPr="00DA3C6E" w14:paraId="2B27EF35" w14:textId="77777777" w:rsidTr="00FA72EB">
        <w:trPr>
          <w:trHeight w:val="106"/>
        </w:trPr>
        <w:tc>
          <w:tcPr>
            <w:tcW w:w="591" w:type="dxa"/>
            <w:vMerge/>
            <w:vAlign w:val="center"/>
          </w:tcPr>
          <w:p w14:paraId="329018DC" w14:textId="77777777" w:rsidR="005A2158" w:rsidRPr="00DA3C6E" w:rsidRDefault="005A2158" w:rsidP="00CF0291">
            <w:pPr>
              <w:spacing w:after="0" w:line="240" w:lineRule="auto"/>
              <w:jc w:val="center"/>
              <w:rPr>
                <w:rFonts w:ascii="Arial Narrow" w:hAnsi="Arial Narrow"/>
                <w:sz w:val="20"/>
                <w:szCs w:val="20"/>
              </w:rPr>
            </w:pPr>
          </w:p>
        </w:tc>
        <w:tc>
          <w:tcPr>
            <w:tcW w:w="1492" w:type="dxa"/>
            <w:noWrap/>
            <w:vAlign w:val="center"/>
          </w:tcPr>
          <w:p w14:paraId="5D168CFB"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PBS costs</w:t>
            </w:r>
          </w:p>
        </w:tc>
        <w:tc>
          <w:tcPr>
            <w:tcW w:w="1193" w:type="dxa"/>
            <w:noWrap/>
            <w:vAlign w:val="center"/>
          </w:tcPr>
          <w:p w14:paraId="452B69F3"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$324,737</w:t>
            </w:r>
          </w:p>
        </w:tc>
        <w:tc>
          <w:tcPr>
            <w:tcW w:w="1342" w:type="dxa"/>
            <w:noWrap/>
            <w:vAlign w:val="center"/>
          </w:tcPr>
          <w:p w14:paraId="2D8C7747"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$342,034</w:t>
            </w:r>
          </w:p>
        </w:tc>
        <w:tc>
          <w:tcPr>
            <w:tcW w:w="1193" w:type="dxa"/>
            <w:noWrap/>
            <w:vAlign w:val="center"/>
          </w:tcPr>
          <w:p w14:paraId="00C8BD22"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$359,331</w:t>
            </w:r>
          </w:p>
        </w:tc>
        <w:tc>
          <w:tcPr>
            <w:tcW w:w="1193" w:type="dxa"/>
            <w:noWrap/>
            <w:vAlign w:val="center"/>
          </w:tcPr>
          <w:p w14:paraId="300C68C4"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$376,628</w:t>
            </w:r>
          </w:p>
        </w:tc>
        <w:tc>
          <w:tcPr>
            <w:tcW w:w="1193" w:type="dxa"/>
            <w:noWrap/>
            <w:vAlign w:val="center"/>
          </w:tcPr>
          <w:p w14:paraId="671BEF82"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$393,924</w:t>
            </w:r>
          </w:p>
        </w:tc>
        <w:tc>
          <w:tcPr>
            <w:tcW w:w="1288" w:type="dxa"/>
            <w:noWrap/>
            <w:vAlign w:val="center"/>
          </w:tcPr>
          <w:p w14:paraId="35C03E6F" w14:textId="77777777" w:rsidR="005A2158" w:rsidRPr="00DA3C6E" w:rsidRDefault="005A2158"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$1,796,654</w:t>
            </w:r>
          </w:p>
        </w:tc>
      </w:tr>
      <w:tr w:rsidR="00BB719A" w:rsidRPr="00DA3C6E" w14:paraId="3046EDA5" w14:textId="77777777" w:rsidTr="00FA72EB">
        <w:trPr>
          <w:trHeight w:val="34"/>
        </w:trPr>
        <w:tc>
          <w:tcPr>
            <w:tcW w:w="591" w:type="dxa"/>
            <w:vMerge/>
            <w:vAlign w:val="center"/>
          </w:tcPr>
          <w:p w14:paraId="361097A6" w14:textId="77777777" w:rsidR="00BB719A" w:rsidRPr="00DA3C6E" w:rsidRDefault="00BB719A" w:rsidP="00BB719A">
            <w:pPr>
              <w:spacing w:after="0" w:line="240" w:lineRule="auto"/>
              <w:jc w:val="center"/>
              <w:rPr>
                <w:rFonts w:ascii="Arial Narrow" w:hAnsi="Arial Narrow"/>
                <w:sz w:val="20"/>
                <w:szCs w:val="20"/>
              </w:rPr>
            </w:pPr>
          </w:p>
        </w:tc>
        <w:tc>
          <w:tcPr>
            <w:tcW w:w="1492" w:type="dxa"/>
            <w:noWrap/>
            <w:vAlign w:val="center"/>
          </w:tcPr>
          <w:p w14:paraId="35969B83" w14:textId="77777777" w:rsidR="00BB719A" w:rsidRPr="00DA3C6E" w:rsidRDefault="00BB719A" w:rsidP="00BB719A">
            <w:pPr>
              <w:spacing w:after="0" w:line="240" w:lineRule="auto"/>
              <w:ind w:left="0"/>
              <w:jc w:val="left"/>
              <w:rPr>
                <w:rFonts w:ascii="Arial Narrow" w:hAnsi="Arial Narrow"/>
                <w:b/>
                <w:sz w:val="20"/>
                <w:szCs w:val="20"/>
              </w:rPr>
            </w:pPr>
            <w:r w:rsidRPr="00DA3C6E">
              <w:rPr>
                <w:rFonts w:ascii="Arial Narrow" w:hAnsi="Arial Narrow"/>
                <w:b/>
                <w:sz w:val="20"/>
                <w:szCs w:val="20"/>
              </w:rPr>
              <w:t>Total</w:t>
            </w:r>
          </w:p>
        </w:tc>
        <w:tc>
          <w:tcPr>
            <w:tcW w:w="1193" w:type="dxa"/>
            <w:noWrap/>
            <w:vAlign w:val="center"/>
          </w:tcPr>
          <w:p w14:paraId="6DD8D31E"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$32,712,467 </w:t>
            </w:r>
          </w:p>
        </w:tc>
        <w:tc>
          <w:tcPr>
            <w:tcW w:w="1342" w:type="dxa"/>
            <w:noWrap/>
            <w:vAlign w:val="center"/>
          </w:tcPr>
          <w:p w14:paraId="322820A2"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$34,427,875 </w:t>
            </w:r>
          </w:p>
        </w:tc>
        <w:tc>
          <w:tcPr>
            <w:tcW w:w="1193" w:type="dxa"/>
            <w:noWrap/>
            <w:vAlign w:val="center"/>
          </w:tcPr>
          <w:p w14:paraId="4878AEB5"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$36,207,677 </w:t>
            </w:r>
          </w:p>
        </w:tc>
        <w:tc>
          <w:tcPr>
            <w:tcW w:w="1193" w:type="dxa"/>
            <w:noWrap/>
            <w:vAlign w:val="center"/>
          </w:tcPr>
          <w:p w14:paraId="58D33702"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$38,055,227 </w:t>
            </w:r>
          </w:p>
        </w:tc>
        <w:tc>
          <w:tcPr>
            <w:tcW w:w="1193" w:type="dxa"/>
            <w:noWrap/>
            <w:vAlign w:val="center"/>
          </w:tcPr>
          <w:p w14:paraId="39F23F17"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$39,974,058 </w:t>
            </w:r>
          </w:p>
        </w:tc>
        <w:tc>
          <w:tcPr>
            <w:tcW w:w="1288" w:type="dxa"/>
            <w:noWrap/>
            <w:vAlign w:val="center"/>
          </w:tcPr>
          <w:p w14:paraId="1D6B1665" w14:textId="77777777" w:rsidR="00BB719A" w:rsidRPr="00DA3C6E" w:rsidRDefault="00BB719A" w:rsidP="00BB719A">
            <w:pPr>
              <w:spacing w:after="0" w:line="240" w:lineRule="auto"/>
              <w:ind w:left="0"/>
              <w:jc w:val="center"/>
              <w:rPr>
                <w:rFonts w:ascii="Arial Narrow" w:hAnsi="Arial Narrow" w:cs="Calibri"/>
                <w:b/>
                <w:color w:val="000000"/>
                <w:sz w:val="20"/>
                <w:szCs w:val="20"/>
              </w:rPr>
            </w:pPr>
            <w:r w:rsidRPr="00DA3C6E">
              <w:rPr>
                <w:rFonts w:ascii="Arial Narrow" w:hAnsi="Arial Narrow" w:cs="Calibri"/>
                <w:b/>
                <w:color w:val="000000"/>
                <w:sz w:val="20"/>
                <w:szCs w:val="20"/>
              </w:rPr>
              <w:t xml:space="preserve">$181,377,304 </w:t>
            </w:r>
          </w:p>
        </w:tc>
      </w:tr>
      <w:tr w:rsidR="005A2158" w:rsidRPr="00DA3C6E" w14:paraId="464AA7B8" w14:textId="77777777" w:rsidTr="00FA72EB">
        <w:trPr>
          <w:trHeight w:val="106"/>
        </w:trPr>
        <w:tc>
          <w:tcPr>
            <w:tcW w:w="591" w:type="dxa"/>
            <w:vMerge w:val="restart"/>
            <w:textDirection w:val="btLr"/>
            <w:vAlign w:val="center"/>
          </w:tcPr>
          <w:p w14:paraId="2C179B53" w14:textId="77777777" w:rsidR="005A2158" w:rsidRPr="00DA3C6E" w:rsidRDefault="005A2158" w:rsidP="00225421">
            <w:pPr>
              <w:spacing w:after="0" w:line="240" w:lineRule="auto"/>
              <w:ind w:left="113" w:right="113"/>
              <w:jc w:val="center"/>
              <w:rPr>
                <w:rFonts w:ascii="Arial Narrow" w:hAnsi="Arial Narrow"/>
                <w:sz w:val="20"/>
                <w:szCs w:val="20"/>
              </w:rPr>
            </w:pPr>
            <w:r w:rsidRPr="00DA3C6E">
              <w:rPr>
                <w:rFonts w:ascii="Arial Narrow" w:hAnsi="Arial Narrow"/>
                <w:sz w:val="20"/>
                <w:szCs w:val="20"/>
              </w:rPr>
              <w:t xml:space="preserve">No </w:t>
            </w:r>
            <w:r w:rsidR="00225421" w:rsidRPr="00DA3C6E">
              <w:rPr>
                <w:rFonts w:ascii="Arial Narrow" w:hAnsi="Arial Narrow"/>
                <w:sz w:val="20"/>
                <w:szCs w:val="20"/>
              </w:rPr>
              <w:t>Ig</w:t>
            </w:r>
            <w:r w:rsidR="000E1893" w:rsidRPr="00DA3C6E">
              <w:rPr>
                <w:rFonts w:ascii="Arial Narrow" w:hAnsi="Arial Narrow"/>
                <w:sz w:val="20"/>
                <w:szCs w:val="20"/>
              </w:rPr>
              <w:t xml:space="preserve"> with BSC</w:t>
            </w:r>
          </w:p>
        </w:tc>
        <w:tc>
          <w:tcPr>
            <w:tcW w:w="1492" w:type="dxa"/>
            <w:noWrap/>
            <w:vAlign w:val="center"/>
          </w:tcPr>
          <w:p w14:paraId="20AE8477" w14:textId="77777777" w:rsidR="005A2158" w:rsidRPr="00DA3C6E" w:rsidRDefault="005A2158" w:rsidP="00CF0291">
            <w:pPr>
              <w:spacing w:after="0" w:line="240" w:lineRule="auto"/>
              <w:ind w:left="0"/>
              <w:jc w:val="left"/>
              <w:rPr>
                <w:rFonts w:ascii="Arial Narrow" w:hAnsi="Arial Narrow"/>
                <w:sz w:val="20"/>
                <w:szCs w:val="20"/>
              </w:rPr>
            </w:pPr>
            <w:r w:rsidRPr="00DA3C6E">
              <w:rPr>
                <w:rFonts w:ascii="Arial Narrow" w:hAnsi="Arial Narrow"/>
                <w:sz w:val="20"/>
                <w:szCs w:val="20"/>
              </w:rPr>
              <w:t>MBS costs (follow-up and BSC)</w:t>
            </w:r>
          </w:p>
        </w:tc>
        <w:tc>
          <w:tcPr>
            <w:tcW w:w="1193" w:type="dxa"/>
            <w:noWrap/>
            <w:vAlign w:val="center"/>
          </w:tcPr>
          <w:p w14:paraId="621C7D61"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$1,892,537</w:t>
            </w:r>
          </w:p>
        </w:tc>
        <w:tc>
          <w:tcPr>
            <w:tcW w:w="1342" w:type="dxa"/>
            <w:noWrap/>
            <w:vAlign w:val="center"/>
          </w:tcPr>
          <w:p w14:paraId="7A02DC42"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$1,993,341</w:t>
            </w:r>
          </w:p>
        </w:tc>
        <w:tc>
          <w:tcPr>
            <w:tcW w:w="1193" w:type="dxa"/>
            <w:noWrap/>
            <w:vAlign w:val="center"/>
          </w:tcPr>
          <w:p w14:paraId="5AC8D100"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$2,094,145</w:t>
            </w:r>
          </w:p>
        </w:tc>
        <w:tc>
          <w:tcPr>
            <w:tcW w:w="1193" w:type="dxa"/>
            <w:noWrap/>
            <w:vAlign w:val="center"/>
          </w:tcPr>
          <w:p w14:paraId="6506E51C"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$2,194,949</w:t>
            </w:r>
          </w:p>
        </w:tc>
        <w:tc>
          <w:tcPr>
            <w:tcW w:w="1193" w:type="dxa"/>
            <w:noWrap/>
            <w:vAlign w:val="center"/>
          </w:tcPr>
          <w:p w14:paraId="54904387"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$2,295,753</w:t>
            </w:r>
          </w:p>
        </w:tc>
        <w:tc>
          <w:tcPr>
            <w:tcW w:w="1288" w:type="dxa"/>
            <w:noWrap/>
            <w:vAlign w:val="center"/>
          </w:tcPr>
          <w:p w14:paraId="3D7B8283" w14:textId="77777777" w:rsidR="005A2158" w:rsidRPr="00DA3C6E" w:rsidRDefault="005A2158" w:rsidP="00BB719A">
            <w:pPr>
              <w:spacing w:after="0" w:line="240" w:lineRule="auto"/>
              <w:ind w:left="0"/>
              <w:jc w:val="center"/>
              <w:rPr>
                <w:rFonts w:ascii="Arial Narrow" w:hAnsi="Arial Narrow"/>
                <w:sz w:val="20"/>
                <w:szCs w:val="20"/>
              </w:rPr>
            </w:pPr>
            <w:r w:rsidRPr="00DA3C6E">
              <w:rPr>
                <w:rFonts w:ascii="Arial Narrow" w:hAnsi="Arial Narrow" w:cs="Calibri"/>
                <w:color w:val="000000"/>
                <w:sz w:val="20"/>
                <w:szCs w:val="20"/>
              </w:rPr>
              <w:t>$10,470,726</w:t>
            </w:r>
          </w:p>
        </w:tc>
      </w:tr>
      <w:tr w:rsidR="005A2158" w:rsidRPr="00DA3C6E" w14:paraId="166D1064" w14:textId="77777777" w:rsidTr="00FA72EB">
        <w:trPr>
          <w:trHeight w:val="459"/>
        </w:trPr>
        <w:tc>
          <w:tcPr>
            <w:tcW w:w="591" w:type="dxa"/>
            <w:vMerge/>
          </w:tcPr>
          <w:p w14:paraId="3911064D" w14:textId="77777777" w:rsidR="005A2158" w:rsidRPr="00DA3C6E" w:rsidRDefault="005A2158" w:rsidP="00CF0291">
            <w:pPr>
              <w:spacing w:after="0" w:line="240" w:lineRule="auto"/>
              <w:jc w:val="left"/>
              <w:rPr>
                <w:rFonts w:ascii="Arial Narrow" w:hAnsi="Arial Narrow"/>
                <w:sz w:val="20"/>
                <w:szCs w:val="20"/>
              </w:rPr>
            </w:pPr>
          </w:p>
        </w:tc>
        <w:tc>
          <w:tcPr>
            <w:tcW w:w="1492" w:type="dxa"/>
            <w:noWrap/>
            <w:vAlign w:val="center"/>
          </w:tcPr>
          <w:p w14:paraId="5D2B8440" w14:textId="77777777" w:rsidR="005A2158" w:rsidRPr="00DA3C6E" w:rsidRDefault="005A2158" w:rsidP="00CF0291">
            <w:pPr>
              <w:spacing w:after="0" w:line="240" w:lineRule="auto"/>
              <w:ind w:left="0"/>
              <w:jc w:val="left"/>
              <w:rPr>
                <w:rFonts w:ascii="Arial Narrow" w:hAnsi="Arial Narrow"/>
                <w:b/>
                <w:sz w:val="20"/>
                <w:szCs w:val="20"/>
              </w:rPr>
            </w:pPr>
            <w:r w:rsidRPr="00DA3C6E">
              <w:rPr>
                <w:rFonts w:ascii="Arial Narrow" w:hAnsi="Arial Narrow"/>
                <w:b/>
                <w:sz w:val="20"/>
                <w:szCs w:val="20"/>
              </w:rPr>
              <w:t>Total</w:t>
            </w:r>
          </w:p>
        </w:tc>
        <w:tc>
          <w:tcPr>
            <w:tcW w:w="1193" w:type="dxa"/>
            <w:noWrap/>
            <w:vAlign w:val="center"/>
          </w:tcPr>
          <w:p w14:paraId="697D61A4"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$1,892,537</w:t>
            </w:r>
          </w:p>
        </w:tc>
        <w:tc>
          <w:tcPr>
            <w:tcW w:w="1342" w:type="dxa"/>
            <w:noWrap/>
            <w:vAlign w:val="center"/>
          </w:tcPr>
          <w:p w14:paraId="0A17BAFB"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$1,993,341</w:t>
            </w:r>
          </w:p>
        </w:tc>
        <w:tc>
          <w:tcPr>
            <w:tcW w:w="1193" w:type="dxa"/>
            <w:noWrap/>
            <w:vAlign w:val="center"/>
          </w:tcPr>
          <w:p w14:paraId="4B6CDFF6"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$2,094,145</w:t>
            </w:r>
          </w:p>
        </w:tc>
        <w:tc>
          <w:tcPr>
            <w:tcW w:w="1193" w:type="dxa"/>
            <w:noWrap/>
            <w:vAlign w:val="center"/>
          </w:tcPr>
          <w:p w14:paraId="2AD8C3B9"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$2,194,949</w:t>
            </w:r>
          </w:p>
        </w:tc>
        <w:tc>
          <w:tcPr>
            <w:tcW w:w="1193" w:type="dxa"/>
            <w:noWrap/>
            <w:vAlign w:val="center"/>
          </w:tcPr>
          <w:p w14:paraId="58D96480"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$2,295,753</w:t>
            </w:r>
          </w:p>
        </w:tc>
        <w:tc>
          <w:tcPr>
            <w:tcW w:w="1288" w:type="dxa"/>
            <w:noWrap/>
            <w:vAlign w:val="center"/>
          </w:tcPr>
          <w:p w14:paraId="26F1699A" w14:textId="77777777" w:rsidR="005A2158" w:rsidRPr="00DA3C6E" w:rsidRDefault="005A2158" w:rsidP="00BB719A">
            <w:pPr>
              <w:spacing w:after="0" w:line="240" w:lineRule="auto"/>
              <w:ind w:left="0"/>
              <w:jc w:val="center"/>
              <w:rPr>
                <w:rFonts w:ascii="Arial Narrow" w:hAnsi="Arial Narrow"/>
                <w:b/>
                <w:sz w:val="20"/>
                <w:szCs w:val="20"/>
              </w:rPr>
            </w:pPr>
            <w:r w:rsidRPr="00DA3C6E">
              <w:rPr>
                <w:rFonts w:ascii="Arial Narrow" w:hAnsi="Arial Narrow" w:cs="Calibri"/>
                <w:b/>
                <w:color w:val="000000"/>
                <w:sz w:val="20"/>
                <w:szCs w:val="20"/>
              </w:rPr>
              <w:t>$10,470,726</w:t>
            </w:r>
          </w:p>
        </w:tc>
      </w:tr>
      <w:tr w:rsidR="005A2158" w:rsidRPr="00DA3C6E" w14:paraId="20807531" w14:textId="77777777" w:rsidTr="00FA72EB">
        <w:trPr>
          <w:trHeight w:val="324"/>
        </w:trPr>
        <w:tc>
          <w:tcPr>
            <w:tcW w:w="9488" w:type="dxa"/>
            <w:gridSpan w:val="8"/>
            <w:vAlign w:val="center"/>
          </w:tcPr>
          <w:p w14:paraId="711A7ED4" w14:textId="77777777" w:rsidR="005A2158" w:rsidRPr="00DA3C6E" w:rsidRDefault="005A2158" w:rsidP="00C55E03">
            <w:pPr>
              <w:spacing w:after="0" w:line="240" w:lineRule="auto"/>
              <w:ind w:left="0"/>
              <w:rPr>
                <w:rFonts w:ascii="Arial Narrow" w:hAnsi="Arial Narrow" w:cs="Calibri"/>
                <w:b/>
                <w:color w:val="000000"/>
                <w:sz w:val="20"/>
                <w:szCs w:val="20"/>
              </w:rPr>
            </w:pPr>
            <w:r w:rsidRPr="00DA3C6E">
              <w:rPr>
                <w:rFonts w:ascii="Arial Narrow" w:hAnsi="Arial Narrow" w:cs="Calibri"/>
                <w:b/>
                <w:color w:val="000000"/>
                <w:sz w:val="20"/>
                <w:szCs w:val="20"/>
              </w:rPr>
              <w:t>Net costs (</w:t>
            </w:r>
            <w:r w:rsidR="00C55E03" w:rsidRPr="00DA3C6E">
              <w:rPr>
                <w:rFonts w:ascii="Arial Narrow" w:hAnsi="Arial Narrow" w:cs="Calibri"/>
                <w:b/>
                <w:color w:val="000000"/>
                <w:sz w:val="20"/>
                <w:szCs w:val="20"/>
              </w:rPr>
              <w:t xml:space="preserve">Intravenous Ig </w:t>
            </w:r>
            <w:r w:rsidRPr="00DA3C6E">
              <w:rPr>
                <w:rFonts w:ascii="Arial Narrow" w:hAnsi="Arial Narrow" w:cs="Calibri"/>
                <w:b/>
                <w:color w:val="000000"/>
                <w:sz w:val="20"/>
                <w:szCs w:val="20"/>
              </w:rPr>
              <w:t>versus</w:t>
            </w:r>
            <w:r w:rsidR="008E001F" w:rsidRPr="00DA3C6E">
              <w:rPr>
                <w:rFonts w:ascii="Arial Narrow" w:hAnsi="Arial Narrow" w:cs="Calibri"/>
                <w:b/>
                <w:color w:val="000000"/>
                <w:sz w:val="20"/>
                <w:szCs w:val="20"/>
              </w:rPr>
              <w:t xml:space="preserve"> No </w:t>
            </w:r>
            <w:r w:rsidR="00C55E03" w:rsidRPr="00DA3C6E">
              <w:rPr>
                <w:rFonts w:ascii="Arial Narrow" w:hAnsi="Arial Narrow" w:cs="Calibri"/>
                <w:b/>
                <w:color w:val="000000"/>
                <w:sz w:val="20"/>
                <w:szCs w:val="20"/>
              </w:rPr>
              <w:t>Ig</w:t>
            </w:r>
            <w:r w:rsidRPr="00DA3C6E">
              <w:rPr>
                <w:rFonts w:ascii="Arial Narrow" w:hAnsi="Arial Narrow" w:cs="Calibri"/>
                <w:b/>
                <w:color w:val="000000"/>
                <w:sz w:val="20"/>
                <w:szCs w:val="20"/>
              </w:rPr>
              <w:t>)</w:t>
            </w:r>
          </w:p>
        </w:tc>
      </w:tr>
      <w:tr w:rsidR="00BB719A" w:rsidRPr="00DA3C6E" w14:paraId="53315701" w14:textId="77777777" w:rsidTr="00FA72EB">
        <w:trPr>
          <w:trHeight w:val="106"/>
        </w:trPr>
        <w:tc>
          <w:tcPr>
            <w:tcW w:w="2083" w:type="dxa"/>
            <w:gridSpan w:val="2"/>
          </w:tcPr>
          <w:p w14:paraId="7B1C9B1C" w14:textId="77777777" w:rsidR="00BB719A" w:rsidRPr="00DA3C6E" w:rsidRDefault="00BB719A" w:rsidP="00BB719A">
            <w:pPr>
              <w:spacing w:after="0" w:line="240" w:lineRule="auto"/>
              <w:ind w:left="0"/>
              <w:jc w:val="left"/>
              <w:rPr>
                <w:rFonts w:ascii="Arial Narrow" w:hAnsi="Arial Narrow"/>
                <w:sz w:val="20"/>
                <w:szCs w:val="20"/>
              </w:rPr>
            </w:pPr>
            <w:r w:rsidRPr="00DA3C6E">
              <w:rPr>
                <w:rFonts w:ascii="Arial Narrow" w:hAnsi="Arial Narrow"/>
                <w:sz w:val="20"/>
                <w:szCs w:val="20"/>
              </w:rPr>
              <w:t>Net costs Commonwealth</w:t>
            </w:r>
          </w:p>
        </w:tc>
        <w:tc>
          <w:tcPr>
            <w:tcW w:w="1193" w:type="dxa"/>
            <w:noWrap/>
            <w:vAlign w:val="center"/>
          </w:tcPr>
          <w:p w14:paraId="137777DD"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-$14,930,687 </w:t>
            </w:r>
          </w:p>
        </w:tc>
        <w:tc>
          <w:tcPr>
            <w:tcW w:w="1342" w:type="dxa"/>
            <w:noWrap/>
            <w:vAlign w:val="center"/>
          </w:tcPr>
          <w:p w14:paraId="693E01F8"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-$15,708,954 </w:t>
            </w:r>
          </w:p>
        </w:tc>
        <w:tc>
          <w:tcPr>
            <w:tcW w:w="1193" w:type="dxa"/>
            <w:noWrap/>
            <w:vAlign w:val="center"/>
          </w:tcPr>
          <w:p w14:paraId="0ADE7923"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-$16,527,787 </w:t>
            </w:r>
          </w:p>
        </w:tc>
        <w:tc>
          <w:tcPr>
            <w:tcW w:w="1193" w:type="dxa"/>
            <w:noWrap/>
            <w:vAlign w:val="center"/>
          </w:tcPr>
          <w:p w14:paraId="13D9F8BA"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-$17,389,303 </w:t>
            </w:r>
          </w:p>
        </w:tc>
        <w:tc>
          <w:tcPr>
            <w:tcW w:w="1193" w:type="dxa"/>
            <w:noWrap/>
            <w:vAlign w:val="center"/>
          </w:tcPr>
          <w:p w14:paraId="2C27B636"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-$18,295,725 </w:t>
            </w:r>
          </w:p>
        </w:tc>
        <w:tc>
          <w:tcPr>
            <w:tcW w:w="1288" w:type="dxa"/>
            <w:noWrap/>
            <w:vAlign w:val="center"/>
          </w:tcPr>
          <w:p w14:paraId="0A8609C4"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-$82,852,456 </w:t>
            </w:r>
          </w:p>
        </w:tc>
      </w:tr>
      <w:tr w:rsidR="00BB719A" w:rsidRPr="00DA3C6E" w14:paraId="1447A4AD" w14:textId="77777777" w:rsidTr="00FA72EB">
        <w:trPr>
          <w:trHeight w:val="106"/>
        </w:trPr>
        <w:tc>
          <w:tcPr>
            <w:tcW w:w="2083" w:type="dxa"/>
            <w:gridSpan w:val="2"/>
          </w:tcPr>
          <w:p w14:paraId="26E3A10C" w14:textId="77777777" w:rsidR="00BB719A" w:rsidRPr="00DA3C6E" w:rsidRDefault="00BB719A" w:rsidP="00BB719A">
            <w:pPr>
              <w:spacing w:after="0" w:line="240" w:lineRule="auto"/>
              <w:ind w:left="0"/>
              <w:jc w:val="left"/>
              <w:rPr>
                <w:rFonts w:ascii="Arial Narrow" w:hAnsi="Arial Narrow"/>
                <w:sz w:val="20"/>
                <w:szCs w:val="20"/>
              </w:rPr>
            </w:pPr>
            <w:r w:rsidRPr="00DA3C6E">
              <w:rPr>
                <w:rFonts w:ascii="Arial Narrow" w:hAnsi="Arial Narrow"/>
                <w:sz w:val="20"/>
                <w:szCs w:val="20"/>
              </w:rPr>
              <w:t>Net costs to the states and territories</w:t>
            </w:r>
          </w:p>
        </w:tc>
        <w:tc>
          <w:tcPr>
            <w:tcW w:w="1193" w:type="dxa"/>
            <w:noWrap/>
            <w:vAlign w:val="center"/>
          </w:tcPr>
          <w:p w14:paraId="05A6217B"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-$15,889,242 </w:t>
            </w:r>
          </w:p>
        </w:tc>
        <w:tc>
          <w:tcPr>
            <w:tcW w:w="1342" w:type="dxa"/>
            <w:noWrap/>
            <w:vAlign w:val="center"/>
          </w:tcPr>
          <w:p w14:paraId="515F102C"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-$16,725,581 </w:t>
            </w:r>
          </w:p>
        </w:tc>
        <w:tc>
          <w:tcPr>
            <w:tcW w:w="1193" w:type="dxa"/>
            <w:noWrap/>
            <w:vAlign w:val="center"/>
          </w:tcPr>
          <w:p w14:paraId="46FC536E"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-$17,585,744 </w:t>
            </w:r>
          </w:p>
        </w:tc>
        <w:tc>
          <w:tcPr>
            <w:tcW w:w="1193" w:type="dxa"/>
            <w:noWrap/>
            <w:vAlign w:val="center"/>
          </w:tcPr>
          <w:p w14:paraId="59198EEE"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-$18,470,975 </w:t>
            </w:r>
          </w:p>
        </w:tc>
        <w:tc>
          <w:tcPr>
            <w:tcW w:w="1193" w:type="dxa"/>
            <w:noWrap/>
            <w:vAlign w:val="center"/>
          </w:tcPr>
          <w:p w14:paraId="448D36D9"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-$19,382,580 </w:t>
            </w:r>
          </w:p>
        </w:tc>
        <w:tc>
          <w:tcPr>
            <w:tcW w:w="1288" w:type="dxa"/>
            <w:noWrap/>
            <w:vAlign w:val="center"/>
          </w:tcPr>
          <w:p w14:paraId="787DFC5E"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-$88,054,122 </w:t>
            </w:r>
          </w:p>
        </w:tc>
      </w:tr>
      <w:tr w:rsidR="00BB719A" w:rsidRPr="00DA3C6E" w14:paraId="00BCFC9C" w14:textId="77777777" w:rsidTr="00FA72EB">
        <w:trPr>
          <w:trHeight w:val="106"/>
        </w:trPr>
        <w:tc>
          <w:tcPr>
            <w:tcW w:w="2083" w:type="dxa"/>
            <w:gridSpan w:val="2"/>
          </w:tcPr>
          <w:p w14:paraId="1B854483" w14:textId="77777777" w:rsidR="00BB719A" w:rsidRPr="00DA3C6E" w:rsidRDefault="00BB719A" w:rsidP="00BB719A">
            <w:pPr>
              <w:spacing w:after="0" w:line="240" w:lineRule="auto"/>
              <w:ind w:left="0"/>
              <w:jc w:val="left"/>
              <w:rPr>
                <w:rFonts w:ascii="Arial Narrow" w:hAnsi="Arial Narrow"/>
                <w:sz w:val="20"/>
                <w:szCs w:val="20"/>
              </w:rPr>
            </w:pPr>
            <w:r w:rsidRPr="00DA3C6E">
              <w:rPr>
                <w:rFonts w:ascii="Arial Narrow" w:hAnsi="Arial Narrow"/>
                <w:sz w:val="20"/>
                <w:szCs w:val="20"/>
              </w:rPr>
              <w:t>Total net costs</w:t>
            </w:r>
          </w:p>
        </w:tc>
        <w:tc>
          <w:tcPr>
            <w:tcW w:w="1193" w:type="dxa"/>
            <w:noWrap/>
            <w:vAlign w:val="center"/>
          </w:tcPr>
          <w:p w14:paraId="62A209E3"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-$30,819,929 </w:t>
            </w:r>
          </w:p>
        </w:tc>
        <w:tc>
          <w:tcPr>
            <w:tcW w:w="1342" w:type="dxa"/>
            <w:noWrap/>
            <w:vAlign w:val="center"/>
          </w:tcPr>
          <w:p w14:paraId="7D62416C"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-$32,434,534 </w:t>
            </w:r>
          </w:p>
        </w:tc>
        <w:tc>
          <w:tcPr>
            <w:tcW w:w="1193" w:type="dxa"/>
            <w:noWrap/>
            <w:vAlign w:val="center"/>
          </w:tcPr>
          <w:p w14:paraId="3D74C505"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-$34,113,532 </w:t>
            </w:r>
          </w:p>
        </w:tc>
        <w:tc>
          <w:tcPr>
            <w:tcW w:w="1193" w:type="dxa"/>
            <w:noWrap/>
            <w:vAlign w:val="center"/>
          </w:tcPr>
          <w:p w14:paraId="43B7232A"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-$35,860,278 </w:t>
            </w:r>
          </w:p>
        </w:tc>
        <w:tc>
          <w:tcPr>
            <w:tcW w:w="1193" w:type="dxa"/>
            <w:noWrap/>
            <w:vAlign w:val="center"/>
          </w:tcPr>
          <w:p w14:paraId="63CCCDA2"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-$37,678,305 </w:t>
            </w:r>
          </w:p>
        </w:tc>
        <w:tc>
          <w:tcPr>
            <w:tcW w:w="1288" w:type="dxa"/>
            <w:noWrap/>
            <w:vAlign w:val="center"/>
          </w:tcPr>
          <w:p w14:paraId="42F9B5B7" w14:textId="77777777" w:rsidR="00BB719A" w:rsidRPr="00DA3C6E" w:rsidRDefault="00BB719A" w:rsidP="00BB719A">
            <w:pPr>
              <w:spacing w:after="0" w:line="240" w:lineRule="auto"/>
              <w:ind w:left="0"/>
              <w:jc w:val="center"/>
              <w:rPr>
                <w:rFonts w:ascii="Arial Narrow" w:hAnsi="Arial Narrow" w:cs="Calibri"/>
                <w:color w:val="000000"/>
                <w:sz w:val="20"/>
                <w:szCs w:val="20"/>
              </w:rPr>
            </w:pPr>
            <w:r w:rsidRPr="00DA3C6E">
              <w:rPr>
                <w:rFonts w:ascii="Arial Narrow" w:hAnsi="Arial Narrow" w:cs="Calibri"/>
                <w:color w:val="000000"/>
                <w:sz w:val="20"/>
                <w:szCs w:val="20"/>
              </w:rPr>
              <w:t xml:space="preserve">-$170,906,578 </w:t>
            </w:r>
          </w:p>
        </w:tc>
      </w:tr>
    </w:tbl>
    <w:p w14:paraId="6D3398F4" w14:textId="77777777" w:rsidR="005A2158" w:rsidRPr="00DA3C6E" w:rsidRDefault="005A2158" w:rsidP="008E001F">
      <w:pPr>
        <w:pStyle w:val="Tablenotes0"/>
        <w:spacing w:after="0"/>
      </w:pPr>
      <w:r w:rsidRPr="00DA3C6E">
        <w:t xml:space="preserve">Abbreviations: </w:t>
      </w:r>
      <w:r w:rsidR="003969B0" w:rsidRPr="00DA3C6E">
        <w:t xml:space="preserve">AE = adverse events; BSC = best supportive care; </w:t>
      </w:r>
      <w:r w:rsidRPr="00DA3C6E">
        <w:t xml:space="preserve">Ig = immunoglobulin; </w:t>
      </w:r>
      <w:r w:rsidR="003969B0" w:rsidRPr="00DA3C6E">
        <w:t xml:space="preserve">MBS = Medicare Benefit Scheme; </w:t>
      </w:r>
      <w:r w:rsidRPr="00DA3C6E">
        <w:t>MMN = multifocal motor neuropathy; NBA = National Blood Authority</w:t>
      </w:r>
      <w:r w:rsidR="003969B0" w:rsidRPr="00DA3C6E">
        <w:t>; PBS = Pharmaceutical Benefit Scheme</w:t>
      </w:r>
      <w:r w:rsidRPr="00DA3C6E">
        <w:t>.</w:t>
      </w:r>
    </w:p>
    <w:p w14:paraId="6F7FAFE4" w14:textId="77777777" w:rsidR="005A2158" w:rsidRPr="00DA3C6E" w:rsidRDefault="005A2158" w:rsidP="008E001F">
      <w:pPr>
        <w:pStyle w:val="Tablenotes0"/>
        <w:spacing w:after="0"/>
      </w:pPr>
      <w:r w:rsidRPr="00DA3C6E">
        <w:t xml:space="preserve">Notes: </w:t>
      </w:r>
      <w:r w:rsidRPr="00DA3C6E">
        <w:rPr>
          <w:vertAlign w:val="superscript"/>
        </w:rPr>
        <w:t>a</w:t>
      </w:r>
      <w:r w:rsidRPr="00DA3C6E">
        <w:t xml:space="preserve"> The National Blood Agreement states that 63% of products are funded by the Commonwealth and 37% by the states and territories. </w:t>
      </w:r>
    </w:p>
    <w:p w14:paraId="108BAEC0" w14:textId="77777777" w:rsidR="005A2158" w:rsidRPr="00DA3C6E" w:rsidRDefault="005A2158" w:rsidP="008E001F">
      <w:pPr>
        <w:pStyle w:val="Tablenotes0"/>
      </w:pPr>
      <w:r w:rsidRPr="00DA3C6E">
        <w:t>Source: Projections from observed data from the HTA Conditions Report 1, 2 and 3 provided by the NBA on 06 January 2020 (‘Phase 2 HTA conditions data.xlsx' workbook).</w:t>
      </w:r>
    </w:p>
    <w:p w14:paraId="59BBA509" w14:textId="77777777" w:rsidR="005A2158" w:rsidRPr="00DA3C6E" w:rsidRDefault="005A2158" w:rsidP="0073359F">
      <w:pPr>
        <w:pStyle w:val="Heading2"/>
        <w:numPr>
          <w:ilvl w:val="4"/>
          <w:numId w:val="61"/>
        </w:numPr>
        <w:jc w:val="left"/>
      </w:pPr>
      <w:r w:rsidRPr="00DA3C6E">
        <w:t xml:space="preserve"> </w:t>
      </w:r>
      <w:bookmarkStart w:id="385" w:name="_Toc37845790"/>
      <w:r w:rsidRPr="00DA3C6E">
        <w:t>Identification, Estimation and Reduction of Uncertainty</w:t>
      </w:r>
      <w:bookmarkEnd w:id="385"/>
    </w:p>
    <w:p w14:paraId="0EB72755" w14:textId="5223C7FB" w:rsidR="005A2158" w:rsidRPr="00DA3C6E" w:rsidRDefault="00E200CE" w:rsidP="00CF0291">
      <w:r w:rsidRPr="00DA3C6E">
        <w:t xml:space="preserve">The results of </w:t>
      </w:r>
      <w:r w:rsidR="005A2158" w:rsidRPr="00DA3C6E">
        <w:t xml:space="preserve">sensitivity analyses exploring uncertainty in the assumptions used to determine the financial implications are presented in </w:t>
      </w:r>
      <w:r w:rsidR="005A2158" w:rsidRPr="00DA3C6E">
        <w:fldChar w:fldCharType="begin"/>
      </w:r>
      <w:r w:rsidR="005A2158" w:rsidRPr="00DA3C6E">
        <w:instrText xml:space="preserve"> REF _Ref29907160 \h </w:instrText>
      </w:r>
      <w:r w:rsidR="00E8759F" w:rsidRPr="00DA3C6E">
        <w:instrText xml:space="preserve"> \* MERGEFORMAT </w:instrText>
      </w:r>
      <w:r w:rsidR="005A2158" w:rsidRPr="00DA3C6E">
        <w:fldChar w:fldCharType="separate"/>
      </w:r>
      <w:r w:rsidR="00EA5DC1" w:rsidRPr="00DA3C6E">
        <w:t xml:space="preserve">Table </w:t>
      </w:r>
      <w:r w:rsidR="00EA5DC1">
        <w:rPr>
          <w:noProof/>
        </w:rPr>
        <w:t>47</w:t>
      </w:r>
      <w:r w:rsidR="005A2158" w:rsidRPr="00DA3C6E">
        <w:fldChar w:fldCharType="end"/>
      </w:r>
      <w:r w:rsidR="005A2158" w:rsidRPr="00DA3C6E">
        <w:t xml:space="preserve">. The financial estimates were most sensitive to the </w:t>
      </w:r>
      <w:r w:rsidR="005A2158" w:rsidRPr="00DA3C6E">
        <w:lastRenderedPageBreak/>
        <w:t xml:space="preserve">cost of </w:t>
      </w:r>
      <w:r w:rsidR="000E1893" w:rsidRPr="00DA3C6E">
        <w:t>intravenous</w:t>
      </w:r>
      <w:r w:rsidR="00C55E03" w:rsidRPr="00DA3C6E">
        <w:t xml:space="preserve"> Ig</w:t>
      </w:r>
      <w:r w:rsidR="005A2158" w:rsidRPr="00DA3C6E">
        <w:t>, mainly when the lower imported cost ($</w:t>
      </w:r>
      <w:r w:rsidR="00642D73" w:rsidRPr="00DA3C6E">
        <w:t>44.94</w:t>
      </w:r>
      <w:r w:rsidR="005A2158" w:rsidRPr="00DA3C6E">
        <w:t xml:space="preserve">) was used for the total grams utilised </w:t>
      </w:r>
      <w:r w:rsidR="00A5773A" w:rsidRPr="00DA3C6E">
        <w:t xml:space="preserve">by </w:t>
      </w:r>
      <w:r w:rsidR="005A2158" w:rsidRPr="00DA3C6E">
        <w:t xml:space="preserve">all MMN patients. The higher impact compared to using the higher cost of the domestic product is </w:t>
      </w:r>
      <w:r w:rsidR="00A5773A" w:rsidRPr="00DA3C6E">
        <w:t>because</w:t>
      </w:r>
      <w:r w:rsidR="005A2158" w:rsidRPr="00DA3C6E">
        <w:t xml:space="preserve"> in Australia most patients use imported product. Following the </w:t>
      </w:r>
      <w:r w:rsidR="00C55E03" w:rsidRPr="00DA3C6E">
        <w:t xml:space="preserve">intravenous Ig </w:t>
      </w:r>
      <w:r w:rsidR="005A2158" w:rsidRPr="00DA3C6E">
        <w:t xml:space="preserve">cost, the costs were also sensitive to linearly projecting the total numbers of grams used per patient, which for the base case were maintained constant. </w:t>
      </w:r>
    </w:p>
    <w:p w14:paraId="236CB249" w14:textId="1DCC96F6" w:rsidR="00763EAA" w:rsidRPr="00DA3C6E" w:rsidRDefault="00763EAA" w:rsidP="00CF0291">
      <w:pPr>
        <w:rPr>
          <w:rFonts w:eastAsia="Calibri"/>
          <w:lang w:eastAsia="en-US"/>
        </w:rPr>
      </w:pPr>
      <w:r w:rsidRPr="00DA3C6E">
        <w:t>An epidemiological approach could have also been conducted by using prevalence estimates from the international literature. The study conducted by Cats et al</w:t>
      </w:r>
      <w:r w:rsidR="00A5773A" w:rsidRPr="00DA3C6E">
        <w:t>. 2010</w: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4" w:tooltip="Cats, 2010 #13" w:history="1">
        <w:r w:rsidR="00C04BCE" w:rsidRPr="00DA3C6E">
          <w:rPr>
            <w:noProof/>
          </w:rPr>
          <w:t>14</w:t>
        </w:r>
      </w:hyperlink>
      <w:r w:rsidR="00DB568A" w:rsidRPr="00DA3C6E">
        <w:rPr>
          <w:noProof/>
        </w:rPr>
        <w:t>)</w:t>
      </w:r>
      <w:r w:rsidR="00DB568A" w:rsidRPr="00DA3C6E">
        <w:fldChar w:fldCharType="end"/>
      </w:r>
      <w:r w:rsidRPr="00DA3C6E">
        <w:t xml:space="preserve"> was suggested by the </w:t>
      </w:r>
      <w:r w:rsidRPr="00DA3C6E">
        <w:rPr>
          <w:rFonts w:eastAsia="Calibri"/>
          <w:lang w:eastAsia="en-US"/>
        </w:rPr>
        <w:t xml:space="preserve">Ig Review Reference Group at the Ig review meeting (09 October 2019), because the study was conducted in a systematic way and their findings are widely used. In addition, the clinical criteria used for intravenous Ig therapy for MMN in this study was consistent with the clinical criteria as per </w:t>
      </w:r>
      <w:r w:rsidR="00E46481" w:rsidRPr="00DA3C6E">
        <w:rPr>
          <w:rFonts w:eastAsia="Calibri"/>
          <w:lang w:eastAsia="en-US"/>
        </w:rPr>
        <w:t xml:space="preserve">The Criteria </w:t>
      </w:r>
      <w:r w:rsidRPr="00DA3C6E">
        <w:rPr>
          <w:rFonts w:eastAsia="Calibri"/>
          <w:lang w:eastAsia="en-US"/>
        </w:rPr>
        <w:t>V</w:t>
      </w:r>
      <w:r w:rsidR="00E46481" w:rsidRPr="00DA3C6E">
        <w:rPr>
          <w:rFonts w:eastAsia="Calibri"/>
          <w:lang w:eastAsia="en-US"/>
        </w:rPr>
        <w:t>3</w:t>
      </w:r>
      <w:r w:rsidRPr="00DA3C6E">
        <w:rPr>
          <w:rFonts w:eastAsia="Calibri"/>
          <w:lang w:eastAsia="en-US"/>
        </w:rPr>
        <w:t xml:space="preserve"> for the use intravenous Ig therapy for MMN in Australia. However, by using this estimate (0.6 per 100,000 population), the total number of prevalent cases with a definite </w:t>
      </w:r>
      <w:r w:rsidR="00A5773A" w:rsidRPr="00DA3C6E">
        <w:rPr>
          <w:rFonts w:eastAsia="Calibri"/>
          <w:lang w:eastAsia="en-US"/>
        </w:rPr>
        <w:t xml:space="preserve">diagnosis </w:t>
      </w:r>
      <w:r w:rsidRPr="00DA3C6E">
        <w:rPr>
          <w:rFonts w:eastAsia="Calibri"/>
          <w:lang w:eastAsia="en-US"/>
        </w:rPr>
        <w:t xml:space="preserve">would equate to 151 patients, which greatly differs from the data provided by the NBA and discussed above. The differences observed between the two sources could be partly explained due to patients treated according to The Criteria V2 having been categorised in all the diagnostic categories of MMN: definite, probable and possible. On the other hand, as discussed in Section A, this could also be a result of misdiagnosing MND as MMN. </w:t>
      </w:r>
      <w:r w:rsidR="004D627A" w:rsidRPr="00DA3C6E">
        <w:rPr>
          <w:rFonts w:eastAsia="Calibri"/>
          <w:lang w:eastAsia="en-US"/>
        </w:rPr>
        <w:t xml:space="preserve">The latter was supported by a clinical expert during the meeting held on 25 March 2020 where it was suggested that the number of MMN cases from the NBA data </w:t>
      </w:r>
      <w:r w:rsidR="00EA2C9D" w:rsidRPr="00DA3C6E">
        <w:rPr>
          <w:rFonts w:eastAsia="Calibri"/>
          <w:lang w:eastAsia="en-US"/>
        </w:rPr>
        <w:t xml:space="preserve">likely represented an overestimate of the target population. </w:t>
      </w:r>
      <w:r w:rsidRPr="00DA3C6E">
        <w:rPr>
          <w:rFonts w:eastAsia="Calibri"/>
          <w:lang w:eastAsia="en-US"/>
        </w:rPr>
        <w:t xml:space="preserve">It should also be noted that The Criteria V3 is more sensitive in differentiating between MMN and MND compared to V2 due to the new requirements for </w:t>
      </w:r>
      <w:r w:rsidR="00E46481" w:rsidRPr="00DA3C6E">
        <w:t>initial and continuing treatment</w:t>
      </w:r>
      <w:r w:rsidRPr="00DA3C6E">
        <w:rPr>
          <w:rFonts w:eastAsia="Calibri"/>
          <w:lang w:eastAsia="en-US"/>
        </w:rPr>
        <w:t xml:space="preserve">. The Criteria V3 requires that newly diagnosed MMN patients on intravenous Ig therapy be reviewed at 4 months to eliminate non-responders and </w:t>
      </w:r>
      <w:r w:rsidR="00A5773A" w:rsidRPr="00DA3C6E">
        <w:rPr>
          <w:rFonts w:eastAsia="Calibri"/>
          <w:lang w:eastAsia="en-US"/>
        </w:rPr>
        <w:t xml:space="preserve">to </w:t>
      </w:r>
      <w:r w:rsidRPr="00DA3C6E">
        <w:rPr>
          <w:rFonts w:eastAsia="Calibri"/>
          <w:lang w:eastAsia="en-US"/>
        </w:rPr>
        <w:t>also trial-off treatment for MMN patients in remission on maintenance therapy. The full implementation of The Criteria V3 may reduce the misdiagnosing of MND as MMN and thus reduce the number of treated patients.</w:t>
      </w:r>
    </w:p>
    <w:p w14:paraId="1C005C29" w14:textId="7B923344" w:rsidR="005A2158" w:rsidRPr="00DA3C6E" w:rsidRDefault="005A2158" w:rsidP="00B5232E">
      <w:pPr>
        <w:pStyle w:val="Caption"/>
      </w:pPr>
      <w:bookmarkStart w:id="386" w:name="_Ref29907160"/>
      <w:bookmarkStart w:id="387" w:name="_Toc37845850"/>
      <w:r w:rsidRPr="00DA3C6E">
        <w:t xml:space="preserve">Table </w:t>
      </w:r>
      <w:r w:rsidR="00515153">
        <w:fldChar w:fldCharType="begin"/>
      </w:r>
      <w:r w:rsidR="00515153">
        <w:instrText xml:space="preserve"> SEQ Table \* ARABIC </w:instrText>
      </w:r>
      <w:r w:rsidR="00515153">
        <w:fldChar w:fldCharType="separate"/>
      </w:r>
      <w:r w:rsidR="00EA5DC1">
        <w:rPr>
          <w:noProof/>
        </w:rPr>
        <w:t>47</w:t>
      </w:r>
      <w:r w:rsidR="00515153">
        <w:rPr>
          <w:noProof/>
        </w:rPr>
        <w:fldChar w:fldCharType="end"/>
      </w:r>
      <w:bookmarkEnd w:id="386"/>
      <w:r w:rsidRPr="00DA3C6E">
        <w:t>. Sensitivity analyses around the financial implication estimates.</w:t>
      </w:r>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276"/>
        <w:gridCol w:w="1275"/>
        <w:gridCol w:w="1276"/>
        <w:gridCol w:w="1276"/>
        <w:gridCol w:w="1366"/>
      </w:tblGrid>
      <w:tr w:rsidR="00AE2C16" w:rsidRPr="00DA3C6E" w14:paraId="4747A196" w14:textId="77777777" w:rsidTr="000E614C">
        <w:trPr>
          <w:trHeight w:val="315"/>
        </w:trPr>
        <w:tc>
          <w:tcPr>
            <w:tcW w:w="1271" w:type="dxa"/>
            <w:shd w:val="clear" w:color="auto" w:fill="auto"/>
            <w:noWrap/>
            <w:vAlign w:val="center"/>
            <w:hideMark/>
          </w:tcPr>
          <w:p w14:paraId="54DC48DD" w14:textId="77777777" w:rsidR="00642D73" w:rsidRPr="00DA3C6E" w:rsidRDefault="00642D73" w:rsidP="000E614C">
            <w:pPr>
              <w:spacing w:after="0" w:line="240" w:lineRule="auto"/>
              <w:jc w:val="left"/>
              <w:rPr>
                <w:rFonts w:ascii="Arial Narrow" w:hAnsi="Arial Narrow" w:cs="Times New Roman"/>
                <w:sz w:val="20"/>
                <w:szCs w:val="20"/>
              </w:rPr>
            </w:pPr>
          </w:p>
        </w:tc>
        <w:tc>
          <w:tcPr>
            <w:tcW w:w="1276" w:type="dxa"/>
            <w:shd w:val="clear" w:color="auto" w:fill="auto"/>
            <w:noWrap/>
            <w:vAlign w:val="center"/>
            <w:hideMark/>
          </w:tcPr>
          <w:p w14:paraId="21E43A6D"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Year 1</w:t>
            </w:r>
          </w:p>
        </w:tc>
        <w:tc>
          <w:tcPr>
            <w:tcW w:w="1276" w:type="dxa"/>
            <w:shd w:val="clear" w:color="auto" w:fill="auto"/>
            <w:noWrap/>
            <w:vAlign w:val="center"/>
            <w:hideMark/>
          </w:tcPr>
          <w:p w14:paraId="4BA22FE7"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Year 2</w:t>
            </w:r>
          </w:p>
        </w:tc>
        <w:tc>
          <w:tcPr>
            <w:tcW w:w="1275" w:type="dxa"/>
            <w:shd w:val="clear" w:color="auto" w:fill="auto"/>
            <w:noWrap/>
            <w:vAlign w:val="center"/>
            <w:hideMark/>
          </w:tcPr>
          <w:p w14:paraId="281495A0"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Year 3</w:t>
            </w:r>
          </w:p>
        </w:tc>
        <w:tc>
          <w:tcPr>
            <w:tcW w:w="1276" w:type="dxa"/>
            <w:shd w:val="clear" w:color="auto" w:fill="auto"/>
            <w:noWrap/>
            <w:vAlign w:val="center"/>
            <w:hideMark/>
          </w:tcPr>
          <w:p w14:paraId="38BCD366"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Year 4</w:t>
            </w:r>
          </w:p>
        </w:tc>
        <w:tc>
          <w:tcPr>
            <w:tcW w:w="1276" w:type="dxa"/>
            <w:shd w:val="clear" w:color="auto" w:fill="auto"/>
            <w:noWrap/>
            <w:vAlign w:val="center"/>
            <w:hideMark/>
          </w:tcPr>
          <w:p w14:paraId="3F06B357"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Year 5</w:t>
            </w:r>
          </w:p>
        </w:tc>
        <w:tc>
          <w:tcPr>
            <w:tcW w:w="1366" w:type="dxa"/>
            <w:shd w:val="clear" w:color="auto" w:fill="auto"/>
            <w:noWrap/>
            <w:vAlign w:val="center"/>
            <w:hideMark/>
          </w:tcPr>
          <w:p w14:paraId="7F1AEEC9" w14:textId="77777777" w:rsidR="00642D73" w:rsidRPr="00DA3C6E" w:rsidRDefault="00642D73" w:rsidP="00FA72EB">
            <w:pPr>
              <w:spacing w:after="0" w:line="240" w:lineRule="auto"/>
              <w:jc w:val="center"/>
              <w:rPr>
                <w:rFonts w:ascii="Arial Narrow" w:hAnsi="Arial Narrow" w:cs="Calibri"/>
                <w:b/>
                <w:bCs/>
                <w:sz w:val="20"/>
                <w:szCs w:val="20"/>
              </w:rPr>
            </w:pPr>
            <w:r w:rsidRPr="00DA3C6E">
              <w:rPr>
                <w:rFonts w:ascii="Arial Narrow" w:hAnsi="Arial Narrow" w:cs="Calibri"/>
                <w:b/>
                <w:bCs/>
                <w:sz w:val="20"/>
                <w:szCs w:val="20"/>
              </w:rPr>
              <w:t>Total over 5 years</w:t>
            </w:r>
          </w:p>
        </w:tc>
      </w:tr>
      <w:tr w:rsidR="00AE2C16" w:rsidRPr="00DA3C6E" w14:paraId="25B9BA1F" w14:textId="77777777" w:rsidTr="000E614C">
        <w:trPr>
          <w:trHeight w:val="315"/>
        </w:trPr>
        <w:tc>
          <w:tcPr>
            <w:tcW w:w="1271" w:type="dxa"/>
            <w:shd w:val="clear" w:color="auto" w:fill="auto"/>
            <w:noWrap/>
            <w:vAlign w:val="center"/>
            <w:hideMark/>
          </w:tcPr>
          <w:p w14:paraId="220EC80B" w14:textId="77777777" w:rsidR="00720FF2" w:rsidRPr="00DA3C6E" w:rsidRDefault="00720FF2"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Base case</w:t>
            </w:r>
          </w:p>
        </w:tc>
        <w:tc>
          <w:tcPr>
            <w:tcW w:w="1276" w:type="dxa"/>
            <w:shd w:val="clear" w:color="auto" w:fill="auto"/>
            <w:noWrap/>
            <w:vAlign w:val="center"/>
          </w:tcPr>
          <w:p w14:paraId="2C1D0B97" w14:textId="77777777" w:rsidR="00720FF2"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w:t>
            </w:r>
            <w:r w:rsidR="00720FF2" w:rsidRPr="00DA3C6E">
              <w:rPr>
                <w:rFonts w:ascii="Arial Narrow" w:hAnsi="Arial Narrow" w:cs="Calibri"/>
                <w:sz w:val="20"/>
                <w:szCs w:val="20"/>
              </w:rPr>
              <w:t>30,819,929</w:t>
            </w:r>
          </w:p>
        </w:tc>
        <w:tc>
          <w:tcPr>
            <w:tcW w:w="1276" w:type="dxa"/>
            <w:shd w:val="clear" w:color="auto" w:fill="auto"/>
            <w:noWrap/>
            <w:vAlign w:val="center"/>
          </w:tcPr>
          <w:p w14:paraId="71525F2B" w14:textId="77777777" w:rsidR="00720FF2" w:rsidRPr="00DA3C6E" w:rsidRDefault="00720FF2"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w:t>
            </w:r>
            <w:r w:rsidR="00AE2C16" w:rsidRPr="00DA3C6E">
              <w:rPr>
                <w:rFonts w:ascii="Arial Narrow" w:hAnsi="Arial Narrow" w:cs="Calibri"/>
                <w:sz w:val="20"/>
                <w:szCs w:val="20"/>
              </w:rPr>
              <w:t>$32,434,534</w:t>
            </w:r>
          </w:p>
        </w:tc>
        <w:tc>
          <w:tcPr>
            <w:tcW w:w="1275" w:type="dxa"/>
            <w:shd w:val="clear" w:color="auto" w:fill="auto"/>
            <w:noWrap/>
            <w:vAlign w:val="center"/>
          </w:tcPr>
          <w:p w14:paraId="0019E11F" w14:textId="77777777" w:rsidR="00720FF2"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-$34,113,531</w:t>
            </w:r>
          </w:p>
        </w:tc>
        <w:tc>
          <w:tcPr>
            <w:tcW w:w="1276" w:type="dxa"/>
            <w:shd w:val="clear" w:color="auto" w:fill="auto"/>
            <w:noWrap/>
            <w:vAlign w:val="center"/>
          </w:tcPr>
          <w:p w14:paraId="7BDE1655" w14:textId="77777777" w:rsidR="00720FF2"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-$35,860,278</w:t>
            </w:r>
          </w:p>
        </w:tc>
        <w:tc>
          <w:tcPr>
            <w:tcW w:w="1276" w:type="dxa"/>
            <w:shd w:val="clear" w:color="auto" w:fill="auto"/>
            <w:noWrap/>
            <w:vAlign w:val="center"/>
          </w:tcPr>
          <w:p w14:paraId="120BC44D" w14:textId="77777777" w:rsidR="00720FF2"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-$37,678,305</w:t>
            </w:r>
          </w:p>
        </w:tc>
        <w:tc>
          <w:tcPr>
            <w:tcW w:w="1366" w:type="dxa"/>
            <w:shd w:val="clear" w:color="auto" w:fill="auto"/>
            <w:noWrap/>
            <w:vAlign w:val="center"/>
          </w:tcPr>
          <w:p w14:paraId="6876842E" w14:textId="77777777" w:rsidR="00720FF2"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-$170,906,578</w:t>
            </w:r>
          </w:p>
        </w:tc>
      </w:tr>
      <w:tr w:rsidR="00AE2C16" w:rsidRPr="00DA3C6E" w14:paraId="1926B0AF" w14:textId="77777777" w:rsidTr="000E614C">
        <w:trPr>
          <w:trHeight w:val="315"/>
        </w:trPr>
        <w:tc>
          <w:tcPr>
            <w:tcW w:w="1271" w:type="dxa"/>
            <w:shd w:val="clear" w:color="auto" w:fill="auto"/>
            <w:noWrap/>
            <w:vAlign w:val="center"/>
          </w:tcPr>
          <w:p w14:paraId="6125EFD5"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Ig low cost ($44.94)</w:t>
            </w:r>
          </w:p>
        </w:tc>
        <w:tc>
          <w:tcPr>
            <w:tcW w:w="1276" w:type="dxa"/>
            <w:shd w:val="clear" w:color="auto" w:fill="auto"/>
            <w:noWrap/>
            <w:vAlign w:val="center"/>
          </w:tcPr>
          <w:p w14:paraId="076E9D8B"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-$24,750,879</w:t>
            </w:r>
          </w:p>
        </w:tc>
        <w:tc>
          <w:tcPr>
            <w:tcW w:w="1276" w:type="dxa"/>
            <w:shd w:val="clear" w:color="auto" w:fill="auto"/>
            <w:noWrap/>
            <w:vAlign w:val="center"/>
          </w:tcPr>
          <w:p w14:paraId="399E84D6"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-$26,049,133</w:t>
            </w:r>
          </w:p>
        </w:tc>
        <w:tc>
          <w:tcPr>
            <w:tcW w:w="1275" w:type="dxa"/>
            <w:shd w:val="clear" w:color="auto" w:fill="auto"/>
            <w:noWrap/>
            <w:vAlign w:val="center"/>
          </w:tcPr>
          <w:p w14:paraId="115AC715"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-$27,395,290</w:t>
            </w:r>
          </w:p>
        </w:tc>
        <w:tc>
          <w:tcPr>
            <w:tcW w:w="1276" w:type="dxa"/>
            <w:shd w:val="clear" w:color="auto" w:fill="auto"/>
            <w:noWrap/>
            <w:vAlign w:val="center"/>
          </w:tcPr>
          <w:p w14:paraId="62943317"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-$28,791,846</w:t>
            </w:r>
          </w:p>
        </w:tc>
        <w:tc>
          <w:tcPr>
            <w:tcW w:w="1276" w:type="dxa"/>
            <w:shd w:val="clear" w:color="auto" w:fill="auto"/>
            <w:noWrap/>
            <w:vAlign w:val="center"/>
          </w:tcPr>
          <w:p w14:paraId="6A78D79D"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-$30,241,429</w:t>
            </w:r>
          </w:p>
        </w:tc>
        <w:tc>
          <w:tcPr>
            <w:tcW w:w="1366" w:type="dxa"/>
            <w:shd w:val="clear" w:color="auto" w:fill="auto"/>
            <w:noWrap/>
            <w:vAlign w:val="center"/>
          </w:tcPr>
          <w:p w14:paraId="38F48F35"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-$137,228,576</w:t>
            </w:r>
          </w:p>
        </w:tc>
      </w:tr>
      <w:tr w:rsidR="00AE2C16" w:rsidRPr="00DA3C6E" w14:paraId="75FC6997" w14:textId="77777777" w:rsidTr="000E614C">
        <w:trPr>
          <w:trHeight w:val="315"/>
        </w:trPr>
        <w:tc>
          <w:tcPr>
            <w:tcW w:w="1271" w:type="dxa"/>
            <w:shd w:val="clear" w:color="auto" w:fill="auto"/>
            <w:noWrap/>
            <w:vAlign w:val="center"/>
          </w:tcPr>
          <w:p w14:paraId="7C54E789"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Ig high cost ($140.18)</w:t>
            </w:r>
          </w:p>
        </w:tc>
        <w:tc>
          <w:tcPr>
            <w:tcW w:w="1276" w:type="dxa"/>
            <w:shd w:val="clear" w:color="auto" w:fill="auto"/>
            <w:noWrap/>
            <w:vAlign w:val="center"/>
          </w:tcPr>
          <w:p w14:paraId="60437B4A"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-$62,114,573</w:t>
            </w:r>
          </w:p>
        </w:tc>
        <w:tc>
          <w:tcPr>
            <w:tcW w:w="1276" w:type="dxa"/>
            <w:shd w:val="clear" w:color="auto" w:fill="auto"/>
            <w:noWrap/>
            <w:vAlign w:val="center"/>
          </w:tcPr>
          <w:p w14:paraId="17DD9DED"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-$65,360,420</w:t>
            </w:r>
          </w:p>
        </w:tc>
        <w:tc>
          <w:tcPr>
            <w:tcW w:w="1275" w:type="dxa"/>
            <w:shd w:val="clear" w:color="auto" w:fill="auto"/>
            <w:noWrap/>
            <w:vAlign w:val="center"/>
          </w:tcPr>
          <w:p w14:paraId="2C0050FC"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-$68,755,688</w:t>
            </w:r>
          </w:p>
        </w:tc>
        <w:tc>
          <w:tcPr>
            <w:tcW w:w="1276" w:type="dxa"/>
            <w:shd w:val="clear" w:color="auto" w:fill="auto"/>
            <w:noWrap/>
            <w:vAlign w:val="center"/>
          </w:tcPr>
          <w:p w14:paraId="232F9CC1"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-$72,308,166</w:t>
            </w:r>
          </w:p>
        </w:tc>
        <w:tc>
          <w:tcPr>
            <w:tcW w:w="1276" w:type="dxa"/>
            <w:shd w:val="clear" w:color="auto" w:fill="auto"/>
            <w:noWrap/>
            <w:vAlign w:val="center"/>
          </w:tcPr>
          <w:p w14:paraId="749D5D58"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-$76,026,050</w:t>
            </w:r>
          </w:p>
        </w:tc>
        <w:tc>
          <w:tcPr>
            <w:tcW w:w="1366" w:type="dxa"/>
            <w:shd w:val="clear" w:color="auto" w:fill="auto"/>
            <w:noWrap/>
            <w:vAlign w:val="center"/>
          </w:tcPr>
          <w:p w14:paraId="5412F2E0" w14:textId="77777777" w:rsidR="00AE2C16" w:rsidRPr="00DA3C6E" w:rsidRDefault="00AE2C16" w:rsidP="00AE2C16">
            <w:pPr>
              <w:spacing w:after="0" w:line="240" w:lineRule="auto"/>
              <w:jc w:val="center"/>
              <w:rPr>
                <w:rFonts w:ascii="Arial Narrow" w:hAnsi="Arial Narrow"/>
                <w:b/>
                <w:sz w:val="20"/>
                <w:szCs w:val="20"/>
              </w:rPr>
            </w:pPr>
            <w:r w:rsidRPr="00DA3C6E">
              <w:rPr>
                <w:rFonts w:ascii="Arial Narrow" w:hAnsi="Arial Narrow" w:cs="Calibri"/>
                <w:sz w:val="20"/>
                <w:szCs w:val="20"/>
              </w:rPr>
              <w:t>-$344,564,897</w:t>
            </w:r>
          </w:p>
        </w:tc>
      </w:tr>
      <w:tr w:rsidR="006E6F9D" w:rsidRPr="00DA3C6E" w14:paraId="7405B03C" w14:textId="77777777" w:rsidTr="000E614C">
        <w:trPr>
          <w:trHeight w:val="315"/>
        </w:trPr>
        <w:tc>
          <w:tcPr>
            <w:tcW w:w="1271" w:type="dxa"/>
            <w:shd w:val="clear" w:color="auto" w:fill="auto"/>
            <w:noWrap/>
            <w:vAlign w:val="center"/>
          </w:tcPr>
          <w:p w14:paraId="6F6BCD79" w14:textId="66DF34BE" w:rsidR="006E6F9D" w:rsidRPr="00DA3C6E" w:rsidRDefault="006E6F9D"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Intravenous Ig based on agreed weighted domestic and international price ($94.51)</w:t>
            </w:r>
          </w:p>
        </w:tc>
        <w:tc>
          <w:tcPr>
            <w:tcW w:w="1276" w:type="dxa"/>
            <w:shd w:val="clear" w:color="auto" w:fill="auto"/>
            <w:noWrap/>
            <w:vAlign w:val="center"/>
          </w:tcPr>
          <w:p w14:paraId="15B69278" w14:textId="505290EC"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-$44,197,732</w:t>
            </w:r>
          </w:p>
        </w:tc>
        <w:tc>
          <w:tcPr>
            <w:tcW w:w="1276" w:type="dxa"/>
            <w:shd w:val="clear" w:color="auto" w:fill="auto"/>
            <w:noWrap/>
            <w:vAlign w:val="center"/>
          </w:tcPr>
          <w:p w14:paraId="181DD4A5" w14:textId="0D0E2862"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-$36,534,614</w:t>
            </w:r>
          </w:p>
        </w:tc>
        <w:tc>
          <w:tcPr>
            <w:tcW w:w="1275" w:type="dxa"/>
            <w:shd w:val="clear" w:color="auto" w:fill="auto"/>
            <w:noWrap/>
            <w:vAlign w:val="center"/>
          </w:tcPr>
          <w:p w14:paraId="4B73899E" w14:textId="30120AA8"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-$38,427,329</w:t>
            </w:r>
          </w:p>
        </w:tc>
        <w:tc>
          <w:tcPr>
            <w:tcW w:w="1276" w:type="dxa"/>
            <w:shd w:val="clear" w:color="auto" w:fill="auto"/>
            <w:noWrap/>
            <w:vAlign w:val="center"/>
          </w:tcPr>
          <w:p w14:paraId="2A735DC6" w14:textId="7F9D2DB0"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-$40,398,934</w:t>
            </w:r>
          </w:p>
        </w:tc>
        <w:tc>
          <w:tcPr>
            <w:tcW w:w="1276" w:type="dxa"/>
            <w:shd w:val="clear" w:color="auto" w:fill="auto"/>
            <w:noWrap/>
            <w:vAlign w:val="center"/>
          </w:tcPr>
          <w:p w14:paraId="26E13392" w14:textId="24F701DC"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-$42,453,539</w:t>
            </w:r>
          </w:p>
        </w:tc>
        <w:tc>
          <w:tcPr>
            <w:tcW w:w="1366" w:type="dxa"/>
            <w:shd w:val="clear" w:color="auto" w:fill="auto"/>
            <w:noWrap/>
            <w:vAlign w:val="center"/>
          </w:tcPr>
          <w:p w14:paraId="28843C2F" w14:textId="1CBA7E31" w:rsidR="006E6F9D" w:rsidRPr="00DA3C6E" w:rsidRDefault="006E6F9D" w:rsidP="00C5369E">
            <w:pPr>
              <w:spacing w:after="0" w:line="240" w:lineRule="auto"/>
              <w:jc w:val="left"/>
              <w:rPr>
                <w:rFonts w:ascii="Arial Narrow" w:hAnsi="Arial Narrow" w:cs="Calibri"/>
                <w:sz w:val="20"/>
                <w:szCs w:val="20"/>
              </w:rPr>
            </w:pPr>
            <w:r w:rsidRPr="00DA3C6E">
              <w:rPr>
                <w:rFonts w:ascii="Arial Narrow" w:hAnsi="Arial Narrow" w:cs="Calibri"/>
                <w:sz w:val="20"/>
                <w:szCs w:val="20"/>
              </w:rPr>
              <w:t>-$202,012,149</w:t>
            </w:r>
          </w:p>
        </w:tc>
      </w:tr>
      <w:tr w:rsidR="00AE2C16" w:rsidRPr="00DA3C6E" w14:paraId="2A0F2390" w14:textId="77777777" w:rsidTr="000E614C">
        <w:trPr>
          <w:trHeight w:val="315"/>
        </w:trPr>
        <w:tc>
          <w:tcPr>
            <w:tcW w:w="1271" w:type="dxa"/>
            <w:shd w:val="clear" w:color="auto" w:fill="auto"/>
            <w:noWrap/>
            <w:vAlign w:val="center"/>
            <w:hideMark/>
          </w:tcPr>
          <w:p w14:paraId="1946F3D9"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Linear projection of utilised Ig grams</w:t>
            </w:r>
          </w:p>
        </w:tc>
        <w:tc>
          <w:tcPr>
            <w:tcW w:w="1276" w:type="dxa"/>
            <w:shd w:val="clear" w:color="auto" w:fill="auto"/>
            <w:noWrap/>
            <w:vAlign w:val="center"/>
          </w:tcPr>
          <w:p w14:paraId="52057DA9"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-$32,124,806</w:t>
            </w:r>
          </w:p>
        </w:tc>
        <w:tc>
          <w:tcPr>
            <w:tcW w:w="1276" w:type="dxa"/>
            <w:shd w:val="clear" w:color="auto" w:fill="auto"/>
            <w:noWrap/>
            <w:vAlign w:val="center"/>
          </w:tcPr>
          <w:p w14:paraId="37B28E38"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-$35,255,912</w:t>
            </w:r>
          </w:p>
        </w:tc>
        <w:tc>
          <w:tcPr>
            <w:tcW w:w="1275" w:type="dxa"/>
            <w:shd w:val="clear" w:color="auto" w:fill="auto"/>
            <w:noWrap/>
            <w:vAlign w:val="center"/>
          </w:tcPr>
          <w:p w14:paraId="5806BB4E"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-$38,689,870</w:t>
            </w:r>
          </w:p>
        </w:tc>
        <w:tc>
          <w:tcPr>
            <w:tcW w:w="1276" w:type="dxa"/>
            <w:shd w:val="clear" w:color="auto" w:fill="auto"/>
            <w:noWrap/>
            <w:vAlign w:val="center"/>
          </w:tcPr>
          <w:p w14:paraId="154C8BAF"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-$42,460,012</w:t>
            </w:r>
          </w:p>
        </w:tc>
        <w:tc>
          <w:tcPr>
            <w:tcW w:w="1276" w:type="dxa"/>
            <w:shd w:val="clear" w:color="auto" w:fill="auto"/>
            <w:noWrap/>
            <w:vAlign w:val="center"/>
          </w:tcPr>
          <w:p w14:paraId="34978514"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-$46,603,335</w:t>
            </w:r>
          </w:p>
        </w:tc>
        <w:tc>
          <w:tcPr>
            <w:tcW w:w="1366" w:type="dxa"/>
            <w:shd w:val="clear" w:color="auto" w:fill="auto"/>
            <w:noWrap/>
            <w:vAlign w:val="center"/>
          </w:tcPr>
          <w:p w14:paraId="33D91533"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-$195,133,934</w:t>
            </w:r>
          </w:p>
        </w:tc>
      </w:tr>
      <w:tr w:rsidR="00AE2C16" w:rsidRPr="00DA3C6E" w14:paraId="4557232A" w14:textId="77777777" w:rsidTr="000E614C">
        <w:trPr>
          <w:trHeight w:val="315"/>
        </w:trPr>
        <w:tc>
          <w:tcPr>
            <w:tcW w:w="1271" w:type="dxa"/>
            <w:shd w:val="clear" w:color="auto" w:fill="auto"/>
            <w:noWrap/>
            <w:vAlign w:val="center"/>
            <w:hideMark/>
          </w:tcPr>
          <w:p w14:paraId="21D42395"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lastRenderedPageBreak/>
              <w:t>Ig administration 100% via public hospitals</w:t>
            </w:r>
          </w:p>
        </w:tc>
        <w:tc>
          <w:tcPr>
            <w:tcW w:w="1276" w:type="dxa"/>
            <w:shd w:val="clear" w:color="auto" w:fill="auto"/>
            <w:noWrap/>
            <w:vAlign w:val="center"/>
          </w:tcPr>
          <w:p w14:paraId="6265BD8E"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-$30,700,757</w:t>
            </w:r>
          </w:p>
        </w:tc>
        <w:tc>
          <w:tcPr>
            <w:tcW w:w="1276" w:type="dxa"/>
            <w:shd w:val="clear" w:color="auto" w:fill="auto"/>
            <w:noWrap/>
            <w:vAlign w:val="center"/>
          </w:tcPr>
          <w:p w14:paraId="7425D3CA"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-$32,309,014</w:t>
            </w:r>
          </w:p>
        </w:tc>
        <w:tc>
          <w:tcPr>
            <w:tcW w:w="1275" w:type="dxa"/>
            <w:shd w:val="clear" w:color="auto" w:fill="auto"/>
            <w:noWrap/>
            <w:vAlign w:val="center"/>
          </w:tcPr>
          <w:p w14:paraId="6A3AD91A"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-$33,981,664</w:t>
            </w:r>
          </w:p>
        </w:tc>
        <w:tc>
          <w:tcPr>
            <w:tcW w:w="1276" w:type="dxa"/>
            <w:shd w:val="clear" w:color="auto" w:fill="auto"/>
            <w:noWrap/>
            <w:vAlign w:val="center"/>
          </w:tcPr>
          <w:p w14:paraId="6EA7A9DC"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-$35,722,063</w:t>
            </w:r>
          </w:p>
        </w:tc>
        <w:tc>
          <w:tcPr>
            <w:tcW w:w="1276" w:type="dxa"/>
            <w:shd w:val="clear" w:color="auto" w:fill="auto"/>
            <w:noWrap/>
            <w:vAlign w:val="center"/>
          </w:tcPr>
          <w:p w14:paraId="312C60F2"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-$37,533,742</w:t>
            </w:r>
          </w:p>
        </w:tc>
        <w:tc>
          <w:tcPr>
            <w:tcW w:w="1366" w:type="dxa"/>
            <w:shd w:val="clear" w:color="auto" w:fill="auto"/>
            <w:noWrap/>
            <w:vAlign w:val="center"/>
          </w:tcPr>
          <w:p w14:paraId="0E8FFFDB"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-$170,247,241</w:t>
            </w:r>
          </w:p>
        </w:tc>
      </w:tr>
      <w:tr w:rsidR="00AE2C16" w:rsidRPr="00DA3C6E" w14:paraId="54739B1E" w14:textId="77777777" w:rsidTr="000E614C">
        <w:trPr>
          <w:trHeight w:val="315"/>
        </w:trPr>
        <w:tc>
          <w:tcPr>
            <w:tcW w:w="1271" w:type="dxa"/>
            <w:shd w:val="clear" w:color="auto" w:fill="auto"/>
            <w:noWrap/>
            <w:vAlign w:val="center"/>
            <w:hideMark/>
          </w:tcPr>
          <w:p w14:paraId="3AECDB59"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Incidence of AE doubled</w:t>
            </w:r>
          </w:p>
        </w:tc>
        <w:tc>
          <w:tcPr>
            <w:tcW w:w="1276" w:type="dxa"/>
            <w:shd w:val="clear" w:color="auto" w:fill="auto"/>
            <w:noWrap/>
            <w:vAlign w:val="center"/>
          </w:tcPr>
          <w:p w14:paraId="2BA7BE0C"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-$31,037,120</w:t>
            </w:r>
          </w:p>
        </w:tc>
        <w:tc>
          <w:tcPr>
            <w:tcW w:w="1276" w:type="dxa"/>
            <w:shd w:val="clear" w:color="auto" w:fill="auto"/>
            <w:noWrap/>
            <w:vAlign w:val="center"/>
          </w:tcPr>
          <w:p w14:paraId="5D32AE98"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-$32,663,293</w:t>
            </w:r>
          </w:p>
        </w:tc>
        <w:tc>
          <w:tcPr>
            <w:tcW w:w="1275" w:type="dxa"/>
            <w:shd w:val="clear" w:color="auto" w:fill="auto"/>
            <w:noWrap/>
            <w:vAlign w:val="center"/>
          </w:tcPr>
          <w:p w14:paraId="7C60EE0F"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-$34,353,859</w:t>
            </w:r>
          </w:p>
        </w:tc>
        <w:tc>
          <w:tcPr>
            <w:tcW w:w="1276" w:type="dxa"/>
            <w:shd w:val="clear" w:color="auto" w:fill="auto"/>
            <w:noWrap/>
            <w:vAlign w:val="center"/>
          </w:tcPr>
          <w:p w14:paraId="2D99A46B"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-$36,112,173</w:t>
            </w:r>
          </w:p>
        </w:tc>
        <w:tc>
          <w:tcPr>
            <w:tcW w:w="1276" w:type="dxa"/>
            <w:shd w:val="clear" w:color="auto" w:fill="auto"/>
            <w:noWrap/>
            <w:vAlign w:val="center"/>
          </w:tcPr>
          <w:p w14:paraId="7A457728"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-$37,941,769</w:t>
            </w:r>
          </w:p>
        </w:tc>
        <w:tc>
          <w:tcPr>
            <w:tcW w:w="1366" w:type="dxa"/>
            <w:shd w:val="clear" w:color="auto" w:fill="auto"/>
            <w:noWrap/>
            <w:vAlign w:val="center"/>
          </w:tcPr>
          <w:p w14:paraId="55F93503"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-$172,108,213</w:t>
            </w:r>
          </w:p>
        </w:tc>
      </w:tr>
      <w:tr w:rsidR="00AE2C16" w:rsidRPr="00DA3C6E" w14:paraId="3C7A2D6F" w14:textId="77777777" w:rsidTr="000E614C">
        <w:trPr>
          <w:trHeight w:val="315"/>
        </w:trPr>
        <w:tc>
          <w:tcPr>
            <w:tcW w:w="1271" w:type="dxa"/>
            <w:shd w:val="clear" w:color="auto" w:fill="auto"/>
            <w:noWrap/>
            <w:vAlign w:val="center"/>
            <w:hideMark/>
          </w:tcPr>
          <w:p w14:paraId="72129E5E"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Linear projection of number of episodes per patient</w:t>
            </w:r>
          </w:p>
        </w:tc>
        <w:tc>
          <w:tcPr>
            <w:tcW w:w="1276" w:type="dxa"/>
            <w:shd w:val="clear" w:color="auto" w:fill="auto"/>
            <w:noWrap/>
            <w:vAlign w:val="center"/>
          </w:tcPr>
          <w:p w14:paraId="4F527F7F"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-$30,848,318</w:t>
            </w:r>
          </w:p>
        </w:tc>
        <w:tc>
          <w:tcPr>
            <w:tcW w:w="1276" w:type="dxa"/>
            <w:shd w:val="clear" w:color="auto" w:fill="auto"/>
            <w:noWrap/>
            <w:vAlign w:val="center"/>
          </w:tcPr>
          <w:p w14:paraId="2AF21503"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-$32,484,369</w:t>
            </w:r>
          </w:p>
        </w:tc>
        <w:tc>
          <w:tcPr>
            <w:tcW w:w="1275" w:type="dxa"/>
            <w:shd w:val="clear" w:color="auto" w:fill="auto"/>
            <w:noWrap/>
            <w:vAlign w:val="center"/>
          </w:tcPr>
          <w:p w14:paraId="241CE0D2"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-$34,186,828</w:t>
            </w:r>
          </w:p>
        </w:tc>
        <w:tc>
          <w:tcPr>
            <w:tcW w:w="1276" w:type="dxa"/>
            <w:shd w:val="clear" w:color="auto" w:fill="auto"/>
            <w:noWrap/>
            <w:vAlign w:val="center"/>
          </w:tcPr>
          <w:p w14:paraId="02E98BC5"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-$35,959,053</w:t>
            </w:r>
          </w:p>
        </w:tc>
        <w:tc>
          <w:tcPr>
            <w:tcW w:w="1276" w:type="dxa"/>
            <w:shd w:val="clear" w:color="auto" w:fill="auto"/>
            <w:noWrap/>
            <w:vAlign w:val="center"/>
          </w:tcPr>
          <w:p w14:paraId="54A3AFE0"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-$37,804,575</w:t>
            </w:r>
          </w:p>
        </w:tc>
        <w:tc>
          <w:tcPr>
            <w:tcW w:w="1366" w:type="dxa"/>
            <w:shd w:val="clear" w:color="auto" w:fill="auto"/>
            <w:noWrap/>
            <w:vAlign w:val="center"/>
          </w:tcPr>
          <w:p w14:paraId="269EFDC5"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-$171,283,143</w:t>
            </w:r>
          </w:p>
        </w:tc>
      </w:tr>
      <w:tr w:rsidR="00AE2C16" w:rsidRPr="00DA3C6E" w14:paraId="28E0F68F" w14:textId="77777777" w:rsidTr="000E614C">
        <w:trPr>
          <w:trHeight w:val="315"/>
        </w:trPr>
        <w:tc>
          <w:tcPr>
            <w:tcW w:w="1271" w:type="dxa"/>
            <w:shd w:val="clear" w:color="auto" w:fill="auto"/>
            <w:noWrap/>
            <w:vAlign w:val="center"/>
          </w:tcPr>
          <w:p w14:paraId="362DBE03" w14:textId="77777777" w:rsidR="00AE2C16" w:rsidRPr="00DA3C6E" w:rsidRDefault="00AE2C16" w:rsidP="000E614C">
            <w:pPr>
              <w:spacing w:after="0" w:line="240" w:lineRule="auto"/>
              <w:jc w:val="left"/>
              <w:rPr>
                <w:rFonts w:ascii="Arial Narrow" w:hAnsi="Arial Narrow" w:cs="Calibri"/>
                <w:sz w:val="20"/>
                <w:szCs w:val="20"/>
              </w:rPr>
            </w:pPr>
            <w:r w:rsidRPr="00DA3C6E">
              <w:rPr>
                <w:rFonts w:ascii="Arial Narrow" w:hAnsi="Arial Narrow" w:cs="Calibri"/>
                <w:sz w:val="20"/>
                <w:szCs w:val="20"/>
              </w:rPr>
              <w:t>Prevalence from Cats et al 2010 (0.6/100,000)</w:t>
            </w:r>
          </w:p>
        </w:tc>
        <w:tc>
          <w:tcPr>
            <w:tcW w:w="1276" w:type="dxa"/>
            <w:shd w:val="clear" w:color="auto" w:fill="auto"/>
            <w:noWrap/>
            <w:vAlign w:val="center"/>
          </w:tcPr>
          <w:p w14:paraId="13DF45E5"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-$29,418,559</w:t>
            </w:r>
          </w:p>
        </w:tc>
        <w:tc>
          <w:tcPr>
            <w:tcW w:w="1276" w:type="dxa"/>
            <w:shd w:val="clear" w:color="auto" w:fill="auto"/>
            <w:noWrap/>
            <w:vAlign w:val="center"/>
          </w:tcPr>
          <w:p w14:paraId="77891CA2"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-$29,854,964</w:t>
            </w:r>
          </w:p>
        </w:tc>
        <w:tc>
          <w:tcPr>
            <w:tcW w:w="1275" w:type="dxa"/>
            <w:shd w:val="clear" w:color="auto" w:fill="auto"/>
            <w:noWrap/>
            <w:vAlign w:val="center"/>
          </w:tcPr>
          <w:p w14:paraId="621C66C4"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-$30,296,401</w:t>
            </w:r>
          </w:p>
        </w:tc>
        <w:tc>
          <w:tcPr>
            <w:tcW w:w="1276" w:type="dxa"/>
            <w:shd w:val="clear" w:color="auto" w:fill="auto"/>
            <w:noWrap/>
            <w:vAlign w:val="center"/>
          </w:tcPr>
          <w:p w14:paraId="769F470A"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-$30,742,946</w:t>
            </w:r>
          </w:p>
        </w:tc>
        <w:tc>
          <w:tcPr>
            <w:tcW w:w="1276" w:type="dxa"/>
            <w:shd w:val="clear" w:color="auto" w:fill="auto"/>
            <w:noWrap/>
            <w:vAlign w:val="center"/>
          </w:tcPr>
          <w:p w14:paraId="577542AB"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-$31,194,674</w:t>
            </w:r>
          </w:p>
        </w:tc>
        <w:tc>
          <w:tcPr>
            <w:tcW w:w="1366" w:type="dxa"/>
            <w:shd w:val="clear" w:color="auto" w:fill="auto"/>
            <w:noWrap/>
            <w:vAlign w:val="center"/>
          </w:tcPr>
          <w:p w14:paraId="488B73A9" w14:textId="77777777" w:rsidR="00AE2C16" w:rsidRPr="00DA3C6E" w:rsidRDefault="00AE2C16" w:rsidP="00AE2C16">
            <w:pPr>
              <w:spacing w:after="0" w:line="240" w:lineRule="auto"/>
              <w:jc w:val="center"/>
              <w:rPr>
                <w:rFonts w:ascii="Arial Narrow" w:hAnsi="Arial Narrow" w:cs="Calibri"/>
                <w:sz w:val="20"/>
                <w:szCs w:val="20"/>
              </w:rPr>
            </w:pPr>
            <w:r w:rsidRPr="00DA3C6E">
              <w:rPr>
                <w:rFonts w:ascii="Arial Narrow" w:hAnsi="Arial Narrow" w:cs="Calibri"/>
                <w:sz w:val="20"/>
                <w:szCs w:val="20"/>
              </w:rPr>
              <w:t>-$151,507,545</w:t>
            </w:r>
          </w:p>
        </w:tc>
      </w:tr>
    </w:tbl>
    <w:p w14:paraId="595F8F75" w14:textId="77777777" w:rsidR="00B5232E" w:rsidRPr="00DA3C6E" w:rsidRDefault="00B5232E" w:rsidP="00E359A5">
      <w:pPr>
        <w:rPr>
          <w:rFonts w:ascii="Arial Narrow" w:hAnsi="Arial Narrow"/>
          <w:sz w:val="18"/>
          <w:szCs w:val="18"/>
        </w:rPr>
      </w:pPr>
      <w:r w:rsidRPr="00DA3C6E">
        <w:rPr>
          <w:rFonts w:ascii="Arial Narrow" w:hAnsi="Arial Narrow"/>
          <w:sz w:val="18"/>
          <w:szCs w:val="18"/>
        </w:rPr>
        <w:t>Abbreviations: AE = adverse event; Ig = immunoglobulin.</w:t>
      </w:r>
    </w:p>
    <w:p w14:paraId="420F6E98" w14:textId="3A97776F" w:rsidR="005A2158" w:rsidRPr="00DA3C6E" w:rsidRDefault="005A2158" w:rsidP="00CF0291">
      <w:pPr>
        <w:rPr>
          <w:rFonts w:eastAsia="Calibri"/>
          <w:lang w:eastAsia="en-US"/>
        </w:rPr>
      </w:pPr>
      <w:r w:rsidRPr="00DA3C6E">
        <w:rPr>
          <w:rFonts w:eastAsia="Calibri"/>
          <w:lang w:eastAsia="en-US"/>
        </w:rPr>
        <w:t xml:space="preserve">By using the NBA utilisation data on </w:t>
      </w:r>
      <w:r w:rsidR="00C55E03" w:rsidRPr="00DA3C6E">
        <w:rPr>
          <w:rFonts w:eastAsia="Calibri"/>
          <w:lang w:eastAsia="en-US"/>
        </w:rPr>
        <w:t xml:space="preserve">Ig </w:t>
      </w:r>
      <w:r w:rsidRPr="00DA3C6E">
        <w:rPr>
          <w:rFonts w:eastAsia="Calibri"/>
          <w:lang w:eastAsia="en-US"/>
        </w:rPr>
        <w:t>for MMN, the estimated prevalence of MMN was 2.3 per 100,000 population for the end of the year 2019. Similarly, the corresponding incidence of MMN in Australia was estimated as 0.5 per 100,000 persons (</w:t>
      </w:r>
      <w:r w:rsidR="00763EAA" w:rsidRPr="00DA3C6E">
        <w:rPr>
          <w:rFonts w:eastAsia="Calibri"/>
          <w:lang w:eastAsia="en-US"/>
        </w:rPr>
        <w:fldChar w:fldCharType="begin"/>
      </w:r>
      <w:r w:rsidR="00763EAA" w:rsidRPr="00DA3C6E">
        <w:rPr>
          <w:rFonts w:eastAsia="Calibri"/>
          <w:lang w:eastAsia="en-US"/>
        </w:rPr>
        <w:instrText xml:space="preserve"> REF _Ref29909956 \h </w:instrText>
      </w:r>
      <w:r w:rsidR="00E8759F" w:rsidRPr="00DA3C6E">
        <w:rPr>
          <w:rFonts w:eastAsia="Calibri"/>
          <w:lang w:eastAsia="en-US"/>
        </w:rPr>
        <w:instrText xml:space="preserve"> \* MERGEFORMAT </w:instrText>
      </w:r>
      <w:r w:rsidR="00763EAA" w:rsidRPr="00DA3C6E">
        <w:rPr>
          <w:rFonts w:eastAsia="Calibri"/>
          <w:lang w:eastAsia="en-US"/>
        </w:rPr>
      </w:r>
      <w:r w:rsidR="00763EAA" w:rsidRPr="00DA3C6E">
        <w:rPr>
          <w:rFonts w:eastAsia="Calibri"/>
          <w:lang w:eastAsia="en-US"/>
        </w:rPr>
        <w:fldChar w:fldCharType="separate"/>
      </w:r>
      <w:r w:rsidR="00EA5DC1" w:rsidRPr="00DA3C6E">
        <w:t xml:space="preserve">Table </w:t>
      </w:r>
      <w:r w:rsidR="00EA5DC1">
        <w:rPr>
          <w:noProof/>
        </w:rPr>
        <w:t>48</w:t>
      </w:r>
      <w:r w:rsidR="00763EAA" w:rsidRPr="00DA3C6E">
        <w:rPr>
          <w:rFonts w:eastAsia="Calibri"/>
          <w:lang w:eastAsia="en-US"/>
        </w:rPr>
        <w:fldChar w:fldCharType="end"/>
      </w:r>
      <w:r w:rsidRPr="00DA3C6E">
        <w:rPr>
          <w:rFonts w:eastAsia="Calibri"/>
          <w:lang w:eastAsia="en-US"/>
        </w:rPr>
        <w:t xml:space="preserve">). </w:t>
      </w:r>
      <w:r w:rsidR="004641CC" w:rsidRPr="00DA3C6E">
        <w:rPr>
          <w:rFonts w:eastAsia="Calibri"/>
          <w:lang w:eastAsia="en-US"/>
        </w:rPr>
        <w:t>However,</w:t>
      </w:r>
      <w:r w:rsidRPr="00DA3C6E">
        <w:rPr>
          <w:rFonts w:eastAsia="Calibri"/>
          <w:lang w:eastAsia="en-US"/>
        </w:rPr>
        <w:t xml:space="preserve"> as stated above, these estimates may not truly represent the prevalence of MMN in Australia. In addition, The Criteria V3</w:t>
      </w:r>
      <w:r w:rsidR="00A11489" w:rsidRPr="00DA3C6E">
        <w:rPr>
          <w:rFonts w:eastAsia="Calibri"/>
          <w:lang w:eastAsia="en-US"/>
        </w:rPr>
        <w:t xml:space="preserve"> requires</w:t>
      </w:r>
      <w:r w:rsidRPr="00DA3C6E">
        <w:rPr>
          <w:rFonts w:eastAsia="Calibri"/>
          <w:lang w:eastAsia="en-US"/>
        </w:rPr>
        <w:t xml:space="preserve"> MMN patients </w:t>
      </w:r>
      <w:r w:rsidR="00A11489" w:rsidRPr="00DA3C6E">
        <w:rPr>
          <w:rFonts w:eastAsia="Calibri"/>
          <w:lang w:eastAsia="en-US"/>
        </w:rPr>
        <w:t xml:space="preserve">to </w:t>
      </w:r>
      <w:r w:rsidRPr="00DA3C6E">
        <w:rPr>
          <w:rFonts w:eastAsia="Calibri"/>
          <w:lang w:eastAsia="en-US"/>
        </w:rPr>
        <w:t xml:space="preserve">demonstrate progressive muscle weakness and disability according to the adjusted ONLS (see </w:t>
      </w:r>
      <w:r w:rsidR="00C11E73" w:rsidRPr="00DA3C6E">
        <w:rPr>
          <w:rFonts w:eastAsia="Calibri"/>
          <w:lang w:eastAsia="en-US"/>
        </w:rPr>
        <w:fldChar w:fldCharType="begin"/>
      </w:r>
      <w:r w:rsidR="00C11E73" w:rsidRPr="00DA3C6E">
        <w:rPr>
          <w:rFonts w:eastAsia="Calibri"/>
          <w:lang w:eastAsia="en-US"/>
        </w:rPr>
        <w:instrText xml:space="preserve"> REF _Ref25919258 \h </w:instrText>
      </w:r>
      <w:r w:rsidR="00E8759F" w:rsidRPr="00DA3C6E">
        <w:rPr>
          <w:rFonts w:eastAsia="Calibri"/>
          <w:lang w:eastAsia="en-US"/>
        </w:rPr>
        <w:instrText xml:space="preserve"> \* MERGEFORMAT </w:instrText>
      </w:r>
      <w:r w:rsidR="00C11E73" w:rsidRPr="00DA3C6E">
        <w:rPr>
          <w:rFonts w:eastAsia="Calibri"/>
          <w:lang w:eastAsia="en-US"/>
        </w:rPr>
      </w:r>
      <w:r w:rsidR="00C11E73" w:rsidRPr="00DA3C6E">
        <w:rPr>
          <w:rFonts w:eastAsia="Calibri"/>
          <w:lang w:eastAsia="en-US"/>
        </w:rPr>
        <w:fldChar w:fldCharType="separate"/>
      </w:r>
      <w:r w:rsidR="00EA5DC1" w:rsidRPr="00DA3C6E">
        <w:t xml:space="preserve">Table </w:t>
      </w:r>
      <w:r w:rsidR="00EA5DC1">
        <w:rPr>
          <w:noProof/>
        </w:rPr>
        <w:t>4</w:t>
      </w:r>
      <w:r w:rsidR="00C11E73" w:rsidRPr="00DA3C6E">
        <w:rPr>
          <w:rFonts w:eastAsia="Calibri"/>
          <w:lang w:eastAsia="en-US"/>
        </w:rPr>
        <w:fldChar w:fldCharType="end"/>
      </w:r>
      <w:r w:rsidRPr="00DA3C6E">
        <w:rPr>
          <w:rFonts w:eastAsia="Calibri"/>
          <w:lang w:eastAsia="en-US"/>
        </w:rPr>
        <w:t xml:space="preserve">) </w:t>
      </w:r>
      <w:r w:rsidR="00A11489" w:rsidRPr="00DA3C6E">
        <w:rPr>
          <w:rFonts w:eastAsia="Calibri"/>
          <w:lang w:eastAsia="en-US"/>
        </w:rPr>
        <w:t>in order to be</w:t>
      </w:r>
      <w:r w:rsidRPr="00DA3C6E">
        <w:rPr>
          <w:rFonts w:eastAsia="Calibri"/>
          <w:lang w:eastAsia="en-US"/>
        </w:rPr>
        <w:t xml:space="preserve"> eligible to receive </w:t>
      </w:r>
      <w:r w:rsidR="00C55E03" w:rsidRPr="00DA3C6E">
        <w:rPr>
          <w:rFonts w:eastAsia="Calibri"/>
          <w:lang w:eastAsia="en-US"/>
        </w:rPr>
        <w:t>intravenous Ig</w:t>
      </w:r>
      <w:r w:rsidR="00A11489" w:rsidRPr="00DA3C6E">
        <w:rPr>
          <w:rFonts w:eastAsia="Calibri"/>
          <w:lang w:eastAsia="en-US"/>
        </w:rPr>
        <w:t>.</w:t>
      </w:r>
      <w:r w:rsidRPr="00DA3C6E">
        <w:rPr>
          <w:rFonts w:eastAsia="Calibri"/>
          <w:lang w:eastAsia="en-US"/>
        </w:rPr>
        <w:t xml:space="preserve"> </w:t>
      </w:r>
      <w:r w:rsidR="00A11489" w:rsidRPr="00DA3C6E">
        <w:rPr>
          <w:rFonts w:eastAsia="Calibri"/>
          <w:lang w:eastAsia="en-US"/>
        </w:rPr>
        <w:t xml:space="preserve">Hence, </w:t>
      </w:r>
      <w:r w:rsidRPr="00DA3C6E">
        <w:rPr>
          <w:rFonts w:eastAsia="Calibri"/>
          <w:lang w:eastAsia="en-US"/>
        </w:rPr>
        <w:t>those who do not exhibit these symptoms are not being captured in the NBA utilisation data</w:t>
      </w:r>
      <w:r w:rsidR="00A11489" w:rsidRPr="00DA3C6E">
        <w:rPr>
          <w:rFonts w:eastAsia="Calibri"/>
          <w:lang w:eastAsia="en-US"/>
        </w:rPr>
        <w:t xml:space="preserve"> for </w:t>
      </w:r>
      <w:r w:rsidR="002F442F" w:rsidRPr="00DA3C6E">
        <w:rPr>
          <w:rFonts w:eastAsia="Calibri"/>
          <w:lang w:eastAsia="en-US"/>
        </w:rPr>
        <w:t xml:space="preserve">intravenous </w:t>
      </w:r>
      <w:r w:rsidR="00A11489" w:rsidRPr="00DA3C6E">
        <w:rPr>
          <w:rFonts w:eastAsia="Calibri"/>
          <w:lang w:eastAsia="en-US"/>
        </w:rPr>
        <w:t>Ig use in patients with MMN</w:t>
      </w:r>
      <w:r w:rsidRPr="00DA3C6E">
        <w:rPr>
          <w:rFonts w:eastAsia="Calibri"/>
          <w:lang w:eastAsia="en-US"/>
        </w:rPr>
        <w:t>.</w:t>
      </w:r>
    </w:p>
    <w:p w14:paraId="6512970E" w14:textId="476CBA8C" w:rsidR="005A2158" w:rsidRPr="00DA3C6E" w:rsidRDefault="005A2158" w:rsidP="00CF0291">
      <w:pPr>
        <w:pStyle w:val="Caption"/>
        <w:rPr>
          <w:rFonts w:eastAsia="Calibri" w:cs="Times New Roman"/>
          <w:szCs w:val="20"/>
          <w:lang w:eastAsia="en-US"/>
        </w:rPr>
      </w:pPr>
      <w:bookmarkStart w:id="388" w:name="_Ref29909956"/>
      <w:bookmarkStart w:id="389" w:name="_Toc37845851"/>
      <w:r w:rsidRPr="00DA3C6E">
        <w:t xml:space="preserve">Table </w:t>
      </w:r>
      <w:r w:rsidR="00515153">
        <w:fldChar w:fldCharType="begin"/>
      </w:r>
      <w:r w:rsidR="00515153">
        <w:instrText xml:space="preserve"> SEQ Table \* ARABIC </w:instrText>
      </w:r>
      <w:r w:rsidR="00515153">
        <w:fldChar w:fldCharType="separate"/>
      </w:r>
      <w:r w:rsidR="00EA5DC1">
        <w:rPr>
          <w:noProof/>
        </w:rPr>
        <w:t>48</w:t>
      </w:r>
      <w:r w:rsidR="00515153">
        <w:rPr>
          <w:noProof/>
        </w:rPr>
        <w:fldChar w:fldCharType="end"/>
      </w:r>
      <w:bookmarkEnd w:id="388"/>
      <w:r w:rsidRPr="00DA3C6E">
        <w:rPr>
          <w:rFonts w:eastAsia="Calibri" w:cs="Times New Roman"/>
          <w:szCs w:val="20"/>
          <w:lang w:eastAsia="en-US"/>
        </w:rPr>
        <w:t xml:space="preserve">: Incidence and prevalence of MMN in Australia using data on the use of </w:t>
      </w:r>
      <w:r w:rsidR="00C55E03" w:rsidRPr="00DA3C6E">
        <w:rPr>
          <w:rFonts w:eastAsia="Calibri" w:cs="Times New Roman"/>
          <w:szCs w:val="20"/>
          <w:lang w:eastAsia="en-US"/>
        </w:rPr>
        <w:t xml:space="preserve">intravenous Ig </w:t>
      </w:r>
      <w:r w:rsidRPr="00DA3C6E">
        <w:rPr>
          <w:rFonts w:eastAsia="Calibri" w:cs="Times New Roman"/>
          <w:szCs w:val="20"/>
          <w:lang w:eastAsia="en-US"/>
        </w:rPr>
        <w:t>therapy from the National Blood Authority based on The Criteria Version 2 and 3.</w:t>
      </w:r>
      <w:bookmarkEnd w:id="389"/>
    </w:p>
    <w:tbl>
      <w:tblPr>
        <w:tblStyle w:val="TableGrid10"/>
        <w:tblW w:w="0" w:type="auto"/>
        <w:tblLook w:val="04A0" w:firstRow="1" w:lastRow="0" w:firstColumn="1" w:lastColumn="0" w:noHBand="0" w:noVBand="1"/>
        <w:tblCaption w:val="Table 48: Incidence and prevalence of MMN in Australia using data on the use of intravenous Ig therapy from the National Blood Authority based on The Criteria Version 2 and 3."/>
      </w:tblPr>
      <w:tblGrid>
        <w:gridCol w:w="2794"/>
        <w:gridCol w:w="1037"/>
        <w:gridCol w:w="1037"/>
        <w:gridCol w:w="1037"/>
        <w:gridCol w:w="1037"/>
        <w:gridCol w:w="1037"/>
        <w:gridCol w:w="1037"/>
      </w:tblGrid>
      <w:tr w:rsidR="005A2158" w:rsidRPr="00DA3C6E" w14:paraId="5FF440A3" w14:textId="77777777" w:rsidTr="00D56F4F">
        <w:trPr>
          <w:tblHeader/>
        </w:trPr>
        <w:tc>
          <w:tcPr>
            <w:tcW w:w="0" w:type="auto"/>
            <w:vAlign w:val="center"/>
          </w:tcPr>
          <w:p w14:paraId="1539EC20" w14:textId="77777777" w:rsidR="005A2158" w:rsidRPr="00DA3C6E" w:rsidRDefault="005A2158" w:rsidP="00E8759F">
            <w:pPr>
              <w:keepNext/>
              <w:keepLines/>
              <w:spacing w:after="0" w:line="240" w:lineRule="auto"/>
              <w:jc w:val="left"/>
              <w:rPr>
                <w:rFonts w:ascii="Arial Narrow" w:eastAsia="Calibri" w:hAnsi="Arial Narrow" w:cs="Times New Roman"/>
                <w:b/>
                <w:sz w:val="20"/>
              </w:rPr>
            </w:pPr>
          </w:p>
        </w:tc>
        <w:tc>
          <w:tcPr>
            <w:tcW w:w="0" w:type="auto"/>
            <w:vAlign w:val="center"/>
          </w:tcPr>
          <w:p w14:paraId="6A243AA6"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2013-14</w:t>
            </w:r>
          </w:p>
        </w:tc>
        <w:tc>
          <w:tcPr>
            <w:tcW w:w="0" w:type="auto"/>
            <w:vAlign w:val="center"/>
          </w:tcPr>
          <w:p w14:paraId="0AEAE6E6"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2014-15</w:t>
            </w:r>
          </w:p>
        </w:tc>
        <w:tc>
          <w:tcPr>
            <w:tcW w:w="0" w:type="auto"/>
            <w:vAlign w:val="center"/>
          </w:tcPr>
          <w:p w14:paraId="70A8AAF1"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2015-16</w:t>
            </w:r>
          </w:p>
        </w:tc>
        <w:tc>
          <w:tcPr>
            <w:tcW w:w="0" w:type="auto"/>
            <w:vAlign w:val="center"/>
          </w:tcPr>
          <w:p w14:paraId="11B2D1E5"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2016-17</w:t>
            </w:r>
          </w:p>
        </w:tc>
        <w:tc>
          <w:tcPr>
            <w:tcW w:w="0" w:type="auto"/>
            <w:vAlign w:val="center"/>
          </w:tcPr>
          <w:p w14:paraId="142AF8DD"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2017-18</w:t>
            </w:r>
          </w:p>
        </w:tc>
        <w:tc>
          <w:tcPr>
            <w:tcW w:w="0" w:type="auto"/>
            <w:vAlign w:val="center"/>
          </w:tcPr>
          <w:p w14:paraId="4F99F261" w14:textId="77777777" w:rsidR="005A2158" w:rsidRPr="00DA3C6E" w:rsidRDefault="005A2158" w:rsidP="00E8759F">
            <w:pPr>
              <w:keepNext/>
              <w:keepLines/>
              <w:spacing w:after="0" w:line="240" w:lineRule="auto"/>
              <w:jc w:val="left"/>
              <w:rPr>
                <w:rFonts w:ascii="Arial Narrow" w:eastAsia="Calibri" w:hAnsi="Arial Narrow" w:cs="Times New Roman"/>
                <w:b/>
                <w:sz w:val="20"/>
              </w:rPr>
            </w:pPr>
            <w:r w:rsidRPr="00DA3C6E">
              <w:rPr>
                <w:rFonts w:ascii="Arial Narrow" w:eastAsia="Calibri" w:hAnsi="Arial Narrow" w:cs="Times New Roman"/>
                <w:b/>
                <w:sz w:val="20"/>
              </w:rPr>
              <w:t>2018-19</w:t>
            </w:r>
          </w:p>
        </w:tc>
      </w:tr>
      <w:tr w:rsidR="005A2158" w:rsidRPr="00DA3C6E" w14:paraId="64234299" w14:textId="77777777" w:rsidTr="00B5232E">
        <w:tc>
          <w:tcPr>
            <w:tcW w:w="0" w:type="auto"/>
            <w:vAlign w:val="center"/>
          </w:tcPr>
          <w:p w14:paraId="38609F68"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 xml:space="preserve">Australian population </w:t>
            </w:r>
          </w:p>
        </w:tc>
        <w:tc>
          <w:tcPr>
            <w:tcW w:w="0" w:type="auto"/>
            <w:vAlign w:val="center"/>
          </w:tcPr>
          <w:p w14:paraId="6DD02BB9"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23,475,686</w:t>
            </w:r>
          </w:p>
        </w:tc>
        <w:tc>
          <w:tcPr>
            <w:tcW w:w="0" w:type="auto"/>
            <w:vAlign w:val="center"/>
          </w:tcPr>
          <w:p w14:paraId="662A5B54"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23,815,995</w:t>
            </w:r>
          </w:p>
        </w:tc>
        <w:tc>
          <w:tcPr>
            <w:tcW w:w="0" w:type="auto"/>
            <w:vAlign w:val="center"/>
          </w:tcPr>
          <w:p w14:paraId="01FEA0ED"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24,190,907</w:t>
            </w:r>
          </w:p>
        </w:tc>
        <w:tc>
          <w:tcPr>
            <w:tcW w:w="0" w:type="auto"/>
            <w:vAlign w:val="center"/>
          </w:tcPr>
          <w:p w14:paraId="20705DCB"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24,601,860</w:t>
            </w:r>
          </w:p>
        </w:tc>
        <w:tc>
          <w:tcPr>
            <w:tcW w:w="0" w:type="auto"/>
            <w:vAlign w:val="center"/>
          </w:tcPr>
          <w:p w14:paraId="11CB0958"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24,982,688</w:t>
            </w:r>
          </w:p>
        </w:tc>
        <w:tc>
          <w:tcPr>
            <w:tcW w:w="0" w:type="auto"/>
            <w:vAlign w:val="center"/>
          </w:tcPr>
          <w:p w14:paraId="35324239"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25,364,307</w:t>
            </w:r>
          </w:p>
        </w:tc>
      </w:tr>
      <w:tr w:rsidR="005A2158" w:rsidRPr="00DA3C6E" w14:paraId="136087E2" w14:textId="77777777" w:rsidTr="00B5232E">
        <w:tc>
          <w:tcPr>
            <w:tcW w:w="0" w:type="auto"/>
            <w:vAlign w:val="center"/>
          </w:tcPr>
          <w:p w14:paraId="37BEC2C5"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New patients diagnosed</w:t>
            </w:r>
            <w:r w:rsidR="002F442F" w:rsidRPr="00DA3C6E">
              <w:rPr>
                <w:rFonts w:ascii="Arial Narrow" w:eastAsia="Calibri" w:hAnsi="Arial Narrow" w:cs="Times New Roman"/>
                <w:sz w:val="20"/>
              </w:rPr>
              <w:t xml:space="preserve"> treated with intravenous Ig</w:t>
            </w:r>
          </w:p>
        </w:tc>
        <w:tc>
          <w:tcPr>
            <w:tcW w:w="0" w:type="auto"/>
            <w:vAlign w:val="center"/>
          </w:tcPr>
          <w:p w14:paraId="2C42DB94"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127</w:t>
            </w:r>
          </w:p>
        </w:tc>
        <w:tc>
          <w:tcPr>
            <w:tcW w:w="0" w:type="auto"/>
            <w:vAlign w:val="center"/>
          </w:tcPr>
          <w:p w14:paraId="1BEE98B5"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105</w:t>
            </w:r>
          </w:p>
        </w:tc>
        <w:tc>
          <w:tcPr>
            <w:tcW w:w="0" w:type="auto"/>
            <w:vAlign w:val="center"/>
          </w:tcPr>
          <w:p w14:paraId="2B65065C"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137</w:t>
            </w:r>
          </w:p>
        </w:tc>
        <w:tc>
          <w:tcPr>
            <w:tcW w:w="0" w:type="auto"/>
            <w:vAlign w:val="center"/>
          </w:tcPr>
          <w:p w14:paraId="5DB1D083"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126</w:t>
            </w:r>
          </w:p>
        </w:tc>
        <w:tc>
          <w:tcPr>
            <w:tcW w:w="0" w:type="auto"/>
            <w:vAlign w:val="center"/>
          </w:tcPr>
          <w:p w14:paraId="09990A4F"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125</w:t>
            </w:r>
          </w:p>
        </w:tc>
        <w:tc>
          <w:tcPr>
            <w:tcW w:w="0" w:type="auto"/>
            <w:vAlign w:val="center"/>
          </w:tcPr>
          <w:p w14:paraId="4F2D2E92"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123</w:t>
            </w:r>
          </w:p>
        </w:tc>
      </w:tr>
      <w:tr w:rsidR="005A2158" w:rsidRPr="00DA3C6E" w14:paraId="31902DF0" w14:textId="77777777" w:rsidTr="00B5232E">
        <w:tc>
          <w:tcPr>
            <w:tcW w:w="0" w:type="auto"/>
            <w:vAlign w:val="center"/>
          </w:tcPr>
          <w:p w14:paraId="7949B1B4"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Total patients</w:t>
            </w:r>
          </w:p>
        </w:tc>
        <w:tc>
          <w:tcPr>
            <w:tcW w:w="0" w:type="auto"/>
            <w:vAlign w:val="center"/>
          </w:tcPr>
          <w:p w14:paraId="1B3346F8"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438</w:t>
            </w:r>
          </w:p>
        </w:tc>
        <w:tc>
          <w:tcPr>
            <w:tcW w:w="0" w:type="auto"/>
            <w:vAlign w:val="center"/>
          </w:tcPr>
          <w:p w14:paraId="1936663F"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444</w:t>
            </w:r>
          </w:p>
        </w:tc>
        <w:tc>
          <w:tcPr>
            <w:tcW w:w="0" w:type="auto"/>
            <w:vAlign w:val="center"/>
          </w:tcPr>
          <w:p w14:paraId="56FD43AB"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496</w:t>
            </w:r>
          </w:p>
        </w:tc>
        <w:tc>
          <w:tcPr>
            <w:tcW w:w="0" w:type="auto"/>
            <w:vAlign w:val="center"/>
          </w:tcPr>
          <w:p w14:paraId="4D19ED95"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527</w:t>
            </w:r>
          </w:p>
        </w:tc>
        <w:tc>
          <w:tcPr>
            <w:tcW w:w="0" w:type="auto"/>
            <w:vAlign w:val="center"/>
          </w:tcPr>
          <w:p w14:paraId="76BC4DA2"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560</w:t>
            </w:r>
          </w:p>
        </w:tc>
        <w:tc>
          <w:tcPr>
            <w:tcW w:w="0" w:type="auto"/>
            <w:vAlign w:val="center"/>
          </w:tcPr>
          <w:p w14:paraId="30FB3E42"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596</w:t>
            </w:r>
          </w:p>
        </w:tc>
      </w:tr>
      <w:tr w:rsidR="005A2158" w:rsidRPr="00DA3C6E" w14:paraId="52BD39EC" w14:textId="77777777" w:rsidTr="00B5232E">
        <w:tc>
          <w:tcPr>
            <w:tcW w:w="0" w:type="auto"/>
            <w:vAlign w:val="center"/>
          </w:tcPr>
          <w:p w14:paraId="033F205D"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 xml:space="preserve">Estimated incidence per </w:t>
            </w:r>
          </w:p>
          <w:p w14:paraId="27C950E6"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100, 000</w:t>
            </w:r>
          </w:p>
        </w:tc>
        <w:tc>
          <w:tcPr>
            <w:tcW w:w="0" w:type="auto"/>
            <w:vAlign w:val="center"/>
          </w:tcPr>
          <w:p w14:paraId="71315B79"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0.5</w:t>
            </w:r>
          </w:p>
        </w:tc>
        <w:tc>
          <w:tcPr>
            <w:tcW w:w="0" w:type="auto"/>
            <w:vAlign w:val="center"/>
          </w:tcPr>
          <w:p w14:paraId="0D8F3296"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0.4</w:t>
            </w:r>
          </w:p>
        </w:tc>
        <w:tc>
          <w:tcPr>
            <w:tcW w:w="0" w:type="auto"/>
            <w:vAlign w:val="center"/>
          </w:tcPr>
          <w:p w14:paraId="49946142"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0.6</w:t>
            </w:r>
          </w:p>
        </w:tc>
        <w:tc>
          <w:tcPr>
            <w:tcW w:w="0" w:type="auto"/>
            <w:vAlign w:val="center"/>
          </w:tcPr>
          <w:p w14:paraId="5C6406BA"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0.5</w:t>
            </w:r>
          </w:p>
        </w:tc>
        <w:tc>
          <w:tcPr>
            <w:tcW w:w="0" w:type="auto"/>
            <w:vAlign w:val="center"/>
          </w:tcPr>
          <w:p w14:paraId="0463010A"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0.5</w:t>
            </w:r>
          </w:p>
        </w:tc>
        <w:tc>
          <w:tcPr>
            <w:tcW w:w="0" w:type="auto"/>
            <w:vAlign w:val="center"/>
          </w:tcPr>
          <w:p w14:paraId="652B8C96"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0.5</w:t>
            </w:r>
          </w:p>
        </w:tc>
      </w:tr>
      <w:tr w:rsidR="005A2158" w:rsidRPr="00DA3C6E" w14:paraId="5ECDC800" w14:textId="77777777" w:rsidTr="00B5232E">
        <w:tc>
          <w:tcPr>
            <w:tcW w:w="0" w:type="auto"/>
            <w:vAlign w:val="center"/>
          </w:tcPr>
          <w:p w14:paraId="4063EDFF" w14:textId="77777777" w:rsidR="005A2158" w:rsidRPr="00DA3C6E" w:rsidRDefault="005A2158" w:rsidP="00E8759F">
            <w:pPr>
              <w:keepNext/>
              <w:keepLines/>
              <w:spacing w:after="0" w:line="240" w:lineRule="auto"/>
              <w:jc w:val="left"/>
              <w:rPr>
                <w:rFonts w:ascii="Arial Narrow" w:eastAsia="Calibri" w:hAnsi="Arial Narrow" w:cs="Times New Roman"/>
                <w:sz w:val="20"/>
              </w:rPr>
            </w:pPr>
            <w:r w:rsidRPr="00DA3C6E">
              <w:rPr>
                <w:rFonts w:ascii="Arial Narrow" w:eastAsia="Calibri" w:hAnsi="Arial Narrow" w:cs="Times New Roman"/>
                <w:sz w:val="20"/>
              </w:rPr>
              <w:t>Estimated prevalence per 100,000</w:t>
            </w:r>
          </w:p>
        </w:tc>
        <w:tc>
          <w:tcPr>
            <w:tcW w:w="0" w:type="auto"/>
            <w:vAlign w:val="center"/>
          </w:tcPr>
          <w:p w14:paraId="54AE329E"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1.9</w:t>
            </w:r>
          </w:p>
        </w:tc>
        <w:tc>
          <w:tcPr>
            <w:tcW w:w="0" w:type="auto"/>
            <w:vAlign w:val="center"/>
          </w:tcPr>
          <w:p w14:paraId="39D8AF37"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1.9</w:t>
            </w:r>
          </w:p>
        </w:tc>
        <w:tc>
          <w:tcPr>
            <w:tcW w:w="0" w:type="auto"/>
            <w:vAlign w:val="center"/>
          </w:tcPr>
          <w:p w14:paraId="48C6A653"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2.0</w:t>
            </w:r>
          </w:p>
        </w:tc>
        <w:tc>
          <w:tcPr>
            <w:tcW w:w="0" w:type="auto"/>
            <w:vAlign w:val="center"/>
          </w:tcPr>
          <w:p w14:paraId="07E793B9"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2.1</w:t>
            </w:r>
          </w:p>
        </w:tc>
        <w:tc>
          <w:tcPr>
            <w:tcW w:w="0" w:type="auto"/>
            <w:vAlign w:val="center"/>
          </w:tcPr>
          <w:p w14:paraId="5A1AE451"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2.2</w:t>
            </w:r>
          </w:p>
        </w:tc>
        <w:tc>
          <w:tcPr>
            <w:tcW w:w="0" w:type="auto"/>
            <w:vAlign w:val="center"/>
          </w:tcPr>
          <w:p w14:paraId="54B5D589" w14:textId="77777777" w:rsidR="005A2158" w:rsidRPr="00DA3C6E" w:rsidRDefault="005A2158" w:rsidP="00E8759F">
            <w:pPr>
              <w:keepNext/>
              <w:keepLines/>
              <w:spacing w:after="0" w:line="240" w:lineRule="auto"/>
              <w:jc w:val="center"/>
              <w:rPr>
                <w:rFonts w:ascii="Arial Narrow" w:eastAsia="Calibri" w:hAnsi="Arial Narrow" w:cs="Times New Roman"/>
                <w:sz w:val="20"/>
              </w:rPr>
            </w:pPr>
            <w:r w:rsidRPr="00DA3C6E">
              <w:rPr>
                <w:rFonts w:ascii="Arial Narrow" w:eastAsia="Calibri" w:hAnsi="Arial Narrow" w:cs="Times New Roman"/>
                <w:sz w:val="20"/>
              </w:rPr>
              <w:t>2.3</w:t>
            </w:r>
          </w:p>
        </w:tc>
      </w:tr>
    </w:tbl>
    <w:p w14:paraId="177EA309" w14:textId="77777777" w:rsidR="005A2158" w:rsidRPr="00DA3C6E" w:rsidRDefault="005A2158" w:rsidP="00CF0291">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Abbreviations: Ig = immunoglobulin; MMN = multifocal motor neuropathy</w:t>
      </w:r>
    </w:p>
    <w:p w14:paraId="70414D7C" w14:textId="77777777" w:rsidR="005A2158" w:rsidRPr="00DA3C6E" w:rsidRDefault="005A2158" w:rsidP="00CF0291">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Note: the total population of Australia used in estimating the prevalence rate of MMN was the estimate for the end of June quarter (end of each financial year) to correspond with data reported by MSAC on usage of Ig for MMN. E.g. at the end of 2014June quarter the total population of Australia was 23,475,686 according to data accessed from the Australian Bureau of Statistics on 14/01/2020 at 11:15am.</w:t>
      </w:r>
    </w:p>
    <w:p w14:paraId="14467740" w14:textId="77777777" w:rsidR="005A2158" w:rsidRPr="00DA3C6E" w:rsidRDefault="005A2158" w:rsidP="00CF0291">
      <w:pPr>
        <w:spacing w:after="0"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These data reflect usage under The Criteria V2, prior to the introduction of key changes in The Criteria V3 which aimed to address leakage.  This number is likely to be less using the qualifying criteria for </w:t>
      </w:r>
      <w:r w:rsidR="00C55E03" w:rsidRPr="00DA3C6E">
        <w:rPr>
          <w:rFonts w:ascii="Arial Narrow" w:eastAsia="Calibri" w:hAnsi="Arial Narrow" w:cs="Times New Roman"/>
          <w:sz w:val="18"/>
          <w:lang w:eastAsia="en-US"/>
        </w:rPr>
        <w:t xml:space="preserve">Ig </w:t>
      </w:r>
      <w:r w:rsidRPr="00DA3C6E">
        <w:rPr>
          <w:rFonts w:ascii="Arial Narrow" w:eastAsia="Calibri" w:hAnsi="Arial Narrow" w:cs="Times New Roman"/>
          <w:sz w:val="18"/>
          <w:lang w:eastAsia="en-US"/>
        </w:rPr>
        <w:t xml:space="preserve">therapy for MMN under of the current Version 3 of the Criteria due to the differences in the qualifying criteria between The Criteria Version 2 and Version 3, with the latter being more sensitive in diagnosing true MMN patients eligible for </w:t>
      </w:r>
      <w:r w:rsidR="00C55E03" w:rsidRPr="00DA3C6E">
        <w:rPr>
          <w:rFonts w:ascii="Arial Narrow" w:eastAsia="Calibri" w:hAnsi="Arial Narrow" w:cs="Times New Roman"/>
          <w:sz w:val="18"/>
          <w:lang w:eastAsia="en-US"/>
        </w:rPr>
        <w:t xml:space="preserve">Ig </w:t>
      </w:r>
      <w:r w:rsidRPr="00DA3C6E">
        <w:rPr>
          <w:rFonts w:ascii="Arial Narrow" w:eastAsia="Calibri" w:hAnsi="Arial Narrow" w:cs="Times New Roman"/>
          <w:sz w:val="18"/>
          <w:lang w:eastAsia="en-US"/>
        </w:rPr>
        <w:t>therapy.</w:t>
      </w:r>
    </w:p>
    <w:p w14:paraId="6E59869F" w14:textId="77777777" w:rsidR="005A2158" w:rsidRPr="00DA3C6E" w:rsidRDefault="005A2158" w:rsidP="00CF0291">
      <w:pPr>
        <w:spacing w:line="240" w:lineRule="auto"/>
        <w:rPr>
          <w:rFonts w:ascii="Arial Narrow" w:eastAsia="Calibri" w:hAnsi="Arial Narrow" w:cs="Times New Roman"/>
          <w:sz w:val="18"/>
          <w:lang w:eastAsia="en-US"/>
        </w:rPr>
      </w:pPr>
      <w:r w:rsidRPr="00DA3C6E">
        <w:rPr>
          <w:rFonts w:ascii="Arial Narrow" w:eastAsia="Calibri" w:hAnsi="Arial Narrow" w:cs="Times New Roman"/>
          <w:sz w:val="18"/>
          <w:lang w:eastAsia="en-US"/>
        </w:rPr>
        <w:t xml:space="preserve">Source: </w:t>
      </w:r>
      <w:hyperlink r:id="rId39" w:history="1">
        <w:r w:rsidRPr="00DA3C6E">
          <w:rPr>
            <w:rStyle w:val="Hyperlink"/>
            <w:rFonts w:ascii="Arial Narrow" w:eastAsia="Calibri" w:hAnsi="Arial Narrow" w:cs="Times New Roman"/>
            <w:sz w:val="18"/>
            <w:lang w:eastAsia="en-US"/>
          </w:rPr>
          <w:t>http://stat.data.abs.gov.au/Index.aspx?DatasetCode=ERP_QUARTERLY#</w:t>
        </w:r>
      </w:hyperlink>
      <w:r w:rsidRPr="00DA3C6E">
        <w:rPr>
          <w:rFonts w:ascii="Arial Narrow" w:eastAsia="Calibri" w:hAnsi="Arial Narrow" w:cs="Times New Roman"/>
          <w:sz w:val="18"/>
          <w:lang w:eastAsia="en-US"/>
        </w:rPr>
        <w:t xml:space="preserve"> accessed on 14/01/2020 at 11:15am (note that ABS. Stat beta is continuing to be developed and data is continuously updated hence numbers may change); Table 30, p. 25 of the 1590 MMN draft Referral form and Updated Phase 2 HTA conditions data 23 Dec 2019.</w:t>
      </w:r>
    </w:p>
    <w:p w14:paraId="582DE07F" w14:textId="3F43D9DE" w:rsidR="00633640" w:rsidRDefault="005A2158" w:rsidP="00E3502E">
      <w:pPr>
        <w:rPr>
          <w:rFonts w:eastAsia="Calibri"/>
          <w:lang w:eastAsia="en-US"/>
        </w:rPr>
      </w:pPr>
      <w:r w:rsidRPr="00DA3C6E">
        <w:rPr>
          <w:rFonts w:eastAsia="Calibri"/>
          <w:lang w:eastAsia="en-US"/>
        </w:rPr>
        <w:t xml:space="preserve">The </w:t>
      </w:r>
      <w:r w:rsidR="00A11489" w:rsidRPr="00DA3C6E">
        <w:rPr>
          <w:rFonts w:eastAsia="Calibri"/>
          <w:lang w:eastAsia="en-US"/>
        </w:rPr>
        <w:t>calculated prevalence of MMN in Australia</w:t>
      </w:r>
      <w:r w:rsidRPr="00DA3C6E">
        <w:rPr>
          <w:rFonts w:eastAsia="Calibri"/>
          <w:lang w:eastAsia="en-US"/>
        </w:rPr>
        <w:t xml:space="preserve"> using the NBA data resulted in a higher estimate compared to other estimates reported in the literature (see</w:t>
      </w:r>
      <w:r w:rsidR="00C11E73" w:rsidRPr="00DA3C6E">
        <w:rPr>
          <w:rFonts w:eastAsia="Calibri"/>
          <w:lang w:eastAsia="en-US"/>
        </w:rPr>
        <w:t xml:space="preserve"> </w:t>
      </w:r>
      <w:r w:rsidR="00C11E73" w:rsidRPr="00DA3C6E">
        <w:rPr>
          <w:rFonts w:eastAsia="Calibri"/>
          <w:lang w:eastAsia="en-US"/>
        </w:rPr>
        <w:fldChar w:fldCharType="begin"/>
      </w:r>
      <w:r w:rsidR="00C11E73" w:rsidRPr="00DA3C6E">
        <w:rPr>
          <w:rFonts w:eastAsia="Calibri"/>
          <w:lang w:eastAsia="en-US"/>
        </w:rPr>
        <w:instrText xml:space="preserve"> REF _Ref31115614 \h </w:instrText>
      </w:r>
      <w:r w:rsidR="00E8759F" w:rsidRPr="00DA3C6E">
        <w:rPr>
          <w:rFonts w:eastAsia="Calibri"/>
          <w:lang w:eastAsia="en-US"/>
        </w:rPr>
        <w:instrText xml:space="preserve"> \* MERGEFORMAT </w:instrText>
      </w:r>
      <w:r w:rsidR="00C11E73" w:rsidRPr="00DA3C6E">
        <w:rPr>
          <w:rFonts w:eastAsia="Calibri"/>
          <w:lang w:eastAsia="en-US"/>
        </w:rPr>
      </w:r>
      <w:r w:rsidR="00C11E73" w:rsidRPr="00DA3C6E">
        <w:rPr>
          <w:rFonts w:eastAsia="Calibri"/>
          <w:lang w:eastAsia="en-US"/>
        </w:rPr>
        <w:fldChar w:fldCharType="separate"/>
      </w:r>
      <w:r w:rsidR="00EA5DC1" w:rsidRPr="00DA3C6E">
        <w:t xml:space="preserve">Table </w:t>
      </w:r>
      <w:r w:rsidR="00EA5DC1">
        <w:rPr>
          <w:noProof/>
        </w:rPr>
        <w:t>5</w:t>
      </w:r>
      <w:r w:rsidR="00C11E73" w:rsidRPr="00DA3C6E">
        <w:rPr>
          <w:rFonts w:eastAsia="Calibri"/>
          <w:lang w:eastAsia="en-US"/>
        </w:rPr>
        <w:fldChar w:fldCharType="end"/>
      </w:r>
      <w:r w:rsidRPr="00DA3C6E">
        <w:rPr>
          <w:rFonts w:eastAsia="Calibri"/>
          <w:lang w:eastAsia="en-US"/>
        </w:rPr>
        <w:t xml:space="preserve">), potentially </w:t>
      </w:r>
      <w:r w:rsidR="00A11489" w:rsidRPr="00DA3C6E">
        <w:rPr>
          <w:rFonts w:eastAsia="Calibri"/>
          <w:lang w:eastAsia="en-US"/>
        </w:rPr>
        <w:t xml:space="preserve">indicating </w:t>
      </w:r>
      <w:r w:rsidRPr="00DA3C6E">
        <w:rPr>
          <w:rFonts w:eastAsia="Calibri"/>
          <w:lang w:eastAsia="en-US"/>
        </w:rPr>
        <w:t>use in a non-MMN population.</w:t>
      </w:r>
    </w:p>
    <w:p w14:paraId="7B8E80B0" w14:textId="7814FCA9" w:rsidR="00E359A5" w:rsidRPr="00DA3C6E" w:rsidRDefault="005A2158" w:rsidP="00E3502E">
      <w:pPr>
        <w:rPr>
          <w:rFonts w:cs="Arial"/>
          <w:b/>
          <w:smallCaps/>
          <w:snapToGrid w:val="0"/>
          <w:sz w:val="18"/>
          <w:szCs w:val="20"/>
          <w:lang w:eastAsia="en-US"/>
        </w:rPr>
      </w:pPr>
      <w:r w:rsidRPr="00DA3C6E">
        <w:rPr>
          <w:rFonts w:cs="Arial"/>
          <w:snapToGrid w:val="0"/>
          <w:sz w:val="18"/>
          <w:szCs w:val="20"/>
          <w:lang w:eastAsia="en-US"/>
        </w:rPr>
        <w:br w:type="page"/>
      </w:r>
    </w:p>
    <w:p w14:paraId="24EBD4C1" w14:textId="77777777" w:rsidR="00C61107" w:rsidRPr="00DA3C6E" w:rsidRDefault="00C61107" w:rsidP="00C61107">
      <w:pPr>
        <w:pStyle w:val="Heading1"/>
      </w:pPr>
      <w:bookmarkStart w:id="390" w:name="_Toc37845791"/>
      <w:bookmarkStart w:id="391" w:name="_Toc379118100"/>
      <w:bookmarkStart w:id="392" w:name="_Toc381796499"/>
      <w:bookmarkStart w:id="393" w:name="_Toc25216063"/>
      <w:r w:rsidRPr="00DA3C6E">
        <w:lastRenderedPageBreak/>
        <w:t>Appendix A</w:t>
      </w:r>
      <w:r w:rsidRPr="00DA3C6E">
        <w:tab/>
        <w:t>People involved in the report</w:t>
      </w:r>
      <w:bookmarkEnd w:id="390"/>
    </w:p>
    <w:p w14:paraId="064DAA7C" w14:textId="77777777" w:rsidR="00C61107" w:rsidRPr="00DA3C6E" w:rsidRDefault="00C61107" w:rsidP="00C61107">
      <w:r w:rsidRPr="00DA3C6E">
        <w:t xml:space="preserve">The project team comprised of: </w:t>
      </w:r>
    </w:p>
    <w:p w14:paraId="6C921DA0" w14:textId="77777777" w:rsidR="00C61107" w:rsidRPr="00DA3C6E" w:rsidRDefault="00C61107" w:rsidP="00C61107">
      <w:r w:rsidRPr="00DA3C6E">
        <w:t xml:space="preserve">Professor Stephen Goodall (Project leader); </w:t>
      </w:r>
    </w:p>
    <w:p w14:paraId="3C878760" w14:textId="77777777" w:rsidR="00C61107" w:rsidRPr="00DA3C6E" w:rsidRDefault="00C61107" w:rsidP="00C61107">
      <w:r w:rsidRPr="00DA3C6E">
        <w:t xml:space="preserve">Constanza Vargas (Senior Researcher and contact point with the DoH); </w:t>
      </w:r>
    </w:p>
    <w:p w14:paraId="36613848" w14:textId="77777777" w:rsidR="00C61107" w:rsidRPr="00DA3C6E" w:rsidRDefault="00C61107" w:rsidP="00C61107">
      <w:r w:rsidRPr="00DA3C6E">
        <w:t xml:space="preserve">Dr Philip Haywood (Clinical lead); </w:t>
      </w:r>
    </w:p>
    <w:p w14:paraId="4AB8E3CB" w14:textId="77777777" w:rsidR="006607BB" w:rsidRPr="00DA3C6E" w:rsidRDefault="00C61107" w:rsidP="00C61107">
      <w:r w:rsidRPr="00DA3C6E">
        <w:t>Dr Rebecca Addo</w:t>
      </w:r>
      <w:r w:rsidR="006607BB" w:rsidRPr="00DA3C6E">
        <w:t xml:space="preserve"> (Research fellow);</w:t>
      </w:r>
    </w:p>
    <w:p w14:paraId="3207C115" w14:textId="77777777" w:rsidR="006607BB" w:rsidRPr="00DA3C6E" w:rsidRDefault="00C61107" w:rsidP="00C61107">
      <w:r w:rsidRPr="00DA3C6E">
        <w:t>Milena Lewandowska, (Research</w:t>
      </w:r>
      <w:r w:rsidR="006607BB" w:rsidRPr="00DA3C6E">
        <w:t xml:space="preserve"> f</w:t>
      </w:r>
      <w:r w:rsidRPr="00DA3C6E">
        <w:t xml:space="preserve">ellow); </w:t>
      </w:r>
    </w:p>
    <w:p w14:paraId="6E871067" w14:textId="77777777" w:rsidR="006607BB" w:rsidRPr="00DA3C6E" w:rsidRDefault="00C61107" w:rsidP="00C61107">
      <w:r w:rsidRPr="00DA3C6E">
        <w:t>Liz Chinchen (literature searching and</w:t>
      </w:r>
      <w:r w:rsidR="006607BB" w:rsidRPr="00DA3C6E">
        <w:t xml:space="preserve"> </w:t>
      </w:r>
      <w:r w:rsidRPr="00DA3C6E">
        <w:t xml:space="preserve">proofreading); </w:t>
      </w:r>
    </w:p>
    <w:p w14:paraId="4E8D2E16" w14:textId="77777777" w:rsidR="006607BB" w:rsidRPr="00DA3C6E" w:rsidRDefault="00C61107" w:rsidP="00C61107">
      <w:r w:rsidRPr="00DA3C6E">
        <w:t xml:space="preserve">Professor Rosalie Viney (Advisor); </w:t>
      </w:r>
    </w:p>
    <w:p w14:paraId="192DE6C6" w14:textId="77777777" w:rsidR="000B06F3" w:rsidRPr="00DA3C6E" w:rsidRDefault="00C61107" w:rsidP="00C61107">
      <w:r w:rsidRPr="00DA3C6E">
        <w:t>A</w:t>
      </w:r>
      <w:r w:rsidR="006607BB" w:rsidRPr="00DA3C6E">
        <w:t xml:space="preserve">ssociate Professor </w:t>
      </w:r>
      <w:r w:rsidRPr="00DA3C6E">
        <w:t>Richard De Abreu Lourenco (Advisor).</w:t>
      </w:r>
    </w:p>
    <w:p w14:paraId="10FAF92C" w14:textId="77777777" w:rsidR="000B06F3" w:rsidRPr="00DA3C6E" w:rsidRDefault="000B06F3">
      <w:pPr>
        <w:spacing w:after="0" w:line="240" w:lineRule="auto"/>
        <w:jc w:val="left"/>
      </w:pPr>
      <w:r w:rsidRPr="00DA3C6E">
        <w:br w:type="page"/>
      </w:r>
    </w:p>
    <w:p w14:paraId="0735CC27" w14:textId="0230AE19" w:rsidR="000B06F3" w:rsidRPr="00DA3C6E" w:rsidRDefault="000B06F3" w:rsidP="00DF343F">
      <w:pPr>
        <w:pStyle w:val="Heading1"/>
      </w:pPr>
      <w:bookmarkStart w:id="394" w:name="_Toc37845792"/>
      <w:r w:rsidRPr="00DA3C6E">
        <w:lastRenderedPageBreak/>
        <w:t xml:space="preserve">Appendix </w:t>
      </w:r>
      <w:r w:rsidR="00515153">
        <w:fldChar w:fldCharType="begin"/>
      </w:r>
      <w:r w:rsidR="00515153">
        <w:instrText xml:space="preserve"> SEQ Appendix \* ALPHABETIC </w:instrText>
      </w:r>
      <w:r w:rsidR="00515153">
        <w:fldChar w:fldCharType="separate"/>
      </w:r>
      <w:r w:rsidR="00EA5DC1">
        <w:rPr>
          <w:noProof/>
        </w:rPr>
        <w:t>A</w:t>
      </w:r>
      <w:r w:rsidR="00515153">
        <w:rPr>
          <w:noProof/>
        </w:rPr>
        <w:fldChar w:fldCharType="end"/>
      </w:r>
      <w:r w:rsidRPr="00DA3C6E">
        <w:tab/>
        <w:t>Search strategies</w:t>
      </w:r>
      <w:bookmarkEnd w:id="394"/>
    </w:p>
    <w:p w14:paraId="35E5AC5D" w14:textId="77777777" w:rsidR="000B06F3" w:rsidRPr="00DA3C6E" w:rsidRDefault="000B06F3" w:rsidP="00DF343F">
      <w:pPr>
        <w:pStyle w:val="Heading3"/>
      </w:pPr>
      <w:bookmarkStart w:id="395" w:name="_Toc37845793"/>
      <w:r w:rsidRPr="00DA3C6E">
        <w:t>Bibliographic databases</w:t>
      </w:r>
      <w:bookmarkEnd w:id="39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0B06F3" w:rsidRPr="00DA3C6E" w14:paraId="0769269A" w14:textId="77777777" w:rsidTr="00CE12E8">
        <w:trPr>
          <w:trHeight w:val="303"/>
        </w:trPr>
        <w:tc>
          <w:tcPr>
            <w:tcW w:w="5670" w:type="dxa"/>
            <w:vAlign w:val="center"/>
          </w:tcPr>
          <w:p w14:paraId="47124E77" w14:textId="77777777" w:rsidR="000B06F3" w:rsidRPr="00DA3C6E" w:rsidRDefault="000B06F3" w:rsidP="00CE12E8">
            <w:pPr>
              <w:pStyle w:val="TableHeading"/>
              <w:jc w:val="left"/>
            </w:pPr>
            <w:r w:rsidRPr="00DA3C6E">
              <w:t>Electronic database</w:t>
            </w:r>
          </w:p>
        </w:tc>
        <w:tc>
          <w:tcPr>
            <w:tcW w:w="3261" w:type="dxa"/>
            <w:vAlign w:val="center"/>
          </w:tcPr>
          <w:p w14:paraId="24590D8A" w14:textId="77777777" w:rsidR="000B06F3" w:rsidRPr="00DA3C6E" w:rsidRDefault="000B06F3" w:rsidP="00CE12E8">
            <w:pPr>
              <w:pStyle w:val="TableHeading"/>
              <w:jc w:val="left"/>
            </w:pPr>
            <w:r w:rsidRPr="00DA3C6E">
              <w:t>Time period searched</w:t>
            </w:r>
          </w:p>
        </w:tc>
      </w:tr>
      <w:tr w:rsidR="000B06F3" w:rsidRPr="00DA3C6E" w14:paraId="664AC116" w14:textId="77777777" w:rsidTr="00CE12E8">
        <w:tc>
          <w:tcPr>
            <w:tcW w:w="5670" w:type="dxa"/>
            <w:tcBorders>
              <w:top w:val="single" w:sz="4" w:space="0" w:color="auto"/>
              <w:left w:val="single" w:sz="4" w:space="0" w:color="auto"/>
              <w:bottom w:val="single" w:sz="4" w:space="0" w:color="auto"/>
              <w:right w:val="single" w:sz="4" w:space="0" w:color="auto"/>
            </w:tcBorders>
            <w:vAlign w:val="center"/>
          </w:tcPr>
          <w:p w14:paraId="67FA8FA6" w14:textId="77777777" w:rsidR="000B06F3" w:rsidRPr="00DA3C6E" w:rsidRDefault="000B06F3" w:rsidP="00CE12E8">
            <w:pPr>
              <w:pStyle w:val="Tabletext1"/>
              <w:jc w:val="left"/>
            </w:pPr>
            <w:r w:rsidRPr="00DA3C6E">
              <w:t xml:space="preserve">Embase,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265CBDE" w14:textId="77777777" w:rsidR="000B06F3" w:rsidRPr="00DA3C6E" w:rsidRDefault="000B06F3" w:rsidP="00CE12E8">
            <w:pPr>
              <w:pStyle w:val="Tabletext1"/>
              <w:jc w:val="left"/>
            </w:pPr>
            <w:r w:rsidRPr="00DA3C6E">
              <w:t>1974 to 11 October 2019</w:t>
            </w:r>
          </w:p>
        </w:tc>
      </w:tr>
      <w:tr w:rsidR="000B06F3" w:rsidRPr="00DA3C6E" w14:paraId="5AB97A31" w14:textId="77777777" w:rsidTr="00CE12E8">
        <w:tc>
          <w:tcPr>
            <w:tcW w:w="5670" w:type="dxa"/>
            <w:vAlign w:val="center"/>
          </w:tcPr>
          <w:p w14:paraId="5CDE6718" w14:textId="77777777" w:rsidR="000B06F3" w:rsidRPr="00DA3C6E" w:rsidRDefault="000B06F3" w:rsidP="00CE12E8">
            <w:pPr>
              <w:pStyle w:val="Tabletext1"/>
              <w:jc w:val="left"/>
            </w:pPr>
            <w:r w:rsidRPr="00DA3C6E">
              <w:t>Ovid MEDLINE ® and Epub Ahead of print,</w:t>
            </w:r>
            <w:r w:rsidRPr="00DA3C6E">
              <w:rPr>
                <w:rFonts w:ascii="Arial Unicode MS" w:eastAsia="Arial Unicode MS" w:hAnsi="Arial Unicode MS" w:cs="Arial Unicode MS"/>
                <w:szCs w:val="24"/>
                <w:lang w:eastAsia="en-US"/>
              </w:rPr>
              <w:t xml:space="preserve"> </w:t>
            </w:r>
            <w:r w:rsidRPr="00DA3C6E">
              <w:t>In-Process &amp; Other Non-Indexed Citations, Daily and Versions</w:t>
            </w:r>
          </w:p>
        </w:tc>
        <w:tc>
          <w:tcPr>
            <w:tcW w:w="3261" w:type="dxa"/>
            <w:shd w:val="clear" w:color="auto" w:fill="auto"/>
            <w:vAlign w:val="center"/>
          </w:tcPr>
          <w:p w14:paraId="5B25F875" w14:textId="77777777" w:rsidR="000B06F3" w:rsidRPr="00DA3C6E" w:rsidRDefault="000B06F3" w:rsidP="00CE12E8">
            <w:pPr>
              <w:pStyle w:val="Tabletext1"/>
              <w:jc w:val="left"/>
            </w:pPr>
            <w:r w:rsidRPr="00DA3C6E">
              <w:t>1946 to 11 October 2019</w:t>
            </w:r>
          </w:p>
        </w:tc>
      </w:tr>
      <w:tr w:rsidR="000B06F3" w:rsidRPr="00DA3C6E" w14:paraId="7350BEE9" w14:textId="77777777" w:rsidTr="00CE12E8">
        <w:tc>
          <w:tcPr>
            <w:tcW w:w="5670" w:type="dxa"/>
            <w:vAlign w:val="center"/>
          </w:tcPr>
          <w:p w14:paraId="189193E7" w14:textId="77777777" w:rsidR="000B06F3" w:rsidRPr="00DA3C6E" w:rsidRDefault="000B06F3" w:rsidP="00CE12E8">
            <w:pPr>
              <w:pStyle w:val="Tabletext1"/>
              <w:jc w:val="left"/>
            </w:pPr>
            <w:r w:rsidRPr="00DA3C6E">
              <w:t xml:space="preserve">Pubmed </w:t>
            </w:r>
          </w:p>
        </w:tc>
        <w:tc>
          <w:tcPr>
            <w:tcW w:w="3261" w:type="dxa"/>
            <w:shd w:val="clear" w:color="auto" w:fill="auto"/>
            <w:vAlign w:val="center"/>
          </w:tcPr>
          <w:p w14:paraId="23E3C030" w14:textId="77777777" w:rsidR="000B06F3" w:rsidRPr="00DA3C6E" w:rsidRDefault="000B06F3" w:rsidP="00CE12E8">
            <w:pPr>
              <w:pStyle w:val="Tabletext1"/>
              <w:jc w:val="left"/>
            </w:pPr>
            <w:r w:rsidRPr="00DA3C6E">
              <w:t>Date of inception of database to 11 October 2019</w:t>
            </w:r>
          </w:p>
        </w:tc>
      </w:tr>
      <w:tr w:rsidR="000B06F3" w:rsidRPr="00DA3C6E" w14:paraId="74E8DA79" w14:textId="77777777" w:rsidTr="00CE12E8">
        <w:tc>
          <w:tcPr>
            <w:tcW w:w="5670" w:type="dxa"/>
            <w:vAlign w:val="center"/>
          </w:tcPr>
          <w:p w14:paraId="7BB8E9CD" w14:textId="77777777" w:rsidR="000B06F3" w:rsidRPr="00DA3C6E" w:rsidRDefault="000B06F3" w:rsidP="00CE12E8">
            <w:pPr>
              <w:pStyle w:val="Tabletext1"/>
              <w:jc w:val="left"/>
            </w:pPr>
            <w:r w:rsidRPr="00DA3C6E">
              <w:t xml:space="preserve">The Cochrane Library </w:t>
            </w:r>
          </w:p>
        </w:tc>
        <w:tc>
          <w:tcPr>
            <w:tcW w:w="3261" w:type="dxa"/>
            <w:shd w:val="clear" w:color="auto" w:fill="auto"/>
            <w:vAlign w:val="center"/>
          </w:tcPr>
          <w:p w14:paraId="7FEE52BB" w14:textId="77777777" w:rsidR="000B06F3" w:rsidRPr="00DA3C6E" w:rsidRDefault="000B06F3" w:rsidP="00CE12E8">
            <w:pPr>
              <w:pStyle w:val="Tabletext1"/>
              <w:jc w:val="left"/>
            </w:pPr>
            <w:r w:rsidRPr="00DA3C6E">
              <w:t>Date of inception of database to 15 October 2019</w:t>
            </w:r>
          </w:p>
        </w:tc>
      </w:tr>
    </w:tbl>
    <w:p w14:paraId="24124E9E" w14:textId="77777777" w:rsidR="000B06F3" w:rsidRPr="00DA3C6E" w:rsidRDefault="000B06F3" w:rsidP="00740643">
      <w:pPr>
        <w:pStyle w:val="Heading3"/>
      </w:pPr>
      <w:bookmarkStart w:id="396" w:name="_Toc37845794"/>
      <w:r w:rsidRPr="00DA3C6E">
        <w:t>Additional sources of literature (including websites)</w:t>
      </w:r>
      <w:bookmarkEnd w:id="39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0B06F3" w:rsidRPr="00DA3C6E" w14:paraId="204B234A" w14:textId="77777777" w:rsidTr="00C369C3">
        <w:trPr>
          <w:tblHeader/>
        </w:trPr>
        <w:tc>
          <w:tcPr>
            <w:tcW w:w="4950" w:type="dxa"/>
            <w:tcBorders>
              <w:bottom w:val="single" w:sz="4" w:space="0" w:color="auto"/>
              <w:right w:val="single" w:sz="4" w:space="0" w:color="auto"/>
            </w:tcBorders>
          </w:tcPr>
          <w:p w14:paraId="6D5EC435" w14:textId="77777777" w:rsidR="000B06F3" w:rsidRPr="00DA3C6E" w:rsidRDefault="000B06F3" w:rsidP="00C369C3">
            <w:pPr>
              <w:pStyle w:val="TableHeading"/>
            </w:pPr>
            <w:r w:rsidRPr="00DA3C6E">
              <w:t>Source</w:t>
            </w:r>
          </w:p>
        </w:tc>
        <w:tc>
          <w:tcPr>
            <w:tcW w:w="3981" w:type="dxa"/>
            <w:tcBorders>
              <w:left w:val="single" w:sz="4" w:space="0" w:color="auto"/>
              <w:bottom w:val="single" w:sz="4" w:space="0" w:color="auto"/>
            </w:tcBorders>
          </w:tcPr>
          <w:p w14:paraId="679A2A06" w14:textId="77777777" w:rsidR="000B06F3" w:rsidRPr="00DA3C6E" w:rsidRDefault="000B06F3" w:rsidP="00C369C3">
            <w:pPr>
              <w:pStyle w:val="TableHeading"/>
              <w:jc w:val="center"/>
            </w:pPr>
            <w:r w:rsidRPr="00DA3C6E">
              <w:t>Location</w:t>
            </w:r>
          </w:p>
        </w:tc>
      </w:tr>
      <w:tr w:rsidR="000B06F3" w:rsidRPr="00DA3C6E" w14:paraId="2FB247CD" w14:textId="77777777" w:rsidTr="00C369C3">
        <w:trPr>
          <w:tblHeader/>
        </w:trPr>
        <w:tc>
          <w:tcPr>
            <w:tcW w:w="4950" w:type="dxa"/>
            <w:tcBorders>
              <w:top w:val="single" w:sz="4" w:space="0" w:color="auto"/>
              <w:left w:val="single" w:sz="4" w:space="0" w:color="auto"/>
              <w:bottom w:val="single" w:sz="4" w:space="0" w:color="auto"/>
              <w:right w:val="single" w:sz="4" w:space="0" w:color="auto"/>
            </w:tcBorders>
          </w:tcPr>
          <w:p w14:paraId="7D959210" w14:textId="77777777" w:rsidR="000B06F3" w:rsidRPr="00DA3C6E" w:rsidRDefault="000B06F3" w:rsidP="00C369C3">
            <w:pPr>
              <w:pStyle w:val="Tabletext1"/>
            </w:pPr>
            <w:r w:rsidRPr="00DA3C6E">
              <w:t>clinicaltrials.gov</w:t>
            </w:r>
          </w:p>
        </w:tc>
        <w:tc>
          <w:tcPr>
            <w:tcW w:w="3981" w:type="dxa"/>
            <w:tcBorders>
              <w:top w:val="single" w:sz="4" w:space="0" w:color="auto"/>
              <w:left w:val="single" w:sz="4" w:space="0" w:color="auto"/>
              <w:bottom w:val="single" w:sz="4" w:space="0" w:color="auto"/>
              <w:right w:val="single" w:sz="4" w:space="0" w:color="auto"/>
            </w:tcBorders>
          </w:tcPr>
          <w:p w14:paraId="6E117B40" w14:textId="77777777" w:rsidR="000B06F3" w:rsidRPr="00DA3C6E" w:rsidRDefault="000B06F3" w:rsidP="00C369C3">
            <w:pPr>
              <w:pStyle w:val="Tabletext1"/>
            </w:pPr>
            <w:r w:rsidRPr="00DA3C6E">
              <w:t>https://clinicaltrials.gov/</w:t>
            </w:r>
          </w:p>
        </w:tc>
      </w:tr>
      <w:tr w:rsidR="000B06F3" w:rsidRPr="00DA3C6E" w14:paraId="36F34968" w14:textId="77777777" w:rsidTr="00C369C3">
        <w:tc>
          <w:tcPr>
            <w:tcW w:w="4950" w:type="dxa"/>
            <w:tcBorders>
              <w:right w:val="single" w:sz="4" w:space="0" w:color="auto"/>
            </w:tcBorders>
          </w:tcPr>
          <w:p w14:paraId="65795F8F" w14:textId="77777777" w:rsidR="000B06F3" w:rsidRPr="00DA3C6E" w:rsidRDefault="000B06F3" w:rsidP="00C369C3">
            <w:pPr>
              <w:pStyle w:val="Tabletext1"/>
            </w:pPr>
            <w:r w:rsidRPr="00DA3C6E">
              <w:t>International Clinical Trials Registry Platform (ICTRP)</w:t>
            </w:r>
          </w:p>
        </w:tc>
        <w:tc>
          <w:tcPr>
            <w:tcW w:w="3981" w:type="dxa"/>
            <w:tcBorders>
              <w:left w:val="single" w:sz="4" w:space="0" w:color="auto"/>
            </w:tcBorders>
          </w:tcPr>
          <w:p w14:paraId="7C53D3DA" w14:textId="77777777" w:rsidR="000B06F3" w:rsidRPr="00DA3C6E" w:rsidRDefault="000B06F3" w:rsidP="00C369C3">
            <w:pPr>
              <w:pStyle w:val="Tabletext1"/>
            </w:pPr>
            <w:r w:rsidRPr="00DA3C6E">
              <w:t>https://apps.who.int/trialsearch/</w:t>
            </w:r>
          </w:p>
        </w:tc>
      </w:tr>
    </w:tbl>
    <w:p w14:paraId="2E53F452" w14:textId="77777777" w:rsidR="000B06F3" w:rsidRPr="00DA3C6E" w:rsidRDefault="000B06F3" w:rsidP="00C369C3">
      <w:pPr>
        <w:pStyle w:val="Caption"/>
      </w:pPr>
    </w:p>
    <w:p w14:paraId="65D0C9F3" w14:textId="5E408C96" w:rsidR="000B06F3" w:rsidRPr="00DA3C6E" w:rsidRDefault="000B06F3" w:rsidP="00C369C3">
      <w:pPr>
        <w:pStyle w:val="Caption"/>
      </w:pPr>
      <w:bookmarkStart w:id="397" w:name="_Toc31144661"/>
      <w:bookmarkStart w:id="398" w:name="_Toc37845852"/>
      <w:r w:rsidRPr="00DA3C6E">
        <w:t xml:space="preserve">Table </w:t>
      </w:r>
      <w:r w:rsidR="00515153">
        <w:fldChar w:fldCharType="begin"/>
      </w:r>
      <w:r w:rsidR="00515153">
        <w:instrText xml:space="preserve"> SEQ Table \* ARABIC </w:instrText>
      </w:r>
      <w:r w:rsidR="00515153">
        <w:fldChar w:fldCharType="separate"/>
      </w:r>
      <w:r w:rsidR="00EA5DC1">
        <w:rPr>
          <w:noProof/>
        </w:rPr>
        <w:t>49</w:t>
      </w:r>
      <w:r w:rsidR="00515153">
        <w:rPr>
          <w:noProof/>
        </w:rPr>
        <w:fldChar w:fldCharType="end"/>
      </w:r>
      <w:r w:rsidRPr="00DA3C6E">
        <w:t>. Search terms used in the systematic literature search for intravenous Ig treatment for MMN patients</w:t>
      </w:r>
      <w:bookmarkEnd w:id="397"/>
      <w:bookmarkEnd w:id="39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2014"/>
        <w:gridCol w:w="6917"/>
      </w:tblGrid>
      <w:tr w:rsidR="000B06F3" w:rsidRPr="00DA3C6E" w14:paraId="6B27A007" w14:textId="77777777" w:rsidTr="00740643">
        <w:trPr>
          <w:trHeight w:val="303"/>
          <w:tblHeader/>
        </w:trPr>
        <w:tc>
          <w:tcPr>
            <w:tcW w:w="2014" w:type="dxa"/>
          </w:tcPr>
          <w:p w14:paraId="15E05927" w14:textId="77777777" w:rsidR="000B06F3" w:rsidRPr="00DA3C6E" w:rsidRDefault="000B06F3" w:rsidP="00740643">
            <w:pPr>
              <w:pStyle w:val="TableHeading"/>
            </w:pPr>
            <w:r w:rsidRPr="00DA3C6E">
              <w:t>Electronic database</w:t>
            </w:r>
          </w:p>
        </w:tc>
        <w:tc>
          <w:tcPr>
            <w:tcW w:w="6917" w:type="dxa"/>
          </w:tcPr>
          <w:p w14:paraId="5AC8F9E5" w14:textId="77777777" w:rsidR="000B06F3" w:rsidRPr="00DA3C6E" w:rsidRDefault="000B06F3" w:rsidP="00740643">
            <w:pPr>
              <w:pStyle w:val="TableHeading"/>
            </w:pPr>
            <w:r w:rsidRPr="00DA3C6E">
              <w:t>Search strategy/terms</w:t>
            </w:r>
          </w:p>
        </w:tc>
      </w:tr>
      <w:tr w:rsidR="000B06F3" w:rsidRPr="00DA3C6E" w14:paraId="1FD389B0" w14:textId="77777777" w:rsidTr="00740643">
        <w:tc>
          <w:tcPr>
            <w:tcW w:w="2014" w:type="dxa"/>
            <w:tcBorders>
              <w:top w:val="single" w:sz="4" w:space="0" w:color="auto"/>
              <w:left w:val="single" w:sz="4" w:space="0" w:color="auto"/>
              <w:bottom w:val="single" w:sz="4" w:space="0" w:color="auto"/>
              <w:right w:val="single" w:sz="4" w:space="0" w:color="auto"/>
            </w:tcBorders>
          </w:tcPr>
          <w:p w14:paraId="6A332493" w14:textId="77777777" w:rsidR="000B06F3" w:rsidRPr="00DA3C6E" w:rsidRDefault="000B06F3" w:rsidP="00740643">
            <w:pPr>
              <w:pStyle w:val="Tabletext1"/>
            </w:pPr>
            <w:r w:rsidRPr="00DA3C6E">
              <w:t>Embase, vid MEDLINE ® and Epub Ahead of print,</w:t>
            </w:r>
            <w:r w:rsidRPr="00DA3C6E">
              <w:rPr>
                <w:rFonts w:ascii="Arial Unicode MS" w:eastAsia="Arial Unicode MS" w:hAnsi="Arial Unicode MS" w:cs="Arial Unicode MS"/>
                <w:szCs w:val="24"/>
                <w:lang w:eastAsia="en-US"/>
              </w:rPr>
              <w:t xml:space="preserve"> </w:t>
            </w:r>
            <w:r w:rsidRPr="00DA3C6E">
              <w:t>In-Process &amp; Other Non-Indexed Citations, Daily and Versions.</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70F1B4E" w14:textId="77777777" w:rsidR="000B06F3" w:rsidRPr="00DA3C6E" w:rsidRDefault="000B06F3" w:rsidP="00740643">
            <w:pPr>
              <w:pStyle w:val="Tabletext1"/>
            </w:pPr>
            <w:r w:rsidRPr="00DA3C6E">
              <w:t>1     multifocal motor neuropath*.mp. (2119)</w:t>
            </w:r>
          </w:p>
          <w:p w14:paraId="29975B80" w14:textId="77777777" w:rsidR="000B06F3" w:rsidRPr="00DA3C6E" w:rsidRDefault="000B06F3" w:rsidP="00740643">
            <w:pPr>
              <w:pStyle w:val="Tabletext1"/>
            </w:pPr>
            <w:r w:rsidRPr="00DA3C6E">
              <w:t>2     Immunoglobulins, Intravenous/ or Intravenous immunoglobulin* or ivig.mp. [mp=ti, ab, hw, tn, ot, dm, mf, dv, kw, fx, dq, nm, kf, ox, px, rx, ui, sy] (141961)</w:t>
            </w:r>
          </w:p>
          <w:p w14:paraId="2E9E0103" w14:textId="77777777" w:rsidR="000B06F3" w:rsidRPr="00DA3C6E" w:rsidRDefault="000B06F3" w:rsidP="00740643">
            <w:pPr>
              <w:pStyle w:val="Tabletext1"/>
            </w:pPr>
            <w:r w:rsidRPr="00DA3C6E">
              <w:t>3     1 and 2 (1126)</w:t>
            </w:r>
          </w:p>
          <w:p w14:paraId="7E999CD0" w14:textId="77777777" w:rsidR="000B06F3" w:rsidRPr="00DA3C6E" w:rsidRDefault="000B06F3" w:rsidP="00740643">
            <w:pPr>
              <w:pStyle w:val="Tabletext1"/>
            </w:pPr>
            <w:r w:rsidRPr="00DA3C6E">
              <w:t>4     exp clinical trial/ (2279960)</w:t>
            </w:r>
          </w:p>
          <w:p w14:paraId="6621D7C3" w14:textId="77777777" w:rsidR="000B06F3" w:rsidRPr="00DA3C6E" w:rsidRDefault="000B06F3" w:rsidP="00740643">
            <w:pPr>
              <w:pStyle w:val="Tabletext1"/>
            </w:pPr>
            <w:r w:rsidRPr="00DA3C6E">
              <w:t>5     exp "clinical trial (topic)"/ or exp clinical trial as topic/ (641983)</w:t>
            </w:r>
          </w:p>
          <w:p w14:paraId="3B5F4BF3" w14:textId="77777777" w:rsidR="000B06F3" w:rsidRPr="00DA3C6E" w:rsidRDefault="000B06F3" w:rsidP="00740643">
            <w:pPr>
              <w:pStyle w:val="Tabletext1"/>
            </w:pPr>
            <w:r w:rsidRPr="00DA3C6E">
              <w:t>6     controlled study.de. (7015974)</w:t>
            </w:r>
          </w:p>
          <w:p w14:paraId="51F189A2" w14:textId="77777777" w:rsidR="000B06F3" w:rsidRPr="00DA3C6E" w:rsidRDefault="000B06F3" w:rsidP="00740643">
            <w:pPr>
              <w:pStyle w:val="Tabletext1"/>
            </w:pPr>
            <w:r w:rsidRPr="00DA3C6E">
              <w:t>7     ((clinical or controlled) adj (trial* or study or studies)).ab,ti. (1669338)</w:t>
            </w:r>
          </w:p>
          <w:p w14:paraId="3A39FC52" w14:textId="77777777" w:rsidR="000B06F3" w:rsidRPr="00DA3C6E" w:rsidRDefault="000B06F3" w:rsidP="00740643">
            <w:pPr>
              <w:pStyle w:val="Tabletext1"/>
            </w:pPr>
            <w:r w:rsidRPr="00DA3C6E">
              <w:t>8     exp comparative study/ (3196621)</w:t>
            </w:r>
          </w:p>
          <w:p w14:paraId="5D91A1EA" w14:textId="77777777" w:rsidR="000B06F3" w:rsidRPr="00DA3C6E" w:rsidRDefault="000B06F3" w:rsidP="00740643">
            <w:pPr>
              <w:pStyle w:val="Tabletext1"/>
            </w:pPr>
            <w:r w:rsidRPr="00DA3C6E">
              <w:t>9     prospective study/ (1074972)</w:t>
            </w:r>
          </w:p>
          <w:p w14:paraId="36FD7CD4" w14:textId="77777777" w:rsidR="000B06F3" w:rsidRPr="00DA3C6E" w:rsidRDefault="000B06F3" w:rsidP="00740643">
            <w:pPr>
              <w:pStyle w:val="Tabletext1"/>
            </w:pPr>
            <w:r w:rsidRPr="00DA3C6E">
              <w:t>10     8 or 9 (4108338)</w:t>
            </w:r>
          </w:p>
          <w:p w14:paraId="35AA9D4B" w14:textId="77777777" w:rsidR="000B06F3" w:rsidRPr="00DA3C6E" w:rsidRDefault="000B06F3" w:rsidP="00740643">
            <w:pPr>
              <w:pStyle w:val="Tabletext1"/>
            </w:pPr>
            <w:r w:rsidRPr="00DA3C6E">
              <w:t>11     (random* or controlled or 'control group' or 'control groups').ab,ti. (4254392)</w:t>
            </w:r>
          </w:p>
          <w:p w14:paraId="6D611CA3" w14:textId="77777777" w:rsidR="000B06F3" w:rsidRPr="00DA3C6E" w:rsidRDefault="000B06F3" w:rsidP="00740643">
            <w:pPr>
              <w:pStyle w:val="Tabletext1"/>
            </w:pPr>
            <w:r w:rsidRPr="00DA3C6E">
              <w:t>12     10 and 11 (614477)</w:t>
            </w:r>
          </w:p>
          <w:p w14:paraId="4194839D" w14:textId="77777777" w:rsidR="000B06F3" w:rsidRPr="00DA3C6E" w:rsidRDefault="000B06F3" w:rsidP="00740643">
            <w:pPr>
              <w:pStyle w:val="Tabletext1"/>
            </w:pPr>
            <w:r w:rsidRPr="00DA3C6E">
              <w:t>13     4 or 5 or 6 or 7 or 12 (9896517)</w:t>
            </w:r>
          </w:p>
          <w:p w14:paraId="7989F52C" w14:textId="77777777" w:rsidR="000B06F3" w:rsidRPr="00DA3C6E" w:rsidRDefault="000B06F3" w:rsidP="00740643">
            <w:pPr>
              <w:pStyle w:val="Tabletext1"/>
            </w:pPr>
            <w:r w:rsidRPr="00DA3C6E">
              <w:t>14     3 and 13 (428)</w:t>
            </w:r>
          </w:p>
          <w:p w14:paraId="3C8FA2B4" w14:textId="77777777" w:rsidR="000B06F3" w:rsidRPr="00DA3C6E" w:rsidRDefault="000B06F3" w:rsidP="00740643">
            <w:pPr>
              <w:pStyle w:val="Tabletext1"/>
            </w:pPr>
            <w:r w:rsidRPr="00DA3C6E">
              <w:t>15     randomized controlled trial.de. (1067989)</w:t>
            </w:r>
          </w:p>
          <w:p w14:paraId="6D61A7D5" w14:textId="77777777" w:rsidR="000B06F3" w:rsidRPr="00DA3C6E" w:rsidRDefault="000B06F3" w:rsidP="00740643">
            <w:pPr>
              <w:pStyle w:val="Tabletext1"/>
            </w:pPr>
            <w:r w:rsidRPr="00DA3C6E">
              <w:t>16     ("randomized controlled trial (topic)" or randomized controlled trials as topic).de. (297904)</w:t>
            </w:r>
          </w:p>
          <w:p w14:paraId="56708B6A" w14:textId="77777777" w:rsidR="000B06F3" w:rsidRPr="00DA3C6E" w:rsidRDefault="000B06F3" w:rsidP="00740643">
            <w:pPr>
              <w:pStyle w:val="Tabletext1"/>
            </w:pPr>
            <w:r w:rsidRPr="00DA3C6E">
              <w:t>17     randomization.de. (84727)</w:t>
            </w:r>
          </w:p>
          <w:p w14:paraId="36A15739" w14:textId="77777777" w:rsidR="000B06F3" w:rsidRPr="00DA3C6E" w:rsidRDefault="000B06F3" w:rsidP="00740643">
            <w:pPr>
              <w:pStyle w:val="Tabletext1"/>
            </w:pPr>
            <w:r w:rsidRPr="00DA3C6E">
              <w:t>18     single blind procedure.de. (37038)</w:t>
            </w:r>
          </w:p>
          <w:p w14:paraId="669BE6E5" w14:textId="77777777" w:rsidR="000B06F3" w:rsidRPr="00DA3C6E" w:rsidRDefault="000B06F3" w:rsidP="00740643">
            <w:pPr>
              <w:pStyle w:val="Tabletext1"/>
            </w:pPr>
            <w:r w:rsidRPr="00DA3C6E">
              <w:t>19     double blind procedure.de. (167444)</w:t>
            </w:r>
          </w:p>
          <w:p w14:paraId="05F5BA15" w14:textId="77777777" w:rsidR="000B06F3" w:rsidRPr="00DA3C6E" w:rsidRDefault="000B06F3" w:rsidP="00740643">
            <w:pPr>
              <w:pStyle w:val="Tabletext1"/>
            </w:pPr>
            <w:r w:rsidRPr="00DA3C6E">
              <w:t>20     triple blind procedure.de. (235)</w:t>
            </w:r>
          </w:p>
          <w:p w14:paraId="3EF077C5" w14:textId="77777777" w:rsidR="000B06F3" w:rsidRPr="00DA3C6E" w:rsidRDefault="000B06F3" w:rsidP="00740643">
            <w:pPr>
              <w:pStyle w:val="Tabletext1"/>
            </w:pPr>
            <w:r w:rsidRPr="00DA3C6E">
              <w:t>21     crossover procedure.de. (61258)</w:t>
            </w:r>
          </w:p>
          <w:p w14:paraId="2A2F86A0" w14:textId="77777777" w:rsidR="000B06F3" w:rsidRPr="00DA3C6E" w:rsidRDefault="000B06F3" w:rsidP="00740643">
            <w:pPr>
              <w:pStyle w:val="Tabletext1"/>
            </w:pPr>
            <w:r w:rsidRPr="00DA3C6E">
              <w:t>22     open study.de. (37112)</w:t>
            </w:r>
          </w:p>
          <w:p w14:paraId="7C4C7B97" w14:textId="77777777" w:rsidR="000B06F3" w:rsidRPr="00DA3C6E" w:rsidRDefault="000B06F3" w:rsidP="00740643">
            <w:pPr>
              <w:pStyle w:val="Tabletext1"/>
            </w:pPr>
            <w:r w:rsidRPr="00DA3C6E">
              <w:t>23     parallel design.de. (11100)</w:t>
            </w:r>
          </w:p>
          <w:p w14:paraId="1D2E5D66" w14:textId="77777777" w:rsidR="000B06F3" w:rsidRPr="00DA3C6E" w:rsidRDefault="000B06F3" w:rsidP="00740643">
            <w:pPr>
              <w:pStyle w:val="Tabletext1"/>
            </w:pPr>
            <w:r w:rsidRPr="00DA3C6E">
              <w:t>24     (placebo or placebos).de. (378937)</w:t>
            </w:r>
          </w:p>
          <w:p w14:paraId="16C1CA2E" w14:textId="77777777" w:rsidR="000B06F3" w:rsidRPr="00DA3C6E" w:rsidRDefault="000B06F3" w:rsidP="00740643">
            <w:pPr>
              <w:pStyle w:val="Tabletext1"/>
            </w:pPr>
            <w:r w:rsidRPr="00DA3C6E">
              <w:t>25     placebo effect.de. (10205)</w:t>
            </w:r>
          </w:p>
          <w:p w14:paraId="2375FC10" w14:textId="77777777" w:rsidR="000B06F3" w:rsidRPr="00DA3C6E" w:rsidRDefault="000B06F3" w:rsidP="00740643">
            <w:pPr>
              <w:pStyle w:val="Tabletext1"/>
            </w:pPr>
            <w:r w:rsidRPr="00DA3C6E">
              <w:lastRenderedPageBreak/>
              <w:t>26     major clinical study.de. (3568633)</w:t>
            </w:r>
          </w:p>
          <w:p w14:paraId="0053B1E1" w14:textId="77777777" w:rsidR="000B06F3" w:rsidRPr="00DA3C6E" w:rsidRDefault="000B06F3" w:rsidP="00740643">
            <w:pPr>
              <w:pStyle w:val="Tabletext1"/>
            </w:pPr>
            <w:r w:rsidRPr="00DA3C6E">
              <w:t>27     latin square design.de. (364)</w:t>
            </w:r>
          </w:p>
          <w:p w14:paraId="25DBC3D4" w14:textId="77777777" w:rsidR="000B06F3" w:rsidRPr="00DA3C6E" w:rsidRDefault="000B06F3" w:rsidP="00740643">
            <w:pPr>
              <w:pStyle w:val="Tabletext1"/>
            </w:pPr>
            <w:r w:rsidRPr="00DA3C6E">
              <w:t>28     quasi experimental study.de. (6077)</w:t>
            </w:r>
          </w:p>
          <w:p w14:paraId="7AF4739B" w14:textId="77777777" w:rsidR="000B06F3" w:rsidRPr="00DA3C6E" w:rsidRDefault="000B06F3" w:rsidP="00740643">
            <w:pPr>
              <w:pStyle w:val="Tabletext1"/>
            </w:pPr>
            <w:r w:rsidRPr="00DA3C6E">
              <w:t>29     (random* adj (trial* or study or studies)).ab,ti. (300042)</w:t>
            </w:r>
          </w:p>
          <w:p w14:paraId="0F03F680" w14:textId="77777777" w:rsidR="000B06F3" w:rsidRPr="00DA3C6E" w:rsidRDefault="000B06F3" w:rsidP="00740643">
            <w:pPr>
              <w:pStyle w:val="Tabletext1"/>
            </w:pPr>
            <w:r w:rsidRPr="00DA3C6E">
              <w:t>30     ((assigned or allocated or allocation) adj random*).ab,ti. (15666)</w:t>
            </w:r>
          </w:p>
          <w:p w14:paraId="26144346" w14:textId="77777777" w:rsidR="000B06F3" w:rsidRPr="00DA3C6E" w:rsidRDefault="000B06F3" w:rsidP="00740643">
            <w:pPr>
              <w:pStyle w:val="Tabletext1"/>
            </w:pPr>
            <w:r w:rsidRPr="00DA3C6E">
              <w:t>31     (random* adj2 (comparison or comparative)).ab,ti. (23491)</w:t>
            </w:r>
          </w:p>
          <w:p w14:paraId="7265A5CD" w14:textId="77777777" w:rsidR="000B06F3" w:rsidRPr="00DA3C6E" w:rsidRDefault="000B06F3" w:rsidP="00740643">
            <w:pPr>
              <w:pStyle w:val="Tabletext1"/>
            </w:pPr>
            <w:r w:rsidRPr="00DA3C6E">
              <w:t>32     ((single or double or treble or triple) adj (blind* or mask* or dummy)).ab,ti. (398777)</w:t>
            </w:r>
          </w:p>
          <w:p w14:paraId="40968D5A" w14:textId="77777777" w:rsidR="000B06F3" w:rsidRPr="00DA3C6E" w:rsidRDefault="000B06F3" w:rsidP="00740643">
            <w:pPr>
              <w:pStyle w:val="Tabletext1"/>
            </w:pPr>
            <w:r w:rsidRPr="00DA3C6E">
              <w:t>33     ('cross over' or crossover or 'open label' or 'open trial' or 'parallel design' or placebo*).ab,ti. (732760)</w:t>
            </w:r>
          </w:p>
          <w:p w14:paraId="6AB9947A" w14:textId="77777777" w:rsidR="000B06F3" w:rsidRPr="00DA3C6E" w:rsidRDefault="000B06F3" w:rsidP="00740643">
            <w:pPr>
              <w:pStyle w:val="Tabletext1"/>
            </w:pPr>
            <w:r w:rsidRPr="00DA3C6E">
              <w:t>34     ('comparison group' or 'comparison groups' or quasiexperimental or 'quasi experimental' or pseudoexperimental or 'pseudo experimental').ab,ti. (66385)</w:t>
            </w:r>
          </w:p>
          <w:p w14:paraId="6C8203E7" w14:textId="77777777" w:rsidR="000B06F3" w:rsidRPr="00DA3C6E" w:rsidRDefault="000B06F3" w:rsidP="00740643">
            <w:pPr>
              <w:pStyle w:val="Tabletext1"/>
            </w:pPr>
            <w:r w:rsidRPr="00DA3C6E">
              <w:t>35     (matched adj (communities or schools or population* or pair or pairs)).ab,ti. (26477)</w:t>
            </w:r>
          </w:p>
          <w:p w14:paraId="52DCB139" w14:textId="77777777" w:rsidR="000B06F3" w:rsidRPr="00DA3C6E" w:rsidRDefault="000B06F3" w:rsidP="00740643">
            <w:pPr>
              <w:pStyle w:val="Tabletext1"/>
            </w:pPr>
            <w:r w:rsidRPr="00DA3C6E">
              <w:t>36     15 or 16 or 17 or 18 or 19 or 20 or 21 or 22 or 23 or 24 or 25 or 26 or 27 or 28 or 29 or 30 or 31 or 32 or 33 or 34 or 35 (5435753)</w:t>
            </w:r>
          </w:p>
          <w:p w14:paraId="7787BEBB" w14:textId="77777777" w:rsidR="000B06F3" w:rsidRPr="00DA3C6E" w:rsidRDefault="000B06F3" w:rsidP="00740643">
            <w:pPr>
              <w:pStyle w:val="Tabletext1"/>
            </w:pPr>
            <w:r w:rsidRPr="00DA3C6E">
              <w:t>37     3 and 36 (258)</w:t>
            </w:r>
          </w:p>
          <w:p w14:paraId="2DAD02C5" w14:textId="77777777" w:rsidR="000B06F3" w:rsidRPr="00DA3C6E" w:rsidRDefault="000B06F3" w:rsidP="00740643">
            <w:pPr>
              <w:pStyle w:val="Tabletext1"/>
            </w:pPr>
            <w:r w:rsidRPr="00DA3C6E">
              <w:t>38     meta analysis.de. (279503)</w:t>
            </w:r>
          </w:p>
          <w:p w14:paraId="61501CB3" w14:textId="77777777" w:rsidR="000B06F3" w:rsidRPr="00DA3C6E" w:rsidRDefault="000B06F3" w:rsidP="00740643">
            <w:pPr>
              <w:pStyle w:val="Tabletext1"/>
            </w:pPr>
            <w:r w:rsidRPr="00DA3C6E">
              <w:t>39     (meta analysis as topic or "meta analysis (topic)").de. (58632)</w:t>
            </w:r>
          </w:p>
          <w:p w14:paraId="5969F6C3" w14:textId="77777777" w:rsidR="000B06F3" w:rsidRPr="00DA3C6E" w:rsidRDefault="000B06F3" w:rsidP="00740643">
            <w:pPr>
              <w:pStyle w:val="Tabletext1"/>
            </w:pPr>
            <w:r w:rsidRPr="00DA3C6E">
              <w:t>40     ('meta analysis' or 'meta analyses' or 'meta analytical' or metanaly*).ab,ti. (355095)</w:t>
            </w:r>
          </w:p>
          <w:p w14:paraId="512C7AB8" w14:textId="77777777" w:rsidR="000B06F3" w:rsidRPr="00DA3C6E" w:rsidRDefault="000B06F3" w:rsidP="00740643">
            <w:pPr>
              <w:pStyle w:val="Tabletext1"/>
            </w:pPr>
            <w:r w:rsidRPr="00DA3C6E">
              <w:t>41     38 or 39 or 40 (457386)</w:t>
            </w:r>
          </w:p>
          <w:p w14:paraId="326CC38E" w14:textId="77777777" w:rsidR="000B06F3" w:rsidRPr="00DA3C6E" w:rsidRDefault="000B06F3" w:rsidP="00740643">
            <w:pPr>
              <w:pStyle w:val="Tabletext1"/>
            </w:pPr>
            <w:r w:rsidRPr="00DA3C6E">
              <w:t>42     3 and 41 (15)</w:t>
            </w:r>
          </w:p>
          <w:p w14:paraId="1196E8D8" w14:textId="77777777" w:rsidR="000B06F3" w:rsidRPr="00DA3C6E" w:rsidRDefault="000B06F3" w:rsidP="00740643">
            <w:pPr>
              <w:pStyle w:val="Tabletext1"/>
            </w:pPr>
            <w:r w:rsidRPr="00DA3C6E">
              <w:t>43     systematic review.de. (336880)</w:t>
            </w:r>
          </w:p>
          <w:p w14:paraId="656F5A2B" w14:textId="77777777" w:rsidR="000B06F3" w:rsidRPr="00DA3C6E" w:rsidRDefault="000B06F3" w:rsidP="00740643">
            <w:pPr>
              <w:pStyle w:val="Tabletext1"/>
            </w:pPr>
            <w:r w:rsidRPr="00DA3C6E">
              <w:t>44     ("systematic review (topic)" or systematic review as topic).de. (24475)</w:t>
            </w:r>
          </w:p>
          <w:p w14:paraId="7BE30A32" w14:textId="77777777" w:rsidR="000B06F3" w:rsidRPr="00DA3C6E" w:rsidRDefault="000B06F3" w:rsidP="00740643">
            <w:pPr>
              <w:pStyle w:val="Tabletext1"/>
            </w:pPr>
            <w:r w:rsidRPr="00DA3C6E">
              <w:t>45     ((quantitative* or systematic* or methodologic*) and (review* or overview*)).ti. (258734)</w:t>
            </w:r>
          </w:p>
          <w:p w14:paraId="500B138E" w14:textId="77777777" w:rsidR="000B06F3" w:rsidRPr="00DA3C6E" w:rsidRDefault="000B06F3" w:rsidP="00740643">
            <w:pPr>
              <w:pStyle w:val="Tabletext1"/>
            </w:pPr>
            <w:r w:rsidRPr="00DA3C6E">
              <w:t>46     ((quantitative* or systematic* or methodologic*) and (review* or overview*)).ab. (477930)</w:t>
            </w:r>
          </w:p>
          <w:p w14:paraId="53F9FDEF" w14:textId="77777777" w:rsidR="000B06F3" w:rsidRPr="00DA3C6E" w:rsidRDefault="000B06F3" w:rsidP="00740643">
            <w:pPr>
              <w:pStyle w:val="Tabletext1"/>
            </w:pPr>
            <w:r w:rsidRPr="00DA3C6E">
              <w:t>47     cochrane*.jn. (34518)</w:t>
            </w:r>
          </w:p>
          <w:p w14:paraId="388FA160" w14:textId="77777777" w:rsidR="000B06F3" w:rsidRPr="00DA3C6E" w:rsidRDefault="000B06F3" w:rsidP="00740643">
            <w:pPr>
              <w:pStyle w:val="Tabletext1"/>
            </w:pPr>
            <w:r w:rsidRPr="00DA3C6E">
              <w:t>48     (evidence based medicine and review).de. (58994)</w:t>
            </w:r>
          </w:p>
          <w:p w14:paraId="792EBAC3" w14:textId="77777777" w:rsidR="000B06F3" w:rsidRPr="00DA3C6E" w:rsidRDefault="000B06F3" w:rsidP="00740643">
            <w:pPr>
              <w:pStyle w:val="Tabletext1"/>
            </w:pPr>
            <w:r w:rsidRPr="00DA3C6E">
              <w:t>49     43 or 44 or 45 or 46 or 47 or 48 (709008)</w:t>
            </w:r>
          </w:p>
          <w:p w14:paraId="10BFB158" w14:textId="77777777" w:rsidR="000B06F3" w:rsidRPr="00DA3C6E" w:rsidRDefault="000B06F3" w:rsidP="00740643">
            <w:pPr>
              <w:pStyle w:val="Tabletext1"/>
            </w:pPr>
            <w:r w:rsidRPr="00DA3C6E">
              <w:t>50     3 and 49 (51)</w:t>
            </w:r>
          </w:p>
          <w:p w14:paraId="25034307" w14:textId="77777777" w:rsidR="000B06F3" w:rsidRPr="00DA3C6E" w:rsidRDefault="000B06F3" w:rsidP="00740643">
            <w:pPr>
              <w:pStyle w:val="Tabletext1"/>
            </w:pPr>
            <w:r w:rsidRPr="00DA3C6E">
              <w:t>51     pooled analysis.de. (34)</w:t>
            </w:r>
          </w:p>
          <w:p w14:paraId="092F3704" w14:textId="77777777" w:rsidR="000B06F3" w:rsidRPr="00DA3C6E" w:rsidRDefault="000B06F3" w:rsidP="00740643">
            <w:pPr>
              <w:pStyle w:val="Tabletext1"/>
            </w:pPr>
            <w:r w:rsidRPr="00DA3C6E">
              <w:t>52     (pooled adj4 analys?s).ab,ti. (46848)</w:t>
            </w:r>
          </w:p>
          <w:p w14:paraId="735E5543" w14:textId="77777777" w:rsidR="000B06F3" w:rsidRPr="00DA3C6E" w:rsidRDefault="000B06F3" w:rsidP="00740643">
            <w:pPr>
              <w:pStyle w:val="Tabletext1"/>
            </w:pPr>
            <w:r w:rsidRPr="00DA3C6E">
              <w:t>53     51 or 52 (46852)</w:t>
            </w:r>
          </w:p>
          <w:p w14:paraId="04F9F01E" w14:textId="77777777" w:rsidR="000B06F3" w:rsidRPr="00DA3C6E" w:rsidRDefault="000B06F3" w:rsidP="00740643">
            <w:pPr>
              <w:pStyle w:val="Tabletext1"/>
            </w:pPr>
            <w:r w:rsidRPr="00DA3C6E">
              <w:t>54     3 and 53 (0)</w:t>
            </w:r>
          </w:p>
          <w:p w14:paraId="037D5D48" w14:textId="77777777" w:rsidR="000B06F3" w:rsidRPr="00DA3C6E" w:rsidRDefault="000B06F3" w:rsidP="00740643">
            <w:pPr>
              <w:pStyle w:val="Tabletext1"/>
            </w:pPr>
            <w:r w:rsidRPr="00DA3C6E">
              <w:t>55     14 or 37 or 42 or 50 or 54 (485)</w:t>
            </w:r>
          </w:p>
          <w:p w14:paraId="7B705756" w14:textId="77777777" w:rsidR="000B06F3" w:rsidRPr="00DA3C6E" w:rsidRDefault="000B06F3" w:rsidP="00740643">
            <w:pPr>
              <w:pStyle w:val="Tabletext1"/>
            </w:pPr>
            <w:r w:rsidRPr="00DA3C6E">
              <w:t>56     remove duplicates from 55 (367)</w:t>
            </w:r>
          </w:p>
        </w:tc>
      </w:tr>
      <w:tr w:rsidR="000B06F3" w:rsidRPr="00DA3C6E" w14:paraId="7BD1EE6C" w14:textId="77777777" w:rsidTr="00740643">
        <w:tc>
          <w:tcPr>
            <w:tcW w:w="2014" w:type="dxa"/>
          </w:tcPr>
          <w:p w14:paraId="1155D9C4" w14:textId="77777777" w:rsidR="000B06F3" w:rsidRPr="00DA3C6E" w:rsidRDefault="000B06F3" w:rsidP="00740643">
            <w:pPr>
              <w:pStyle w:val="Tabletext1"/>
            </w:pPr>
            <w:r w:rsidRPr="00DA3C6E">
              <w:lastRenderedPageBreak/>
              <w:t>The Cochrane Library</w:t>
            </w:r>
          </w:p>
        </w:tc>
        <w:tc>
          <w:tcPr>
            <w:tcW w:w="6917" w:type="dxa"/>
            <w:shd w:val="clear" w:color="auto" w:fill="auto"/>
          </w:tcPr>
          <w:p w14:paraId="258FE9DB" w14:textId="77777777" w:rsidR="000B06F3" w:rsidRPr="00DA3C6E" w:rsidRDefault="000B06F3" w:rsidP="00740643">
            <w:pPr>
              <w:pStyle w:val="Tabletext1"/>
            </w:pPr>
            <w:r w:rsidRPr="00DA3C6E">
              <w:t>ID</w:t>
            </w:r>
            <w:r w:rsidRPr="00DA3C6E">
              <w:tab/>
              <w:t>Search</w:t>
            </w:r>
            <w:r w:rsidRPr="00DA3C6E">
              <w:tab/>
              <w:t>Hits</w:t>
            </w:r>
          </w:p>
          <w:p w14:paraId="1D0B2C23" w14:textId="77777777" w:rsidR="000B06F3" w:rsidRPr="00DA3C6E" w:rsidRDefault="000B06F3" w:rsidP="00740643">
            <w:pPr>
              <w:pStyle w:val="Tabletext1"/>
            </w:pPr>
            <w:r w:rsidRPr="00DA3C6E">
              <w:t>#1</w:t>
            </w:r>
            <w:r w:rsidRPr="00DA3C6E">
              <w:tab/>
              <w:t>Intravenous immunoglobulin*</w:t>
            </w:r>
            <w:r w:rsidRPr="00DA3C6E">
              <w:tab/>
              <w:t>2851</w:t>
            </w:r>
          </w:p>
          <w:p w14:paraId="50A8E952" w14:textId="77777777" w:rsidR="000B06F3" w:rsidRPr="00DA3C6E" w:rsidRDefault="000B06F3" w:rsidP="00740643">
            <w:pPr>
              <w:pStyle w:val="Tabletext1"/>
            </w:pPr>
            <w:r w:rsidRPr="00DA3C6E">
              <w:t>#2</w:t>
            </w:r>
            <w:r w:rsidRPr="00DA3C6E">
              <w:tab/>
              <w:t>Multifocal motor neuropath* or MMN</w:t>
            </w:r>
            <w:r w:rsidRPr="00DA3C6E">
              <w:tab/>
              <w:t>466</w:t>
            </w:r>
          </w:p>
          <w:p w14:paraId="7B0BC7E0" w14:textId="77777777" w:rsidR="000B06F3" w:rsidRPr="00DA3C6E" w:rsidRDefault="000B06F3" w:rsidP="00740643">
            <w:pPr>
              <w:pStyle w:val="Tabletext1"/>
            </w:pPr>
            <w:r w:rsidRPr="00DA3C6E">
              <w:t>#3</w:t>
            </w:r>
            <w:r w:rsidRPr="00DA3C6E">
              <w:tab/>
              <w:t>MeSH descriptor: [Immunoglobulins] explode all trees</w:t>
            </w:r>
            <w:r w:rsidRPr="00DA3C6E">
              <w:tab/>
              <w:t>22872</w:t>
            </w:r>
          </w:p>
          <w:p w14:paraId="0DFFDB75" w14:textId="77777777" w:rsidR="000B06F3" w:rsidRPr="00DA3C6E" w:rsidRDefault="000B06F3" w:rsidP="00740643">
            <w:pPr>
              <w:pStyle w:val="Tabletext1"/>
            </w:pPr>
            <w:r w:rsidRPr="00DA3C6E">
              <w:t>#4</w:t>
            </w:r>
            <w:r w:rsidRPr="00DA3C6E">
              <w:tab/>
              <w:t>#1 or #3</w:t>
            </w:r>
            <w:r w:rsidRPr="00DA3C6E">
              <w:tab/>
              <w:t>24338</w:t>
            </w:r>
          </w:p>
          <w:p w14:paraId="2B92CD61" w14:textId="77777777" w:rsidR="000B06F3" w:rsidRPr="00DA3C6E" w:rsidRDefault="000B06F3" w:rsidP="00740643">
            <w:pPr>
              <w:pStyle w:val="Tabletext1"/>
            </w:pPr>
            <w:r w:rsidRPr="00DA3C6E">
              <w:t>#5</w:t>
            </w:r>
            <w:r w:rsidRPr="00DA3C6E">
              <w:tab/>
              <w:t>#2 and #4</w:t>
            </w:r>
            <w:r w:rsidRPr="00DA3C6E">
              <w:tab/>
              <w:t>66</w:t>
            </w:r>
          </w:p>
          <w:p w14:paraId="39DDCCB8" w14:textId="77777777" w:rsidR="000B06F3" w:rsidRPr="00DA3C6E" w:rsidRDefault="000B06F3" w:rsidP="00740643">
            <w:pPr>
              <w:pStyle w:val="Tabletext1"/>
            </w:pPr>
            <w:r w:rsidRPr="00DA3C6E">
              <w:t>Results:</w:t>
            </w:r>
          </w:p>
          <w:p w14:paraId="0D037774" w14:textId="77777777" w:rsidR="000B06F3" w:rsidRPr="00DA3C6E" w:rsidRDefault="000B06F3" w:rsidP="0073359F">
            <w:pPr>
              <w:pStyle w:val="Tabletext1"/>
              <w:numPr>
                <w:ilvl w:val="0"/>
                <w:numId w:val="30"/>
              </w:numPr>
            </w:pPr>
            <w:r w:rsidRPr="00DA3C6E">
              <w:t>Cochrane Database of Systematic Reviews Issue 10 of 12, October 2019 - 18 records</w:t>
            </w:r>
          </w:p>
          <w:p w14:paraId="590A50FD" w14:textId="77777777" w:rsidR="000B06F3" w:rsidRPr="00DA3C6E" w:rsidRDefault="000B06F3" w:rsidP="0073359F">
            <w:pPr>
              <w:pStyle w:val="Tabletext1"/>
              <w:numPr>
                <w:ilvl w:val="0"/>
                <w:numId w:val="30"/>
              </w:numPr>
            </w:pPr>
            <w:r w:rsidRPr="00DA3C6E">
              <w:t>Cochrane Central Register of Controlled Trials Issue 10 of 12, October 2019 - 48 records</w:t>
            </w:r>
          </w:p>
        </w:tc>
      </w:tr>
    </w:tbl>
    <w:p w14:paraId="3FB49062" w14:textId="77777777" w:rsidR="000B06F3" w:rsidRPr="00DA3C6E" w:rsidRDefault="000B06F3" w:rsidP="003E1B16"/>
    <w:p w14:paraId="0D13CFDA" w14:textId="77777777" w:rsidR="000B06F3" w:rsidRPr="00DA3C6E" w:rsidRDefault="000B06F3" w:rsidP="00DF343F">
      <w:pPr>
        <w:pStyle w:val="Heading1"/>
        <w:sectPr w:rsidR="000B06F3" w:rsidRPr="00DA3C6E" w:rsidSect="00793260">
          <w:headerReference w:type="default" r:id="rId40"/>
          <w:pgSz w:w="11906" w:h="16838"/>
          <w:pgMar w:top="1440" w:right="1440" w:bottom="1440" w:left="1440" w:header="720" w:footer="720" w:gutter="0"/>
          <w:paperSrc w:first="7" w:other="7"/>
          <w:cols w:space="720"/>
          <w:docGrid w:linePitch="299"/>
        </w:sectPr>
      </w:pPr>
    </w:p>
    <w:p w14:paraId="4C19A647" w14:textId="2AEB5B20" w:rsidR="000B06F3" w:rsidRPr="00DA3C6E" w:rsidRDefault="000B06F3" w:rsidP="00DF343F">
      <w:pPr>
        <w:pStyle w:val="Heading1"/>
      </w:pPr>
      <w:bookmarkStart w:id="399" w:name="_Toc37845795"/>
      <w:r w:rsidRPr="00DA3C6E">
        <w:lastRenderedPageBreak/>
        <w:t xml:space="preserve">Appendix </w:t>
      </w:r>
      <w:r w:rsidR="00515153">
        <w:fldChar w:fldCharType="begin"/>
      </w:r>
      <w:r w:rsidR="00515153">
        <w:instrText xml:space="preserve"> SEQ Appendix \* ALPHABETIC </w:instrText>
      </w:r>
      <w:r w:rsidR="00515153">
        <w:fldChar w:fldCharType="separate"/>
      </w:r>
      <w:r w:rsidR="00EA5DC1">
        <w:rPr>
          <w:noProof/>
        </w:rPr>
        <w:t>B</w:t>
      </w:r>
      <w:r w:rsidR="00515153">
        <w:rPr>
          <w:noProof/>
        </w:rPr>
        <w:fldChar w:fldCharType="end"/>
      </w:r>
      <w:r w:rsidRPr="00DA3C6E">
        <w:tab/>
        <w:t>Studies included in the Systematic Review</w:t>
      </w:r>
      <w:bookmarkEnd w:id="399"/>
      <w:r w:rsidRPr="00DA3C6E">
        <w:t xml:space="preserve"> </w:t>
      </w:r>
    </w:p>
    <w:p w14:paraId="0F0CC198" w14:textId="6FFCF890" w:rsidR="000B06F3" w:rsidRPr="00DA3C6E" w:rsidRDefault="000B06F3" w:rsidP="00C60BE0">
      <w:pPr>
        <w:pStyle w:val="Caption"/>
      </w:pPr>
      <w:bookmarkStart w:id="400" w:name="_Ref31197165"/>
      <w:bookmarkStart w:id="401" w:name="_Toc31144662"/>
      <w:bookmarkStart w:id="402" w:name="_Toc37845853"/>
      <w:r w:rsidRPr="00DA3C6E">
        <w:t xml:space="preserve">Table </w:t>
      </w:r>
      <w:r w:rsidR="00515153">
        <w:fldChar w:fldCharType="begin"/>
      </w:r>
      <w:r w:rsidR="00515153">
        <w:instrText xml:space="preserve"> SEQ Table \* ARABIC </w:instrText>
      </w:r>
      <w:r w:rsidR="00515153">
        <w:fldChar w:fldCharType="separate"/>
      </w:r>
      <w:r w:rsidR="00EA5DC1">
        <w:rPr>
          <w:noProof/>
        </w:rPr>
        <w:t>50</w:t>
      </w:r>
      <w:r w:rsidR="00515153">
        <w:rPr>
          <w:noProof/>
        </w:rPr>
        <w:fldChar w:fldCharType="end"/>
      </w:r>
      <w:bookmarkEnd w:id="400"/>
      <w:r w:rsidRPr="00DA3C6E">
        <w:t>. List of included studies</w:t>
      </w:r>
      <w:bookmarkEnd w:id="401"/>
      <w:bookmarkEnd w:id="402"/>
    </w:p>
    <w:tbl>
      <w:tblPr>
        <w:tblStyle w:val="TableGrid"/>
        <w:tblW w:w="0" w:type="auto"/>
        <w:tblLook w:val="04A0" w:firstRow="1" w:lastRow="0" w:firstColumn="1" w:lastColumn="0" w:noHBand="0" w:noVBand="1"/>
        <w:tblCaption w:val="Table 50. List of included studies"/>
      </w:tblPr>
      <w:tblGrid>
        <w:gridCol w:w="1976"/>
        <w:gridCol w:w="5786"/>
        <w:gridCol w:w="6692"/>
        <w:gridCol w:w="672"/>
      </w:tblGrid>
      <w:tr w:rsidR="007C7E04" w:rsidRPr="00DA3C6E" w14:paraId="449DB648" w14:textId="77777777" w:rsidTr="00F02470">
        <w:trPr>
          <w:tblHeader/>
        </w:trPr>
        <w:tc>
          <w:tcPr>
            <w:tcW w:w="1976" w:type="dxa"/>
            <w:vAlign w:val="center"/>
          </w:tcPr>
          <w:p w14:paraId="776BA8DA" w14:textId="77777777" w:rsidR="000B06F3" w:rsidRPr="00DA3C6E" w:rsidRDefault="000B06F3" w:rsidP="00F02470">
            <w:pPr>
              <w:pStyle w:val="Tabletext1"/>
              <w:jc w:val="left"/>
              <w:rPr>
                <w:b/>
              </w:rPr>
            </w:pPr>
            <w:r w:rsidRPr="00DA3C6E">
              <w:rPr>
                <w:b/>
              </w:rPr>
              <w:t>Study ID</w:t>
            </w:r>
          </w:p>
        </w:tc>
        <w:tc>
          <w:tcPr>
            <w:tcW w:w="5786" w:type="dxa"/>
            <w:vAlign w:val="center"/>
          </w:tcPr>
          <w:p w14:paraId="78399BB8" w14:textId="77777777" w:rsidR="000B06F3" w:rsidRPr="00DA3C6E" w:rsidRDefault="000B06F3" w:rsidP="00F02470">
            <w:pPr>
              <w:pStyle w:val="Tabletext1"/>
              <w:jc w:val="left"/>
              <w:rPr>
                <w:b/>
              </w:rPr>
            </w:pPr>
            <w:r w:rsidRPr="00DA3C6E">
              <w:rPr>
                <w:b/>
              </w:rPr>
              <w:t xml:space="preserve">Title </w:t>
            </w:r>
          </w:p>
        </w:tc>
        <w:tc>
          <w:tcPr>
            <w:tcW w:w="6692" w:type="dxa"/>
            <w:vAlign w:val="center"/>
          </w:tcPr>
          <w:p w14:paraId="5517CAAB" w14:textId="77777777" w:rsidR="000B06F3" w:rsidRPr="00DA3C6E" w:rsidRDefault="000B06F3" w:rsidP="00F02470">
            <w:pPr>
              <w:pStyle w:val="Tabletext1"/>
              <w:jc w:val="left"/>
              <w:rPr>
                <w:b/>
              </w:rPr>
            </w:pPr>
            <w:r w:rsidRPr="00DA3C6E">
              <w:rPr>
                <w:b/>
              </w:rPr>
              <w:t>Citation</w:t>
            </w:r>
          </w:p>
        </w:tc>
        <w:tc>
          <w:tcPr>
            <w:tcW w:w="672" w:type="dxa"/>
            <w:vAlign w:val="center"/>
          </w:tcPr>
          <w:p w14:paraId="0CC6E076" w14:textId="77777777" w:rsidR="000B06F3" w:rsidRPr="00DA3C6E" w:rsidRDefault="000B06F3" w:rsidP="00F02470">
            <w:pPr>
              <w:pStyle w:val="Tabletext1"/>
              <w:ind w:left="0"/>
              <w:jc w:val="left"/>
              <w:rPr>
                <w:b/>
              </w:rPr>
            </w:pPr>
            <w:r w:rsidRPr="00DA3C6E">
              <w:rPr>
                <w:b/>
              </w:rPr>
              <w:t xml:space="preserve">Ref. </w:t>
            </w:r>
          </w:p>
        </w:tc>
      </w:tr>
      <w:tr w:rsidR="007C7E04" w:rsidRPr="00DA3C6E" w14:paraId="28A056AD" w14:textId="77777777" w:rsidTr="00F02470">
        <w:tc>
          <w:tcPr>
            <w:tcW w:w="14454" w:type="dxa"/>
            <w:gridSpan w:val="3"/>
            <w:vAlign w:val="center"/>
          </w:tcPr>
          <w:p w14:paraId="7166B076" w14:textId="77777777" w:rsidR="000B06F3" w:rsidRPr="00DA3C6E" w:rsidRDefault="000B06F3" w:rsidP="00F02470">
            <w:pPr>
              <w:pStyle w:val="Tabletext1"/>
              <w:ind w:left="0"/>
              <w:jc w:val="left"/>
              <w:rPr>
                <w:b/>
              </w:rPr>
            </w:pPr>
            <w:r w:rsidRPr="00DA3C6E">
              <w:rPr>
                <w:b/>
              </w:rPr>
              <w:t>Randomised controlled trials</w:t>
            </w:r>
          </w:p>
        </w:tc>
        <w:tc>
          <w:tcPr>
            <w:tcW w:w="672" w:type="dxa"/>
            <w:vAlign w:val="center"/>
          </w:tcPr>
          <w:p w14:paraId="0B8C8393" w14:textId="77777777" w:rsidR="000B06F3" w:rsidRPr="00DA3C6E" w:rsidRDefault="000B06F3" w:rsidP="00F02470">
            <w:pPr>
              <w:pStyle w:val="Tabletext1"/>
              <w:jc w:val="left"/>
              <w:rPr>
                <w:b/>
              </w:rPr>
            </w:pPr>
          </w:p>
        </w:tc>
      </w:tr>
      <w:tr w:rsidR="007C7E04" w:rsidRPr="00DA3C6E" w14:paraId="1767B852" w14:textId="77777777" w:rsidTr="00F02470">
        <w:tc>
          <w:tcPr>
            <w:tcW w:w="1976" w:type="dxa"/>
            <w:vAlign w:val="center"/>
          </w:tcPr>
          <w:p w14:paraId="2A29EE23" w14:textId="500F0222" w:rsidR="000B06F3" w:rsidRPr="00DA3C6E" w:rsidRDefault="000B06F3" w:rsidP="005272C2">
            <w:pPr>
              <w:spacing w:after="0" w:line="240" w:lineRule="auto"/>
              <w:ind w:left="0"/>
              <w:jc w:val="left"/>
              <w:rPr>
                <w:rFonts w:ascii="Arial Narrow" w:hAnsi="Arial Narrow"/>
                <w:sz w:val="20"/>
              </w:rPr>
            </w:pPr>
            <w:r w:rsidRPr="00DA3C6E">
              <w:rPr>
                <w:rFonts w:ascii="Arial Narrow" w:hAnsi="Arial Narrow"/>
                <w:sz w:val="20"/>
              </w:rPr>
              <w:t>Azulay et al. 1994</w:t>
            </w:r>
          </w:p>
        </w:tc>
        <w:tc>
          <w:tcPr>
            <w:tcW w:w="5786" w:type="dxa"/>
            <w:vAlign w:val="center"/>
          </w:tcPr>
          <w:p w14:paraId="25A16C8A" w14:textId="77777777" w:rsidR="000B06F3" w:rsidRPr="00DA3C6E" w:rsidRDefault="000B06F3" w:rsidP="00F02470">
            <w:pPr>
              <w:tabs>
                <w:tab w:val="left" w:pos="2229"/>
              </w:tabs>
              <w:spacing w:after="0" w:line="240" w:lineRule="auto"/>
              <w:ind w:left="0"/>
              <w:jc w:val="left"/>
              <w:rPr>
                <w:rFonts w:ascii="Arial Narrow" w:hAnsi="Arial Narrow"/>
                <w:sz w:val="20"/>
                <w:szCs w:val="20"/>
              </w:rPr>
            </w:pPr>
            <w:r w:rsidRPr="00DA3C6E">
              <w:rPr>
                <w:rFonts w:ascii="Arial Narrow" w:hAnsi="Arial Narrow"/>
                <w:sz w:val="20"/>
                <w:szCs w:val="20"/>
              </w:rPr>
              <w:t>Intravenous immunoglobulin treatment in patients with motor neuron syndromes associated with anti-GM1 antibodies: A double-blind, placebo-controlled study</w:t>
            </w:r>
          </w:p>
        </w:tc>
        <w:tc>
          <w:tcPr>
            <w:tcW w:w="6692" w:type="dxa"/>
            <w:vAlign w:val="center"/>
          </w:tcPr>
          <w:p w14:paraId="3CCDA9F9" w14:textId="77777777" w:rsidR="000B06F3" w:rsidRPr="00DA3C6E" w:rsidRDefault="000B06F3" w:rsidP="00F02470">
            <w:pPr>
              <w:pStyle w:val="Tabletext1"/>
              <w:ind w:left="0"/>
              <w:jc w:val="left"/>
            </w:pPr>
            <w:r w:rsidRPr="00DA3C6E">
              <w:t>Neurology 44: 429-432</w:t>
            </w:r>
          </w:p>
        </w:tc>
        <w:tc>
          <w:tcPr>
            <w:tcW w:w="672" w:type="dxa"/>
            <w:vAlign w:val="center"/>
          </w:tcPr>
          <w:p w14:paraId="38FE8601" w14:textId="69FA32BE" w:rsidR="000B06F3" w:rsidRPr="00DA3C6E" w:rsidRDefault="00DB568A" w:rsidP="00C04BCE">
            <w:pPr>
              <w:pStyle w:val="Tabletext1"/>
              <w:ind w:left="0"/>
              <w:jc w:val="left"/>
            </w:pPr>
            <w:r w:rsidRPr="00DA3C6E">
              <w:fldChar w:fldCharType="begin"/>
            </w:r>
            <w:r w:rsidRPr="00DA3C6E">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Pr="00DA3C6E">
              <w:fldChar w:fldCharType="separate"/>
            </w:r>
            <w:r w:rsidRPr="00DA3C6E">
              <w:rPr>
                <w:noProof/>
              </w:rPr>
              <w:t>(</w:t>
            </w:r>
            <w:hyperlink w:anchor="_ENREF_24" w:tooltip="Azulay, 1994 #4" w:history="1">
              <w:r w:rsidR="00C04BCE" w:rsidRPr="00DA3C6E">
                <w:rPr>
                  <w:noProof/>
                </w:rPr>
                <w:t>24</w:t>
              </w:r>
            </w:hyperlink>
            <w:r w:rsidRPr="00DA3C6E">
              <w:rPr>
                <w:noProof/>
              </w:rPr>
              <w:t>)</w:t>
            </w:r>
            <w:r w:rsidRPr="00DA3C6E">
              <w:fldChar w:fldCharType="end"/>
            </w:r>
          </w:p>
        </w:tc>
      </w:tr>
      <w:tr w:rsidR="007C7E04" w:rsidRPr="00DA3C6E" w14:paraId="77437FBA" w14:textId="77777777" w:rsidTr="00F02470">
        <w:tc>
          <w:tcPr>
            <w:tcW w:w="1976" w:type="dxa"/>
            <w:vAlign w:val="center"/>
          </w:tcPr>
          <w:p w14:paraId="0116E11C" w14:textId="50081513" w:rsidR="000B06F3" w:rsidRPr="00DA3C6E" w:rsidRDefault="00A5773A" w:rsidP="005272C2">
            <w:pPr>
              <w:spacing w:after="0" w:line="240" w:lineRule="auto"/>
              <w:ind w:left="0"/>
              <w:jc w:val="left"/>
              <w:rPr>
                <w:rFonts w:ascii="Arial Narrow" w:hAnsi="Arial Narrow"/>
                <w:sz w:val="20"/>
                <w:lang w:val="es-CL"/>
              </w:rPr>
            </w:pPr>
            <w:r w:rsidRPr="00DA3C6E">
              <w:rPr>
                <w:rFonts w:ascii="Arial Narrow" w:hAnsi="Arial Narrow"/>
                <w:sz w:val="20"/>
                <w:lang w:val="es-CL"/>
              </w:rPr>
              <w:t>V</w:t>
            </w:r>
            <w:r w:rsidR="000B06F3" w:rsidRPr="00DA3C6E">
              <w:rPr>
                <w:rFonts w:ascii="Arial Narrow" w:hAnsi="Arial Narrow"/>
                <w:sz w:val="20"/>
                <w:lang w:val="es-CL"/>
              </w:rPr>
              <w:t>an den Berg et al.  1995</w:t>
            </w:r>
          </w:p>
        </w:tc>
        <w:tc>
          <w:tcPr>
            <w:tcW w:w="5786" w:type="dxa"/>
            <w:vAlign w:val="center"/>
          </w:tcPr>
          <w:p w14:paraId="65C68EF1" w14:textId="77777777" w:rsidR="000B06F3" w:rsidRPr="00DA3C6E" w:rsidRDefault="000B06F3" w:rsidP="00F02470">
            <w:pPr>
              <w:tabs>
                <w:tab w:val="left" w:pos="2229"/>
              </w:tabs>
              <w:spacing w:after="0" w:line="240" w:lineRule="auto"/>
              <w:ind w:left="0"/>
              <w:jc w:val="left"/>
              <w:rPr>
                <w:rFonts w:ascii="Arial Narrow" w:hAnsi="Arial Narrow"/>
                <w:sz w:val="20"/>
                <w:szCs w:val="20"/>
              </w:rPr>
            </w:pPr>
            <w:r w:rsidRPr="00DA3C6E">
              <w:rPr>
                <w:rFonts w:ascii="Arial Narrow" w:hAnsi="Arial Narrow"/>
                <w:sz w:val="20"/>
                <w:szCs w:val="20"/>
              </w:rPr>
              <w:t>Treatment of multifocal motor neuropathy with high dose intravenous immunoglobulins: a double blind, placebo controlled study</w:t>
            </w:r>
          </w:p>
        </w:tc>
        <w:tc>
          <w:tcPr>
            <w:tcW w:w="6692" w:type="dxa"/>
            <w:vAlign w:val="center"/>
          </w:tcPr>
          <w:p w14:paraId="0D668DFE" w14:textId="77777777" w:rsidR="000B06F3" w:rsidRPr="00DA3C6E" w:rsidRDefault="000B06F3" w:rsidP="00F02470">
            <w:pPr>
              <w:pStyle w:val="Tabletext1"/>
              <w:ind w:left="0"/>
              <w:jc w:val="left"/>
            </w:pPr>
            <w:r w:rsidRPr="00DA3C6E">
              <w:t>Journal of Neurology, Neurosurgery, and Psychiatry 59 (3): 248-252</w:t>
            </w:r>
          </w:p>
        </w:tc>
        <w:tc>
          <w:tcPr>
            <w:tcW w:w="672" w:type="dxa"/>
            <w:vAlign w:val="center"/>
          </w:tcPr>
          <w:p w14:paraId="3262116E" w14:textId="0DF464F0" w:rsidR="000B06F3" w:rsidRPr="00DA3C6E" w:rsidRDefault="00DB568A" w:rsidP="00C04BCE">
            <w:pPr>
              <w:pStyle w:val="Tabletext1"/>
              <w:ind w:left="0"/>
              <w:jc w:val="left"/>
            </w:pPr>
            <w:r w:rsidRPr="00DA3C6E">
              <w:fldChar w:fldCharType="begin"/>
            </w:r>
            <w:r w:rsidRPr="00DA3C6E">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Pr="00DA3C6E">
              <w:fldChar w:fldCharType="separate"/>
            </w:r>
            <w:r w:rsidRPr="00DA3C6E">
              <w:rPr>
                <w:noProof/>
              </w:rPr>
              <w:t>(</w:t>
            </w:r>
            <w:hyperlink w:anchor="_ENREF_25" w:tooltip="Van den Berg, 1995 #77" w:history="1">
              <w:r w:rsidR="00C04BCE" w:rsidRPr="00DA3C6E">
                <w:rPr>
                  <w:noProof/>
                </w:rPr>
                <w:t>25</w:t>
              </w:r>
            </w:hyperlink>
            <w:r w:rsidRPr="00DA3C6E">
              <w:rPr>
                <w:noProof/>
              </w:rPr>
              <w:t>)</w:t>
            </w:r>
            <w:r w:rsidRPr="00DA3C6E">
              <w:fldChar w:fldCharType="end"/>
            </w:r>
          </w:p>
        </w:tc>
      </w:tr>
      <w:tr w:rsidR="007C7E04" w:rsidRPr="00DA3C6E" w14:paraId="28729BB9" w14:textId="77777777" w:rsidTr="00F02470">
        <w:tc>
          <w:tcPr>
            <w:tcW w:w="1976" w:type="dxa"/>
            <w:vAlign w:val="center"/>
          </w:tcPr>
          <w:p w14:paraId="7387E972" w14:textId="611D4E45" w:rsidR="000B06F3" w:rsidRPr="00DA3C6E" w:rsidRDefault="000B06F3" w:rsidP="005272C2">
            <w:pPr>
              <w:spacing w:after="0" w:line="240" w:lineRule="auto"/>
              <w:ind w:left="0"/>
              <w:jc w:val="left"/>
              <w:rPr>
                <w:rFonts w:ascii="Arial Narrow" w:hAnsi="Arial Narrow"/>
                <w:sz w:val="20"/>
              </w:rPr>
            </w:pPr>
            <w:r w:rsidRPr="00DA3C6E">
              <w:rPr>
                <w:rFonts w:ascii="Arial Narrow" w:hAnsi="Arial Narrow"/>
                <w:sz w:val="20"/>
              </w:rPr>
              <w:t>Federico et al. 2000</w:t>
            </w:r>
          </w:p>
        </w:tc>
        <w:tc>
          <w:tcPr>
            <w:tcW w:w="5786" w:type="dxa"/>
            <w:vAlign w:val="center"/>
          </w:tcPr>
          <w:p w14:paraId="4013A364" w14:textId="77777777" w:rsidR="000B06F3" w:rsidRPr="00DA3C6E" w:rsidRDefault="000B06F3" w:rsidP="006759DE">
            <w:pPr>
              <w:tabs>
                <w:tab w:val="left" w:pos="2229"/>
              </w:tabs>
              <w:spacing w:after="0" w:line="240" w:lineRule="auto"/>
              <w:ind w:left="0"/>
              <w:jc w:val="left"/>
              <w:rPr>
                <w:rFonts w:ascii="Arial Narrow" w:hAnsi="Arial Narrow"/>
                <w:sz w:val="20"/>
                <w:szCs w:val="20"/>
              </w:rPr>
            </w:pPr>
            <w:r w:rsidRPr="00DA3C6E">
              <w:rPr>
                <w:rFonts w:ascii="Arial Narrow" w:hAnsi="Arial Narrow"/>
                <w:sz w:val="20"/>
                <w:szCs w:val="20"/>
              </w:rPr>
              <w:t>Multifocal motor neuropathy improved by intravenous Ig: Randomised, double-blind, placebo controlled study</w:t>
            </w:r>
          </w:p>
        </w:tc>
        <w:tc>
          <w:tcPr>
            <w:tcW w:w="6692" w:type="dxa"/>
            <w:vAlign w:val="center"/>
          </w:tcPr>
          <w:p w14:paraId="4C6FF93C" w14:textId="77777777" w:rsidR="000B06F3" w:rsidRPr="00DA3C6E" w:rsidRDefault="000B06F3" w:rsidP="00F02470">
            <w:pPr>
              <w:pStyle w:val="Tabletext1"/>
              <w:ind w:left="0"/>
              <w:jc w:val="left"/>
            </w:pPr>
            <w:r w:rsidRPr="00DA3C6E">
              <w:t>Neurology 55 (9): 1256-1262</w:t>
            </w:r>
          </w:p>
        </w:tc>
        <w:tc>
          <w:tcPr>
            <w:tcW w:w="672" w:type="dxa"/>
            <w:vAlign w:val="center"/>
          </w:tcPr>
          <w:p w14:paraId="7EB95EB1" w14:textId="39846518" w:rsidR="000B06F3" w:rsidRPr="00DA3C6E" w:rsidRDefault="00DB568A" w:rsidP="00C04BCE">
            <w:pPr>
              <w:pStyle w:val="Tabletext1"/>
              <w:ind w:left="0"/>
              <w:jc w:val="left"/>
            </w:pPr>
            <w:r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Pr="00DA3C6E">
              <w:instrText xml:space="preserve"> ADDIN EN.CITE </w:instrText>
            </w:r>
            <w:r w:rsidRPr="00DA3C6E">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Pr="00DA3C6E">
              <w:instrText xml:space="preserve"> ADDIN EN.CITE.DATA </w:instrText>
            </w:r>
            <w:r w:rsidRPr="00DA3C6E">
              <w:fldChar w:fldCharType="end"/>
            </w:r>
            <w:r w:rsidRPr="00DA3C6E">
              <w:fldChar w:fldCharType="separate"/>
            </w:r>
            <w:r w:rsidRPr="00DA3C6E">
              <w:rPr>
                <w:noProof/>
              </w:rPr>
              <w:t>(</w:t>
            </w:r>
            <w:hyperlink w:anchor="_ENREF_26" w:tooltip="Federico, 2000 #20" w:history="1">
              <w:r w:rsidR="00C04BCE" w:rsidRPr="00DA3C6E">
                <w:rPr>
                  <w:noProof/>
                </w:rPr>
                <w:t>26</w:t>
              </w:r>
            </w:hyperlink>
            <w:r w:rsidRPr="00DA3C6E">
              <w:rPr>
                <w:noProof/>
              </w:rPr>
              <w:t>)</w:t>
            </w:r>
            <w:r w:rsidRPr="00DA3C6E">
              <w:fldChar w:fldCharType="end"/>
            </w:r>
          </w:p>
        </w:tc>
      </w:tr>
      <w:tr w:rsidR="007C7E04" w:rsidRPr="00DA3C6E" w14:paraId="340B90B4" w14:textId="77777777" w:rsidTr="00F02470">
        <w:tc>
          <w:tcPr>
            <w:tcW w:w="1976" w:type="dxa"/>
            <w:vAlign w:val="center"/>
          </w:tcPr>
          <w:p w14:paraId="4FCCBF94" w14:textId="3C509B23" w:rsidR="000B06F3" w:rsidRPr="00DA3C6E" w:rsidRDefault="000B06F3" w:rsidP="005272C2">
            <w:pPr>
              <w:spacing w:after="0" w:line="240" w:lineRule="auto"/>
              <w:ind w:left="0"/>
              <w:jc w:val="left"/>
              <w:rPr>
                <w:rFonts w:ascii="Arial Narrow" w:hAnsi="Arial Narrow"/>
                <w:sz w:val="20"/>
              </w:rPr>
            </w:pPr>
            <w:r w:rsidRPr="00DA3C6E">
              <w:rPr>
                <w:rFonts w:ascii="Arial Narrow" w:hAnsi="Arial Narrow"/>
                <w:sz w:val="20"/>
              </w:rPr>
              <w:t>Leger et al. 2001</w:t>
            </w:r>
          </w:p>
        </w:tc>
        <w:tc>
          <w:tcPr>
            <w:tcW w:w="5786" w:type="dxa"/>
            <w:vAlign w:val="center"/>
          </w:tcPr>
          <w:p w14:paraId="7CDE7385" w14:textId="77777777" w:rsidR="000B06F3" w:rsidRPr="00DA3C6E" w:rsidRDefault="000B06F3" w:rsidP="00F02470">
            <w:pPr>
              <w:tabs>
                <w:tab w:val="left" w:pos="2229"/>
              </w:tabs>
              <w:spacing w:after="0" w:line="240" w:lineRule="auto"/>
              <w:ind w:left="0"/>
              <w:jc w:val="left"/>
              <w:rPr>
                <w:rFonts w:ascii="Arial Narrow" w:hAnsi="Arial Narrow"/>
                <w:sz w:val="20"/>
                <w:szCs w:val="20"/>
              </w:rPr>
            </w:pPr>
            <w:r w:rsidRPr="00DA3C6E">
              <w:rPr>
                <w:rFonts w:ascii="Arial Narrow" w:hAnsi="Arial Narrow"/>
                <w:sz w:val="20"/>
                <w:szCs w:val="20"/>
              </w:rPr>
              <w:t>Intravenous immunoglobulin treatment in MMN. A double blind, placebo-controlled study</w:t>
            </w:r>
          </w:p>
        </w:tc>
        <w:tc>
          <w:tcPr>
            <w:tcW w:w="6692" w:type="dxa"/>
            <w:vAlign w:val="center"/>
          </w:tcPr>
          <w:p w14:paraId="7D029E96" w14:textId="77777777" w:rsidR="000B06F3" w:rsidRPr="00DA3C6E" w:rsidRDefault="000B06F3" w:rsidP="00F02470">
            <w:pPr>
              <w:pStyle w:val="Tabletext1"/>
              <w:ind w:left="0"/>
              <w:jc w:val="left"/>
            </w:pPr>
            <w:r w:rsidRPr="00DA3C6E">
              <w:t>Brain 124 (1):145-153</w:t>
            </w:r>
          </w:p>
        </w:tc>
        <w:tc>
          <w:tcPr>
            <w:tcW w:w="672" w:type="dxa"/>
            <w:vAlign w:val="center"/>
          </w:tcPr>
          <w:p w14:paraId="688AE8A2" w14:textId="795DDC4D" w:rsidR="000B06F3" w:rsidRPr="00DA3C6E" w:rsidRDefault="00DB568A" w:rsidP="00C04BCE">
            <w:pPr>
              <w:pStyle w:val="Tabletext1"/>
              <w:ind w:left="0"/>
              <w:jc w:val="left"/>
            </w:pPr>
            <w:r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Pr="00DA3C6E">
              <w:instrText xml:space="preserve"> ADDIN EN.CITE </w:instrText>
            </w:r>
            <w:r w:rsidRPr="00DA3C6E">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Pr="00DA3C6E">
              <w:instrText xml:space="preserve"> ADDIN EN.CITE.DATA </w:instrText>
            </w:r>
            <w:r w:rsidRPr="00DA3C6E">
              <w:fldChar w:fldCharType="end"/>
            </w:r>
            <w:r w:rsidRPr="00DA3C6E">
              <w:fldChar w:fldCharType="separate"/>
            </w:r>
            <w:r w:rsidRPr="00DA3C6E">
              <w:rPr>
                <w:noProof/>
              </w:rPr>
              <w:t>(</w:t>
            </w:r>
            <w:hyperlink w:anchor="_ENREF_27" w:tooltip="Leger, 2001 #39" w:history="1">
              <w:r w:rsidR="00C04BCE" w:rsidRPr="00DA3C6E">
                <w:rPr>
                  <w:noProof/>
                </w:rPr>
                <w:t>27</w:t>
              </w:r>
            </w:hyperlink>
            <w:r w:rsidRPr="00DA3C6E">
              <w:rPr>
                <w:noProof/>
              </w:rPr>
              <w:t>)</w:t>
            </w:r>
            <w:r w:rsidRPr="00DA3C6E">
              <w:fldChar w:fldCharType="end"/>
            </w:r>
          </w:p>
        </w:tc>
      </w:tr>
      <w:tr w:rsidR="007C7E04" w:rsidRPr="00DA3C6E" w14:paraId="0B6B6CE9" w14:textId="77777777" w:rsidTr="00F02470">
        <w:tc>
          <w:tcPr>
            <w:tcW w:w="1976" w:type="dxa"/>
            <w:vAlign w:val="center"/>
          </w:tcPr>
          <w:p w14:paraId="3ABB1AEA" w14:textId="22036F83" w:rsidR="000B06F3" w:rsidRPr="00DA3C6E" w:rsidRDefault="000B06F3" w:rsidP="005272C2">
            <w:pPr>
              <w:spacing w:after="0" w:line="240" w:lineRule="auto"/>
              <w:ind w:left="0"/>
              <w:jc w:val="left"/>
              <w:rPr>
                <w:rFonts w:ascii="Arial Narrow" w:hAnsi="Arial Narrow"/>
                <w:sz w:val="20"/>
              </w:rPr>
            </w:pPr>
            <w:r w:rsidRPr="00DA3C6E">
              <w:rPr>
                <w:rFonts w:ascii="Arial Narrow" w:hAnsi="Arial Narrow"/>
                <w:sz w:val="20"/>
              </w:rPr>
              <w:t>Hahn et al. 2013</w:t>
            </w:r>
          </w:p>
        </w:tc>
        <w:tc>
          <w:tcPr>
            <w:tcW w:w="5786" w:type="dxa"/>
            <w:vAlign w:val="center"/>
          </w:tcPr>
          <w:p w14:paraId="37044E76" w14:textId="77777777" w:rsidR="000B06F3" w:rsidRPr="00DA3C6E" w:rsidRDefault="000B06F3" w:rsidP="00F02470">
            <w:pPr>
              <w:tabs>
                <w:tab w:val="left" w:pos="2229"/>
              </w:tabs>
              <w:spacing w:after="0" w:line="240" w:lineRule="auto"/>
              <w:ind w:left="0"/>
              <w:jc w:val="left"/>
              <w:rPr>
                <w:rFonts w:ascii="Arial Narrow" w:hAnsi="Arial Narrow"/>
                <w:sz w:val="20"/>
                <w:szCs w:val="20"/>
              </w:rPr>
            </w:pPr>
            <w:r w:rsidRPr="00DA3C6E">
              <w:rPr>
                <w:rFonts w:ascii="Arial Narrow" w:hAnsi="Arial Narrow"/>
                <w:sz w:val="20"/>
                <w:szCs w:val="20"/>
              </w:rPr>
              <w:t>A controlled trial of intravenous immunoglobulin in multifocal motor neuropathy</w:t>
            </w:r>
          </w:p>
        </w:tc>
        <w:tc>
          <w:tcPr>
            <w:tcW w:w="6692" w:type="dxa"/>
            <w:vAlign w:val="center"/>
          </w:tcPr>
          <w:p w14:paraId="3B42DB56" w14:textId="77777777" w:rsidR="000B06F3" w:rsidRPr="00DA3C6E" w:rsidRDefault="000B06F3" w:rsidP="00F02470">
            <w:pPr>
              <w:pStyle w:val="Tabletext1"/>
              <w:ind w:left="0"/>
              <w:jc w:val="left"/>
            </w:pPr>
            <w:r w:rsidRPr="00DA3C6E">
              <w:t>Journal of Peripheral Nervous System 18 (4): 321-330</w:t>
            </w:r>
          </w:p>
        </w:tc>
        <w:tc>
          <w:tcPr>
            <w:tcW w:w="672" w:type="dxa"/>
            <w:vAlign w:val="center"/>
          </w:tcPr>
          <w:p w14:paraId="0EE53D40" w14:textId="45289E2D" w:rsidR="000B06F3" w:rsidRPr="00DA3C6E" w:rsidRDefault="00DB568A" w:rsidP="00C04BCE">
            <w:pPr>
              <w:pStyle w:val="Tabletext1"/>
              <w:ind w:left="0"/>
              <w:jc w:val="left"/>
            </w:pPr>
            <w:r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Pr="00DA3C6E">
              <w:instrText xml:space="preserve"> ADDIN EN.CITE </w:instrText>
            </w:r>
            <w:r w:rsidRPr="00DA3C6E">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Pr="00DA3C6E">
              <w:instrText xml:space="preserve"> ADDIN EN.CITE.DATA </w:instrText>
            </w:r>
            <w:r w:rsidRPr="00DA3C6E">
              <w:fldChar w:fldCharType="end"/>
            </w:r>
            <w:r w:rsidRPr="00DA3C6E">
              <w:fldChar w:fldCharType="separate"/>
            </w:r>
            <w:r w:rsidRPr="00DA3C6E">
              <w:rPr>
                <w:noProof/>
              </w:rPr>
              <w:t>(</w:t>
            </w:r>
            <w:hyperlink w:anchor="_ENREF_28" w:tooltip="Hahn, 2013 #26" w:history="1">
              <w:r w:rsidR="00C04BCE" w:rsidRPr="00DA3C6E">
                <w:rPr>
                  <w:noProof/>
                </w:rPr>
                <w:t>28</w:t>
              </w:r>
            </w:hyperlink>
            <w:r w:rsidRPr="00DA3C6E">
              <w:rPr>
                <w:noProof/>
              </w:rPr>
              <w:t>)</w:t>
            </w:r>
            <w:r w:rsidRPr="00DA3C6E">
              <w:fldChar w:fldCharType="end"/>
            </w:r>
          </w:p>
        </w:tc>
      </w:tr>
      <w:tr w:rsidR="007C7E04" w:rsidRPr="00DA3C6E" w14:paraId="6FDD4BC7" w14:textId="77777777" w:rsidTr="00F02470">
        <w:tc>
          <w:tcPr>
            <w:tcW w:w="14454" w:type="dxa"/>
            <w:gridSpan w:val="3"/>
            <w:shd w:val="clear" w:color="auto" w:fill="auto"/>
            <w:vAlign w:val="center"/>
          </w:tcPr>
          <w:p w14:paraId="333DE403" w14:textId="77777777" w:rsidR="000B06F3" w:rsidRPr="00DA3C6E" w:rsidRDefault="000B06F3" w:rsidP="00F02470">
            <w:pPr>
              <w:pStyle w:val="Tabletext1"/>
              <w:ind w:left="0"/>
              <w:jc w:val="left"/>
              <w:rPr>
                <w:b/>
              </w:rPr>
            </w:pPr>
            <w:r w:rsidRPr="00DA3C6E">
              <w:rPr>
                <w:b/>
              </w:rPr>
              <w:t xml:space="preserve">Non-randomised single arm studies </w:t>
            </w:r>
          </w:p>
        </w:tc>
        <w:tc>
          <w:tcPr>
            <w:tcW w:w="672" w:type="dxa"/>
            <w:vAlign w:val="center"/>
          </w:tcPr>
          <w:p w14:paraId="686117DC" w14:textId="77777777" w:rsidR="000B06F3" w:rsidRPr="00DA3C6E" w:rsidRDefault="000B06F3" w:rsidP="00F02470">
            <w:pPr>
              <w:pStyle w:val="Tabletext1"/>
              <w:jc w:val="left"/>
              <w:rPr>
                <w:b/>
              </w:rPr>
            </w:pPr>
          </w:p>
        </w:tc>
      </w:tr>
      <w:tr w:rsidR="007C7E04" w:rsidRPr="00DA3C6E" w14:paraId="5EED8C8A" w14:textId="77777777" w:rsidTr="00F02470">
        <w:tc>
          <w:tcPr>
            <w:tcW w:w="1976" w:type="dxa"/>
            <w:vAlign w:val="center"/>
          </w:tcPr>
          <w:p w14:paraId="17B110F9" w14:textId="76A4D2D8" w:rsidR="000B06F3" w:rsidRPr="00DA3C6E" w:rsidRDefault="000B06F3" w:rsidP="00F02470">
            <w:pPr>
              <w:pStyle w:val="Tabletext1"/>
              <w:ind w:left="0"/>
              <w:jc w:val="left"/>
            </w:pPr>
            <w:r w:rsidRPr="00DA3C6E">
              <w:t>Chaudrhy et al</w:t>
            </w:r>
            <w:r w:rsidR="00A5773A" w:rsidRPr="00DA3C6E">
              <w:t>.</w:t>
            </w:r>
            <w:r w:rsidRPr="00DA3C6E">
              <w:t xml:space="preserve"> 1993</w:t>
            </w:r>
          </w:p>
        </w:tc>
        <w:tc>
          <w:tcPr>
            <w:tcW w:w="5786" w:type="dxa"/>
            <w:vAlign w:val="center"/>
          </w:tcPr>
          <w:p w14:paraId="7EE4E7B6" w14:textId="77777777" w:rsidR="000B06F3" w:rsidRPr="00DA3C6E" w:rsidRDefault="000B06F3" w:rsidP="00F02470">
            <w:pPr>
              <w:pStyle w:val="Tabletext1"/>
              <w:ind w:left="0"/>
              <w:jc w:val="left"/>
            </w:pPr>
            <w:r w:rsidRPr="00DA3C6E">
              <w:t>Multifocal motor neuropathy: response to human immunoglobulin</w:t>
            </w:r>
          </w:p>
        </w:tc>
        <w:tc>
          <w:tcPr>
            <w:tcW w:w="6692" w:type="dxa"/>
            <w:vAlign w:val="center"/>
          </w:tcPr>
          <w:p w14:paraId="2E9A275B" w14:textId="77777777" w:rsidR="000B06F3" w:rsidRPr="00DA3C6E" w:rsidRDefault="000B06F3" w:rsidP="00F02470">
            <w:pPr>
              <w:pStyle w:val="Tabletext1"/>
              <w:ind w:left="0"/>
              <w:jc w:val="left"/>
            </w:pPr>
            <w:r w:rsidRPr="00DA3C6E">
              <w:t>Annals of Neurology;33:237-242</w:t>
            </w:r>
          </w:p>
        </w:tc>
        <w:tc>
          <w:tcPr>
            <w:tcW w:w="672" w:type="dxa"/>
            <w:vAlign w:val="center"/>
          </w:tcPr>
          <w:p w14:paraId="6AE499CF" w14:textId="7D893EED" w:rsidR="000B06F3" w:rsidRPr="00DA3C6E" w:rsidRDefault="00DB568A" w:rsidP="00C04BCE">
            <w:pPr>
              <w:pStyle w:val="Tabletext1"/>
              <w:ind w:left="0"/>
              <w:jc w:val="left"/>
            </w:pPr>
            <w:r w:rsidRPr="00DA3C6E">
              <w:fldChar w:fldCharType="begin"/>
            </w:r>
            <w:r w:rsidRPr="00DA3C6E">
              <w:instrText xml:space="preserve"> ADDIN EN.CITE &lt;EndNote&gt;&lt;Cite&gt;&lt;Author&gt;Chaudhry&lt;/Author&gt;&lt;Year&gt;1993&lt;/Year&gt;&lt;RecNum&gt;14&lt;/RecNum&gt;&lt;DisplayText&gt;(22)&lt;/DisplayText&gt;&lt;record&gt;&lt;rec-number&gt;14&lt;/rec-number&gt;&lt;foreign-keys&gt;&lt;key app="EN" db-id="0992p2ztn5fez9e2wvnpw2xstd20f9w2dezz" timestamp="1586818281"&gt;14&lt;/key&gt;&lt;/foreign-keys&gt;&lt;ref-type name="Journal Article"&gt;17&lt;/ref-type&gt;&lt;contributors&gt;&lt;authors&gt;&lt;author&gt;Chaudhry, V.&lt;/author&gt;&lt;author&gt;Corse, A. M.&lt;/author&gt;&lt;author&gt;Cornblath, D. R.&lt;/author&gt;&lt;author&gt;Kuncl, R. W.&lt;/author&gt;&lt;author&gt;Drachman, D. B.&lt;/author&gt;&lt;author&gt;Freimer, M. L.&lt;/author&gt;&lt;author&gt;Miller, R. G.&lt;/author&gt;&lt;author&gt;Griffin, J. W.&lt;/author&gt;&lt;/authors&gt;&lt;/contributors&gt;&lt;auth-address&gt;Department of Neurology, Johns Hopkins University School of Medicine, Baltimore, MD.&lt;/auth-address&gt;&lt;titles&gt;&lt;title&gt;Multifocal motor neuropathy: response to human immune globulin&lt;/title&gt;&lt;secondary-title&gt;Ann Neurol&lt;/secondary-title&gt;&lt;/titles&gt;&lt;periodical&gt;&lt;full-title&gt;Ann Neurol&lt;/full-title&gt;&lt;/periodical&gt;&lt;pages&gt;237-42&lt;/pages&gt;&lt;volume&gt;33&lt;/volume&gt;&lt;number&gt;3&lt;/number&gt;&lt;keywords&gt;&lt;keyword&gt;Adult&lt;/keyword&gt;&lt;keyword&gt;Cyclophosphamide/therapeutic use&lt;/keyword&gt;&lt;keyword&gt;Electrophysiology&lt;/keyword&gt;&lt;keyword&gt;Female&lt;/keyword&gt;&lt;keyword&gt;Humans&lt;/keyword&gt;&lt;keyword&gt;Immunoglobulins, Intravenous&lt;/keyword&gt;&lt;keyword&gt;Male&lt;/keyword&gt;&lt;keyword&gt;Middle Aged&lt;/keyword&gt;&lt;keyword&gt;Muscles/physiopathology&lt;/keyword&gt;&lt;keyword&gt;Neuromuscular Diseases/physiopathology/ therapy&lt;/keyword&gt;&lt;/keywords&gt;&lt;dates&gt;&lt;year&gt;1993&lt;/year&gt;&lt;pub-dates&gt;&lt;date&gt;Mar&lt;/date&gt;&lt;/pub-dates&gt;&lt;/dates&gt;&lt;accession-num&gt;8498806&lt;/accession-num&gt;&lt;urls&gt;&lt;related-urls&gt;&lt;url&gt;https://onlinelibrary.wiley.com/doi/abs/10.1002/ana.410330303?sid=nlm%3Apubmed&lt;/url&gt;&lt;/related-urls&gt;&lt;/urls&gt;&lt;research-notes&gt;B. Included 9 patients with MMN&lt;/research-notes&gt;&lt;/record&gt;&lt;/Cite&gt;&lt;/EndNote&gt;</w:instrText>
            </w:r>
            <w:r w:rsidRPr="00DA3C6E">
              <w:fldChar w:fldCharType="separate"/>
            </w:r>
            <w:r w:rsidRPr="00DA3C6E">
              <w:rPr>
                <w:noProof/>
              </w:rPr>
              <w:t>(</w:t>
            </w:r>
            <w:hyperlink w:anchor="_ENREF_22" w:tooltip="Chaudhry, 1993 #14" w:history="1">
              <w:r w:rsidR="00C04BCE" w:rsidRPr="00DA3C6E">
                <w:rPr>
                  <w:noProof/>
                </w:rPr>
                <w:t>22</w:t>
              </w:r>
            </w:hyperlink>
            <w:r w:rsidRPr="00DA3C6E">
              <w:rPr>
                <w:noProof/>
              </w:rPr>
              <w:t>)</w:t>
            </w:r>
            <w:r w:rsidRPr="00DA3C6E">
              <w:fldChar w:fldCharType="end"/>
            </w:r>
          </w:p>
        </w:tc>
      </w:tr>
      <w:tr w:rsidR="007C7E04" w:rsidRPr="00DA3C6E" w14:paraId="1114DF69" w14:textId="77777777" w:rsidTr="00F02470">
        <w:tc>
          <w:tcPr>
            <w:tcW w:w="1976" w:type="dxa"/>
            <w:vAlign w:val="center"/>
          </w:tcPr>
          <w:p w14:paraId="5A356B2A" w14:textId="52FFCF9A" w:rsidR="000B06F3" w:rsidRPr="00DA3C6E" w:rsidRDefault="000B06F3" w:rsidP="005272C2">
            <w:pPr>
              <w:pStyle w:val="Tabletext1"/>
              <w:ind w:left="0"/>
              <w:jc w:val="left"/>
            </w:pPr>
            <w:r w:rsidRPr="00DA3C6E">
              <w:t>Nobile-Orazio et al</w:t>
            </w:r>
            <w:r w:rsidR="00A5773A" w:rsidRPr="00DA3C6E">
              <w:t>.</w:t>
            </w:r>
            <w:r w:rsidRPr="00DA3C6E">
              <w:t xml:space="preserve"> 1993</w:t>
            </w:r>
          </w:p>
        </w:tc>
        <w:tc>
          <w:tcPr>
            <w:tcW w:w="5786" w:type="dxa"/>
            <w:vAlign w:val="center"/>
          </w:tcPr>
          <w:p w14:paraId="4E5D0CB7" w14:textId="77777777" w:rsidR="000B06F3" w:rsidRPr="00DA3C6E" w:rsidRDefault="000B06F3" w:rsidP="00F02470">
            <w:pPr>
              <w:pStyle w:val="Tabletext1"/>
              <w:ind w:left="0"/>
              <w:jc w:val="left"/>
            </w:pPr>
            <w:r w:rsidRPr="00DA3C6E">
              <w:t>High-dose intravenous immunoglobulin therapy in multifocal motor neuropathy</w:t>
            </w:r>
          </w:p>
        </w:tc>
        <w:tc>
          <w:tcPr>
            <w:tcW w:w="6692" w:type="dxa"/>
            <w:vAlign w:val="center"/>
          </w:tcPr>
          <w:p w14:paraId="62BD95E1" w14:textId="77777777" w:rsidR="000B06F3" w:rsidRPr="00DA3C6E" w:rsidRDefault="000B06F3" w:rsidP="00F02470">
            <w:pPr>
              <w:pStyle w:val="Tabletext1"/>
              <w:ind w:left="0"/>
              <w:jc w:val="left"/>
            </w:pPr>
            <w:r w:rsidRPr="00DA3C6E">
              <w:t>Neurology 43:537-54</w:t>
            </w:r>
          </w:p>
        </w:tc>
        <w:tc>
          <w:tcPr>
            <w:tcW w:w="672" w:type="dxa"/>
            <w:vAlign w:val="center"/>
          </w:tcPr>
          <w:p w14:paraId="1E2BCAEE" w14:textId="25D85DC6" w:rsidR="000B06F3" w:rsidRPr="00DA3C6E" w:rsidRDefault="00DB568A" w:rsidP="00C04BCE">
            <w:pPr>
              <w:pStyle w:val="Tabletext1"/>
              <w:ind w:left="0"/>
              <w:jc w:val="left"/>
            </w:pPr>
            <w:r w:rsidRPr="00DA3C6E">
              <w:fldChar w:fldCharType="begin"/>
            </w:r>
            <w:r w:rsidRPr="00DA3C6E">
              <w:instrText xml:space="preserve"> ADDIN EN.CITE &lt;EndNote&gt;&lt;Cite&gt;&lt;Author&gt;Nobile-Orazio&lt;/Author&gt;&lt;Year&gt;1993&lt;/Year&gt;&lt;RecNum&gt;51&lt;/RecNum&gt;&lt;DisplayText&gt;(36)&lt;/DisplayText&gt;&lt;record&gt;&lt;rec-number&gt;51&lt;/rec-number&gt;&lt;foreign-keys&gt;&lt;key app="EN" db-id="0992p2ztn5fez9e2wvnpw2xstd20f9w2dezz" timestamp="1586818281"&gt;51&lt;/key&gt;&lt;/foreign-keys&gt;&lt;ref-type name="Journal Article"&gt;17&lt;/ref-type&gt;&lt;contributors&gt;&lt;authors&gt;&lt;author&gt;Nobile-Orazio, E.&lt;/author&gt;&lt;author&gt;Meucci, N.&lt;/author&gt;&lt;author&gt;Barbieri, S.&lt;/author&gt;&lt;author&gt;Carpo, M.&lt;/author&gt;&lt;author&gt;Scarlato, G.&lt;/author&gt;&lt;/authors&gt;&lt;/contributors&gt;&lt;auth-address&gt;Institute of Clinical Neurology, Centro Dino Ferrari, University of Milan, Ospedale Maggiore-Policlinico, Italy.&lt;/auth-address&gt;&lt;titles&gt;&lt;title&gt;High-dose intravenous immunoglobulin therapy in multifocal motor neuropathy&lt;/title&gt;&lt;secondary-title&gt;Neurology&lt;/secondary-title&gt;&lt;/titles&gt;&lt;periodical&gt;&lt;full-title&gt;Neurology&lt;/full-title&gt;&lt;/periodical&gt;&lt;pages&gt;537-44&lt;/pages&gt;&lt;volume&gt;43&lt;/volume&gt;&lt;number&gt;3 Pt 1&lt;/number&gt;&lt;keywords&gt;&lt;keyword&gt;Adult&lt;/keyword&gt;&lt;keyword&gt;Autoantibodies/analysis&lt;/keyword&gt;&lt;keyword&gt;Female&lt;/keyword&gt;&lt;keyword&gt;G(M1) Ganglioside/analysis/immunology&lt;/keyword&gt;&lt;keyword&gt;Humans&lt;/keyword&gt;&lt;keyword&gt;Immunoglobulin M/analysis&lt;/keyword&gt;&lt;keyword&gt;Immunoglobulins, Intravenous/ administration &amp;amp; dosage&lt;/keyword&gt;&lt;keyword&gt;Male&lt;/keyword&gt;&lt;keyword&gt;Middle Aged&lt;/keyword&gt;&lt;keyword&gt;Motor Neuron Disease/blood/immunology/physiopathology/ therapy&lt;/keyword&gt;&lt;keyword&gt;Neural Conduction&lt;/keyword&gt;&lt;/keywords&gt;&lt;dates&gt;&lt;year&gt;1993&lt;/year&gt;&lt;pub-dates&gt;&lt;date&gt;Mar&lt;/date&gt;&lt;/pub-dates&gt;&lt;/dates&gt;&lt;accession-num&gt;8450997&lt;/accession-num&gt;&lt;urls&gt;&lt;/urls&gt;&lt;research-notes&gt;B. 5 patients with MMN&lt;/research-notes&gt;&lt;/record&gt;&lt;/Cite&gt;&lt;/EndNote&gt;</w:instrText>
            </w:r>
            <w:r w:rsidRPr="00DA3C6E">
              <w:fldChar w:fldCharType="separate"/>
            </w:r>
            <w:r w:rsidRPr="00DA3C6E">
              <w:rPr>
                <w:noProof/>
              </w:rPr>
              <w:t>(</w:t>
            </w:r>
            <w:hyperlink w:anchor="_ENREF_36" w:tooltip="Nobile-Orazio, 1993 #51" w:history="1">
              <w:r w:rsidR="00C04BCE" w:rsidRPr="00DA3C6E">
                <w:rPr>
                  <w:noProof/>
                </w:rPr>
                <w:t>36</w:t>
              </w:r>
            </w:hyperlink>
            <w:r w:rsidRPr="00DA3C6E">
              <w:rPr>
                <w:noProof/>
              </w:rPr>
              <w:t>)</w:t>
            </w:r>
            <w:r w:rsidRPr="00DA3C6E">
              <w:fldChar w:fldCharType="end"/>
            </w:r>
          </w:p>
        </w:tc>
      </w:tr>
      <w:tr w:rsidR="007C7E04" w:rsidRPr="00DA3C6E" w14:paraId="176BAAE6" w14:textId="77777777" w:rsidTr="00F02470">
        <w:tc>
          <w:tcPr>
            <w:tcW w:w="1976" w:type="dxa"/>
            <w:vAlign w:val="center"/>
          </w:tcPr>
          <w:p w14:paraId="68CB758A" w14:textId="3ACC3491" w:rsidR="000B06F3" w:rsidRPr="00DA3C6E" w:rsidRDefault="000B06F3" w:rsidP="005272C2">
            <w:pPr>
              <w:pStyle w:val="Tabletext1"/>
              <w:ind w:left="0"/>
              <w:jc w:val="left"/>
            </w:pPr>
            <w:r w:rsidRPr="00DA3C6E">
              <w:t>Leger et al</w:t>
            </w:r>
            <w:r w:rsidR="00A5773A" w:rsidRPr="00DA3C6E">
              <w:t>.</w:t>
            </w:r>
            <w:r w:rsidRPr="00DA3C6E">
              <w:t xml:space="preserve"> 1994</w:t>
            </w:r>
          </w:p>
        </w:tc>
        <w:tc>
          <w:tcPr>
            <w:tcW w:w="5786" w:type="dxa"/>
            <w:vAlign w:val="center"/>
          </w:tcPr>
          <w:p w14:paraId="60692A63" w14:textId="77777777" w:rsidR="000B06F3" w:rsidRPr="00DA3C6E" w:rsidRDefault="000B06F3" w:rsidP="00F02470">
            <w:pPr>
              <w:pStyle w:val="Tabletext1"/>
              <w:ind w:left="0"/>
              <w:jc w:val="left"/>
            </w:pPr>
            <w:r w:rsidRPr="00DA3C6E">
              <w:t>Human immunoglobulin treatment of multifocal motor neuropathy and polyneuropathy associated with monoclonal gammopathy</w:t>
            </w:r>
          </w:p>
        </w:tc>
        <w:tc>
          <w:tcPr>
            <w:tcW w:w="6692" w:type="dxa"/>
            <w:vAlign w:val="center"/>
          </w:tcPr>
          <w:p w14:paraId="3D8C1073" w14:textId="77777777" w:rsidR="000B06F3" w:rsidRPr="00DA3C6E" w:rsidRDefault="000B06F3">
            <w:pPr>
              <w:pStyle w:val="Tabletext1"/>
              <w:ind w:left="0"/>
              <w:jc w:val="left"/>
            </w:pPr>
            <w:r w:rsidRPr="00DA3C6E">
              <w:t>Journal of Neurology Neurosurgery and Psychiatry 57 (Supplement):46-49</w:t>
            </w:r>
          </w:p>
        </w:tc>
        <w:tc>
          <w:tcPr>
            <w:tcW w:w="672" w:type="dxa"/>
            <w:vAlign w:val="center"/>
          </w:tcPr>
          <w:p w14:paraId="415FE89D" w14:textId="36F28A64" w:rsidR="000B06F3" w:rsidRPr="00DA3C6E" w:rsidRDefault="00DB568A" w:rsidP="00C04BCE">
            <w:pPr>
              <w:pStyle w:val="Tabletext1"/>
              <w:ind w:left="0"/>
              <w:jc w:val="left"/>
            </w:pPr>
            <w:r w:rsidRPr="00DA3C6E">
              <w:fldChar w:fldCharType="begin">
                <w:fldData xml:space="preserve">PEVuZE5vdGU+PENpdGU+PEF1dGhvcj5MZWdlcjwvQXV0aG9yPjxZZWFyPjE5OTQ8L1llYXI+PFJl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</w:fldData>
              </w:fldChar>
            </w:r>
            <w:r w:rsidR="007810D6">
              <w:instrText xml:space="preserve"> ADDIN EN.CITE </w:instrText>
            </w:r>
            <w:r w:rsidR="007810D6">
              <w:fldChar w:fldCharType="begin">
                <w:fldData xml:space="preserve">PEVuZE5vdGU+PENpdGU+PEF1dGhvcj5MZWdlcjwvQXV0aG9yPjxZZWFyPjE5OTQ8L1llYXI+PFJl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</w:fldData>
              </w:fldChar>
            </w:r>
            <w:r w:rsidR="007810D6">
              <w:instrText xml:space="preserve"> ADDIN EN.CITE.DATA </w:instrText>
            </w:r>
            <w:r w:rsidR="007810D6">
              <w:fldChar w:fldCharType="end"/>
            </w:r>
            <w:r w:rsidRPr="00DA3C6E">
              <w:fldChar w:fldCharType="separate"/>
            </w:r>
            <w:r w:rsidR="007810D6">
              <w:rPr>
                <w:noProof/>
              </w:rPr>
              <w:t>(</w:t>
            </w:r>
            <w:hyperlink w:anchor="_ENREF_68" w:tooltip="Leger, 1994 #41" w:history="1">
              <w:r w:rsidR="00C04BCE">
                <w:rPr>
                  <w:noProof/>
                </w:rPr>
                <w:t>68</w:t>
              </w:r>
            </w:hyperlink>
            <w:r w:rsidR="007810D6">
              <w:rPr>
                <w:noProof/>
              </w:rPr>
              <w:t>)</w:t>
            </w:r>
            <w:r w:rsidRPr="00DA3C6E">
              <w:fldChar w:fldCharType="end"/>
            </w:r>
          </w:p>
        </w:tc>
      </w:tr>
      <w:tr w:rsidR="007C7E04" w:rsidRPr="00DA3C6E" w14:paraId="6714DB00" w14:textId="77777777" w:rsidTr="00F02470">
        <w:tc>
          <w:tcPr>
            <w:tcW w:w="1976" w:type="dxa"/>
            <w:vAlign w:val="center"/>
          </w:tcPr>
          <w:p w14:paraId="1888078F" w14:textId="4E249D0E" w:rsidR="000B06F3" w:rsidRPr="00DA3C6E" w:rsidRDefault="000B06F3" w:rsidP="005272C2">
            <w:pPr>
              <w:pStyle w:val="Tabletext1"/>
              <w:ind w:left="0"/>
              <w:jc w:val="left"/>
            </w:pPr>
            <w:r w:rsidRPr="00DA3C6E">
              <w:t>Comi et al</w:t>
            </w:r>
            <w:r w:rsidR="00A5773A" w:rsidRPr="00DA3C6E">
              <w:t>.</w:t>
            </w:r>
            <w:r w:rsidRPr="00DA3C6E">
              <w:t xml:space="preserve"> 1994</w:t>
            </w:r>
          </w:p>
        </w:tc>
        <w:tc>
          <w:tcPr>
            <w:tcW w:w="5786" w:type="dxa"/>
            <w:vAlign w:val="center"/>
          </w:tcPr>
          <w:p w14:paraId="3596AFCC" w14:textId="77777777" w:rsidR="000B06F3" w:rsidRPr="00DA3C6E" w:rsidRDefault="000B06F3" w:rsidP="00F02470">
            <w:pPr>
              <w:pStyle w:val="Tabletext1"/>
              <w:ind w:left="0"/>
              <w:jc w:val="left"/>
            </w:pPr>
            <w:r w:rsidRPr="00DA3C6E">
              <w:t>Clinical and neurophysiological assessment of immunoglobulin therapy in five patients with multifocal motor neuropathy</w:t>
            </w:r>
          </w:p>
        </w:tc>
        <w:tc>
          <w:tcPr>
            <w:tcW w:w="6692" w:type="dxa"/>
            <w:vAlign w:val="center"/>
          </w:tcPr>
          <w:p w14:paraId="70E2FD72" w14:textId="77777777" w:rsidR="000B06F3" w:rsidRPr="00DA3C6E" w:rsidRDefault="000B06F3">
            <w:pPr>
              <w:pStyle w:val="Tabletext1"/>
              <w:ind w:left="0"/>
              <w:jc w:val="left"/>
            </w:pPr>
            <w:r w:rsidRPr="00DA3C6E">
              <w:t>Journal of Neurology, Neurosurgery, and Psychiatry; 57 (Supplement):35-37</w:t>
            </w:r>
          </w:p>
        </w:tc>
        <w:tc>
          <w:tcPr>
            <w:tcW w:w="672" w:type="dxa"/>
            <w:vAlign w:val="center"/>
          </w:tcPr>
          <w:p w14:paraId="4F220489" w14:textId="094A2DA5" w:rsidR="000B06F3" w:rsidRPr="00DA3C6E" w:rsidRDefault="00DB568A" w:rsidP="00C04BCE">
            <w:pPr>
              <w:pStyle w:val="Tabletext1"/>
              <w:ind w:left="0"/>
              <w:jc w:val="left"/>
            </w:pPr>
            <w:r w:rsidRPr="00DA3C6E">
              <w:fldChar w:fldCharType="begin">
                <w:fldData xml:space="preserve">PEVuZE5vdGU+PENpdGU+PEF1dGhvcj5Db21pPC9BdXRob3I+PFllYXI+MTk5NDwvWWVhcj48UmVj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==
</w:fldData>
              </w:fldChar>
            </w:r>
            <w:r w:rsidR="007810D6">
              <w:instrText xml:space="preserve"> ADDIN EN.CITE </w:instrText>
            </w:r>
            <w:r w:rsidR="007810D6">
              <w:fldChar w:fldCharType="begin">
                <w:fldData xml:space="preserve">PEVuZE5vdGU+PENpdGU+PEF1dGhvcj5Db21pPC9BdXRob3I+PFllYXI+MTk5NDwvWWVhcj48UmVj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==
</w:fldData>
              </w:fldChar>
            </w:r>
            <w:r w:rsidR="007810D6">
              <w:instrText xml:space="preserve"> ADDIN EN.CITE.DATA </w:instrText>
            </w:r>
            <w:r w:rsidR="007810D6">
              <w:fldChar w:fldCharType="end"/>
            </w:r>
            <w:r w:rsidRPr="00DA3C6E">
              <w:fldChar w:fldCharType="separate"/>
            </w:r>
            <w:r w:rsidR="007810D6">
              <w:rPr>
                <w:noProof/>
              </w:rPr>
              <w:t>(</w:t>
            </w:r>
            <w:hyperlink w:anchor="_ENREF_69" w:tooltip="Comi, 1994 #16" w:history="1">
              <w:r w:rsidR="00C04BCE">
                <w:rPr>
                  <w:noProof/>
                </w:rPr>
                <w:t>69</w:t>
              </w:r>
            </w:hyperlink>
            <w:r w:rsidR="007810D6">
              <w:rPr>
                <w:noProof/>
              </w:rPr>
              <w:t>)</w:t>
            </w:r>
            <w:r w:rsidRPr="00DA3C6E">
              <w:fldChar w:fldCharType="end"/>
            </w:r>
          </w:p>
        </w:tc>
      </w:tr>
      <w:tr w:rsidR="007C7E04" w:rsidRPr="00DA3C6E" w14:paraId="414F17C4" w14:textId="77777777" w:rsidTr="00F02470">
        <w:tc>
          <w:tcPr>
            <w:tcW w:w="1976" w:type="dxa"/>
            <w:vAlign w:val="center"/>
          </w:tcPr>
          <w:p w14:paraId="26228A09" w14:textId="2F7CEA63" w:rsidR="000B06F3" w:rsidRPr="00DA3C6E" w:rsidRDefault="000B06F3" w:rsidP="005272C2">
            <w:pPr>
              <w:pStyle w:val="Tabletext1"/>
              <w:ind w:left="0"/>
              <w:jc w:val="left"/>
              <w:rPr>
                <w:lang w:val="nn-NO"/>
              </w:rPr>
            </w:pPr>
            <w:r w:rsidRPr="00DA3C6E">
              <w:rPr>
                <w:lang w:val="nn-NO"/>
              </w:rPr>
              <w:t>Van den Berg et al</w:t>
            </w:r>
            <w:r w:rsidR="00A5773A" w:rsidRPr="00DA3C6E">
              <w:rPr>
                <w:lang w:val="nn-NO"/>
              </w:rPr>
              <w:t>.</w:t>
            </w:r>
            <w:r w:rsidRPr="00DA3C6E">
              <w:rPr>
                <w:lang w:val="nn-NO"/>
              </w:rPr>
              <w:t xml:space="preserve"> 1995</w:t>
            </w:r>
          </w:p>
        </w:tc>
        <w:tc>
          <w:tcPr>
            <w:tcW w:w="5786" w:type="dxa"/>
            <w:vAlign w:val="center"/>
          </w:tcPr>
          <w:p w14:paraId="1616387D" w14:textId="77777777" w:rsidR="000B06F3" w:rsidRPr="00DA3C6E" w:rsidRDefault="000B06F3">
            <w:pPr>
              <w:pStyle w:val="Tabletext1"/>
              <w:ind w:left="0"/>
              <w:jc w:val="left"/>
            </w:pPr>
            <w:r w:rsidRPr="00DA3C6E">
              <w:t>Improvement of multifocal motor neuropathy during long-term weekly treatment with human immunoglobulin</w:t>
            </w:r>
          </w:p>
        </w:tc>
        <w:tc>
          <w:tcPr>
            <w:tcW w:w="6692" w:type="dxa"/>
            <w:vAlign w:val="center"/>
          </w:tcPr>
          <w:p w14:paraId="6D81D63E" w14:textId="77777777" w:rsidR="000B06F3" w:rsidRPr="00DA3C6E" w:rsidRDefault="000B06F3" w:rsidP="00F02470">
            <w:pPr>
              <w:pStyle w:val="Tabletext1"/>
              <w:ind w:left="0"/>
              <w:jc w:val="left"/>
            </w:pPr>
            <w:r w:rsidRPr="00DA3C6E">
              <w:t>Neurology 45: 987-988</w:t>
            </w:r>
          </w:p>
        </w:tc>
        <w:tc>
          <w:tcPr>
            <w:tcW w:w="672" w:type="dxa"/>
            <w:vAlign w:val="center"/>
          </w:tcPr>
          <w:p w14:paraId="290509A0" w14:textId="00EB3B4B" w:rsidR="000B06F3" w:rsidRPr="00DA3C6E" w:rsidRDefault="00DB568A" w:rsidP="00C04BCE">
            <w:pPr>
              <w:pStyle w:val="Tabletext1"/>
              <w:ind w:left="0"/>
              <w:jc w:val="left"/>
            </w:pPr>
            <w:r w:rsidRPr="00DA3C6E">
              <w:fldChar w:fldCharType="begin"/>
            </w:r>
            <w:r w:rsidR="007810D6">
              <w:instrText xml:space="preserve"> ADDIN EN.CITE &lt;EndNote&gt;&lt;Cite&gt;&lt;Author&gt;Van den Berg&lt;/Author&gt;&lt;Year&gt;1995&lt;/Year&gt;&lt;RecNum&gt;65&lt;/RecNum&gt;&lt;DisplayText&gt;(70)&lt;/DisplayText&gt;&lt;record&gt;&lt;rec-number&gt;65&lt;/rec-number&gt;&lt;foreign-keys&gt;&lt;key app="EN" db-id="0992p2ztn5fez9e2wvnpw2xstd20f9w2dezz" timestamp="1586818281"&gt;65&lt;/key&gt;&lt;/foreign-keys&gt;&lt;ref-type name="Journal Article"&gt;17&lt;/ref-type&gt;&lt;contributors&gt;&lt;authors&gt;&lt;author&gt;Van den Berg, L. H.&lt;/author&gt;&lt;author&gt;Franssen, H.&lt;/author&gt;&lt;author&gt;Wokke, J. H.&lt;/author&gt;&lt;/authors&gt;&lt;/contributors&gt;&lt;auth-address&gt;Department of Neurology, Rudolf Magnus Research School in the Neurosciences, University Hospital Utrecht, The Netherlands.&lt;/auth-address&gt;&lt;titles&gt;&lt;title&gt;Improvement of multifocal motor neuropathy during long-term weekly treatment with human immunoglobulin&lt;/title&gt;&lt;secondary-title&gt;Neurology&lt;/secondary-title&gt;&lt;/titles&gt;&lt;periodical&gt;&lt;full-title&gt;Neurology&lt;/full-title&gt;&lt;/periodical&gt;&lt;pages&gt;987-8&lt;/pages&gt;&lt;volume&gt;45&lt;/volume&gt;&lt;number&gt;5&lt;/number&gt;&lt;keywords&gt;&lt;keyword&gt;Adult&lt;/keyword&gt;&lt;keyword&gt;Humans&lt;/keyword&gt;&lt;keyword&gt;Immunoglobulins, Intravenous/ therapeutic use&lt;/keyword&gt;&lt;keyword&gt;Male&lt;/keyword&gt;&lt;keyword&gt;Motor Neuron Disease/physiopathology/ therapy&lt;/keyword&gt;&lt;keyword&gt;Muscles/physiopathology&lt;/keyword&gt;&lt;keyword&gt;Neural Conduction/physiology&lt;/keyword&gt;&lt;keyword&gt;Time Factors&lt;/keyword&gt;&lt;/keywords&gt;&lt;dates&gt;&lt;year&gt;1995&lt;/year&gt;&lt;pub-dates&gt;&lt;date&gt;May&lt;/date&gt;&lt;/pub-dates&gt;&lt;/dates&gt;&lt;accession-num&gt;7746420&lt;/accession-num&gt;&lt;urls&gt;&lt;/urls&gt;&lt;research-notes&gt;B. case study&lt;/research-notes&gt;&lt;/record&gt;&lt;/Cite&gt;&lt;/EndNote&gt;</w:instrText>
            </w:r>
            <w:r w:rsidRPr="00DA3C6E">
              <w:fldChar w:fldCharType="separate"/>
            </w:r>
            <w:r w:rsidR="007810D6">
              <w:rPr>
                <w:noProof/>
              </w:rPr>
              <w:t>(</w:t>
            </w:r>
            <w:hyperlink w:anchor="_ENREF_70" w:tooltip="Van den Berg, 1995 #65" w:history="1">
              <w:r w:rsidR="00C04BCE">
                <w:rPr>
                  <w:noProof/>
                </w:rPr>
                <w:t>70</w:t>
              </w:r>
            </w:hyperlink>
            <w:r w:rsidR="007810D6">
              <w:rPr>
                <w:noProof/>
              </w:rPr>
              <w:t>)</w:t>
            </w:r>
            <w:r w:rsidRPr="00DA3C6E">
              <w:fldChar w:fldCharType="end"/>
            </w:r>
          </w:p>
        </w:tc>
      </w:tr>
      <w:tr w:rsidR="007C7E04" w:rsidRPr="00DA3C6E" w14:paraId="1269472C" w14:textId="77777777" w:rsidTr="00F02470">
        <w:tc>
          <w:tcPr>
            <w:tcW w:w="1976" w:type="dxa"/>
            <w:vAlign w:val="center"/>
          </w:tcPr>
          <w:p w14:paraId="124F8F7A" w14:textId="6638B4CD" w:rsidR="000B06F3" w:rsidRPr="00DA3C6E" w:rsidRDefault="000B06F3" w:rsidP="005272C2">
            <w:pPr>
              <w:pStyle w:val="Tabletext1"/>
              <w:ind w:left="0"/>
              <w:jc w:val="left"/>
              <w:rPr>
                <w:lang w:val="nn-NO"/>
              </w:rPr>
            </w:pPr>
            <w:r w:rsidRPr="00DA3C6E">
              <w:rPr>
                <w:lang w:val="nn-NO"/>
              </w:rPr>
              <w:t>Jaspert et al</w:t>
            </w:r>
            <w:r w:rsidR="00A5773A" w:rsidRPr="00DA3C6E">
              <w:rPr>
                <w:lang w:val="nn-NO"/>
              </w:rPr>
              <w:t>.</w:t>
            </w:r>
            <w:r w:rsidRPr="00DA3C6E">
              <w:rPr>
                <w:lang w:val="nn-NO"/>
              </w:rPr>
              <w:t xml:space="preserve"> 1996</w:t>
            </w:r>
          </w:p>
        </w:tc>
        <w:tc>
          <w:tcPr>
            <w:tcW w:w="5786" w:type="dxa"/>
            <w:vAlign w:val="center"/>
          </w:tcPr>
          <w:p w14:paraId="113FE38F" w14:textId="77777777" w:rsidR="000B06F3" w:rsidRPr="00DA3C6E" w:rsidRDefault="000B06F3" w:rsidP="00F02470">
            <w:pPr>
              <w:pStyle w:val="Tabletext1"/>
              <w:ind w:left="0"/>
              <w:jc w:val="left"/>
            </w:pPr>
            <w:r w:rsidRPr="00DA3C6E">
              <w:t>Multifocal motor neuropathy: Clinical and electrophysiological findings</w:t>
            </w:r>
          </w:p>
        </w:tc>
        <w:tc>
          <w:tcPr>
            <w:tcW w:w="6692" w:type="dxa"/>
            <w:vAlign w:val="center"/>
          </w:tcPr>
          <w:p w14:paraId="5B09AD2E" w14:textId="77777777" w:rsidR="000B06F3" w:rsidRPr="00DA3C6E" w:rsidRDefault="000B06F3" w:rsidP="00F02470">
            <w:pPr>
              <w:pStyle w:val="Tabletext1"/>
              <w:ind w:left="0"/>
              <w:jc w:val="left"/>
            </w:pPr>
            <w:r w:rsidRPr="00DA3C6E">
              <w:t>Journal of Neurology 243: 684-692</w:t>
            </w:r>
          </w:p>
        </w:tc>
        <w:tc>
          <w:tcPr>
            <w:tcW w:w="672" w:type="dxa"/>
            <w:vAlign w:val="center"/>
          </w:tcPr>
          <w:p w14:paraId="1D459B73" w14:textId="3DDBD05C" w:rsidR="000B06F3" w:rsidRPr="00DA3C6E" w:rsidRDefault="00DB568A" w:rsidP="00C04BCE">
            <w:pPr>
              <w:pStyle w:val="Tabletext1"/>
              <w:ind w:left="0"/>
              <w:jc w:val="left"/>
            </w:pPr>
            <w:r w:rsidRPr="00DA3C6E">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Pr="00DA3C6E">
              <w:instrText xml:space="preserve"> ADDIN EN.CITE </w:instrText>
            </w:r>
            <w:r w:rsidRPr="00DA3C6E">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Pr="00DA3C6E">
              <w:instrText xml:space="preserve"> ADDIN EN.CITE.DATA </w:instrText>
            </w:r>
            <w:r w:rsidRPr="00DA3C6E">
              <w:fldChar w:fldCharType="end"/>
            </w:r>
            <w:r w:rsidRPr="00DA3C6E">
              <w:fldChar w:fldCharType="separate"/>
            </w:r>
            <w:r w:rsidRPr="00DA3C6E">
              <w:rPr>
                <w:noProof/>
              </w:rPr>
              <w:t>(</w:t>
            </w:r>
            <w:hyperlink w:anchor="_ENREF_37" w:tooltip="Jaspert, 1996 #31" w:history="1">
              <w:r w:rsidR="00C04BCE" w:rsidRPr="00DA3C6E">
                <w:rPr>
                  <w:noProof/>
                </w:rPr>
                <w:t>37</w:t>
              </w:r>
            </w:hyperlink>
            <w:r w:rsidRPr="00DA3C6E">
              <w:rPr>
                <w:noProof/>
              </w:rPr>
              <w:t>)</w:t>
            </w:r>
            <w:r w:rsidRPr="00DA3C6E">
              <w:fldChar w:fldCharType="end"/>
            </w:r>
          </w:p>
        </w:tc>
      </w:tr>
      <w:tr w:rsidR="007C7E04" w:rsidRPr="00DA3C6E" w14:paraId="2B3C4CEB" w14:textId="77777777" w:rsidTr="00F02470">
        <w:tc>
          <w:tcPr>
            <w:tcW w:w="1976" w:type="dxa"/>
            <w:vAlign w:val="center"/>
          </w:tcPr>
          <w:p w14:paraId="6BDC25E5" w14:textId="287CF856" w:rsidR="000B06F3" w:rsidRPr="00DA3C6E" w:rsidRDefault="000B06F3" w:rsidP="005272C2">
            <w:pPr>
              <w:pStyle w:val="Tabletext1"/>
              <w:ind w:left="0"/>
              <w:jc w:val="left"/>
              <w:rPr>
                <w:lang w:val="nn-NO"/>
              </w:rPr>
            </w:pPr>
            <w:r w:rsidRPr="00DA3C6E">
              <w:rPr>
                <w:lang w:val="nn-NO"/>
              </w:rPr>
              <w:t xml:space="preserve">Azulay </w:t>
            </w:r>
            <w:r w:rsidR="00A5773A" w:rsidRPr="00DA3C6E">
              <w:rPr>
                <w:lang w:val="nn-NO"/>
              </w:rPr>
              <w:t xml:space="preserve">et al. </w:t>
            </w:r>
            <w:r w:rsidRPr="00DA3C6E">
              <w:rPr>
                <w:lang w:val="nn-NO"/>
              </w:rPr>
              <w:t>1997</w:t>
            </w:r>
          </w:p>
        </w:tc>
        <w:tc>
          <w:tcPr>
            <w:tcW w:w="5786" w:type="dxa"/>
            <w:vAlign w:val="center"/>
          </w:tcPr>
          <w:p w14:paraId="77A6A3E5" w14:textId="77777777" w:rsidR="000B06F3" w:rsidRPr="00DA3C6E" w:rsidRDefault="000B06F3" w:rsidP="00F02470">
            <w:pPr>
              <w:pStyle w:val="Tabletext1"/>
              <w:ind w:left="0"/>
              <w:jc w:val="left"/>
            </w:pPr>
            <w:r w:rsidRPr="00DA3C6E">
              <w:t>Long term follow-up of multifocal motor neuropathy with conduction block under treatment</w:t>
            </w:r>
          </w:p>
        </w:tc>
        <w:tc>
          <w:tcPr>
            <w:tcW w:w="6692" w:type="dxa"/>
            <w:vAlign w:val="center"/>
          </w:tcPr>
          <w:p w14:paraId="4EEA8300" w14:textId="77777777" w:rsidR="000B06F3" w:rsidRPr="00DA3C6E" w:rsidRDefault="000B06F3" w:rsidP="00F02470">
            <w:pPr>
              <w:pStyle w:val="Tabletext1"/>
              <w:ind w:left="0"/>
              <w:jc w:val="left"/>
            </w:pPr>
            <w:r w:rsidRPr="00DA3C6E">
              <w:t>Journal of Neurology Neurosurgery and Psychiatry;62:391-394</w:t>
            </w:r>
          </w:p>
        </w:tc>
        <w:tc>
          <w:tcPr>
            <w:tcW w:w="672" w:type="dxa"/>
            <w:vAlign w:val="center"/>
          </w:tcPr>
          <w:p w14:paraId="15B065C1" w14:textId="35574E43" w:rsidR="000B06F3" w:rsidRPr="00DA3C6E" w:rsidRDefault="00DB568A" w:rsidP="00C04BCE">
            <w:pPr>
              <w:pStyle w:val="Tabletext1"/>
              <w:ind w:left="0"/>
              <w:jc w:val="left"/>
            </w:pPr>
            <w:r w:rsidRPr="00DA3C6E">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Pr="00DA3C6E">
              <w:instrText xml:space="preserve"> ADDIN EN.CITE </w:instrText>
            </w:r>
            <w:r w:rsidRPr="00DA3C6E">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Pr="00DA3C6E">
              <w:instrText xml:space="preserve"> ADDIN EN.CITE.DATA </w:instrText>
            </w:r>
            <w:r w:rsidRPr="00DA3C6E">
              <w:fldChar w:fldCharType="end"/>
            </w:r>
            <w:r w:rsidRPr="00DA3C6E">
              <w:fldChar w:fldCharType="separate"/>
            </w:r>
            <w:r w:rsidRPr="00DA3C6E">
              <w:rPr>
                <w:noProof/>
              </w:rPr>
              <w:t>(</w:t>
            </w:r>
            <w:hyperlink w:anchor="_ENREF_38" w:tooltip="Azulay, 1997 #5" w:history="1">
              <w:r w:rsidR="00C04BCE" w:rsidRPr="00DA3C6E">
                <w:rPr>
                  <w:noProof/>
                </w:rPr>
                <w:t>38</w:t>
              </w:r>
            </w:hyperlink>
            <w:r w:rsidRPr="00DA3C6E">
              <w:rPr>
                <w:noProof/>
              </w:rPr>
              <w:t>)</w:t>
            </w:r>
            <w:r w:rsidRPr="00DA3C6E">
              <w:fldChar w:fldCharType="end"/>
            </w:r>
          </w:p>
        </w:tc>
      </w:tr>
      <w:tr w:rsidR="007C7E04" w:rsidRPr="00DA3C6E" w14:paraId="7170A661" w14:textId="77777777" w:rsidTr="00F02470">
        <w:tc>
          <w:tcPr>
            <w:tcW w:w="1976" w:type="dxa"/>
            <w:vAlign w:val="center"/>
          </w:tcPr>
          <w:p w14:paraId="435FA8DD" w14:textId="58E82CBC" w:rsidR="000B06F3" w:rsidRPr="00DA3C6E" w:rsidRDefault="000B06F3" w:rsidP="005272C2">
            <w:pPr>
              <w:pStyle w:val="Tabletext1"/>
              <w:ind w:left="0"/>
              <w:jc w:val="left"/>
              <w:rPr>
                <w:lang w:val="nn-NO"/>
              </w:rPr>
            </w:pPr>
            <w:r w:rsidRPr="00DA3C6E">
              <w:rPr>
                <w:lang w:val="nn-NO"/>
              </w:rPr>
              <w:t>Grehl et al</w:t>
            </w:r>
            <w:r w:rsidR="00A5773A" w:rsidRPr="00DA3C6E">
              <w:rPr>
                <w:lang w:val="nn-NO"/>
              </w:rPr>
              <w:t>.</w:t>
            </w:r>
            <w:r w:rsidRPr="00DA3C6E">
              <w:rPr>
                <w:lang w:val="nn-NO"/>
              </w:rPr>
              <w:t xml:space="preserve"> 1997</w:t>
            </w:r>
          </w:p>
        </w:tc>
        <w:tc>
          <w:tcPr>
            <w:tcW w:w="5786" w:type="dxa"/>
            <w:vAlign w:val="center"/>
          </w:tcPr>
          <w:p w14:paraId="47DE09CA" w14:textId="77777777" w:rsidR="000B06F3" w:rsidRPr="00DA3C6E" w:rsidRDefault="000B06F3" w:rsidP="006759DE">
            <w:pPr>
              <w:pStyle w:val="Tabletext1"/>
              <w:ind w:left="0"/>
              <w:jc w:val="left"/>
            </w:pPr>
            <w:r w:rsidRPr="00DA3C6E">
              <w:t>Long-term therapy with high-dose intravenous immunoglobulins (intravenous Ig) in inflammatory neuropathies</w:t>
            </w:r>
          </w:p>
        </w:tc>
        <w:tc>
          <w:tcPr>
            <w:tcW w:w="6692" w:type="dxa"/>
            <w:vAlign w:val="center"/>
          </w:tcPr>
          <w:p w14:paraId="2C2A6C9E" w14:textId="77777777" w:rsidR="000B06F3" w:rsidRPr="00DA3C6E" w:rsidRDefault="000B06F3" w:rsidP="00F02470">
            <w:pPr>
              <w:pStyle w:val="Tabletext1"/>
              <w:ind w:left="0"/>
              <w:jc w:val="left"/>
            </w:pPr>
            <w:r w:rsidRPr="00DA3C6E">
              <w:t>European Journal of Neurology 4, 266-273</w:t>
            </w:r>
          </w:p>
        </w:tc>
        <w:tc>
          <w:tcPr>
            <w:tcW w:w="672" w:type="dxa"/>
            <w:vAlign w:val="center"/>
          </w:tcPr>
          <w:p w14:paraId="7295A1E4" w14:textId="4C5C815F" w:rsidR="000B06F3" w:rsidRPr="00DA3C6E" w:rsidRDefault="00DB568A" w:rsidP="00C04BCE">
            <w:pPr>
              <w:pStyle w:val="Tabletext1"/>
              <w:ind w:left="0"/>
              <w:jc w:val="left"/>
            </w:pPr>
            <w:r w:rsidRPr="00DA3C6E">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Pr="00DA3C6E">
              <w:instrText xml:space="preserve"> ADDIN EN.CITE </w:instrText>
            </w:r>
            <w:r w:rsidRPr="00DA3C6E">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Pr="00DA3C6E">
              <w:instrText xml:space="preserve"> ADDIN EN.CITE.DATA </w:instrText>
            </w:r>
            <w:r w:rsidRPr="00DA3C6E">
              <w:fldChar w:fldCharType="end"/>
            </w:r>
            <w:r w:rsidRPr="00DA3C6E">
              <w:fldChar w:fldCharType="separate"/>
            </w:r>
            <w:r w:rsidRPr="00DA3C6E">
              <w:rPr>
                <w:noProof/>
              </w:rPr>
              <w:t>(</w:t>
            </w:r>
            <w:hyperlink w:anchor="_ENREF_39" w:tooltip="Grehl, 1997 #24" w:history="1">
              <w:r w:rsidR="00C04BCE" w:rsidRPr="00DA3C6E">
                <w:rPr>
                  <w:noProof/>
                </w:rPr>
                <w:t>39</w:t>
              </w:r>
            </w:hyperlink>
            <w:r w:rsidRPr="00DA3C6E">
              <w:rPr>
                <w:noProof/>
              </w:rPr>
              <w:t>)</w:t>
            </w:r>
            <w:r w:rsidRPr="00DA3C6E">
              <w:fldChar w:fldCharType="end"/>
            </w:r>
          </w:p>
        </w:tc>
      </w:tr>
      <w:tr w:rsidR="007C7E04" w:rsidRPr="00DA3C6E" w14:paraId="2FC087E8" w14:textId="77777777" w:rsidTr="00F02470">
        <w:tc>
          <w:tcPr>
            <w:tcW w:w="1976" w:type="dxa"/>
            <w:vAlign w:val="center"/>
          </w:tcPr>
          <w:p w14:paraId="09ABCF80" w14:textId="1A6A4CFA" w:rsidR="000B06F3" w:rsidRPr="00DA3C6E" w:rsidRDefault="000B06F3" w:rsidP="005272C2">
            <w:pPr>
              <w:pStyle w:val="Tabletext1"/>
              <w:ind w:left="0"/>
              <w:jc w:val="left"/>
              <w:rPr>
                <w:lang w:val="nn-NO"/>
              </w:rPr>
            </w:pPr>
            <w:r w:rsidRPr="00DA3C6E">
              <w:rPr>
                <w:lang w:val="nn-NO"/>
              </w:rPr>
              <w:lastRenderedPageBreak/>
              <w:t>Van den Berg et al</w:t>
            </w:r>
            <w:r w:rsidR="00A5773A" w:rsidRPr="00DA3C6E">
              <w:rPr>
                <w:lang w:val="nn-NO"/>
              </w:rPr>
              <w:t xml:space="preserve">. </w:t>
            </w:r>
            <w:r w:rsidRPr="00DA3C6E">
              <w:rPr>
                <w:lang w:val="nn-NO"/>
              </w:rPr>
              <w:t>1998</w:t>
            </w:r>
          </w:p>
        </w:tc>
        <w:tc>
          <w:tcPr>
            <w:tcW w:w="5786" w:type="dxa"/>
            <w:vAlign w:val="center"/>
          </w:tcPr>
          <w:p w14:paraId="1F442982" w14:textId="77777777" w:rsidR="000B06F3" w:rsidRPr="00DA3C6E" w:rsidRDefault="000B06F3" w:rsidP="00F02470">
            <w:pPr>
              <w:pStyle w:val="Tabletext1"/>
              <w:ind w:left="0"/>
              <w:jc w:val="left"/>
            </w:pPr>
            <w:r w:rsidRPr="00DA3C6E">
              <w:t>The long-term effect of intravenous immunoglobulin treatment in multifocal motor</w:t>
            </w:r>
          </w:p>
          <w:p w14:paraId="14F9290F" w14:textId="77777777" w:rsidR="000B06F3" w:rsidRPr="00DA3C6E" w:rsidRDefault="000B06F3" w:rsidP="00F02470">
            <w:pPr>
              <w:pStyle w:val="Tabletext1"/>
              <w:ind w:left="0"/>
              <w:jc w:val="left"/>
            </w:pPr>
            <w:r w:rsidRPr="00DA3C6E">
              <w:t>neuropathy</w:t>
            </w:r>
          </w:p>
        </w:tc>
        <w:tc>
          <w:tcPr>
            <w:tcW w:w="6692" w:type="dxa"/>
            <w:vAlign w:val="center"/>
          </w:tcPr>
          <w:p w14:paraId="35A8ED35" w14:textId="77777777" w:rsidR="000B06F3" w:rsidRPr="00DA3C6E" w:rsidRDefault="000B06F3" w:rsidP="00F02470">
            <w:pPr>
              <w:pStyle w:val="Tabletext1"/>
              <w:ind w:left="0"/>
              <w:jc w:val="left"/>
            </w:pPr>
            <w:r w:rsidRPr="00DA3C6E">
              <w:t>Brain 121, 421–428</w:t>
            </w:r>
          </w:p>
        </w:tc>
        <w:tc>
          <w:tcPr>
            <w:tcW w:w="672" w:type="dxa"/>
            <w:vAlign w:val="center"/>
          </w:tcPr>
          <w:p w14:paraId="2CA0CC0B" w14:textId="3825FCFF" w:rsidR="000B06F3" w:rsidRPr="00DA3C6E" w:rsidRDefault="00DB568A" w:rsidP="00C04BCE">
            <w:pPr>
              <w:pStyle w:val="Tabletext1"/>
              <w:ind w:left="0"/>
              <w:jc w:val="left"/>
            </w:pPr>
            <w:r w:rsidRPr="00DA3C6E">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Pr="00DA3C6E">
              <w:instrText xml:space="preserve"> ADDIN EN.CITE </w:instrText>
            </w:r>
            <w:r w:rsidRPr="00DA3C6E">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Pr="00DA3C6E">
              <w:instrText xml:space="preserve"> ADDIN EN.CITE.DATA </w:instrText>
            </w:r>
            <w:r w:rsidRPr="00DA3C6E">
              <w:fldChar w:fldCharType="end"/>
            </w:r>
            <w:r w:rsidRPr="00DA3C6E">
              <w:fldChar w:fldCharType="separate"/>
            </w:r>
            <w:r w:rsidRPr="00DA3C6E">
              <w:rPr>
                <w:noProof/>
              </w:rPr>
              <w:t>(</w:t>
            </w:r>
            <w:hyperlink w:anchor="_ENREF_29" w:tooltip="Van Den Berg, 1998 #66" w:history="1">
              <w:r w:rsidR="00C04BCE" w:rsidRPr="00DA3C6E">
                <w:rPr>
                  <w:noProof/>
                </w:rPr>
                <w:t>29</w:t>
              </w:r>
            </w:hyperlink>
            <w:r w:rsidRPr="00DA3C6E">
              <w:rPr>
                <w:noProof/>
              </w:rPr>
              <w:t>)</w:t>
            </w:r>
            <w:r w:rsidRPr="00DA3C6E">
              <w:fldChar w:fldCharType="end"/>
            </w:r>
          </w:p>
        </w:tc>
      </w:tr>
      <w:tr w:rsidR="007C7E04" w:rsidRPr="00DA3C6E" w14:paraId="0C4FDD03" w14:textId="77777777" w:rsidTr="00F02470">
        <w:tc>
          <w:tcPr>
            <w:tcW w:w="1976" w:type="dxa"/>
            <w:vAlign w:val="center"/>
          </w:tcPr>
          <w:p w14:paraId="082A94D2" w14:textId="5AE85A3A" w:rsidR="000B06F3" w:rsidRPr="00DA3C6E" w:rsidRDefault="000B06F3" w:rsidP="005272C2">
            <w:pPr>
              <w:pStyle w:val="Tabletext1"/>
              <w:ind w:left="0"/>
              <w:jc w:val="left"/>
              <w:rPr>
                <w:lang w:val="nn-NO"/>
              </w:rPr>
            </w:pPr>
            <w:r w:rsidRPr="00DA3C6E">
              <w:rPr>
                <w:lang w:val="nn-NO"/>
              </w:rPr>
              <w:t>Katz et al</w:t>
            </w:r>
            <w:r w:rsidR="00A5773A" w:rsidRPr="00DA3C6E">
              <w:rPr>
                <w:lang w:val="nn-NO"/>
              </w:rPr>
              <w:t>.</w:t>
            </w:r>
            <w:r w:rsidRPr="00DA3C6E">
              <w:rPr>
                <w:lang w:val="nn-NO"/>
              </w:rPr>
              <w:t xml:space="preserve"> 2002</w:t>
            </w:r>
          </w:p>
        </w:tc>
        <w:tc>
          <w:tcPr>
            <w:tcW w:w="5786" w:type="dxa"/>
            <w:vAlign w:val="center"/>
          </w:tcPr>
          <w:p w14:paraId="649BDEFB" w14:textId="77777777" w:rsidR="000B06F3" w:rsidRPr="00DA3C6E" w:rsidRDefault="000B06F3" w:rsidP="00F02470">
            <w:pPr>
              <w:pStyle w:val="Tabletext1"/>
              <w:ind w:left="0"/>
              <w:jc w:val="left"/>
            </w:pPr>
            <w:r w:rsidRPr="00DA3C6E">
              <w:t>Axonal multifocal motor neuropathy without conduction block or other features of demyelination</w:t>
            </w:r>
          </w:p>
        </w:tc>
        <w:tc>
          <w:tcPr>
            <w:tcW w:w="6692" w:type="dxa"/>
            <w:vAlign w:val="center"/>
          </w:tcPr>
          <w:p w14:paraId="4AC620D8" w14:textId="77777777" w:rsidR="000B06F3" w:rsidRPr="00DA3C6E" w:rsidRDefault="000B06F3" w:rsidP="00F02470">
            <w:pPr>
              <w:pStyle w:val="Tabletext1"/>
              <w:tabs>
                <w:tab w:val="left" w:pos="1549"/>
              </w:tabs>
              <w:ind w:left="0"/>
              <w:jc w:val="left"/>
            </w:pPr>
            <w:r w:rsidRPr="00DA3C6E">
              <w:t>Neurology 58:615-620</w:t>
            </w:r>
          </w:p>
        </w:tc>
        <w:tc>
          <w:tcPr>
            <w:tcW w:w="672" w:type="dxa"/>
            <w:vAlign w:val="center"/>
          </w:tcPr>
          <w:p w14:paraId="2DE6DA42" w14:textId="3D03D9E7" w:rsidR="000B06F3" w:rsidRPr="00DA3C6E" w:rsidRDefault="00DB568A" w:rsidP="00C04BCE">
            <w:pPr>
              <w:pStyle w:val="Tabletext1"/>
              <w:tabs>
                <w:tab w:val="left" w:pos="1549"/>
              </w:tabs>
              <w:ind w:left="0"/>
              <w:jc w:val="left"/>
            </w:pPr>
            <w:r w:rsidRPr="00DA3C6E">
              <w:fldChar w:fldCharType="begin"/>
            </w:r>
            <w:r w:rsidRPr="00DA3C6E">
              <w:instrText xml:space="preserve"> ADDIN EN.CITE &lt;EndNote&gt;&lt;Cite&gt;&lt;Author&gt;Katz&lt;/Author&gt;&lt;Year&gt;2002&lt;/Year&gt;&lt;RecNum&gt;33&lt;/RecNum&gt;&lt;DisplayText&gt;(47)&lt;/DisplayText&gt;&lt;record&gt;&lt;rec-number&gt;33&lt;/rec-number&gt;&lt;foreign-keys&gt;&lt;key app="EN" db-id="0992p2ztn5fez9e2wvnpw2xstd20f9w2dezz" timestamp="1586818281"&gt;33&lt;/key&gt;&lt;/foreign-keys&gt;&lt;ref-type name="Journal Article"&gt;17&lt;/ref-type&gt;&lt;contributors&gt;&lt;authors&gt;&lt;author&gt;Katz, J. S.&lt;/author&gt;&lt;author&gt;Barohn, R. J.&lt;/author&gt;&lt;author&gt;Kojan, S.&lt;/author&gt;&lt;author&gt;Wolfe, G. I.&lt;/author&gt;&lt;author&gt;Nations, S. P.&lt;/author&gt;&lt;author&gt;Saperstein, D. S.&lt;/author&gt;&lt;author&gt;Amato, A. A.&lt;/author&gt;&lt;/authors&gt;&lt;/contributors&gt;&lt;auth-address&gt;Department of Neurology, Palo Alto VA Medical Center and Stanford University, Palo Alto, CA 94304, USA. jskatz@stanford.edu&lt;/auth-address&gt;&lt;titles&gt;&lt;title&gt;Axonal multifocal motor neuropathy without conduction block or other features of demyelination&lt;/title&gt;&lt;secondary-title&gt;Neurology&lt;/secondary-title&gt;&lt;/titles&gt;&lt;periodical&gt;&lt;full-title&gt;Neurology&lt;/full-title&gt;&lt;/periodical&gt;&lt;pages&gt;615-20&lt;/pages&gt;&lt;volume&gt;58&lt;/volume&gt;&lt;number&gt;4&lt;/number&gt;&lt;keywords&gt;&lt;keyword&gt;Adolescent&lt;/keyword&gt;&lt;keyword&gt;Adult&lt;/keyword&gt;&lt;keyword&gt;Aged&lt;/keyword&gt;&lt;keyword&gt;Anti-Inflammatory Agents/therapeutic use&lt;/keyword&gt;&lt;keyword&gt;Axons/ pathology&lt;/keyword&gt;&lt;keyword&gt;Demyelinating Diseases/ diagnosis&lt;/keyword&gt;&lt;keyword&gt;Electromyography&lt;/keyword&gt;&lt;keyword&gt;Female&lt;/keyword&gt;&lt;keyword&gt;Humans&lt;/keyword&gt;&lt;keyword&gt;Immunoglobulins, Intravenous/therapeutic use&lt;/keyword&gt;&lt;keyword&gt;Male&lt;/keyword&gt;&lt;keyword&gt;Middle Aged&lt;/keyword&gt;&lt;keyword&gt;Neural Conduction/physiology&lt;/keyword&gt;&lt;keyword&gt;Polyneuropathies/ diagnosis/drug therapy/physiopathology&lt;/keyword&gt;&lt;keyword&gt;Prednisone/therapeutic use&lt;/keyword&gt;&lt;/keywords&gt;&lt;dates&gt;&lt;year&gt;2002&lt;/year&gt;&lt;pub-dates&gt;&lt;date&gt;Feb 26&lt;/date&gt;&lt;/pub-dates&gt;&lt;/dates&gt;&lt;accession-num&gt;11865141&lt;/accession-num&gt;&lt;urls&gt;&lt;related-urls&gt;&lt;url&gt;https://n.neurology.org/content/58/4/615.long&lt;/url&gt;&lt;/related-urls&gt;&lt;/urls&gt;&lt;research-notes&gt;B. MMN patients with and witout conduction block treated with IVIg&lt;/research-notes&gt;&lt;/record&gt;&lt;/Cite&gt;&lt;/EndNote&gt;</w:instrText>
            </w:r>
            <w:r w:rsidRPr="00DA3C6E">
              <w:fldChar w:fldCharType="separate"/>
            </w:r>
            <w:r w:rsidRPr="00DA3C6E">
              <w:rPr>
                <w:noProof/>
              </w:rPr>
              <w:t>(</w:t>
            </w:r>
            <w:hyperlink w:anchor="_ENREF_47" w:tooltip="Katz, 2002 #33" w:history="1">
              <w:r w:rsidR="00C04BCE" w:rsidRPr="00DA3C6E">
                <w:rPr>
                  <w:noProof/>
                </w:rPr>
                <w:t>47</w:t>
              </w:r>
            </w:hyperlink>
            <w:r w:rsidRPr="00DA3C6E">
              <w:rPr>
                <w:noProof/>
              </w:rPr>
              <w:t>)</w:t>
            </w:r>
            <w:r w:rsidRPr="00DA3C6E">
              <w:fldChar w:fldCharType="end"/>
            </w:r>
          </w:p>
        </w:tc>
      </w:tr>
      <w:tr w:rsidR="007C7E04" w:rsidRPr="00DA3C6E" w14:paraId="68D1AFC1" w14:textId="77777777" w:rsidTr="00F02470">
        <w:tc>
          <w:tcPr>
            <w:tcW w:w="1976" w:type="dxa"/>
            <w:vAlign w:val="center"/>
          </w:tcPr>
          <w:p w14:paraId="6EDE770E" w14:textId="1EDA4EE5" w:rsidR="000B06F3" w:rsidRPr="00DA3C6E" w:rsidRDefault="000B06F3" w:rsidP="005272C2">
            <w:pPr>
              <w:pStyle w:val="Tabletext1"/>
              <w:ind w:left="0"/>
              <w:jc w:val="left"/>
              <w:rPr>
                <w:lang w:val="nn-NO"/>
              </w:rPr>
            </w:pPr>
            <w:r w:rsidRPr="00DA3C6E">
              <w:rPr>
                <w:lang w:val="nn-NO"/>
              </w:rPr>
              <w:t>Nobile-Orazio et al</w:t>
            </w:r>
            <w:r w:rsidR="00A5773A" w:rsidRPr="00DA3C6E">
              <w:rPr>
                <w:lang w:val="nn-NO"/>
              </w:rPr>
              <w:t>.</w:t>
            </w:r>
            <w:r w:rsidRPr="00DA3C6E">
              <w:rPr>
                <w:lang w:val="nn-NO"/>
              </w:rPr>
              <w:t xml:space="preserve"> 2002</w:t>
            </w:r>
          </w:p>
        </w:tc>
        <w:tc>
          <w:tcPr>
            <w:tcW w:w="5786" w:type="dxa"/>
            <w:vAlign w:val="center"/>
          </w:tcPr>
          <w:p w14:paraId="678A526A" w14:textId="77777777" w:rsidR="000B06F3" w:rsidRPr="00DA3C6E" w:rsidRDefault="000B06F3" w:rsidP="006759DE">
            <w:pPr>
              <w:pStyle w:val="Tabletext1"/>
              <w:ind w:left="0"/>
              <w:jc w:val="left"/>
            </w:pPr>
            <w:r w:rsidRPr="00DA3C6E">
              <w:t>Multifocal motor neuropathy: clinical and immunological features and response to intravenous Ig in relation to the presence and degree of motor conduction block</w:t>
            </w:r>
          </w:p>
        </w:tc>
        <w:tc>
          <w:tcPr>
            <w:tcW w:w="6692" w:type="dxa"/>
            <w:vAlign w:val="center"/>
          </w:tcPr>
          <w:p w14:paraId="40888FF0" w14:textId="77777777" w:rsidR="000B06F3" w:rsidRPr="00DA3C6E" w:rsidRDefault="000B06F3" w:rsidP="00F02470">
            <w:pPr>
              <w:pStyle w:val="Tabletext1"/>
              <w:ind w:left="0"/>
              <w:jc w:val="left"/>
            </w:pPr>
            <w:r w:rsidRPr="00DA3C6E">
              <w:t>Journal of  Neurology Neurosurgery and Psychiatry;72:761–766</w:t>
            </w:r>
          </w:p>
        </w:tc>
        <w:tc>
          <w:tcPr>
            <w:tcW w:w="672" w:type="dxa"/>
            <w:vAlign w:val="center"/>
          </w:tcPr>
          <w:p w14:paraId="5206C573" w14:textId="3E5B0BF7" w:rsidR="000B06F3" w:rsidRPr="00DA3C6E" w:rsidRDefault="00DB568A" w:rsidP="00C04BCE">
            <w:pPr>
              <w:pStyle w:val="Tabletext1"/>
              <w:ind w:left="0"/>
              <w:jc w:val="left"/>
            </w:pPr>
            <w:r w:rsidRPr="00DA3C6E">
              <w:fldChar w:fldCharType="begin">
                <w:fldData xml:space="preserve">PEVuZE5vdGU+PENpdGU+PEF1dGhvcj5Ob2JpbGUtT3JhemlvPC9BdXRob3I+PFllYXI+MjAwMjwv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</w:fldData>
              </w:fldChar>
            </w:r>
            <w:r w:rsidR="007810D6">
              <w:instrText xml:space="preserve"> ADDIN EN.CITE </w:instrText>
            </w:r>
            <w:r w:rsidR="007810D6">
              <w:fldChar w:fldCharType="begin">
                <w:fldData xml:space="preserve">PEVuZE5vdGU+PENpdGU+PEF1dGhvcj5Ob2JpbGUtT3JhemlvPC9BdXRob3I+PFllYXI+MjAwMjwv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</w:fldData>
              </w:fldChar>
            </w:r>
            <w:r w:rsidR="007810D6">
              <w:instrText xml:space="preserve"> ADDIN EN.CITE.DATA </w:instrText>
            </w:r>
            <w:r w:rsidR="007810D6">
              <w:fldChar w:fldCharType="end"/>
            </w:r>
            <w:r w:rsidRPr="00DA3C6E">
              <w:fldChar w:fldCharType="separate"/>
            </w:r>
            <w:r w:rsidR="007810D6">
              <w:rPr>
                <w:noProof/>
              </w:rPr>
              <w:t>(</w:t>
            </w:r>
            <w:hyperlink w:anchor="_ENREF_71" w:tooltip="Nobile-Orazio, 2002 #49" w:history="1">
              <w:r w:rsidR="00C04BCE">
                <w:rPr>
                  <w:noProof/>
                </w:rPr>
                <w:t>71</w:t>
              </w:r>
            </w:hyperlink>
            <w:r w:rsidR="007810D6">
              <w:rPr>
                <w:noProof/>
              </w:rPr>
              <w:t>)</w:t>
            </w:r>
            <w:r w:rsidRPr="00DA3C6E">
              <w:fldChar w:fldCharType="end"/>
            </w:r>
          </w:p>
        </w:tc>
      </w:tr>
      <w:tr w:rsidR="007C7E04" w:rsidRPr="00DA3C6E" w14:paraId="3BEF1FF0" w14:textId="77777777" w:rsidTr="00F02470">
        <w:tc>
          <w:tcPr>
            <w:tcW w:w="1976" w:type="dxa"/>
            <w:vAlign w:val="center"/>
          </w:tcPr>
          <w:p w14:paraId="4F507D4B" w14:textId="38116947" w:rsidR="000B06F3" w:rsidRPr="00DA3C6E" w:rsidRDefault="000B06F3" w:rsidP="005272C2">
            <w:pPr>
              <w:pStyle w:val="Tabletext1"/>
              <w:ind w:left="0"/>
              <w:jc w:val="left"/>
              <w:rPr>
                <w:lang w:val="nn-NO"/>
              </w:rPr>
            </w:pPr>
            <w:r w:rsidRPr="00DA3C6E">
              <w:rPr>
                <w:lang w:val="nn-NO"/>
              </w:rPr>
              <w:t>Van den Berg et al</w:t>
            </w:r>
            <w:r w:rsidR="00A5773A" w:rsidRPr="00DA3C6E">
              <w:rPr>
                <w:lang w:val="nn-NO"/>
              </w:rPr>
              <w:t>.</w:t>
            </w:r>
            <w:r w:rsidRPr="00DA3C6E">
              <w:rPr>
                <w:lang w:val="nn-NO"/>
              </w:rPr>
              <w:t xml:space="preserve"> 2002</w:t>
            </w:r>
          </w:p>
        </w:tc>
        <w:tc>
          <w:tcPr>
            <w:tcW w:w="5786" w:type="dxa"/>
            <w:vAlign w:val="center"/>
          </w:tcPr>
          <w:p w14:paraId="5DE37B97" w14:textId="77777777" w:rsidR="000B06F3" w:rsidRPr="00DA3C6E" w:rsidRDefault="000B06F3" w:rsidP="00F02470">
            <w:pPr>
              <w:pStyle w:val="Tabletext1"/>
              <w:ind w:left="0"/>
              <w:jc w:val="left"/>
            </w:pPr>
            <w:r w:rsidRPr="00DA3C6E">
              <w:t>Disease severity in multifocal motor neuropathy and its association with the response to immunoglobulin treatment</w:t>
            </w:r>
          </w:p>
        </w:tc>
        <w:tc>
          <w:tcPr>
            <w:tcW w:w="6692" w:type="dxa"/>
            <w:vAlign w:val="center"/>
          </w:tcPr>
          <w:p w14:paraId="7B09256C" w14:textId="77777777" w:rsidR="000B06F3" w:rsidRPr="00DA3C6E" w:rsidRDefault="000B06F3" w:rsidP="00F02470">
            <w:pPr>
              <w:pStyle w:val="Tabletext1"/>
              <w:ind w:left="0"/>
              <w:jc w:val="left"/>
            </w:pPr>
            <w:r w:rsidRPr="00DA3C6E">
              <w:t>Journal of  Neurology 49 : 330–336</w:t>
            </w:r>
          </w:p>
        </w:tc>
        <w:tc>
          <w:tcPr>
            <w:tcW w:w="672" w:type="dxa"/>
            <w:vAlign w:val="center"/>
          </w:tcPr>
          <w:p w14:paraId="28ED8AB6" w14:textId="7A9D507E" w:rsidR="000B06F3" w:rsidRPr="00DA3C6E" w:rsidRDefault="00DB568A" w:rsidP="00C04BCE">
            <w:pPr>
              <w:pStyle w:val="Tabletext1"/>
              <w:ind w:left="0"/>
              <w:jc w:val="left"/>
            </w:pPr>
            <w:r w:rsidRPr="00DA3C6E">
              <w:fldChar w:fldCharType="begin">
                <w:fldData xml:space="preserve">PEVuZE5vdGU+PENpdGU+PEF1dGhvcj5WYW4gZGVuIEJlcmctVm9zPC9BdXRob3I+PFllYXI+MjAw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</w:fldData>
              </w:fldChar>
            </w:r>
            <w:r w:rsidR="007810D6">
              <w:instrText xml:space="preserve"> ADDIN EN.CITE </w:instrText>
            </w:r>
            <w:r w:rsidR="007810D6">
              <w:fldChar w:fldCharType="begin">
                <w:fldData xml:space="preserve">PEVuZE5vdGU+PENpdGU+PEF1dGhvcj5WYW4gZGVuIEJlcmctVm9zPC9BdXRob3I+PFllYXI+MjAw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</w:fldData>
              </w:fldChar>
            </w:r>
            <w:r w:rsidR="007810D6">
              <w:instrText xml:space="preserve"> ADDIN EN.CITE.DATA </w:instrText>
            </w:r>
            <w:r w:rsidR="007810D6">
              <w:fldChar w:fldCharType="end"/>
            </w:r>
            <w:r w:rsidRPr="00DA3C6E">
              <w:fldChar w:fldCharType="separate"/>
            </w:r>
            <w:r w:rsidR="007810D6">
              <w:rPr>
                <w:noProof/>
              </w:rPr>
              <w:t>(</w:t>
            </w:r>
            <w:hyperlink w:anchor="_ENREF_72" w:tooltip="Van den Berg-Vos, 2002 #67" w:history="1">
              <w:r w:rsidR="00C04BCE">
                <w:rPr>
                  <w:noProof/>
                </w:rPr>
                <w:t>72</w:t>
              </w:r>
            </w:hyperlink>
            <w:r w:rsidR="007810D6">
              <w:rPr>
                <w:noProof/>
              </w:rPr>
              <w:t>)</w:t>
            </w:r>
            <w:r w:rsidRPr="00DA3C6E">
              <w:fldChar w:fldCharType="end"/>
            </w:r>
          </w:p>
        </w:tc>
      </w:tr>
      <w:tr w:rsidR="007C7E04" w:rsidRPr="00DA3C6E" w14:paraId="327D091D" w14:textId="77777777" w:rsidTr="00F02470">
        <w:tc>
          <w:tcPr>
            <w:tcW w:w="1976" w:type="dxa"/>
            <w:vAlign w:val="center"/>
          </w:tcPr>
          <w:p w14:paraId="5FA92063" w14:textId="0F00AA94" w:rsidR="000B06F3" w:rsidRPr="00DA3C6E" w:rsidRDefault="000B06F3" w:rsidP="005272C2">
            <w:pPr>
              <w:pStyle w:val="Tabletext1"/>
              <w:ind w:left="0"/>
              <w:jc w:val="left"/>
              <w:rPr>
                <w:lang w:val="nn-NO"/>
              </w:rPr>
            </w:pPr>
            <w:r w:rsidRPr="00DA3C6E">
              <w:rPr>
                <w:lang w:val="nn-NO"/>
              </w:rPr>
              <w:t xml:space="preserve">Van den Berg </w:t>
            </w:r>
            <w:r w:rsidR="00A5773A" w:rsidRPr="00DA3C6E">
              <w:rPr>
                <w:lang w:val="nn-NO"/>
              </w:rPr>
              <w:t xml:space="preserve">et al. </w:t>
            </w:r>
            <w:r w:rsidRPr="00DA3C6E">
              <w:rPr>
                <w:lang w:val="nn-NO"/>
              </w:rPr>
              <w:t xml:space="preserve">2002 </w:t>
            </w:r>
          </w:p>
        </w:tc>
        <w:tc>
          <w:tcPr>
            <w:tcW w:w="5786" w:type="dxa"/>
            <w:vAlign w:val="center"/>
          </w:tcPr>
          <w:p w14:paraId="764C6CE0" w14:textId="77777777" w:rsidR="000B06F3" w:rsidRPr="00DA3C6E" w:rsidRDefault="000B06F3" w:rsidP="00F02470">
            <w:pPr>
              <w:pStyle w:val="Tabletext1"/>
              <w:ind w:left="0"/>
              <w:jc w:val="left"/>
            </w:pPr>
            <w:r w:rsidRPr="00DA3C6E">
              <w:t>Multifocal motor neuropathy: long-term clinical and electrophysiological assessment of intravenous immunoglobulin maintenance treatment</w:t>
            </w:r>
          </w:p>
        </w:tc>
        <w:tc>
          <w:tcPr>
            <w:tcW w:w="6692" w:type="dxa"/>
            <w:vAlign w:val="center"/>
          </w:tcPr>
          <w:p w14:paraId="6CF9B154" w14:textId="77777777" w:rsidR="000B06F3" w:rsidRPr="00DA3C6E" w:rsidRDefault="000B06F3" w:rsidP="00F02470">
            <w:pPr>
              <w:pStyle w:val="Tabletext1"/>
              <w:ind w:left="0"/>
              <w:jc w:val="left"/>
            </w:pPr>
            <w:r w:rsidRPr="00DA3C6E">
              <w:t>Brain 125, 1875-1886</w:t>
            </w:r>
          </w:p>
        </w:tc>
        <w:tc>
          <w:tcPr>
            <w:tcW w:w="672" w:type="dxa"/>
            <w:vAlign w:val="center"/>
          </w:tcPr>
          <w:p w14:paraId="4214C958" w14:textId="3B1EBF6B" w:rsidR="000B06F3" w:rsidRPr="00DA3C6E" w:rsidRDefault="00DB568A" w:rsidP="00C04BCE">
            <w:pPr>
              <w:pStyle w:val="Tabletext1"/>
              <w:ind w:left="0"/>
              <w:jc w:val="left"/>
            </w:pPr>
            <w:r w:rsidRPr="00DA3C6E">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Pr="00DA3C6E">
              <w:instrText xml:space="preserve"> ADDIN EN.CITE </w:instrText>
            </w:r>
            <w:r w:rsidRPr="00DA3C6E">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Pr="00DA3C6E">
              <w:instrText xml:space="preserve"> ADDIN EN.CITE.DATA </w:instrText>
            </w:r>
            <w:r w:rsidRPr="00DA3C6E">
              <w:fldChar w:fldCharType="end"/>
            </w:r>
            <w:r w:rsidRPr="00DA3C6E">
              <w:fldChar w:fldCharType="separate"/>
            </w:r>
            <w:r w:rsidRPr="00DA3C6E">
              <w:rPr>
                <w:noProof/>
              </w:rPr>
              <w:t>(</w:t>
            </w:r>
            <w:hyperlink w:anchor="_ENREF_30" w:tooltip="Van den Berg-Vos, 2002 #68" w:history="1">
              <w:r w:rsidR="00C04BCE" w:rsidRPr="00DA3C6E">
                <w:rPr>
                  <w:noProof/>
                </w:rPr>
                <w:t>30</w:t>
              </w:r>
            </w:hyperlink>
            <w:r w:rsidRPr="00DA3C6E">
              <w:rPr>
                <w:noProof/>
              </w:rPr>
              <w:t>)</w:t>
            </w:r>
            <w:r w:rsidRPr="00DA3C6E">
              <w:fldChar w:fldCharType="end"/>
            </w:r>
          </w:p>
        </w:tc>
      </w:tr>
      <w:tr w:rsidR="007C7E04" w:rsidRPr="00DA3C6E" w14:paraId="16CB4A34" w14:textId="77777777" w:rsidTr="00F02470">
        <w:tc>
          <w:tcPr>
            <w:tcW w:w="1976" w:type="dxa"/>
            <w:vAlign w:val="center"/>
          </w:tcPr>
          <w:p w14:paraId="01D376B4" w14:textId="3F6BB07B" w:rsidR="000B06F3" w:rsidRPr="00DA3C6E" w:rsidRDefault="000B06F3" w:rsidP="005272C2">
            <w:pPr>
              <w:pStyle w:val="Tabletext1"/>
              <w:ind w:left="0"/>
              <w:jc w:val="left"/>
              <w:rPr>
                <w:lang w:val="nn-NO"/>
              </w:rPr>
            </w:pPr>
            <w:r w:rsidRPr="00DA3C6E">
              <w:rPr>
                <w:lang w:val="nn-NO"/>
              </w:rPr>
              <w:t>Vucic et al</w:t>
            </w:r>
            <w:r w:rsidR="00A5773A" w:rsidRPr="00DA3C6E">
              <w:rPr>
                <w:lang w:val="nn-NO"/>
              </w:rPr>
              <w:t>.</w:t>
            </w:r>
            <w:r w:rsidRPr="00DA3C6E">
              <w:rPr>
                <w:lang w:val="nn-NO"/>
              </w:rPr>
              <w:t xml:space="preserve"> 2004</w:t>
            </w:r>
          </w:p>
        </w:tc>
        <w:tc>
          <w:tcPr>
            <w:tcW w:w="5786" w:type="dxa"/>
            <w:vAlign w:val="center"/>
          </w:tcPr>
          <w:p w14:paraId="287D90B6" w14:textId="77777777" w:rsidR="000B06F3" w:rsidRPr="00DA3C6E" w:rsidRDefault="000B06F3" w:rsidP="00F02470">
            <w:pPr>
              <w:pStyle w:val="Tabletext1"/>
              <w:ind w:left="0"/>
              <w:jc w:val="left"/>
            </w:pPr>
            <w:r w:rsidRPr="00DA3C6E">
              <w:t>Multifocal motor neuropathy. Decrease in conduction blocks and reinnervation with long-term intravenous Ig</w:t>
            </w:r>
          </w:p>
        </w:tc>
        <w:tc>
          <w:tcPr>
            <w:tcW w:w="6692" w:type="dxa"/>
            <w:vAlign w:val="center"/>
          </w:tcPr>
          <w:p w14:paraId="74256E3B" w14:textId="77777777" w:rsidR="000B06F3" w:rsidRPr="00DA3C6E" w:rsidRDefault="000B06F3" w:rsidP="00F02470">
            <w:pPr>
              <w:pStyle w:val="Tabletext1"/>
              <w:ind w:left="0"/>
              <w:jc w:val="left"/>
            </w:pPr>
            <w:r w:rsidRPr="00DA3C6E">
              <w:t>Neurology 3:1264–1269</w:t>
            </w:r>
          </w:p>
        </w:tc>
        <w:tc>
          <w:tcPr>
            <w:tcW w:w="672" w:type="dxa"/>
            <w:vAlign w:val="center"/>
          </w:tcPr>
          <w:p w14:paraId="5B02D5A7" w14:textId="26BED801" w:rsidR="000B06F3" w:rsidRPr="00DA3C6E" w:rsidRDefault="00DB568A" w:rsidP="00C04BCE">
            <w:pPr>
              <w:pStyle w:val="Tabletext1"/>
              <w:ind w:left="0"/>
              <w:jc w:val="left"/>
            </w:pPr>
            <w:r w:rsidRPr="00DA3C6E">
              <w:fldChar w:fldCharType="begin"/>
            </w:r>
            <w:r w:rsidRPr="00DA3C6E">
              <w:instrText xml:space="preserve"> ADDIN EN.CITE &lt;EndNote&gt;&lt;Cite&gt;&lt;Author&gt;Vucic&lt;/Author&gt;&lt;Year&gt;2004&lt;/Year&gt;&lt;RecNum&gt;71&lt;/RecNum&gt;&lt;DisplayText&gt;(31)&lt;/DisplayText&gt;&lt;record&gt;&lt;rec-number&gt;71&lt;/rec-number&gt;&lt;foreign-keys&gt;&lt;key app="EN" db-id="0992p2ztn5fez9e2wvnpw2xstd20f9w2dezz" timestamp="1586818281"&gt;71&lt;/key&gt;&lt;/foreign-keys&gt;&lt;ref-type name="Journal Article"&gt;17&lt;/ref-type&gt;&lt;contributors&gt;&lt;authors&gt;&lt;author&gt;Vucic, S.&lt;/author&gt;&lt;author&gt;Black, K. R.&lt;/author&gt;&lt;author&gt;Chong, P. S.&lt;/author&gt;&lt;author&gt;Cros, D.&lt;/author&gt;&lt;/authors&gt;&lt;/contributors&gt;&lt;auth-address&gt;Department of Neurology, Massachusetts General Hospital, Boston, MA, USA.&lt;/auth-address&gt;&lt;titles&gt;&lt;title&gt;Multifocal motor neuropathy: decrease in conduction blocks and reinnervation with long-term IVIg&lt;/title&gt;&lt;secondary-title&gt;Neurology&lt;/secondary-title&gt;&lt;/titles&gt;&lt;periodical&gt;&lt;full-title&gt;Neurology&lt;/full-title&gt;&lt;/periodical&gt;&lt;pages&gt;1264-9&lt;/pages&gt;&lt;volume&gt;63&lt;/volume&gt;&lt;number&gt;7&lt;/number&gt;&lt;keywords&gt;&lt;keyword&gt;Action Potentials/drug effects&lt;/keyword&gt;&lt;keyword&gt;Adult&lt;/keyword&gt;&lt;keyword&gt;Axons/drug effects/physiology&lt;/keyword&gt;&lt;keyword&gt;Drug Administration Schedule&lt;/keyword&gt;&lt;keyword&gt;Female&lt;/keyword&gt;&lt;keyword&gt;Follow-Up Studies&lt;/keyword&gt;&lt;keyword&gt;Humans&lt;/keyword&gt;&lt;keyword&gt;Immunoglobulins, Intravenous/administration &amp;amp; dosage/ therapeutic use&lt;/keyword&gt;&lt;keyword&gt;Male&lt;/keyword&gt;&lt;keyword&gt;Middle Aged&lt;/keyword&gt;&lt;keyword&gt;Motor Neuron Disease/physiopathology/ therapy&lt;/keyword&gt;&lt;keyword&gt;Muscle Weakness/physiopathology/therapy&lt;/keyword&gt;&lt;keyword&gt;Muscles/drug effects/physiopathology&lt;/keyword&gt;&lt;keyword&gt;Nerve Degeneration/physiopathology&lt;/keyword&gt;&lt;keyword&gt;Neural Conduction/ drug effects&lt;/keyword&gt;&lt;keyword&gt;Polyneuropathies/physiopathology/ therapy&lt;/keyword&gt;&lt;/keywords&gt;&lt;dates&gt;&lt;year&gt;2004&lt;/year&gt;&lt;pub-dates&gt;&lt;date&gt;Oct 12&lt;/date&gt;&lt;/pub-dates&gt;&lt;/dates&gt;&lt;accession-num&gt;15477549&lt;/accession-num&gt;&lt;urls&gt;&lt;related-urls&gt;&lt;url&gt;https://n.neurology.org/content/63/7/1264.long&lt;/url&gt;&lt;/related-urls&gt;&lt;/urls&gt;&lt;research-notes&gt;B. 10 patients with MMN and CB&lt;/research-notes&gt;&lt;/record&gt;&lt;/Cite&gt;&lt;/EndNote&gt;</w:instrText>
            </w:r>
            <w:r w:rsidRPr="00DA3C6E">
              <w:fldChar w:fldCharType="separate"/>
            </w:r>
            <w:r w:rsidRPr="00DA3C6E">
              <w:rPr>
                <w:noProof/>
              </w:rPr>
              <w:t>(</w:t>
            </w:r>
            <w:hyperlink w:anchor="_ENREF_31" w:tooltip="Vucic, 2004 #71" w:history="1">
              <w:r w:rsidR="00C04BCE" w:rsidRPr="00DA3C6E">
                <w:rPr>
                  <w:noProof/>
                </w:rPr>
                <w:t>31</w:t>
              </w:r>
            </w:hyperlink>
            <w:r w:rsidRPr="00DA3C6E">
              <w:rPr>
                <w:noProof/>
              </w:rPr>
              <w:t>)</w:t>
            </w:r>
            <w:r w:rsidRPr="00DA3C6E">
              <w:fldChar w:fldCharType="end"/>
            </w:r>
          </w:p>
        </w:tc>
      </w:tr>
      <w:tr w:rsidR="007C7E04" w:rsidRPr="00DA3C6E" w14:paraId="12556382" w14:textId="77777777" w:rsidTr="00F02470">
        <w:tc>
          <w:tcPr>
            <w:tcW w:w="1976" w:type="dxa"/>
            <w:shd w:val="clear" w:color="auto" w:fill="auto"/>
            <w:vAlign w:val="center"/>
          </w:tcPr>
          <w:p w14:paraId="0FEA5AE6" w14:textId="215E2E42" w:rsidR="000B06F3" w:rsidRPr="00DA3C6E" w:rsidRDefault="000B06F3" w:rsidP="005272C2">
            <w:pPr>
              <w:pStyle w:val="Tabletext1"/>
              <w:ind w:left="0"/>
              <w:jc w:val="left"/>
            </w:pPr>
            <w:r w:rsidRPr="00DA3C6E">
              <w:t>Delmont et al</w:t>
            </w:r>
            <w:r w:rsidR="00A5773A" w:rsidRPr="00DA3C6E">
              <w:t>.</w:t>
            </w:r>
            <w:r w:rsidRPr="00DA3C6E">
              <w:t xml:space="preserve"> 2006</w:t>
            </w:r>
          </w:p>
        </w:tc>
        <w:tc>
          <w:tcPr>
            <w:tcW w:w="5786" w:type="dxa"/>
            <w:shd w:val="clear" w:color="auto" w:fill="auto"/>
            <w:vAlign w:val="center"/>
          </w:tcPr>
          <w:p w14:paraId="2CADF143" w14:textId="77777777" w:rsidR="000B06F3" w:rsidRPr="00DA3C6E" w:rsidRDefault="000B06F3" w:rsidP="00F02470">
            <w:pPr>
              <w:pStyle w:val="Tabletext1"/>
              <w:ind w:left="0"/>
              <w:jc w:val="left"/>
            </w:pPr>
            <w:r w:rsidRPr="00DA3C6E">
              <w:t>Multifocal motor neuropathy with and without conduction block: A single entity?</w:t>
            </w:r>
          </w:p>
        </w:tc>
        <w:tc>
          <w:tcPr>
            <w:tcW w:w="6692" w:type="dxa"/>
            <w:vAlign w:val="center"/>
          </w:tcPr>
          <w:p w14:paraId="280D6AA9" w14:textId="77777777" w:rsidR="000B06F3" w:rsidRPr="00DA3C6E" w:rsidRDefault="000B06F3" w:rsidP="00F02470">
            <w:pPr>
              <w:pStyle w:val="Tabletext1"/>
              <w:ind w:left="0"/>
              <w:jc w:val="left"/>
            </w:pPr>
            <w:r w:rsidRPr="00DA3C6E">
              <w:t>Neurology 67: 592-596</w:t>
            </w:r>
          </w:p>
        </w:tc>
        <w:tc>
          <w:tcPr>
            <w:tcW w:w="672" w:type="dxa"/>
            <w:vAlign w:val="center"/>
          </w:tcPr>
          <w:p w14:paraId="25C1AEA3" w14:textId="39A8BCA6" w:rsidR="000B06F3" w:rsidRPr="00DA3C6E" w:rsidRDefault="00DB568A" w:rsidP="00C04BCE">
            <w:pPr>
              <w:pStyle w:val="Tabletext1"/>
              <w:ind w:left="0"/>
              <w:jc w:val="left"/>
            </w:pPr>
            <w:r w:rsidRPr="00DA3C6E">
              <w:fldChar w:fldCharType="begin">
                <w:fldData xml:space="preserve">PEVuZE5vdGU+PENpdGU+PEF1dGhvcj5EZWxtb250PC9BdXRob3I+PFllYXI+MjAwNjwvWWVhcj48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=
</w:fldData>
              </w:fldChar>
            </w:r>
            <w:r w:rsidR="007810D6">
              <w:instrText xml:space="preserve"> ADDIN EN.CITE </w:instrText>
            </w:r>
            <w:r w:rsidR="007810D6">
              <w:fldChar w:fldCharType="begin">
                <w:fldData xml:space="preserve">PEVuZE5vdGU+PENpdGU+PEF1dGhvcj5EZWxtb250PC9BdXRob3I+PFllYXI+MjAwNjwvWWVhcj48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=
</w:fldData>
              </w:fldChar>
            </w:r>
            <w:r w:rsidR="007810D6">
              <w:instrText xml:space="preserve"> ADDIN EN.CITE.DATA </w:instrText>
            </w:r>
            <w:r w:rsidR="007810D6">
              <w:fldChar w:fldCharType="end"/>
            </w:r>
            <w:r w:rsidRPr="00DA3C6E">
              <w:fldChar w:fldCharType="separate"/>
            </w:r>
            <w:r w:rsidR="007810D6">
              <w:rPr>
                <w:noProof/>
              </w:rPr>
              <w:t>(</w:t>
            </w:r>
            <w:hyperlink w:anchor="_ENREF_55" w:tooltip="Delmont, 2006 #17" w:history="1">
              <w:r w:rsidR="00C04BCE">
                <w:rPr>
                  <w:noProof/>
                </w:rPr>
                <w:t>55</w:t>
              </w:r>
            </w:hyperlink>
            <w:r w:rsidR="007810D6">
              <w:rPr>
                <w:noProof/>
              </w:rPr>
              <w:t>)</w:t>
            </w:r>
            <w:r w:rsidRPr="00DA3C6E">
              <w:fldChar w:fldCharType="end"/>
            </w:r>
          </w:p>
        </w:tc>
      </w:tr>
      <w:tr w:rsidR="007C7E04" w:rsidRPr="00DA3C6E" w14:paraId="3BA3E3DF" w14:textId="77777777" w:rsidTr="00F02470">
        <w:tc>
          <w:tcPr>
            <w:tcW w:w="1976" w:type="dxa"/>
            <w:vAlign w:val="center"/>
          </w:tcPr>
          <w:p w14:paraId="70D71FDB" w14:textId="5ED53110" w:rsidR="000B06F3" w:rsidRPr="00DA3C6E" w:rsidRDefault="000B06F3" w:rsidP="005272C2">
            <w:pPr>
              <w:pStyle w:val="Tabletext1"/>
              <w:ind w:left="0"/>
              <w:jc w:val="left"/>
              <w:rPr>
                <w:lang w:val="nn-NO"/>
              </w:rPr>
            </w:pPr>
            <w:r w:rsidRPr="00DA3C6E">
              <w:t>Sl</w:t>
            </w:r>
            <w:r w:rsidRPr="00DA3C6E">
              <w:rPr>
                <w:lang w:val="nn-NO"/>
              </w:rPr>
              <w:t>ee et al</w:t>
            </w:r>
            <w:r w:rsidR="00A5773A" w:rsidRPr="00DA3C6E">
              <w:rPr>
                <w:lang w:val="nn-NO"/>
              </w:rPr>
              <w:t>.</w:t>
            </w:r>
            <w:r w:rsidRPr="00DA3C6E">
              <w:rPr>
                <w:lang w:val="nn-NO"/>
              </w:rPr>
              <w:t xml:space="preserve"> 2007</w:t>
            </w:r>
          </w:p>
        </w:tc>
        <w:tc>
          <w:tcPr>
            <w:tcW w:w="5786" w:type="dxa"/>
            <w:vAlign w:val="center"/>
          </w:tcPr>
          <w:p w14:paraId="07EE0627" w14:textId="77777777" w:rsidR="000B06F3" w:rsidRPr="00DA3C6E" w:rsidRDefault="000B06F3" w:rsidP="00F02470">
            <w:pPr>
              <w:pStyle w:val="Tabletext1"/>
              <w:ind w:left="0"/>
              <w:jc w:val="left"/>
            </w:pPr>
            <w:r w:rsidRPr="00DA3C6E">
              <w:t>Multifocal motor neuropathy. The diagnostic spectrum and response to treatment</w:t>
            </w:r>
          </w:p>
        </w:tc>
        <w:tc>
          <w:tcPr>
            <w:tcW w:w="6692" w:type="dxa"/>
            <w:vAlign w:val="center"/>
          </w:tcPr>
          <w:p w14:paraId="516EC7BB" w14:textId="77777777" w:rsidR="000B06F3" w:rsidRPr="00DA3C6E" w:rsidRDefault="000B06F3" w:rsidP="00F02470">
            <w:pPr>
              <w:pStyle w:val="Tabletext1"/>
              <w:ind w:left="0"/>
              <w:jc w:val="left"/>
            </w:pPr>
            <w:r w:rsidRPr="00DA3C6E">
              <w:t>Neurology 69:1680–1687</w:t>
            </w:r>
          </w:p>
        </w:tc>
        <w:tc>
          <w:tcPr>
            <w:tcW w:w="672" w:type="dxa"/>
            <w:vAlign w:val="center"/>
          </w:tcPr>
          <w:p w14:paraId="21F1284D" w14:textId="4FC8DB96" w:rsidR="000B06F3" w:rsidRPr="00DA3C6E" w:rsidRDefault="00DB568A" w:rsidP="00C04BCE">
            <w:pPr>
              <w:pStyle w:val="Tabletext1"/>
              <w:ind w:left="0"/>
              <w:jc w:val="left"/>
            </w:pPr>
            <w:r w:rsidRPr="00DA3C6E">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instrText xml:space="preserve"> ADDIN EN.CITE </w:instrText>
            </w:r>
            <w:r w:rsidR="007810D6">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instrText xml:space="preserve"> ADDIN EN.CITE.DATA </w:instrText>
            </w:r>
            <w:r w:rsidR="007810D6">
              <w:fldChar w:fldCharType="end"/>
            </w:r>
            <w:r w:rsidRPr="00DA3C6E">
              <w:fldChar w:fldCharType="separate"/>
            </w:r>
            <w:r w:rsidR="007810D6">
              <w:rPr>
                <w:noProof/>
              </w:rPr>
              <w:t>(</w:t>
            </w:r>
            <w:hyperlink w:anchor="_ENREF_56" w:tooltip="Slee, 2007 #60" w:history="1">
              <w:r w:rsidR="00C04BCE">
                <w:rPr>
                  <w:noProof/>
                </w:rPr>
                <w:t>56</w:t>
              </w:r>
            </w:hyperlink>
            <w:r w:rsidR="007810D6">
              <w:rPr>
                <w:noProof/>
              </w:rPr>
              <w:t>)</w:t>
            </w:r>
            <w:r w:rsidRPr="00DA3C6E">
              <w:fldChar w:fldCharType="end"/>
            </w:r>
          </w:p>
        </w:tc>
      </w:tr>
      <w:tr w:rsidR="007C7E04" w:rsidRPr="00DA3C6E" w14:paraId="1252507D" w14:textId="77777777" w:rsidTr="00F02470">
        <w:tc>
          <w:tcPr>
            <w:tcW w:w="1976" w:type="dxa"/>
            <w:vAlign w:val="center"/>
          </w:tcPr>
          <w:p w14:paraId="1969A9F2" w14:textId="33C81A70" w:rsidR="000B06F3" w:rsidRPr="00DA3C6E" w:rsidRDefault="000B06F3" w:rsidP="005272C2">
            <w:pPr>
              <w:pStyle w:val="Tabletext1"/>
              <w:ind w:left="0"/>
              <w:jc w:val="left"/>
            </w:pPr>
            <w:r w:rsidRPr="00DA3C6E">
              <w:t>Leger et al</w:t>
            </w:r>
            <w:r w:rsidR="00A5773A" w:rsidRPr="00DA3C6E">
              <w:t>.</w:t>
            </w:r>
            <w:r w:rsidRPr="00DA3C6E">
              <w:t xml:space="preserve"> 2008</w:t>
            </w:r>
          </w:p>
        </w:tc>
        <w:tc>
          <w:tcPr>
            <w:tcW w:w="5786" w:type="dxa"/>
            <w:vAlign w:val="center"/>
          </w:tcPr>
          <w:p w14:paraId="05A96AC8" w14:textId="77777777" w:rsidR="000B06F3" w:rsidRPr="00DA3C6E" w:rsidRDefault="000B06F3" w:rsidP="00F02470">
            <w:pPr>
              <w:pStyle w:val="Tabletext1"/>
              <w:ind w:left="0"/>
              <w:jc w:val="left"/>
            </w:pPr>
            <w:r w:rsidRPr="00DA3C6E">
              <w:t>Intravenous immunoglobulin as short- and long-term therapy of multifocal motor neuropathy: A retrospective study of response to intravenous Ig and of its predictive criteria in 40 patients</w:t>
            </w:r>
          </w:p>
        </w:tc>
        <w:tc>
          <w:tcPr>
            <w:tcW w:w="6692" w:type="dxa"/>
            <w:vAlign w:val="center"/>
          </w:tcPr>
          <w:p w14:paraId="4F72212B" w14:textId="77777777" w:rsidR="000B06F3" w:rsidRPr="00DA3C6E" w:rsidRDefault="000B06F3" w:rsidP="00F02470">
            <w:pPr>
              <w:pStyle w:val="Tabletext1"/>
              <w:ind w:left="0"/>
              <w:jc w:val="left"/>
            </w:pPr>
            <w:r w:rsidRPr="00DA3C6E">
              <w:t>Journal of Neurology, Neurosurgery and Psychiatry 79:93–9</w:t>
            </w:r>
          </w:p>
        </w:tc>
        <w:tc>
          <w:tcPr>
            <w:tcW w:w="672" w:type="dxa"/>
            <w:vAlign w:val="center"/>
          </w:tcPr>
          <w:p w14:paraId="686F5665" w14:textId="21C1380B" w:rsidR="000B06F3" w:rsidRPr="00DA3C6E" w:rsidRDefault="00DB568A" w:rsidP="00C04BCE">
            <w:pPr>
              <w:pStyle w:val="Tabletext1"/>
              <w:ind w:left="0"/>
              <w:jc w:val="left"/>
            </w:pPr>
            <w:r w:rsidRPr="00DA3C6E">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Pr="00DA3C6E">
              <w:instrText xml:space="preserve"> ADDIN EN.CITE </w:instrText>
            </w:r>
            <w:r w:rsidRPr="00DA3C6E">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Pr="00DA3C6E">
              <w:instrText xml:space="preserve"> ADDIN EN.CITE.DATA </w:instrText>
            </w:r>
            <w:r w:rsidRPr="00DA3C6E">
              <w:fldChar w:fldCharType="end"/>
            </w:r>
            <w:r w:rsidRPr="00DA3C6E">
              <w:fldChar w:fldCharType="separate"/>
            </w:r>
            <w:r w:rsidRPr="00DA3C6E">
              <w:rPr>
                <w:noProof/>
              </w:rPr>
              <w:t>(</w:t>
            </w:r>
            <w:hyperlink w:anchor="_ENREF_19" w:tooltip="Leger, 2008 #40" w:history="1">
              <w:r w:rsidR="00C04BCE" w:rsidRPr="00DA3C6E">
                <w:rPr>
                  <w:noProof/>
                </w:rPr>
                <w:t>19</w:t>
              </w:r>
            </w:hyperlink>
            <w:r w:rsidRPr="00DA3C6E">
              <w:rPr>
                <w:noProof/>
              </w:rPr>
              <w:t>)</w:t>
            </w:r>
            <w:r w:rsidRPr="00DA3C6E">
              <w:fldChar w:fldCharType="end"/>
            </w:r>
          </w:p>
        </w:tc>
      </w:tr>
      <w:tr w:rsidR="007C7E04" w:rsidRPr="00DA3C6E" w14:paraId="40824C26" w14:textId="77777777" w:rsidTr="00F02470">
        <w:tc>
          <w:tcPr>
            <w:tcW w:w="1976" w:type="dxa"/>
            <w:vAlign w:val="center"/>
          </w:tcPr>
          <w:p w14:paraId="7AE67F2F" w14:textId="2572E2E1" w:rsidR="000B06F3" w:rsidRPr="00DA3C6E" w:rsidRDefault="000B06F3" w:rsidP="005272C2">
            <w:pPr>
              <w:pStyle w:val="Tabletext1"/>
              <w:ind w:left="0"/>
              <w:jc w:val="left"/>
              <w:rPr>
                <w:lang w:val="nn-NO"/>
              </w:rPr>
            </w:pPr>
            <w:r w:rsidRPr="00DA3C6E">
              <w:rPr>
                <w:lang w:val="nn-NO"/>
              </w:rPr>
              <w:t>Baumann et al</w:t>
            </w:r>
            <w:r w:rsidR="00A5773A" w:rsidRPr="00DA3C6E">
              <w:rPr>
                <w:lang w:val="nn-NO"/>
              </w:rPr>
              <w:t>.</w:t>
            </w:r>
            <w:r w:rsidRPr="00DA3C6E">
              <w:rPr>
                <w:lang w:val="nn-NO"/>
              </w:rPr>
              <w:t xml:space="preserve"> 2009</w:t>
            </w:r>
          </w:p>
        </w:tc>
        <w:tc>
          <w:tcPr>
            <w:tcW w:w="5786" w:type="dxa"/>
            <w:vAlign w:val="center"/>
          </w:tcPr>
          <w:p w14:paraId="77AA1B9E" w14:textId="77777777" w:rsidR="000B06F3" w:rsidRPr="00DA3C6E" w:rsidRDefault="000B06F3" w:rsidP="00F02470">
            <w:pPr>
              <w:pStyle w:val="Tabletext1"/>
              <w:ind w:left="0"/>
              <w:jc w:val="left"/>
            </w:pPr>
            <w:r w:rsidRPr="00DA3C6E">
              <w:t>Intravenous immunoglobulin dose increase in multifocal motor neuropathy: a prospective six month follow-up</w:t>
            </w:r>
          </w:p>
        </w:tc>
        <w:tc>
          <w:tcPr>
            <w:tcW w:w="6692" w:type="dxa"/>
            <w:vAlign w:val="center"/>
          </w:tcPr>
          <w:p w14:paraId="53F26BD1" w14:textId="77777777" w:rsidR="000B06F3" w:rsidRPr="00DA3C6E" w:rsidRDefault="000B06F3" w:rsidP="00F02470">
            <w:pPr>
              <w:pStyle w:val="Tabletext1"/>
              <w:ind w:left="0"/>
              <w:jc w:val="left"/>
            </w:pPr>
            <w:r w:rsidRPr="00DA3C6E">
              <w:t>Journal of Neurology 256:608–614</w:t>
            </w:r>
          </w:p>
        </w:tc>
        <w:tc>
          <w:tcPr>
            <w:tcW w:w="672" w:type="dxa"/>
            <w:vAlign w:val="center"/>
          </w:tcPr>
          <w:p w14:paraId="161F0EAA" w14:textId="161A6173" w:rsidR="000B06F3" w:rsidRPr="00DA3C6E" w:rsidRDefault="00DB568A" w:rsidP="00C04BCE">
            <w:pPr>
              <w:pStyle w:val="Tabletext1"/>
              <w:ind w:left="0"/>
              <w:jc w:val="left"/>
            </w:pPr>
            <w:r w:rsidRPr="00DA3C6E">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Pr="00DA3C6E">
              <w:instrText xml:space="preserve"> ADDIN EN.CITE </w:instrText>
            </w:r>
            <w:r w:rsidRPr="00DA3C6E">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Pr="00DA3C6E">
              <w:instrText xml:space="preserve"> ADDIN EN.CITE.DATA </w:instrText>
            </w:r>
            <w:r w:rsidRPr="00DA3C6E">
              <w:fldChar w:fldCharType="end"/>
            </w:r>
            <w:r w:rsidRPr="00DA3C6E">
              <w:fldChar w:fldCharType="separate"/>
            </w:r>
            <w:r w:rsidRPr="00DA3C6E">
              <w:rPr>
                <w:noProof/>
              </w:rPr>
              <w:t>(</w:t>
            </w:r>
            <w:hyperlink w:anchor="_ENREF_40" w:tooltip="Baumann, 2009 #7" w:history="1">
              <w:r w:rsidR="00C04BCE" w:rsidRPr="00DA3C6E">
                <w:rPr>
                  <w:noProof/>
                </w:rPr>
                <w:t>40</w:t>
              </w:r>
            </w:hyperlink>
            <w:r w:rsidRPr="00DA3C6E">
              <w:rPr>
                <w:noProof/>
              </w:rPr>
              <w:t>)</w:t>
            </w:r>
            <w:r w:rsidRPr="00DA3C6E">
              <w:fldChar w:fldCharType="end"/>
            </w:r>
          </w:p>
        </w:tc>
      </w:tr>
      <w:tr w:rsidR="007C7E04" w:rsidRPr="00DA3C6E" w14:paraId="55A55D6B" w14:textId="77777777" w:rsidTr="00F02470">
        <w:tc>
          <w:tcPr>
            <w:tcW w:w="1976" w:type="dxa"/>
            <w:vAlign w:val="center"/>
          </w:tcPr>
          <w:p w14:paraId="61B03714" w14:textId="4376982C" w:rsidR="000B06F3" w:rsidRPr="00DA3C6E" w:rsidRDefault="000B06F3" w:rsidP="005272C2">
            <w:pPr>
              <w:pStyle w:val="Tabletext1"/>
              <w:ind w:left="0"/>
              <w:jc w:val="left"/>
              <w:rPr>
                <w:lang w:val="nn-NO"/>
              </w:rPr>
            </w:pPr>
            <w:r w:rsidRPr="00DA3C6E">
              <w:rPr>
                <w:lang w:val="nn-NO"/>
              </w:rPr>
              <w:t>Cats et al</w:t>
            </w:r>
            <w:r w:rsidR="00A5773A" w:rsidRPr="00DA3C6E">
              <w:rPr>
                <w:lang w:val="nn-NO"/>
              </w:rPr>
              <w:t>.</w:t>
            </w:r>
            <w:r w:rsidRPr="00DA3C6E">
              <w:rPr>
                <w:lang w:val="nn-NO"/>
              </w:rPr>
              <w:t xml:space="preserve"> 2010</w:t>
            </w:r>
          </w:p>
        </w:tc>
        <w:tc>
          <w:tcPr>
            <w:tcW w:w="5786" w:type="dxa"/>
            <w:vAlign w:val="center"/>
          </w:tcPr>
          <w:p w14:paraId="403DDBF9" w14:textId="77777777" w:rsidR="000B06F3" w:rsidRPr="00DA3C6E" w:rsidRDefault="000B06F3" w:rsidP="00F02470">
            <w:pPr>
              <w:pStyle w:val="Tabletext1"/>
              <w:ind w:left="0"/>
              <w:jc w:val="left"/>
            </w:pPr>
            <w:r w:rsidRPr="00DA3C6E">
              <w:t>Correlates of outcome and response to intravenous Ig in 88 patients with multifocal motor neuropathy</w:t>
            </w:r>
          </w:p>
        </w:tc>
        <w:tc>
          <w:tcPr>
            <w:tcW w:w="6692" w:type="dxa"/>
            <w:vAlign w:val="center"/>
          </w:tcPr>
          <w:p w14:paraId="202CB3E7" w14:textId="77777777" w:rsidR="000B06F3" w:rsidRPr="00DA3C6E" w:rsidRDefault="000B06F3" w:rsidP="00F02470">
            <w:pPr>
              <w:pStyle w:val="Tabletext1"/>
              <w:ind w:left="0"/>
              <w:jc w:val="left"/>
            </w:pPr>
            <w:r w:rsidRPr="00DA3C6E">
              <w:t>Neurology 75:818–825</w:t>
            </w:r>
          </w:p>
        </w:tc>
        <w:tc>
          <w:tcPr>
            <w:tcW w:w="672" w:type="dxa"/>
            <w:vAlign w:val="center"/>
          </w:tcPr>
          <w:p w14:paraId="6DFE7397" w14:textId="76BA1A2B" w:rsidR="000B06F3" w:rsidRPr="00DA3C6E" w:rsidRDefault="00DB568A" w:rsidP="00C04BCE">
            <w:pPr>
              <w:pStyle w:val="Tabletext1"/>
              <w:ind w:left="0"/>
              <w:jc w:val="left"/>
            </w:pPr>
            <w:r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Pr="00DA3C6E">
              <w:instrText xml:space="preserve"> ADDIN EN.CITE </w:instrText>
            </w:r>
            <w:r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Pr="00DA3C6E">
              <w:instrText xml:space="preserve"> ADDIN EN.CITE.DATA </w:instrText>
            </w:r>
            <w:r w:rsidRPr="00DA3C6E">
              <w:fldChar w:fldCharType="end"/>
            </w:r>
            <w:r w:rsidRPr="00DA3C6E">
              <w:fldChar w:fldCharType="separate"/>
            </w:r>
            <w:r w:rsidRPr="00DA3C6E">
              <w:rPr>
                <w:noProof/>
              </w:rPr>
              <w:t>(</w:t>
            </w:r>
            <w:hyperlink w:anchor="_ENREF_14" w:tooltip="Cats, 2010 #13" w:history="1">
              <w:r w:rsidR="00C04BCE" w:rsidRPr="00DA3C6E">
                <w:rPr>
                  <w:noProof/>
                </w:rPr>
                <w:t>14</w:t>
              </w:r>
            </w:hyperlink>
            <w:r w:rsidRPr="00DA3C6E">
              <w:rPr>
                <w:noProof/>
              </w:rPr>
              <w:t>)</w:t>
            </w:r>
            <w:r w:rsidRPr="00DA3C6E">
              <w:fldChar w:fldCharType="end"/>
            </w:r>
          </w:p>
        </w:tc>
      </w:tr>
      <w:tr w:rsidR="007C7E04" w:rsidRPr="00DA3C6E" w14:paraId="0704E96C" w14:textId="77777777" w:rsidTr="00F02470">
        <w:tc>
          <w:tcPr>
            <w:tcW w:w="1976" w:type="dxa"/>
            <w:vAlign w:val="center"/>
          </w:tcPr>
          <w:p w14:paraId="43FDAB8F" w14:textId="37B89FEF" w:rsidR="000B06F3" w:rsidRPr="00DA3C6E" w:rsidRDefault="000B06F3" w:rsidP="005272C2">
            <w:pPr>
              <w:pStyle w:val="Tabletext1"/>
              <w:ind w:left="0"/>
              <w:jc w:val="left"/>
              <w:rPr>
                <w:lang w:val="nn-NO"/>
              </w:rPr>
            </w:pPr>
            <w:r w:rsidRPr="00DA3C6E">
              <w:rPr>
                <w:lang w:val="nn-NO"/>
              </w:rPr>
              <w:t>Vlam et al</w:t>
            </w:r>
            <w:r w:rsidR="00A5773A" w:rsidRPr="00DA3C6E">
              <w:rPr>
                <w:lang w:val="nn-NO"/>
              </w:rPr>
              <w:t>.</w:t>
            </w:r>
            <w:r w:rsidRPr="00DA3C6E">
              <w:rPr>
                <w:lang w:val="nn-NO"/>
              </w:rPr>
              <w:t xml:space="preserve"> 2013</w:t>
            </w:r>
          </w:p>
        </w:tc>
        <w:tc>
          <w:tcPr>
            <w:tcW w:w="5786" w:type="dxa"/>
            <w:vAlign w:val="center"/>
          </w:tcPr>
          <w:p w14:paraId="75AB770B" w14:textId="77777777" w:rsidR="000B06F3" w:rsidRPr="00DA3C6E" w:rsidRDefault="000B06F3" w:rsidP="00F02470">
            <w:pPr>
              <w:pStyle w:val="Tabletext1"/>
              <w:ind w:left="0"/>
              <w:jc w:val="left"/>
            </w:pPr>
            <w:r w:rsidRPr="00DA3C6E">
              <w:t>Pharmacokinetics of intravenous immunoglobulin in multifocal motor neuropathy</w:t>
            </w:r>
          </w:p>
        </w:tc>
        <w:tc>
          <w:tcPr>
            <w:tcW w:w="6692" w:type="dxa"/>
            <w:vAlign w:val="center"/>
          </w:tcPr>
          <w:p w14:paraId="4E02E8FE" w14:textId="77777777" w:rsidR="000B06F3" w:rsidRPr="00DA3C6E" w:rsidRDefault="000B06F3" w:rsidP="00F02470">
            <w:pPr>
              <w:pStyle w:val="Tabletext1"/>
              <w:ind w:left="0"/>
              <w:jc w:val="left"/>
            </w:pPr>
            <w:r w:rsidRPr="00DA3C6E">
              <w:t>Journal of Neurology Neurosurgery and Psychiatry 85:1145–1148.</w:t>
            </w:r>
          </w:p>
        </w:tc>
        <w:tc>
          <w:tcPr>
            <w:tcW w:w="672" w:type="dxa"/>
            <w:vAlign w:val="center"/>
          </w:tcPr>
          <w:p w14:paraId="60B125D3" w14:textId="19CB5134" w:rsidR="000B06F3" w:rsidRPr="00DA3C6E" w:rsidRDefault="00DB568A" w:rsidP="00C04BCE">
            <w:pPr>
              <w:pStyle w:val="Tabletext1"/>
              <w:ind w:left="0"/>
              <w:jc w:val="left"/>
            </w:pPr>
            <w:r w:rsidRPr="00DA3C6E">
              <w:fldChar w:fldCharType="begin">
                <w:fldData xml:space="preserve">PEVuZE5vdGU+PENpdGU+PEF1dGhvcj5WbGFtPC9BdXRob3I+PFllYXI+MjAxMzwvWWVhcj48UmVj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</w:fldData>
              </w:fldChar>
            </w:r>
            <w:r w:rsidR="007810D6">
              <w:instrText xml:space="preserve"> ADDIN EN.CITE </w:instrText>
            </w:r>
            <w:r w:rsidR="007810D6">
              <w:fldChar w:fldCharType="begin">
                <w:fldData xml:space="preserve">PEVuZE5vdGU+PENpdGU+PEF1dGhvcj5WbGFtPC9BdXRob3I+PFllYXI+MjAxMzwvWWVhcj48UmVj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</w:fldData>
              </w:fldChar>
            </w:r>
            <w:r w:rsidR="007810D6">
              <w:instrText xml:space="preserve"> ADDIN EN.CITE.DATA </w:instrText>
            </w:r>
            <w:r w:rsidR="007810D6">
              <w:fldChar w:fldCharType="end"/>
            </w:r>
            <w:r w:rsidRPr="00DA3C6E">
              <w:fldChar w:fldCharType="separate"/>
            </w:r>
            <w:r w:rsidR="007810D6">
              <w:rPr>
                <w:noProof/>
              </w:rPr>
              <w:t>(</w:t>
            </w:r>
            <w:hyperlink w:anchor="_ENREF_73" w:tooltip="Vlam, 2013 #70" w:history="1">
              <w:r w:rsidR="00C04BCE">
                <w:rPr>
                  <w:noProof/>
                </w:rPr>
                <w:t>73</w:t>
              </w:r>
            </w:hyperlink>
            <w:r w:rsidR="007810D6">
              <w:rPr>
                <w:noProof/>
              </w:rPr>
              <w:t>)</w:t>
            </w:r>
            <w:r w:rsidRPr="00DA3C6E">
              <w:fldChar w:fldCharType="end"/>
            </w:r>
          </w:p>
        </w:tc>
      </w:tr>
      <w:tr w:rsidR="007C7E04" w:rsidRPr="00DA3C6E" w14:paraId="619E63BF" w14:textId="77777777" w:rsidTr="00F02470">
        <w:tc>
          <w:tcPr>
            <w:tcW w:w="1976" w:type="dxa"/>
            <w:vAlign w:val="center"/>
          </w:tcPr>
          <w:p w14:paraId="627B7893" w14:textId="40DC6665" w:rsidR="000B06F3" w:rsidRPr="00DA3C6E" w:rsidRDefault="000B06F3" w:rsidP="005272C2">
            <w:pPr>
              <w:pStyle w:val="Tabletext1"/>
              <w:ind w:left="0"/>
              <w:jc w:val="left"/>
              <w:rPr>
                <w:lang w:val="nn-NO"/>
              </w:rPr>
            </w:pPr>
            <w:r w:rsidRPr="00DA3C6E">
              <w:rPr>
                <w:lang w:val="nn-NO"/>
              </w:rPr>
              <w:t>Nobile-Orazio</w:t>
            </w:r>
            <w:r w:rsidR="00A5773A" w:rsidRPr="00DA3C6E">
              <w:rPr>
                <w:lang w:val="nn-NO"/>
              </w:rPr>
              <w:t xml:space="preserve"> et al.</w:t>
            </w:r>
            <w:r w:rsidRPr="00DA3C6E">
              <w:rPr>
                <w:lang w:val="nn-NO"/>
              </w:rPr>
              <w:t xml:space="preserve"> 2017</w:t>
            </w:r>
          </w:p>
        </w:tc>
        <w:tc>
          <w:tcPr>
            <w:tcW w:w="5786" w:type="dxa"/>
            <w:vAlign w:val="center"/>
          </w:tcPr>
          <w:p w14:paraId="35CD7CEA" w14:textId="77777777" w:rsidR="000B06F3" w:rsidRPr="00DA3C6E" w:rsidRDefault="000B06F3" w:rsidP="00F02470">
            <w:pPr>
              <w:pStyle w:val="Tabletext1"/>
              <w:ind w:left="0"/>
              <w:jc w:val="left"/>
            </w:pPr>
            <w:r w:rsidRPr="00DA3C6E">
              <w:t>High-dose Ig VENA is well tolerated and efficacious in patients with multifocal motor neuropathy</w:t>
            </w:r>
          </w:p>
        </w:tc>
        <w:tc>
          <w:tcPr>
            <w:tcW w:w="6692" w:type="dxa"/>
            <w:vAlign w:val="center"/>
          </w:tcPr>
          <w:p w14:paraId="273DEADC" w14:textId="77777777" w:rsidR="000B06F3" w:rsidRPr="00DA3C6E" w:rsidRDefault="000B06F3" w:rsidP="00F02470">
            <w:pPr>
              <w:pStyle w:val="Tabletext1"/>
              <w:ind w:left="0"/>
              <w:jc w:val="left"/>
            </w:pPr>
            <w:r w:rsidRPr="00DA3C6E">
              <w:t>Neurological Sciences 38:899–902</w:t>
            </w:r>
          </w:p>
        </w:tc>
        <w:tc>
          <w:tcPr>
            <w:tcW w:w="672" w:type="dxa"/>
            <w:vAlign w:val="center"/>
          </w:tcPr>
          <w:p w14:paraId="0D67C933" w14:textId="1A05FEDA" w:rsidR="000B06F3" w:rsidRPr="00DA3C6E" w:rsidRDefault="00DB568A" w:rsidP="00C04BCE">
            <w:pPr>
              <w:pStyle w:val="Tabletext1"/>
              <w:ind w:left="0"/>
              <w:jc w:val="left"/>
            </w:pPr>
            <w:r w:rsidRPr="00DA3C6E">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Pr="00DA3C6E">
              <w:instrText xml:space="preserve"> ADDIN EN.CITE </w:instrText>
            </w:r>
            <w:r w:rsidRPr="00DA3C6E">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Pr="00DA3C6E">
              <w:instrText xml:space="preserve"> ADDIN EN.CITE.DATA </w:instrText>
            </w:r>
            <w:r w:rsidRPr="00DA3C6E">
              <w:fldChar w:fldCharType="end"/>
            </w:r>
            <w:r w:rsidRPr="00DA3C6E">
              <w:fldChar w:fldCharType="separate"/>
            </w:r>
            <w:r w:rsidRPr="00DA3C6E">
              <w:rPr>
                <w:noProof/>
              </w:rPr>
              <w:t>(</w:t>
            </w:r>
            <w:hyperlink w:anchor="_ENREF_41" w:tooltip="Nobile-Orazio, 2017 #50" w:history="1">
              <w:r w:rsidR="00C04BCE" w:rsidRPr="00DA3C6E">
                <w:rPr>
                  <w:noProof/>
                </w:rPr>
                <w:t>41</w:t>
              </w:r>
            </w:hyperlink>
            <w:r w:rsidRPr="00DA3C6E">
              <w:rPr>
                <w:noProof/>
              </w:rPr>
              <w:t>)</w:t>
            </w:r>
            <w:r w:rsidRPr="00DA3C6E">
              <w:fldChar w:fldCharType="end"/>
            </w:r>
          </w:p>
        </w:tc>
      </w:tr>
      <w:tr w:rsidR="007C7E04" w:rsidRPr="00DA3C6E" w14:paraId="74E65082" w14:textId="77777777" w:rsidTr="00F02470">
        <w:tc>
          <w:tcPr>
            <w:tcW w:w="1976" w:type="dxa"/>
            <w:vAlign w:val="center"/>
          </w:tcPr>
          <w:p w14:paraId="14657566" w14:textId="5B0509F4" w:rsidR="000B06F3" w:rsidRPr="00DA3C6E" w:rsidRDefault="000B06F3" w:rsidP="005272C2">
            <w:pPr>
              <w:pStyle w:val="Tabletext1"/>
              <w:ind w:left="0"/>
              <w:jc w:val="left"/>
              <w:rPr>
                <w:lang w:val="nn-NO"/>
              </w:rPr>
            </w:pPr>
            <w:r w:rsidRPr="00DA3C6E">
              <w:rPr>
                <w:lang w:val="nn-NO"/>
              </w:rPr>
              <w:t xml:space="preserve">Goedee </w:t>
            </w:r>
            <w:r w:rsidR="00A5773A" w:rsidRPr="00DA3C6E">
              <w:rPr>
                <w:lang w:val="nn-NO"/>
              </w:rPr>
              <w:t>e</w:t>
            </w:r>
            <w:r w:rsidRPr="00DA3C6E">
              <w:rPr>
                <w:lang w:val="nn-NO"/>
              </w:rPr>
              <w:t>t al</w:t>
            </w:r>
            <w:r w:rsidR="00A5773A" w:rsidRPr="00DA3C6E">
              <w:rPr>
                <w:lang w:val="nn-NO"/>
              </w:rPr>
              <w:t>.</w:t>
            </w:r>
            <w:r w:rsidRPr="00DA3C6E">
              <w:rPr>
                <w:lang w:val="nn-NO"/>
              </w:rPr>
              <w:t xml:space="preserve"> 2018</w:t>
            </w:r>
          </w:p>
        </w:tc>
        <w:tc>
          <w:tcPr>
            <w:tcW w:w="5786" w:type="dxa"/>
            <w:vAlign w:val="center"/>
          </w:tcPr>
          <w:p w14:paraId="135589D2" w14:textId="77777777" w:rsidR="000B06F3" w:rsidRPr="00DA3C6E" w:rsidRDefault="000B06F3" w:rsidP="00F02470">
            <w:pPr>
              <w:pStyle w:val="Tabletext1"/>
              <w:ind w:left="0"/>
              <w:jc w:val="left"/>
            </w:pPr>
            <w:r w:rsidRPr="00DA3C6E">
              <w:t>Nerve ultrasound for the identification of treatment-responsive chronic neuropathies without nerve conduction abnormalities</w:t>
            </w:r>
          </w:p>
        </w:tc>
        <w:tc>
          <w:tcPr>
            <w:tcW w:w="6692" w:type="dxa"/>
            <w:shd w:val="clear" w:color="auto" w:fill="auto"/>
            <w:vAlign w:val="center"/>
          </w:tcPr>
          <w:p w14:paraId="539506DE" w14:textId="77777777" w:rsidR="000B06F3" w:rsidRPr="00DA3C6E" w:rsidRDefault="000B06F3" w:rsidP="00F02470">
            <w:pPr>
              <w:pStyle w:val="Tabletext1"/>
              <w:ind w:left="0"/>
              <w:jc w:val="left"/>
            </w:pPr>
            <w:r w:rsidRPr="00DA3C6E">
              <w:t>Muscle and Nerve 60(4): 415-419</w:t>
            </w:r>
          </w:p>
        </w:tc>
        <w:tc>
          <w:tcPr>
            <w:tcW w:w="672" w:type="dxa"/>
            <w:vAlign w:val="center"/>
          </w:tcPr>
          <w:p w14:paraId="17355ABA" w14:textId="38854C4B" w:rsidR="000B06F3" w:rsidRPr="00DA3C6E" w:rsidRDefault="00DB568A" w:rsidP="00C04BCE">
            <w:pPr>
              <w:pStyle w:val="Tabletext1"/>
              <w:ind w:left="0"/>
              <w:jc w:val="left"/>
            </w:pPr>
            <w:r w:rsidRPr="00DA3C6E">
              <w:fldChar w:fldCharType="begin">
                <w:fldData xml:space="preserve">PEVuZE5vdGU+PENpdGU+PEF1dGhvcj5Hb2VkZWU8L0F1dGhvcj48WWVhcj4yMDE4PC9ZZWFyPjxS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</w:fldData>
              </w:fldChar>
            </w:r>
            <w:r w:rsidR="007810D6">
              <w:instrText xml:space="preserve"> ADDIN EN.CITE </w:instrText>
            </w:r>
            <w:r w:rsidR="007810D6">
              <w:fldChar w:fldCharType="begin">
                <w:fldData xml:space="preserve">PEVuZE5vdGU+PENpdGU+PEF1dGhvcj5Hb2VkZWU8L0F1dGhvcj48WWVhcj4yMDE4PC9ZZWFyPjxS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</w:fldData>
              </w:fldChar>
            </w:r>
            <w:r w:rsidR="007810D6">
              <w:instrText xml:space="preserve"> ADDIN EN.CITE.DATA </w:instrText>
            </w:r>
            <w:r w:rsidR="007810D6">
              <w:fldChar w:fldCharType="end"/>
            </w:r>
            <w:r w:rsidRPr="00DA3C6E">
              <w:fldChar w:fldCharType="separate"/>
            </w:r>
            <w:r w:rsidR="007810D6">
              <w:rPr>
                <w:noProof/>
              </w:rPr>
              <w:t>(</w:t>
            </w:r>
            <w:hyperlink w:anchor="_ENREF_74" w:tooltip="Goedee, 2018 #23" w:history="1">
              <w:r w:rsidR="00C04BCE">
                <w:rPr>
                  <w:noProof/>
                </w:rPr>
                <w:t>74</w:t>
              </w:r>
            </w:hyperlink>
            <w:r w:rsidR="007810D6">
              <w:rPr>
                <w:noProof/>
              </w:rPr>
              <w:t>)</w:t>
            </w:r>
            <w:r w:rsidRPr="00DA3C6E">
              <w:fldChar w:fldCharType="end"/>
            </w:r>
          </w:p>
        </w:tc>
      </w:tr>
      <w:tr w:rsidR="007C7E04" w:rsidRPr="00DA3C6E" w14:paraId="73D0FE13" w14:textId="77777777" w:rsidTr="00F02470">
        <w:tc>
          <w:tcPr>
            <w:tcW w:w="1976" w:type="dxa"/>
            <w:vAlign w:val="center"/>
          </w:tcPr>
          <w:p w14:paraId="42AB7B3F" w14:textId="6B5BCC40" w:rsidR="000B06F3" w:rsidRPr="00DA3C6E" w:rsidRDefault="000B06F3" w:rsidP="005272C2">
            <w:pPr>
              <w:pStyle w:val="Tabletext1"/>
              <w:ind w:left="0"/>
              <w:jc w:val="left"/>
              <w:rPr>
                <w:lang w:val="nn-NO"/>
              </w:rPr>
            </w:pPr>
            <w:r w:rsidRPr="00DA3C6E">
              <w:rPr>
                <w:lang w:val="nn-NO"/>
              </w:rPr>
              <w:lastRenderedPageBreak/>
              <w:t>Kuwabara et al</w:t>
            </w:r>
            <w:r w:rsidR="00A5773A" w:rsidRPr="00DA3C6E">
              <w:rPr>
                <w:lang w:val="nn-NO"/>
              </w:rPr>
              <w:t>.</w:t>
            </w:r>
            <w:r w:rsidRPr="00DA3C6E">
              <w:rPr>
                <w:lang w:val="nn-NO"/>
              </w:rPr>
              <w:t xml:space="preserve"> 2018 </w:t>
            </w:r>
          </w:p>
        </w:tc>
        <w:tc>
          <w:tcPr>
            <w:tcW w:w="5786" w:type="dxa"/>
            <w:vAlign w:val="center"/>
          </w:tcPr>
          <w:p w14:paraId="47A3E8A4" w14:textId="77777777" w:rsidR="000B06F3" w:rsidRPr="00DA3C6E" w:rsidRDefault="000B06F3" w:rsidP="00F02470">
            <w:pPr>
              <w:pStyle w:val="Tabletext1"/>
              <w:ind w:left="0"/>
              <w:jc w:val="left"/>
            </w:pPr>
            <w:r w:rsidRPr="00DA3C6E">
              <w:t>Intravenous immunoglobulin for maintenance treatment of multifocal motor neuropathy: A multi-centre, open-label, 52-week phase 3 trial</w:t>
            </w:r>
          </w:p>
        </w:tc>
        <w:tc>
          <w:tcPr>
            <w:tcW w:w="6692" w:type="dxa"/>
            <w:vAlign w:val="center"/>
          </w:tcPr>
          <w:p w14:paraId="7620C3BA" w14:textId="77777777" w:rsidR="000B06F3" w:rsidRPr="00DA3C6E" w:rsidRDefault="000B06F3" w:rsidP="00F02470">
            <w:pPr>
              <w:pStyle w:val="Tabletext1"/>
              <w:ind w:left="0"/>
              <w:jc w:val="left"/>
            </w:pPr>
            <w:r w:rsidRPr="00DA3C6E">
              <w:t>Journal of Peripheral Nervous System 23:115–119.</w:t>
            </w:r>
          </w:p>
        </w:tc>
        <w:tc>
          <w:tcPr>
            <w:tcW w:w="672" w:type="dxa"/>
            <w:vAlign w:val="center"/>
          </w:tcPr>
          <w:p w14:paraId="6201A2D7" w14:textId="288C2435" w:rsidR="000B06F3" w:rsidRPr="00DA3C6E" w:rsidRDefault="00DB568A" w:rsidP="00C04BCE">
            <w:pPr>
              <w:pStyle w:val="Tabletext1"/>
              <w:ind w:left="0"/>
              <w:jc w:val="left"/>
            </w:pPr>
            <w:r w:rsidRPr="00DA3C6E">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Pr="00DA3C6E">
              <w:instrText xml:space="preserve"> ADDIN EN.CITE </w:instrText>
            </w:r>
            <w:r w:rsidRPr="00DA3C6E">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Pr="00DA3C6E">
              <w:instrText xml:space="preserve"> ADDIN EN.CITE.DATA </w:instrText>
            </w:r>
            <w:r w:rsidRPr="00DA3C6E">
              <w:fldChar w:fldCharType="end"/>
            </w:r>
            <w:r w:rsidRPr="00DA3C6E">
              <w:fldChar w:fldCharType="separate"/>
            </w:r>
            <w:r w:rsidRPr="00DA3C6E">
              <w:rPr>
                <w:noProof/>
              </w:rPr>
              <w:t>(</w:t>
            </w:r>
            <w:hyperlink w:anchor="_ENREF_32" w:tooltip="Kuwabara, 2018 #37" w:history="1">
              <w:r w:rsidR="00C04BCE" w:rsidRPr="00DA3C6E">
                <w:rPr>
                  <w:noProof/>
                </w:rPr>
                <w:t>32</w:t>
              </w:r>
            </w:hyperlink>
            <w:r w:rsidRPr="00DA3C6E">
              <w:rPr>
                <w:noProof/>
              </w:rPr>
              <w:t>)</w:t>
            </w:r>
            <w:r w:rsidRPr="00DA3C6E">
              <w:fldChar w:fldCharType="end"/>
            </w:r>
          </w:p>
        </w:tc>
      </w:tr>
      <w:tr w:rsidR="007C7E04" w:rsidRPr="00DA3C6E" w14:paraId="44335B67" w14:textId="77777777" w:rsidTr="00F02470">
        <w:tc>
          <w:tcPr>
            <w:tcW w:w="1976" w:type="dxa"/>
            <w:vAlign w:val="center"/>
          </w:tcPr>
          <w:p w14:paraId="33B0154A" w14:textId="3BB7A1B2" w:rsidR="000B06F3" w:rsidRPr="00DA3C6E" w:rsidRDefault="000B06F3" w:rsidP="005272C2">
            <w:pPr>
              <w:pStyle w:val="Tabletext1"/>
              <w:ind w:left="0"/>
              <w:jc w:val="left"/>
              <w:rPr>
                <w:lang w:val="nn-NO"/>
              </w:rPr>
            </w:pPr>
            <w:r w:rsidRPr="00DA3C6E">
              <w:rPr>
                <w:lang w:val="nn-NO"/>
              </w:rPr>
              <w:t>Chia et al</w:t>
            </w:r>
            <w:r w:rsidR="00A5773A" w:rsidRPr="00DA3C6E">
              <w:rPr>
                <w:lang w:val="nn-NO"/>
              </w:rPr>
              <w:t>.</w:t>
            </w:r>
            <w:r w:rsidRPr="00DA3C6E">
              <w:rPr>
                <w:lang w:val="nn-NO"/>
              </w:rPr>
              <w:t xml:space="preserve"> 2019</w:t>
            </w:r>
          </w:p>
        </w:tc>
        <w:tc>
          <w:tcPr>
            <w:tcW w:w="5786" w:type="dxa"/>
            <w:vAlign w:val="center"/>
          </w:tcPr>
          <w:p w14:paraId="052D916D" w14:textId="77777777" w:rsidR="000B06F3" w:rsidRPr="00DA3C6E" w:rsidRDefault="000B06F3" w:rsidP="00F02470">
            <w:pPr>
              <w:pStyle w:val="Tabletext1"/>
              <w:ind w:left="0"/>
              <w:jc w:val="left"/>
            </w:pPr>
            <w:r w:rsidRPr="00DA3C6E">
              <w:t>Clinical and functional change in multifocal motor neuropathy treated with intravenous Ig</w:t>
            </w:r>
          </w:p>
        </w:tc>
        <w:tc>
          <w:tcPr>
            <w:tcW w:w="6692" w:type="dxa"/>
            <w:vAlign w:val="center"/>
          </w:tcPr>
          <w:p w14:paraId="4030B866" w14:textId="77777777" w:rsidR="000B06F3" w:rsidRPr="00DA3C6E" w:rsidRDefault="000B06F3" w:rsidP="00F02470">
            <w:pPr>
              <w:pStyle w:val="Tabletext1"/>
              <w:ind w:left="0"/>
              <w:jc w:val="left"/>
            </w:pPr>
            <w:r w:rsidRPr="00DA3C6E">
              <w:t>Journal of Clinical Neuroscience 69: 114-119</w:t>
            </w:r>
          </w:p>
        </w:tc>
        <w:tc>
          <w:tcPr>
            <w:tcW w:w="672" w:type="dxa"/>
            <w:vAlign w:val="center"/>
          </w:tcPr>
          <w:p w14:paraId="281EE491" w14:textId="27093018" w:rsidR="000B06F3" w:rsidRPr="00DA3C6E" w:rsidRDefault="00DB568A" w:rsidP="00C04BCE">
            <w:pPr>
              <w:pStyle w:val="Tabletext1"/>
              <w:ind w:left="0"/>
              <w:jc w:val="left"/>
            </w:pPr>
            <w:r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Pr="00DA3C6E">
              <w:instrText xml:space="preserve"> ADDIN EN.CITE </w:instrText>
            </w:r>
            <w:r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Pr="00DA3C6E">
              <w:instrText xml:space="preserve"> ADDIN EN.CITE.DATA </w:instrText>
            </w:r>
            <w:r w:rsidRPr="00DA3C6E">
              <w:fldChar w:fldCharType="end"/>
            </w:r>
            <w:r w:rsidRPr="00DA3C6E">
              <w:fldChar w:fldCharType="separate"/>
            </w:r>
            <w:r w:rsidRPr="00DA3C6E">
              <w:rPr>
                <w:noProof/>
              </w:rPr>
              <w:t>(</w:t>
            </w:r>
            <w:hyperlink w:anchor="_ENREF_34" w:tooltip="Chia, 2019 #15" w:history="1">
              <w:r w:rsidR="00C04BCE" w:rsidRPr="00DA3C6E">
                <w:rPr>
                  <w:noProof/>
                </w:rPr>
                <w:t>34</w:t>
              </w:r>
            </w:hyperlink>
            <w:r w:rsidRPr="00DA3C6E">
              <w:rPr>
                <w:noProof/>
              </w:rPr>
              <w:t>)</w:t>
            </w:r>
            <w:r w:rsidRPr="00DA3C6E">
              <w:fldChar w:fldCharType="end"/>
            </w:r>
          </w:p>
        </w:tc>
      </w:tr>
    </w:tbl>
    <w:p w14:paraId="01465843" w14:textId="77777777" w:rsidR="000B06F3" w:rsidRPr="00DA3C6E" w:rsidRDefault="000B06F3" w:rsidP="006D5DAD">
      <w:pPr>
        <w:spacing w:line="240" w:lineRule="auto"/>
        <w:rPr>
          <w:rFonts w:ascii="Arial Narrow" w:hAnsi="Arial Narrow"/>
          <w:sz w:val="18"/>
          <w:szCs w:val="18"/>
        </w:rPr>
      </w:pPr>
      <w:r w:rsidRPr="00DA3C6E">
        <w:rPr>
          <w:rFonts w:ascii="Arial Narrow" w:hAnsi="Arial Narrow"/>
          <w:sz w:val="18"/>
          <w:szCs w:val="18"/>
        </w:rPr>
        <w:t xml:space="preserve">Abbreviations: Ig = immunoglobulins. </w:t>
      </w:r>
    </w:p>
    <w:p w14:paraId="02B4ADA7" w14:textId="1BD1F7B4" w:rsidR="000B06F3" w:rsidRPr="00DA3C6E" w:rsidRDefault="000B06F3" w:rsidP="00C60BE0">
      <w:pPr>
        <w:pStyle w:val="Caption"/>
      </w:pPr>
      <w:bookmarkStart w:id="403" w:name="_Ref31197188"/>
      <w:bookmarkStart w:id="404" w:name="_Toc31144663"/>
      <w:bookmarkStart w:id="405" w:name="_Toc37845854"/>
      <w:r w:rsidRPr="00DA3C6E">
        <w:t xml:space="preserve">Table </w:t>
      </w:r>
      <w:r w:rsidR="00515153">
        <w:fldChar w:fldCharType="begin"/>
      </w:r>
      <w:r w:rsidR="00515153">
        <w:instrText xml:space="preserve"> S</w:instrText>
      </w:r>
      <w:r w:rsidR="00515153">
        <w:instrText xml:space="preserve">EQ Table \* ARABIC </w:instrText>
      </w:r>
      <w:r w:rsidR="00515153">
        <w:fldChar w:fldCharType="separate"/>
      </w:r>
      <w:r w:rsidR="00EA5DC1">
        <w:rPr>
          <w:noProof/>
        </w:rPr>
        <w:t>51</w:t>
      </w:r>
      <w:r w:rsidR="00515153">
        <w:rPr>
          <w:noProof/>
        </w:rPr>
        <w:fldChar w:fldCharType="end"/>
      </w:r>
      <w:bookmarkEnd w:id="403"/>
      <w:r w:rsidRPr="00DA3C6E">
        <w:t>. Profiles of studies included in the systematic literature review</w:t>
      </w:r>
      <w:bookmarkEnd w:id="404"/>
      <w:bookmarkEnd w:id="405"/>
    </w:p>
    <w:tbl>
      <w:tblPr>
        <w:tblW w:w="15021" w:type="dxa"/>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101"/>
        <w:gridCol w:w="1418"/>
        <w:gridCol w:w="2012"/>
        <w:gridCol w:w="2268"/>
        <w:gridCol w:w="1985"/>
        <w:gridCol w:w="1984"/>
        <w:gridCol w:w="1793"/>
        <w:gridCol w:w="2460"/>
      </w:tblGrid>
      <w:tr w:rsidR="000B06F3" w:rsidRPr="00DA3C6E" w14:paraId="3A93CC76" w14:textId="77777777" w:rsidTr="008A5F97">
        <w:trPr>
          <w:trHeight w:val="1160"/>
          <w:tblHeader/>
        </w:trPr>
        <w:tc>
          <w:tcPr>
            <w:tcW w:w="0" w:type="auto"/>
            <w:tcBorders>
              <w:top w:val="single" w:sz="4" w:space="0" w:color="auto"/>
              <w:left w:val="single" w:sz="4" w:space="0" w:color="auto"/>
              <w:bottom w:val="single" w:sz="4" w:space="0" w:color="auto"/>
              <w:right w:val="single" w:sz="4" w:space="0" w:color="auto"/>
            </w:tcBorders>
          </w:tcPr>
          <w:p w14:paraId="687692B1" w14:textId="77777777" w:rsidR="000B06F3" w:rsidRPr="00DA3C6E" w:rsidRDefault="000B06F3" w:rsidP="00C771BF">
            <w:pPr>
              <w:pStyle w:val="TableHeading"/>
            </w:pPr>
            <w:r w:rsidRPr="00DA3C6E">
              <w:t>Authors</w:t>
            </w:r>
          </w:p>
          <w:p w14:paraId="27E69064" w14:textId="77777777" w:rsidR="000B06F3" w:rsidRPr="00DA3C6E" w:rsidRDefault="000B06F3" w:rsidP="00C771BF">
            <w:pPr>
              <w:pStyle w:val="TableHeading"/>
            </w:pPr>
            <w:r w:rsidRPr="00DA3C6E">
              <w:t>Study ID</w:t>
            </w:r>
          </w:p>
          <w:p w14:paraId="533E0FC3" w14:textId="77777777" w:rsidR="000B06F3" w:rsidRPr="00DA3C6E" w:rsidRDefault="000B06F3" w:rsidP="00C771BF">
            <w:pPr>
              <w:pStyle w:val="TableHeading"/>
            </w:pPr>
            <w:r w:rsidRPr="00DA3C6E">
              <w:t>Publication Year</w:t>
            </w:r>
          </w:p>
        </w:tc>
        <w:tc>
          <w:tcPr>
            <w:tcW w:w="1418" w:type="dxa"/>
            <w:tcBorders>
              <w:top w:val="single" w:sz="4" w:space="0" w:color="auto"/>
              <w:left w:val="single" w:sz="4" w:space="0" w:color="auto"/>
              <w:bottom w:val="single" w:sz="4" w:space="0" w:color="auto"/>
              <w:right w:val="single" w:sz="4" w:space="0" w:color="auto"/>
            </w:tcBorders>
          </w:tcPr>
          <w:p w14:paraId="0EEF97F7" w14:textId="77777777" w:rsidR="000B06F3" w:rsidRPr="00DA3C6E" w:rsidRDefault="000B06F3" w:rsidP="00740643">
            <w:pPr>
              <w:pStyle w:val="TableHeading"/>
            </w:pPr>
            <w:r w:rsidRPr="00DA3C6E">
              <w:t>Study design</w:t>
            </w:r>
          </w:p>
          <w:p w14:paraId="18A59654" w14:textId="77777777" w:rsidR="000B06F3" w:rsidRPr="00DA3C6E" w:rsidRDefault="000B06F3" w:rsidP="00740643">
            <w:pPr>
              <w:pStyle w:val="TableHeading"/>
            </w:pPr>
          </w:p>
          <w:p w14:paraId="2384E5D1" w14:textId="77777777" w:rsidR="000B06F3" w:rsidRPr="00DA3C6E" w:rsidRDefault="000B06F3" w:rsidP="00740643">
            <w:pPr>
              <w:pStyle w:val="TableHeading"/>
            </w:pPr>
            <w:r w:rsidRPr="00DA3C6E">
              <w:t>Risk of bias</w:t>
            </w:r>
          </w:p>
        </w:tc>
        <w:tc>
          <w:tcPr>
            <w:tcW w:w="2012" w:type="dxa"/>
            <w:tcBorders>
              <w:top w:val="single" w:sz="4" w:space="0" w:color="auto"/>
              <w:left w:val="single" w:sz="4" w:space="0" w:color="auto"/>
              <w:bottom w:val="single" w:sz="4" w:space="0" w:color="auto"/>
              <w:right w:val="single" w:sz="4" w:space="0" w:color="auto"/>
            </w:tcBorders>
          </w:tcPr>
          <w:p w14:paraId="3C713979" w14:textId="77777777" w:rsidR="000B06F3" w:rsidRPr="00DA3C6E" w:rsidRDefault="000B06F3" w:rsidP="00FA3C68">
            <w:pPr>
              <w:pStyle w:val="TableHeading"/>
              <w:ind w:left="68"/>
            </w:pPr>
            <w:r w:rsidRPr="00DA3C6E">
              <w:t>Eligibility criteria</w:t>
            </w:r>
          </w:p>
        </w:tc>
        <w:tc>
          <w:tcPr>
            <w:tcW w:w="2268" w:type="dxa"/>
            <w:tcBorders>
              <w:top w:val="single" w:sz="4" w:space="0" w:color="auto"/>
              <w:left w:val="single" w:sz="4" w:space="0" w:color="auto"/>
              <w:bottom w:val="single" w:sz="4" w:space="0" w:color="auto"/>
              <w:right w:val="single" w:sz="4" w:space="0" w:color="auto"/>
            </w:tcBorders>
          </w:tcPr>
          <w:p w14:paraId="5EB6B9C9" w14:textId="77777777" w:rsidR="000B06F3" w:rsidRPr="00DA3C6E" w:rsidRDefault="000B06F3" w:rsidP="008A5F97">
            <w:pPr>
              <w:pStyle w:val="TableHeading"/>
              <w:jc w:val="left"/>
            </w:pPr>
            <w:r w:rsidRPr="00DA3C6E">
              <w:t>Study population characteristics</w:t>
            </w:r>
          </w:p>
        </w:tc>
        <w:tc>
          <w:tcPr>
            <w:tcW w:w="1985" w:type="dxa"/>
            <w:tcBorders>
              <w:top w:val="single" w:sz="4" w:space="0" w:color="auto"/>
              <w:left w:val="single" w:sz="4" w:space="0" w:color="auto"/>
              <w:bottom w:val="single" w:sz="4" w:space="0" w:color="auto"/>
              <w:right w:val="single" w:sz="4" w:space="0" w:color="auto"/>
            </w:tcBorders>
          </w:tcPr>
          <w:p w14:paraId="23024444" w14:textId="77777777" w:rsidR="000B06F3" w:rsidRPr="00DA3C6E" w:rsidRDefault="000B06F3" w:rsidP="00C771BF">
            <w:pPr>
              <w:pStyle w:val="TableHeading"/>
              <w:ind w:left="34"/>
            </w:pPr>
            <w:r w:rsidRPr="00DA3C6E">
              <w:t>Description of Intervention</w:t>
            </w:r>
          </w:p>
          <w:p w14:paraId="29019BED" w14:textId="77777777" w:rsidR="000B06F3" w:rsidRPr="00DA3C6E" w:rsidRDefault="000B06F3" w:rsidP="000B688F">
            <w:pPr>
              <w:pStyle w:val="TableHeading"/>
              <w:ind w:left="34"/>
            </w:pPr>
          </w:p>
        </w:tc>
        <w:tc>
          <w:tcPr>
            <w:tcW w:w="1984" w:type="dxa"/>
            <w:tcBorders>
              <w:top w:val="single" w:sz="4" w:space="0" w:color="auto"/>
              <w:left w:val="single" w:sz="4" w:space="0" w:color="auto"/>
              <w:bottom w:val="single" w:sz="4" w:space="0" w:color="auto"/>
              <w:right w:val="single" w:sz="4" w:space="0" w:color="auto"/>
            </w:tcBorders>
          </w:tcPr>
          <w:p w14:paraId="3DC7A7EB" w14:textId="77777777" w:rsidR="000B06F3" w:rsidRPr="00DA3C6E" w:rsidRDefault="000B06F3" w:rsidP="00C771BF">
            <w:pPr>
              <w:pStyle w:val="TableHeading"/>
              <w:ind w:left="34"/>
            </w:pPr>
            <w:r w:rsidRPr="00DA3C6E">
              <w:t>Description of Comparator</w:t>
            </w:r>
          </w:p>
          <w:p w14:paraId="2F81AD87" w14:textId="77777777" w:rsidR="000B06F3" w:rsidRPr="00DA3C6E" w:rsidRDefault="000B06F3" w:rsidP="00C771BF">
            <w:pPr>
              <w:pStyle w:val="TableHeading"/>
              <w:ind w:left="34"/>
            </w:pPr>
          </w:p>
        </w:tc>
        <w:tc>
          <w:tcPr>
            <w:tcW w:w="1793" w:type="dxa"/>
            <w:tcBorders>
              <w:top w:val="single" w:sz="4" w:space="0" w:color="auto"/>
              <w:left w:val="single" w:sz="4" w:space="0" w:color="auto"/>
              <w:bottom w:val="single" w:sz="4" w:space="0" w:color="auto"/>
              <w:right w:val="single" w:sz="4" w:space="0" w:color="auto"/>
            </w:tcBorders>
          </w:tcPr>
          <w:p w14:paraId="1CEACEA4" w14:textId="77777777" w:rsidR="000B06F3" w:rsidRPr="00DA3C6E" w:rsidRDefault="000B06F3" w:rsidP="00C771BF">
            <w:pPr>
              <w:pStyle w:val="TableHeading"/>
              <w:ind w:left="34"/>
            </w:pPr>
            <w:r w:rsidRPr="00DA3C6E">
              <w:t xml:space="preserve">Relevant outcomes assessed </w:t>
            </w:r>
          </w:p>
          <w:p w14:paraId="77061EB3" w14:textId="77777777" w:rsidR="000B06F3" w:rsidRPr="00DA3C6E" w:rsidRDefault="000B06F3" w:rsidP="00740643">
            <w:pPr>
              <w:pStyle w:val="TableHeading"/>
            </w:pPr>
            <w:r w:rsidRPr="00DA3C6E">
              <w:t>Duration of follow-up</w:t>
            </w:r>
          </w:p>
        </w:tc>
        <w:tc>
          <w:tcPr>
            <w:tcW w:w="2460" w:type="dxa"/>
            <w:tcBorders>
              <w:top w:val="single" w:sz="4" w:space="0" w:color="auto"/>
              <w:left w:val="single" w:sz="4" w:space="0" w:color="auto"/>
              <w:bottom w:val="single" w:sz="4" w:space="0" w:color="auto"/>
              <w:right w:val="single" w:sz="4" w:space="0" w:color="auto"/>
            </w:tcBorders>
          </w:tcPr>
          <w:p w14:paraId="40D4B0EA" w14:textId="77777777" w:rsidR="000B06F3" w:rsidRPr="00DA3C6E" w:rsidRDefault="000B06F3" w:rsidP="00C771BF">
            <w:pPr>
              <w:pStyle w:val="TableHeading"/>
              <w:ind w:left="34"/>
            </w:pPr>
            <w:r w:rsidRPr="00DA3C6E">
              <w:t>Measurement of outcomes, time point of outcome measurement reported, and methods of analysis</w:t>
            </w:r>
          </w:p>
        </w:tc>
      </w:tr>
      <w:tr w:rsidR="000B06F3" w:rsidRPr="00DA3C6E" w14:paraId="2810FCD4" w14:textId="77777777" w:rsidTr="008A5F97">
        <w:trPr>
          <w:trHeight w:val="300"/>
        </w:trPr>
        <w:tc>
          <w:tcPr>
            <w:tcW w:w="0" w:type="auto"/>
            <w:tcBorders>
              <w:top w:val="single" w:sz="4" w:space="0" w:color="auto"/>
              <w:left w:val="single" w:sz="4" w:space="0" w:color="auto"/>
              <w:bottom w:val="single" w:sz="4" w:space="0" w:color="auto"/>
              <w:right w:val="single" w:sz="4" w:space="0" w:color="auto"/>
            </w:tcBorders>
          </w:tcPr>
          <w:p w14:paraId="5317A155" w14:textId="02F8140F" w:rsidR="000B06F3" w:rsidRPr="00DA3C6E" w:rsidRDefault="000B06F3" w:rsidP="00C04BCE">
            <w:pPr>
              <w:spacing w:after="0" w:line="240" w:lineRule="auto"/>
              <w:rPr>
                <w:rFonts w:ascii="Arial Narrow" w:hAnsi="Arial Narrow"/>
                <w:sz w:val="20"/>
              </w:rPr>
            </w:pPr>
            <w:r w:rsidRPr="00DA3C6E">
              <w:rPr>
                <w:rFonts w:ascii="Arial Narrow" w:hAnsi="Arial Narrow"/>
                <w:sz w:val="20"/>
              </w:rPr>
              <w:t>Azulay et al. 1994</w:t>
            </w:r>
            <w:r w:rsidR="000E614C">
              <w:rPr>
                <w:rFonts w:ascii="Arial Narrow" w:hAnsi="Arial Narrow"/>
                <w:sz w:val="20"/>
              </w:rPr>
              <w:t xml:space="preserve"> </w:t>
            </w:r>
            <w:r w:rsidR="00DB568A" w:rsidRPr="00DA3C6E">
              <w:rPr>
                <w:rFonts w:ascii="Arial Narrow" w:hAnsi="Arial Narrow"/>
                <w:sz w:val="20"/>
              </w:rPr>
              <w:fldChar w:fldCharType="begin"/>
            </w:r>
            <w:r w:rsidR="00DB568A" w:rsidRPr="00DA3C6E">
              <w:rPr>
                <w:rFonts w:ascii="Arial Narrow" w:hAnsi="Arial Narrow"/>
                <w:sz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4" w:tooltip="Azulay, 1994 #4" w:history="1">
              <w:r w:rsidR="00C04BCE" w:rsidRPr="00DA3C6E">
                <w:rPr>
                  <w:rFonts w:ascii="Arial Narrow" w:hAnsi="Arial Narrow"/>
                  <w:noProof/>
                  <w:sz w:val="20"/>
                </w:rPr>
                <w:t>24</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4C952B3F" w14:textId="77777777" w:rsidR="000B06F3" w:rsidRPr="00DA3C6E" w:rsidRDefault="000B06F3" w:rsidP="00740643">
            <w:pPr>
              <w:tabs>
                <w:tab w:val="left" w:pos="2229"/>
              </w:tabs>
              <w:spacing w:after="0" w:line="240" w:lineRule="auto"/>
              <w:rPr>
                <w:rFonts w:ascii="Arial Narrow" w:hAnsi="Arial Narrow"/>
                <w:sz w:val="20"/>
                <w:szCs w:val="20"/>
              </w:rPr>
            </w:pPr>
            <w:r w:rsidRPr="00DA3C6E">
              <w:rPr>
                <w:rFonts w:ascii="Arial Narrow" w:hAnsi="Arial Narrow"/>
                <w:sz w:val="20"/>
                <w:szCs w:val="20"/>
              </w:rPr>
              <w:t>Double-blind, placebo-controlled, cross-over trial</w:t>
            </w:r>
          </w:p>
        </w:tc>
        <w:tc>
          <w:tcPr>
            <w:tcW w:w="2012" w:type="dxa"/>
            <w:tcBorders>
              <w:top w:val="single" w:sz="4" w:space="0" w:color="auto"/>
              <w:left w:val="single" w:sz="4" w:space="0" w:color="auto"/>
              <w:bottom w:val="single" w:sz="4" w:space="0" w:color="auto"/>
              <w:right w:val="single" w:sz="4" w:space="0" w:color="auto"/>
            </w:tcBorders>
          </w:tcPr>
          <w:p w14:paraId="11A8E2E9" w14:textId="77777777" w:rsidR="000B06F3" w:rsidRPr="00DA3C6E" w:rsidRDefault="000B06F3" w:rsidP="008A5F97">
            <w:pPr>
              <w:pStyle w:val="Tabletext1"/>
              <w:jc w:val="left"/>
              <w:rPr>
                <w:u w:val="single"/>
              </w:rPr>
            </w:pPr>
            <w:r w:rsidRPr="00DA3C6E">
              <w:rPr>
                <w:u w:val="single"/>
              </w:rPr>
              <w:t>Inclusion criteria:</w:t>
            </w:r>
          </w:p>
          <w:p w14:paraId="1715C203" w14:textId="77777777" w:rsidR="000B06F3" w:rsidRPr="00DA3C6E" w:rsidRDefault="000B06F3" w:rsidP="008A5F97">
            <w:pPr>
              <w:spacing w:after="0" w:line="240" w:lineRule="auto"/>
              <w:jc w:val="left"/>
              <w:rPr>
                <w:rFonts w:ascii="Arial Narrow" w:hAnsi="Arial Narrow"/>
                <w:sz w:val="20"/>
              </w:rPr>
            </w:pPr>
            <w:r w:rsidRPr="00DA3C6E">
              <w:rPr>
                <w:rFonts w:ascii="Arial Narrow" w:hAnsi="Arial Narrow"/>
                <w:sz w:val="20"/>
              </w:rPr>
              <w:t xml:space="preserve">Patients with motor neuron syndromes associated with high titre of anti-GM1 antibodies and also had electrophysiological evidence of motor conduction block. </w:t>
            </w:r>
          </w:p>
          <w:p w14:paraId="38C0BDDD" w14:textId="77777777" w:rsidR="000B06F3" w:rsidRPr="00DA3C6E" w:rsidRDefault="000B06F3" w:rsidP="008A5F97">
            <w:pPr>
              <w:pStyle w:val="Tabletext1"/>
              <w:jc w:val="left"/>
              <w:rPr>
                <w:i/>
              </w:rPr>
            </w:pPr>
            <w:r w:rsidRPr="00DA3C6E">
              <w:rPr>
                <w:i/>
              </w:rPr>
              <w:t>Two of these patients had sensory impairment.</w:t>
            </w:r>
          </w:p>
          <w:p w14:paraId="554099C8" w14:textId="77777777" w:rsidR="000B06F3" w:rsidRPr="00DA3C6E" w:rsidRDefault="000B06F3" w:rsidP="008A5F97">
            <w:pPr>
              <w:pStyle w:val="Tabletext1"/>
              <w:jc w:val="left"/>
              <w:rPr>
                <w:u w:val="single"/>
              </w:rPr>
            </w:pPr>
            <w:r w:rsidRPr="00DA3C6E">
              <w:rPr>
                <w:u w:val="single"/>
              </w:rPr>
              <w:t>Exclusion criteria:</w:t>
            </w:r>
          </w:p>
          <w:p w14:paraId="2A5866F9" w14:textId="77777777" w:rsidR="000B06F3" w:rsidRPr="00DA3C6E" w:rsidRDefault="000B06F3" w:rsidP="008A5F97">
            <w:pPr>
              <w:pStyle w:val="Tabletext1"/>
              <w:jc w:val="left"/>
            </w:pPr>
            <w:r w:rsidRPr="00DA3C6E">
              <w:t>Patients with amyotrophic lateral sclerosis.</w:t>
            </w:r>
          </w:p>
        </w:tc>
        <w:tc>
          <w:tcPr>
            <w:tcW w:w="2268" w:type="dxa"/>
            <w:tcBorders>
              <w:top w:val="single" w:sz="4" w:space="0" w:color="auto"/>
              <w:left w:val="single" w:sz="4" w:space="0" w:color="auto"/>
              <w:bottom w:val="single" w:sz="4" w:space="0" w:color="auto"/>
              <w:right w:val="single" w:sz="4" w:space="0" w:color="auto"/>
            </w:tcBorders>
          </w:tcPr>
          <w:p w14:paraId="1C7325B7" w14:textId="77777777" w:rsidR="000B06F3" w:rsidRPr="00DA3C6E" w:rsidRDefault="000B06F3" w:rsidP="008A5F97">
            <w:pPr>
              <w:pStyle w:val="Tabletext1"/>
              <w:jc w:val="left"/>
            </w:pPr>
            <w:r w:rsidRPr="00DA3C6E">
              <w:t>N = 5</w:t>
            </w:r>
          </w:p>
          <w:p w14:paraId="087AAD5C" w14:textId="77777777" w:rsidR="000B06F3" w:rsidRPr="00DA3C6E" w:rsidRDefault="000B06F3" w:rsidP="008A5F97">
            <w:pPr>
              <w:pStyle w:val="Tabletext1"/>
              <w:jc w:val="left"/>
            </w:pPr>
            <w:r w:rsidRPr="00DA3C6E">
              <w:t>Mean age of onset: 48.4 (range: 41 to 63)</w:t>
            </w:r>
          </w:p>
          <w:p w14:paraId="655947A9" w14:textId="77777777" w:rsidR="000B06F3" w:rsidRPr="00DA3C6E" w:rsidRDefault="000B06F3" w:rsidP="008A5F97">
            <w:pPr>
              <w:pStyle w:val="Tabletext1"/>
              <w:jc w:val="left"/>
            </w:pPr>
            <w:r w:rsidRPr="00DA3C6E">
              <w:t>Gender, n (%) male: 4 (80)</w:t>
            </w:r>
          </w:p>
          <w:p w14:paraId="2D1F02CD" w14:textId="77777777" w:rsidR="000B06F3" w:rsidRPr="00DA3C6E" w:rsidRDefault="000B06F3" w:rsidP="008A5F97">
            <w:pPr>
              <w:pStyle w:val="Tabletext1"/>
              <w:jc w:val="left"/>
            </w:pPr>
            <w:r w:rsidRPr="00DA3C6E">
              <w:t>Duration of symptoms (mean years): 6.07</w:t>
            </w:r>
          </w:p>
          <w:p w14:paraId="19BB353D" w14:textId="77777777" w:rsidR="000B06F3" w:rsidRPr="00DA3C6E" w:rsidRDefault="000B06F3" w:rsidP="008A5F97">
            <w:pPr>
              <w:pStyle w:val="Tabletext1"/>
              <w:jc w:val="left"/>
            </w:pPr>
            <w:r w:rsidRPr="00DA3C6E">
              <w:t>Baseline average disability: NR</w:t>
            </w:r>
          </w:p>
          <w:p w14:paraId="3DF61291" w14:textId="77777777" w:rsidR="000B06F3" w:rsidRPr="00DA3C6E" w:rsidRDefault="000B06F3" w:rsidP="008A5F97">
            <w:pPr>
              <w:pStyle w:val="Tabletext1"/>
              <w:jc w:val="left"/>
            </w:pPr>
            <w:r w:rsidRPr="00DA3C6E">
              <w:t>Presence of conduction block: Yes</w:t>
            </w:r>
          </w:p>
          <w:p w14:paraId="2433215D" w14:textId="77777777" w:rsidR="000B06F3" w:rsidRPr="00DA3C6E" w:rsidRDefault="000B06F3" w:rsidP="008A5F97">
            <w:pPr>
              <w:pStyle w:val="Tabletext1"/>
              <w:jc w:val="left"/>
            </w:pPr>
            <w:r w:rsidRPr="00DA3C6E">
              <w:t>Previously treated: NR</w:t>
            </w:r>
          </w:p>
        </w:tc>
        <w:tc>
          <w:tcPr>
            <w:tcW w:w="1985" w:type="dxa"/>
            <w:tcBorders>
              <w:top w:val="single" w:sz="4" w:space="0" w:color="auto"/>
              <w:left w:val="single" w:sz="4" w:space="0" w:color="auto"/>
              <w:bottom w:val="single" w:sz="4" w:space="0" w:color="auto"/>
              <w:right w:val="single" w:sz="4" w:space="0" w:color="auto"/>
            </w:tcBorders>
          </w:tcPr>
          <w:p w14:paraId="5893BAB6" w14:textId="77777777" w:rsidR="000B06F3" w:rsidRPr="00DA3C6E" w:rsidRDefault="000B06F3" w:rsidP="008A5F97">
            <w:pPr>
              <w:pStyle w:val="Tabletext1"/>
              <w:jc w:val="left"/>
            </w:pPr>
            <w:r w:rsidRPr="00DA3C6E">
              <w:t>Intravenous Ig treatment administered as 0.4g/Kg/day for 5 consecutive days. Patients were switched over to the alternative treatment after 8 weeks.  Patients received a total of two treatment courses</w:t>
            </w:r>
          </w:p>
        </w:tc>
        <w:tc>
          <w:tcPr>
            <w:tcW w:w="1984" w:type="dxa"/>
            <w:tcBorders>
              <w:top w:val="single" w:sz="4" w:space="0" w:color="auto"/>
              <w:left w:val="single" w:sz="4" w:space="0" w:color="auto"/>
              <w:bottom w:val="single" w:sz="4" w:space="0" w:color="auto"/>
              <w:right w:val="single" w:sz="4" w:space="0" w:color="auto"/>
            </w:tcBorders>
          </w:tcPr>
          <w:p w14:paraId="366EAE5C" w14:textId="77777777" w:rsidR="000B06F3" w:rsidRPr="00DA3C6E" w:rsidRDefault="000B06F3" w:rsidP="008A5F97">
            <w:pPr>
              <w:pStyle w:val="Tabletext1"/>
              <w:jc w:val="left"/>
            </w:pPr>
            <w:r w:rsidRPr="00DA3C6E">
              <w:t>Saline solution for 5 consecutive days. Patients were cross over after 8 weeks. Patients received a total of two treatment courses.</w:t>
            </w:r>
          </w:p>
        </w:tc>
        <w:tc>
          <w:tcPr>
            <w:tcW w:w="1793" w:type="dxa"/>
            <w:tcBorders>
              <w:top w:val="single" w:sz="4" w:space="0" w:color="auto"/>
              <w:left w:val="single" w:sz="4" w:space="0" w:color="auto"/>
              <w:bottom w:val="single" w:sz="4" w:space="0" w:color="auto"/>
              <w:right w:val="single" w:sz="4" w:space="0" w:color="auto"/>
            </w:tcBorders>
          </w:tcPr>
          <w:p w14:paraId="4F23DBE2"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Outcomes</w:t>
            </w:r>
          </w:p>
          <w:p w14:paraId="2DB74C7D"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Primary:</w:t>
            </w:r>
          </w:p>
          <w:p w14:paraId="6BFE13A6"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Change in disability</w:t>
            </w:r>
          </w:p>
          <w:p w14:paraId="0D44C902"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muscle strength</w:t>
            </w:r>
          </w:p>
          <w:p w14:paraId="22E01564"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Secondary:</w:t>
            </w:r>
          </w:p>
          <w:p w14:paraId="09A151A2"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Side effects (safety)</w:t>
            </w:r>
          </w:p>
          <w:p w14:paraId="0CC55F17"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p w14:paraId="0ADDA16B"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Duration of follow-up</w:t>
            </w:r>
          </w:p>
          <w:p w14:paraId="738631DA"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56 days</w:t>
            </w:r>
          </w:p>
          <w:p w14:paraId="7E3369EF"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tc>
        <w:tc>
          <w:tcPr>
            <w:tcW w:w="2460" w:type="dxa"/>
            <w:tcBorders>
              <w:top w:val="single" w:sz="4" w:space="0" w:color="auto"/>
              <w:left w:val="single" w:sz="4" w:space="0" w:color="auto"/>
              <w:bottom w:val="single" w:sz="4" w:space="0" w:color="auto"/>
              <w:right w:val="single" w:sz="4" w:space="0" w:color="auto"/>
            </w:tcBorders>
          </w:tcPr>
          <w:p w14:paraId="1573EBD7" w14:textId="77777777" w:rsidR="000B06F3" w:rsidRPr="00DA3C6E" w:rsidRDefault="000B06F3" w:rsidP="008A5F97">
            <w:pPr>
              <w:pStyle w:val="Tabletext1"/>
              <w:ind w:left="34"/>
              <w:jc w:val="left"/>
              <w:rPr>
                <w:u w:val="single"/>
              </w:rPr>
            </w:pPr>
            <w:r w:rsidRPr="00DA3C6E">
              <w:rPr>
                <w:u w:val="single"/>
              </w:rPr>
              <w:t>Measurement of outcome</w:t>
            </w:r>
          </w:p>
          <w:p w14:paraId="1B2B4DE1"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t>E</w:t>
            </w:r>
            <w:r w:rsidRPr="00DA3C6E">
              <w:rPr>
                <w:rFonts w:ascii="Arial Narrow" w:hAnsi="Arial Narrow"/>
                <w:sz w:val="20"/>
                <w:szCs w:val="20"/>
              </w:rPr>
              <w:t>valuation was performed before and on days 5, 28, and 56 after drug administration.</w:t>
            </w:r>
          </w:p>
          <w:p w14:paraId="6757821C"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Disability was measured using the derived Norris scale (score of 63 to 0).</w:t>
            </w:r>
          </w:p>
          <w:p w14:paraId="2327500E"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 xml:space="preserve">Muscle strength was tested by a computerized analyser (Myocomp, Meditronic instrument). Average strength (expressed in newtons) of a maximal isometric contraction lasting 10 secs for two selected impaired muscles was computed. Two muscles (impaired muscles) with a preserved contraction was selected at the beginning of the study for strength assessment. Muscle strength was obtained by </w:t>
            </w:r>
            <w:r w:rsidRPr="00DA3C6E">
              <w:rPr>
                <w:rFonts w:ascii="Arial Narrow" w:hAnsi="Arial Narrow"/>
                <w:sz w:val="20"/>
                <w:szCs w:val="20"/>
              </w:rPr>
              <w:lastRenderedPageBreak/>
              <w:t xml:space="preserve">summing the strength values. </w:t>
            </w:r>
            <w:r w:rsidRPr="00DA3C6E">
              <w:rPr>
                <w:rFonts w:ascii="Arial Narrow" w:hAnsi="Arial Narrow"/>
                <w:i/>
                <w:sz w:val="20"/>
                <w:szCs w:val="20"/>
              </w:rPr>
              <w:t>A patient was considered improved if muscle score increased &gt;50% of the initial value.</w:t>
            </w:r>
          </w:p>
          <w:p w14:paraId="3636E16F" w14:textId="77777777" w:rsidR="000B06F3" w:rsidRPr="00DA3C6E" w:rsidRDefault="000B06F3" w:rsidP="008A5F97">
            <w:pPr>
              <w:pStyle w:val="ListParagraph"/>
              <w:tabs>
                <w:tab w:val="left" w:pos="2229"/>
              </w:tabs>
              <w:spacing w:after="0" w:line="240" w:lineRule="auto"/>
              <w:ind w:left="177"/>
              <w:contextualSpacing/>
              <w:jc w:val="left"/>
              <w:rPr>
                <w:rFonts w:ascii="Arial Narrow" w:hAnsi="Arial Narrow"/>
                <w:sz w:val="20"/>
                <w:szCs w:val="20"/>
              </w:rPr>
            </w:pPr>
          </w:p>
          <w:p w14:paraId="72732993"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Time point of assessment</w:t>
            </w:r>
          </w:p>
          <w:p w14:paraId="470EECD4" w14:textId="77777777" w:rsidR="000B06F3" w:rsidRPr="00DA3C6E" w:rsidRDefault="000B06F3" w:rsidP="008A5F97">
            <w:pPr>
              <w:spacing w:after="0" w:line="240" w:lineRule="auto"/>
              <w:jc w:val="left"/>
              <w:rPr>
                <w:rFonts w:ascii="Arial Narrow" w:hAnsi="Arial Narrow"/>
                <w:sz w:val="20"/>
                <w:szCs w:val="20"/>
              </w:rPr>
            </w:pPr>
            <w:r w:rsidRPr="00DA3C6E">
              <w:rPr>
                <w:rFonts w:ascii="Arial Narrow" w:hAnsi="Arial Narrow"/>
                <w:sz w:val="20"/>
                <w:szCs w:val="20"/>
              </w:rPr>
              <w:t>28 days after last treatment</w:t>
            </w:r>
          </w:p>
          <w:p w14:paraId="22A067BF" w14:textId="77777777" w:rsidR="000B06F3" w:rsidRPr="00DA3C6E" w:rsidRDefault="000B06F3" w:rsidP="008A5F97">
            <w:pPr>
              <w:spacing w:after="0" w:line="240" w:lineRule="auto"/>
              <w:jc w:val="left"/>
              <w:rPr>
                <w:rFonts w:ascii="Arial Narrow" w:hAnsi="Arial Narrow"/>
                <w:sz w:val="20"/>
                <w:szCs w:val="20"/>
              </w:rPr>
            </w:pPr>
          </w:p>
          <w:p w14:paraId="7EB8BEFC"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Statistical method of analysis</w:t>
            </w:r>
          </w:p>
          <w:p w14:paraId="1083B705" w14:textId="77777777" w:rsidR="000B06F3" w:rsidRPr="00DA3C6E" w:rsidRDefault="000B06F3" w:rsidP="008A5F97">
            <w:pPr>
              <w:spacing w:after="0" w:line="240" w:lineRule="auto"/>
              <w:jc w:val="left"/>
              <w:rPr>
                <w:rFonts w:ascii="Arial Narrow" w:hAnsi="Arial Narrow"/>
                <w:sz w:val="20"/>
                <w:szCs w:val="20"/>
              </w:rPr>
            </w:pPr>
            <w:r w:rsidRPr="00DA3C6E">
              <w:rPr>
                <w:rFonts w:ascii="Arial Narrow" w:hAnsi="Arial Narrow"/>
                <w:sz w:val="20"/>
                <w:szCs w:val="20"/>
              </w:rPr>
              <w:t>Analysis of variances. Scheffe F-test</w:t>
            </w:r>
          </w:p>
        </w:tc>
      </w:tr>
      <w:tr w:rsidR="000B06F3" w:rsidRPr="00DA3C6E" w14:paraId="5B600E10" w14:textId="77777777" w:rsidTr="008A5F97">
        <w:trPr>
          <w:trHeight w:val="13"/>
        </w:trPr>
        <w:tc>
          <w:tcPr>
            <w:tcW w:w="0" w:type="auto"/>
            <w:tcBorders>
              <w:top w:val="single" w:sz="4" w:space="0" w:color="auto"/>
              <w:left w:val="single" w:sz="4" w:space="0" w:color="auto"/>
              <w:bottom w:val="single" w:sz="4" w:space="0" w:color="auto"/>
              <w:right w:val="single" w:sz="4" w:space="0" w:color="auto"/>
            </w:tcBorders>
          </w:tcPr>
          <w:p w14:paraId="2EC02BD5" w14:textId="121CBF7B" w:rsidR="000B06F3" w:rsidRPr="00DA3C6E" w:rsidRDefault="005272C2" w:rsidP="00C04BCE">
            <w:pPr>
              <w:spacing w:after="0" w:line="240" w:lineRule="auto"/>
              <w:jc w:val="left"/>
              <w:rPr>
                <w:rFonts w:ascii="Arial Narrow" w:hAnsi="Arial Narrow"/>
                <w:sz w:val="20"/>
              </w:rPr>
            </w:pPr>
            <w:r w:rsidRPr="00DA3C6E">
              <w:rPr>
                <w:rFonts w:ascii="Arial Narrow" w:hAnsi="Arial Narrow"/>
                <w:sz w:val="20"/>
                <w:lang w:val="es-CL"/>
              </w:rPr>
              <w:lastRenderedPageBreak/>
              <w:t>V</w:t>
            </w:r>
            <w:r w:rsidR="000B06F3" w:rsidRPr="00DA3C6E">
              <w:rPr>
                <w:rFonts w:ascii="Arial Narrow" w:hAnsi="Arial Narrow"/>
                <w:sz w:val="20"/>
                <w:lang w:val="es-CL"/>
              </w:rPr>
              <w:t xml:space="preserve">an den Berg et al.  </w:t>
            </w:r>
            <w:r w:rsidR="000B06F3" w:rsidRPr="00DA3C6E">
              <w:rPr>
                <w:rFonts w:ascii="Arial Narrow" w:hAnsi="Arial Narrow"/>
                <w:sz w:val="20"/>
              </w:rPr>
              <w:t>1995</w:t>
            </w:r>
            <w:r w:rsidR="000E614C">
              <w:rPr>
                <w:rFonts w:ascii="Arial Narrow" w:hAnsi="Arial Narrow"/>
                <w:sz w:val="20"/>
              </w:rPr>
              <w:t xml:space="preserve"> </w:t>
            </w:r>
            <w:r w:rsidR="00DB568A" w:rsidRPr="00DA3C6E">
              <w:rPr>
                <w:rFonts w:ascii="Arial Narrow" w:hAnsi="Arial Narrow"/>
                <w:sz w:val="20"/>
              </w:rPr>
              <w:fldChar w:fldCharType="begin"/>
            </w:r>
            <w:r w:rsidR="00DB568A" w:rsidRPr="00DA3C6E">
              <w:rPr>
                <w:rFonts w:ascii="Arial Narrow" w:hAnsi="Arial Narrow"/>
                <w:sz w:val="20"/>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5" w:tooltip="Van den Berg, 1995 #77" w:history="1">
              <w:r w:rsidR="00C04BCE" w:rsidRPr="00DA3C6E">
                <w:rPr>
                  <w:rFonts w:ascii="Arial Narrow" w:hAnsi="Arial Narrow"/>
                  <w:noProof/>
                  <w:sz w:val="20"/>
                </w:rPr>
                <w:t>25</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1D5E438D" w14:textId="77777777" w:rsidR="000B06F3" w:rsidRPr="00DA3C6E" w:rsidRDefault="000B06F3" w:rsidP="008A5F97">
            <w:pPr>
              <w:tabs>
                <w:tab w:val="left" w:pos="2229"/>
              </w:tabs>
              <w:spacing w:after="0" w:line="240" w:lineRule="auto"/>
              <w:jc w:val="left"/>
              <w:rPr>
                <w:rFonts w:ascii="Arial Narrow" w:hAnsi="Arial Narrow"/>
                <w:sz w:val="20"/>
                <w:szCs w:val="20"/>
              </w:rPr>
            </w:pPr>
            <w:r w:rsidRPr="00DA3C6E">
              <w:rPr>
                <w:rFonts w:ascii="Arial Narrow" w:hAnsi="Arial Narrow"/>
                <w:sz w:val="20"/>
                <w:szCs w:val="20"/>
              </w:rPr>
              <w:t>Open trial followed by a single patient double blind placebo RCT</w:t>
            </w:r>
          </w:p>
        </w:tc>
        <w:tc>
          <w:tcPr>
            <w:tcW w:w="2012" w:type="dxa"/>
            <w:tcBorders>
              <w:top w:val="single" w:sz="4" w:space="0" w:color="auto"/>
              <w:left w:val="single" w:sz="4" w:space="0" w:color="auto"/>
              <w:bottom w:val="single" w:sz="4" w:space="0" w:color="auto"/>
              <w:right w:val="single" w:sz="4" w:space="0" w:color="auto"/>
            </w:tcBorders>
          </w:tcPr>
          <w:p w14:paraId="44524267" w14:textId="77777777" w:rsidR="000B06F3" w:rsidRPr="00DA3C6E" w:rsidRDefault="000B06F3" w:rsidP="008A5F97">
            <w:pPr>
              <w:pStyle w:val="Tabletext1"/>
              <w:jc w:val="left"/>
            </w:pPr>
            <w:r w:rsidRPr="00DA3C6E">
              <w:rPr>
                <w:u w:val="single"/>
              </w:rPr>
              <w:t>Inclusion criteria</w:t>
            </w:r>
            <w:r w:rsidRPr="00DA3C6E">
              <w:t>:</w:t>
            </w:r>
          </w:p>
          <w:p w14:paraId="22CA3C84" w14:textId="77777777" w:rsidR="000B06F3" w:rsidRPr="00DA3C6E" w:rsidRDefault="000B06F3" w:rsidP="008A5F97">
            <w:pPr>
              <w:pStyle w:val="Tabletext1"/>
              <w:jc w:val="left"/>
            </w:pPr>
            <w:r w:rsidRPr="00DA3C6E">
              <w:t>Patients who had progressive asymmetric weakness and atrophy without sensory involvement, and with electrophysiological evidence of conduction block.</w:t>
            </w:r>
          </w:p>
          <w:p w14:paraId="4380584A" w14:textId="77777777" w:rsidR="000B06F3" w:rsidRPr="00DA3C6E" w:rsidRDefault="000B06F3" w:rsidP="008A5F97">
            <w:pPr>
              <w:pStyle w:val="Tabletext1"/>
              <w:jc w:val="left"/>
            </w:pPr>
            <w:r w:rsidRPr="00DA3C6E">
              <w:rPr>
                <w:u w:val="single"/>
              </w:rPr>
              <w:t>Exclusion criteria</w:t>
            </w:r>
            <w:r w:rsidRPr="00DA3C6E">
              <w:t>:</w:t>
            </w:r>
          </w:p>
          <w:p w14:paraId="2DC7DB89" w14:textId="77777777" w:rsidR="000B06F3" w:rsidRPr="00DA3C6E" w:rsidRDefault="000B06F3" w:rsidP="008A5F97">
            <w:pPr>
              <w:pStyle w:val="Tabletext1"/>
              <w:jc w:val="left"/>
            </w:pPr>
            <w:r w:rsidRPr="00DA3C6E">
              <w:t xml:space="preserve">Not reported. </w:t>
            </w:r>
            <w:r w:rsidRPr="00DA3C6E">
              <w:rPr>
                <w:i/>
              </w:rPr>
              <w:t>Inferred as patients with upper motor neuron findings or those with a diagnosis of chronic inflammatory demyelinating polyneuropathy.</w:t>
            </w:r>
          </w:p>
        </w:tc>
        <w:tc>
          <w:tcPr>
            <w:tcW w:w="2268" w:type="dxa"/>
            <w:tcBorders>
              <w:top w:val="single" w:sz="4" w:space="0" w:color="auto"/>
              <w:left w:val="single" w:sz="4" w:space="0" w:color="auto"/>
              <w:bottom w:val="single" w:sz="4" w:space="0" w:color="auto"/>
              <w:right w:val="single" w:sz="4" w:space="0" w:color="auto"/>
            </w:tcBorders>
          </w:tcPr>
          <w:p w14:paraId="673DE9A3" w14:textId="77777777" w:rsidR="000B06F3" w:rsidRPr="00DA3C6E" w:rsidRDefault="000B06F3" w:rsidP="008A5F97">
            <w:pPr>
              <w:pStyle w:val="Tabletext1"/>
              <w:jc w:val="left"/>
            </w:pPr>
            <w:r w:rsidRPr="00DA3C6E">
              <w:t>N = 6</w:t>
            </w:r>
          </w:p>
          <w:p w14:paraId="4D390E5F" w14:textId="77777777" w:rsidR="000B06F3" w:rsidRPr="00DA3C6E" w:rsidRDefault="000B06F3" w:rsidP="008A5F97">
            <w:pPr>
              <w:pStyle w:val="Tabletext1"/>
              <w:jc w:val="left"/>
            </w:pPr>
            <w:r w:rsidRPr="00DA3C6E">
              <w:t>Mean age of onset: 47)</w:t>
            </w:r>
          </w:p>
          <w:p w14:paraId="20E92B87" w14:textId="77777777" w:rsidR="000B06F3" w:rsidRPr="00DA3C6E" w:rsidRDefault="000B06F3" w:rsidP="008A5F97">
            <w:pPr>
              <w:pStyle w:val="Tabletext1"/>
              <w:jc w:val="left"/>
            </w:pPr>
            <w:r w:rsidRPr="00DA3C6E">
              <w:t>Gender, n (%) male: 4 (67)</w:t>
            </w:r>
          </w:p>
          <w:p w14:paraId="2C37ABCB" w14:textId="77777777" w:rsidR="000B06F3" w:rsidRPr="00DA3C6E" w:rsidRDefault="000B06F3" w:rsidP="008A5F97">
            <w:pPr>
              <w:pStyle w:val="Tabletext1"/>
              <w:jc w:val="left"/>
            </w:pPr>
            <w:r w:rsidRPr="00DA3C6E">
              <w:t>Duration of symptoms (mean years): 6</w:t>
            </w:r>
          </w:p>
          <w:p w14:paraId="6EC644BD" w14:textId="77777777" w:rsidR="000B06F3" w:rsidRPr="00DA3C6E" w:rsidRDefault="000B06F3" w:rsidP="008A5F97">
            <w:pPr>
              <w:pStyle w:val="Tabletext1"/>
              <w:jc w:val="left"/>
            </w:pPr>
            <w:r w:rsidRPr="00DA3C6E">
              <w:t>Baseline average disability: 2</w:t>
            </w:r>
          </w:p>
          <w:p w14:paraId="4747F721" w14:textId="77777777" w:rsidR="000B06F3" w:rsidRPr="00DA3C6E" w:rsidRDefault="000B06F3" w:rsidP="008A5F97">
            <w:pPr>
              <w:pStyle w:val="Tabletext1"/>
              <w:jc w:val="left"/>
            </w:pPr>
            <w:r w:rsidRPr="00DA3C6E">
              <w:t>Presence of conduction block: Yes</w:t>
            </w:r>
          </w:p>
          <w:p w14:paraId="2EE07931" w14:textId="77777777" w:rsidR="000B06F3" w:rsidRPr="00DA3C6E" w:rsidRDefault="000B06F3" w:rsidP="008A5F97">
            <w:pPr>
              <w:pStyle w:val="Tabletext1"/>
              <w:jc w:val="left"/>
            </w:pPr>
            <w:r w:rsidRPr="00DA3C6E">
              <w:t>Previously treated: NR</w:t>
            </w:r>
          </w:p>
        </w:tc>
        <w:tc>
          <w:tcPr>
            <w:tcW w:w="1985" w:type="dxa"/>
            <w:tcBorders>
              <w:top w:val="single" w:sz="4" w:space="0" w:color="auto"/>
              <w:left w:val="single" w:sz="4" w:space="0" w:color="auto"/>
              <w:bottom w:val="single" w:sz="4" w:space="0" w:color="auto"/>
              <w:right w:val="single" w:sz="4" w:space="0" w:color="auto"/>
            </w:tcBorders>
          </w:tcPr>
          <w:p w14:paraId="74961C39" w14:textId="77777777" w:rsidR="000B06F3" w:rsidRPr="00DA3C6E" w:rsidRDefault="000B06F3" w:rsidP="008A5F97">
            <w:pPr>
              <w:pStyle w:val="Tabletext1"/>
              <w:jc w:val="left"/>
            </w:pPr>
            <w:r w:rsidRPr="00DA3C6E">
              <w:t>Intravenous Ig treatment administered as 0.4g/Kg/day for 5 consecutive days. Patients received alternative treatment once they return to the clinically pre-treatment state. The minimal time interval between two treatment courses was kept at one month. Overall, patients received a total of four treatment course.</w:t>
            </w:r>
          </w:p>
        </w:tc>
        <w:tc>
          <w:tcPr>
            <w:tcW w:w="1984" w:type="dxa"/>
            <w:tcBorders>
              <w:top w:val="single" w:sz="4" w:space="0" w:color="auto"/>
              <w:left w:val="single" w:sz="4" w:space="0" w:color="auto"/>
              <w:bottom w:val="single" w:sz="4" w:space="0" w:color="auto"/>
              <w:right w:val="single" w:sz="4" w:space="0" w:color="auto"/>
            </w:tcBorders>
          </w:tcPr>
          <w:p w14:paraId="3DC5A53A" w14:textId="77777777" w:rsidR="000B06F3" w:rsidRPr="00DA3C6E" w:rsidRDefault="000B06F3" w:rsidP="008A5F97">
            <w:pPr>
              <w:pStyle w:val="Tabletext1"/>
              <w:jc w:val="left"/>
            </w:pPr>
            <w:r w:rsidRPr="00DA3C6E">
              <w:t>Pasteurised plasma solution for 5 consecutive days. Patients received alternative treatment once they return to the clinically pre-treatment state. The minimal time interval between two treatment courses was kept at one month. Overall, patients received a total of four treatment course.</w:t>
            </w:r>
          </w:p>
        </w:tc>
        <w:tc>
          <w:tcPr>
            <w:tcW w:w="1793" w:type="dxa"/>
            <w:tcBorders>
              <w:top w:val="single" w:sz="4" w:space="0" w:color="auto"/>
              <w:left w:val="single" w:sz="4" w:space="0" w:color="auto"/>
              <w:bottom w:val="single" w:sz="4" w:space="0" w:color="auto"/>
              <w:right w:val="single" w:sz="4" w:space="0" w:color="auto"/>
            </w:tcBorders>
          </w:tcPr>
          <w:p w14:paraId="626078E9"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Outcomes</w:t>
            </w:r>
          </w:p>
          <w:p w14:paraId="2A0B707E"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disability scale</w:t>
            </w:r>
          </w:p>
          <w:p w14:paraId="13E75031"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muscle strength</w:t>
            </w:r>
          </w:p>
          <w:p w14:paraId="2BFC270B"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p w14:paraId="0372902A"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Duration of follow-up</w:t>
            </w:r>
          </w:p>
          <w:p w14:paraId="5D115374"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26 months</w:t>
            </w:r>
          </w:p>
          <w:p w14:paraId="7CBB6BD1" w14:textId="77777777" w:rsidR="000B06F3" w:rsidRPr="00DA3C6E" w:rsidRDefault="000B06F3" w:rsidP="008A5F97">
            <w:pPr>
              <w:pStyle w:val="Tabletext1"/>
              <w:jc w:val="left"/>
            </w:pPr>
          </w:p>
        </w:tc>
        <w:tc>
          <w:tcPr>
            <w:tcW w:w="2460" w:type="dxa"/>
            <w:tcBorders>
              <w:top w:val="single" w:sz="4" w:space="0" w:color="auto"/>
              <w:left w:val="single" w:sz="4" w:space="0" w:color="auto"/>
              <w:bottom w:val="single" w:sz="4" w:space="0" w:color="auto"/>
              <w:right w:val="single" w:sz="4" w:space="0" w:color="auto"/>
            </w:tcBorders>
          </w:tcPr>
          <w:p w14:paraId="3D243998" w14:textId="77777777" w:rsidR="000B06F3" w:rsidRPr="00DA3C6E" w:rsidRDefault="000B06F3" w:rsidP="008A5F97">
            <w:pPr>
              <w:pStyle w:val="Tabletext1"/>
              <w:ind w:left="34"/>
              <w:jc w:val="left"/>
              <w:rPr>
                <w:u w:val="single"/>
              </w:rPr>
            </w:pPr>
            <w:r w:rsidRPr="00DA3C6E">
              <w:rPr>
                <w:u w:val="single"/>
              </w:rPr>
              <w:t>Measurement of outcome</w:t>
            </w:r>
          </w:p>
          <w:p w14:paraId="31C2620C"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Patients were examined after each treatment or treatment effects on days 1, 6 and then weekly thereafter. .</w:t>
            </w:r>
          </w:p>
          <w:p w14:paraId="09383A6F"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Disability was measured with the modified Rankin scale</w:t>
            </w:r>
            <w:r w:rsidRPr="00DA3C6E">
              <w:rPr>
                <w:rFonts w:ascii="Arial Narrow" w:hAnsi="Arial Narrow"/>
                <w:sz w:val="20"/>
                <w:szCs w:val="20"/>
                <w:vertAlign w:val="superscript"/>
              </w:rPr>
              <w:t>c</w:t>
            </w:r>
            <w:r w:rsidRPr="00DA3C6E">
              <w:rPr>
                <w:rFonts w:ascii="Arial Narrow" w:hAnsi="Arial Narrow"/>
                <w:sz w:val="20"/>
                <w:szCs w:val="20"/>
              </w:rPr>
              <w:t>.</w:t>
            </w:r>
          </w:p>
          <w:p w14:paraId="4D266028" w14:textId="4609CADA" w:rsidR="000B06F3" w:rsidRPr="00DA3C6E" w:rsidRDefault="000B06F3" w:rsidP="008A5F97">
            <w:pPr>
              <w:spacing w:after="0" w:line="240" w:lineRule="auto"/>
              <w:jc w:val="left"/>
              <w:rPr>
                <w:rFonts w:ascii="Arial Narrow" w:hAnsi="Arial Narrow"/>
                <w:sz w:val="20"/>
                <w:szCs w:val="20"/>
              </w:rPr>
            </w:pPr>
            <w:r w:rsidRPr="00DA3C6E">
              <w:rPr>
                <w:rFonts w:ascii="Arial Narrow" w:hAnsi="Arial Narrow"/>
                <w:sz w:val="20"/>
                <w:szCs w:val="20"/>
              </w:rPr>
              <w:t>Muscle strength was evaluated with a hand held dynamometer and the MRC</w:t>
            </w:r>
            <w:r w:rsidRPr="00DA3C6E">
              <w:rPr>
                <w:rFonts w:ascii="Arial Narrow" w:hAnsi="Arial Narrow"/>
                <w:sz w:val="20"/>
                <w:szCs w:val="20"/>
                <w:vertAlign w:val="superscript"/>
              </w:rPr>
              <w:t>d</w:t>
            </w:r>
            <w:r w:rsidRPr="00DA3C6E">
              <w:rPr>
                <w:rFonts w:ascii="Arial Narrow" w:hAnsi="Arial Narrow"/>
                <w:sz w:val="20"/>
                <w:szCs w:val="20"/>
              </w:rPr>
              <w:t xml:space="preserve"> scale. Patients were examined before and after each treatment, and then weekly at the outpatient clinic by the same physician. The muscles examined for strength were the flexors and extensors of the neck, elbow, wrist, hip, knees, and feet; abductors of the upper arm; hand grip; </w:t>
            </w:r>
            <w:r w:rsidRPr="00DA3C6E">
              <w:rPr>
                <w:rFonts w:ascii="Arial Narrow" w:hAnsi="Arial Narrow"/>
                <w:sz w:val="20"/>
                <w:szCs w:val="20"/>
              </w:rPr>
              <w:lastRenderedPageBreak/>
              <w:t xml:space="preserve">abductor; and </w:t>
            </w:r>
            <w:r w:rsidR="005272C2" w:rsidRPr="00DA3C6E">
              <w:rPr>
                <w:rFonts w:ascii="Arial Narrow" w:hAnsi="Arial Narrow"/>
                <w:sz w:val="20"/>
                <w:szCs w:val="20"/>
              </w:rPr>
              <w:t xml:space="preserve">opponess </w:t>
            </w:r>
            <w:r w:rsidRPr="00DA3C6E">
              <w:rPr>
                <w:rFonts w:ascii="Arial Narrow" w:hAnsi="Arial Narrow"/>
                <w:sz w:val="20"/>
                <w:szCs w:val="20"/>
              </w:rPr>
              <w:t xml:space="preserve">of the thumb. </w:t>
            </w:r>
            <w:r w:rsidRPr="00DA3C6E">
              <w:rPr>
                <w:rFonts w:ascii="Arial Narrow" w:hAnsi="Arial Narrow"/>
                <w:i/>
                <w:sz w:val="20"/>
                <w:szCs w:val="20"/>
              </w:rPr>
              <w:t>A patient was considered improved when there is a presence of an increase of 50% or more in at least 2 muscles without a decrease of at least 25% in more than one other muscle.</w:t>
            </w:r>
          </w:p>
          <w:p w14:paraId="5443C256" w14:textId="77777777" w:rsidR="000B06F3" w:rsidRPr="00DA3C6E" w:rsidRDefault="000B06F3" w:rsidP="008A5F97">
            <w:pPr>
              <w:spacing w:after="0" w:line="240" w:lineRule="auto"/>
              <w:jc w:val="left"/>
              <w:rPr>
                <w:rFonts w:ascii="Arial Narrow" w:hAnsi="Arial Narrow"/>
                <w:sz w:val="20"/>
                <w:szCs w:val="20"/>
              </w:rPr>
            </w:pPr>
          </w:p>
          <w:p w14:paraId="468334FC"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Time point of assessment</w:t>
            </w:r>
          </w:p>
          <w:p w14:paraId="329475EC" w14:textId="77777777" w:rsidR="000B06F3" w:rsidRPr="00DA3C6E" w:rsidRDefault="000B06F3" w:rsidP="008A5F97">
            <w:pPr>
              <w:tabs>
                <w:tab w:val="left" w:pos="2229"/>
              </w:tabs>
              <w:spacing w:after="0" w:line="240" w:lineRule="auto"/>
              <w:ind w:left="35"/>
              <w:contextualSpacing/>
              <w:jc w:val="left"/>
              <w:rPr>
                <w:rFonts w:ascii="Arial Narrow" w:hAnsi="Arial Narrow"/>
                <w:sz w:val="20"/>
                <w:szCs w:val="20"/>
              </w:rPr>
            </w:pPr>
            <w:r w:rsidRPr="00DA3C6E">
              <w:rPr>
                <w:rFonts w:ascii="Arial Narrow" w:hAnsi="Arial Narrow"/>
                <w:sz w:val="20"/>
                <w:szCs w:val="20"/>
              </w:rPr>
              <w:t xml:space="preserve">Different time points; between 2-6 weeks. </w:t>
            </w:r>
          </w:p>
          <w:p w14:paraId="047CB86D" w14:textId="77777777" w:rsidR="000B06F3" w:rsidRPr="00DA3C6E" w:rsidRDefault="000B06F3" w:rsidP="008A5F97">
            <w:pPr>
              <w:tabs>
                <w:tab w:val="left" w:pos="2229"/>
              </w:tabs>
              <w:spacing w:after="0" w:line="240" w:lineRule="auto"/>
              <w:ind w:left="35"/>
              <w:contextualSpacing/>
              <w:jc w:val="left"/>
              <w:rPr>
                <w:rFonts w:ascii="Arial Narrow" w:hAnsi="Arial Narrow"/>
                <w:sz w:val="20"/>
                <w:szCs w:val="20"/>
              </w:rPr>
            </w:pPr>
          </w:p>
          <w:p w14:paraId="3FBBF155"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Statistical method of analysis</w:t>
            </w:r>
          </w:p>
          <w:p w14:paraId="28262B83" w14:textId="77777777" w:rsidR="000B06F3" w:rsidRPr="00DA3C6E" w:rsidRDefault="000B06F3" w:rsidP="008A5F97">
            <w:pPr>
              <w:pStyle w:val="Tabletext1"/>
              <w:ind w:left="34"/>
              <w:jc w:val="left"/>
            </w:pPr>
            <w:r w:rsidRPr="00DA3C6E">
              <w:t>Description as either a positive or negative improvement.</w:t>
            </w:r>
          </w:p>
        </w:tc>
      </w:tr>
      <w:tr w:rsidR="000B06F3" w:rsidRPr="00DA3C6E" w14:paraId="32235026" w14:textId="77777777" w:rsidTr="008A5F97">
        <w:trPr>
          <w:trHeight w:val="319"/>
        </w:trPr>
        <w:tc>
          <w:tcPr>
            <w:tcW w:w="0" w:type="auto"/>
            <w:tcBorders>
              <w:top w:val="single" w:sz="4" w:space="0" w:color="auto"/>
              <w:left w:val="single" w:sz="4" w:space="0" w:color="auto"/>
              <w:bottom w:val="single" w:sz="4" w:space="0" w:color="auto"/>
              <w:right w:val="single" w:sz="4" w:space="0" w:color="auto"/>
            </w:tcBorders>
          </w:tcPr>
          <w:p w14:paraId="0F0874FA" w14:textId="12E612B3" w:rsidR="000B06F3" w:rsidRPr="00DA3C6E" w:rsidRDefault="000B06F3" w:rsidP="00C04BCE">
            <w:pPr>
              <w:spacing w:after="0" w:line="240" w:lineRule="auto"/>
              <w:jc w:val="left"/>
              <w:rPr>
                <w:rFonts w:ascii="Arial Narrow" w:hAnsi="Arial Narrow"/>
                <w:sz w:val="20"/>
              </w:rPr>
            </w:pPr>
            <w:r w:rsidRPr="00DA3C6E">
              <w:rPr>
                <w:rFonts w:ascii="Arial Narrow" w:hAnsi="Arial Narrow"/>
                <w:sz w:val="20"/>
              </w:rPr>
              <w:lastRenderedPageBreak/>
              <w:t>Federico et al. 2000</w:t>
            </w:r>
            <w:r w:rsidR="000E614C">
              <w:rPr>
                <w:rFonts w:ascii="Arial Narrow" w:hAnsi="Arial Narrow"/>
                <w:sz w:val="20"/>
              </w:rPr>
              <w:t xml:space="preserve"> </w:t>
            </w:r>
            <w:r w:rsidR="00DB568A" w:rsidRPr="00DA3C6E">
              <w:rPr>
                <w:rFonts w:ascii="Arial Narrow" w:hAnsi="Arial Narrow"/>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6" w:tooltip="Federico, 2000 #20" w:history="1">
              <w:r w:rsidR="00C04BCE" w:rsidRPr="00DA3C6E">
                <w:rPr>
                  <w:rFonts w:ascii="Arial Narrow" w:hAnsi="Arial Narrow"/>
                  <w:noProof/>
                  <w:sz w:val="20"/>
                </w:rPr>
                <w:t>26</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527C4348" w14:textId="77777777" w:rsidR="000B06F3" w:rsidRPr="00DA3C6E" w:rsidRDefault="000B06F3" w:rsidP="008A5F97">
            <w:pPr>
              <w:tabs>
                <w:tab w:val="left" w:pos="2229"/>
              </w:tabs>
              <w:spacing w:after="0" w:line="240" w:lineRule="auto"/>
              <w:jc w:val="left"/>
              <w:rPr>
                <w:rFonts w:ascii="Arial Narrow" w:hAnsi="Arial Narrow"/>
                <w:sz w:val="20"/>
                <w:szCs w:val="20"/>
              </w:rPr>
            </w:pPr>
            <w:r w:rsidRPr="00DA3C6E">
              <w:rPr>
                <w:rFonts w:ascii="Arial Narrow" w:hAnsi="Arial Narrow"/>
                <w:sz w:val="20"/>
                <w:szCs w:val="20"/>
              </w:rPr>
              <w:t>Double-blind, placebo controlled, cross-over trial</w:t>
            </w:r>
          </w:p>
        </w:tc>
        <w:tc>
          <w:tcPr>
            <w:tcW w:w="2012" w:type="dxa"/>
            <w:tcBorders>
              <w:top w:val="single" w:sz="4" w:space="0" w:color="auto"/>
              <w:left w:val="single" w:sz="4" w:space="0" w:color="auto"/>
              <w:bottom w:val="single" w:sz="4" w:space="0" w:color="auto"/>
              <w:right w:val="single" w:sz="4" w:space="0" w:color="auto"/>
            </w:tcBorders>
          </w:tcPr>
          <w:p w14:paraId="042DFE4C" w14:textId="77777777" w:rsidR="000B06F3" w:rsidRPr="00DA3C6E" w:rsidRDefault="000B06F3" w:rsidP="008A5F97">
            <w:pPr>
              <w:pStyle w:val="Tabletext1"/>
              <w:jc w:val="left"/>
            </w:pPr>
            <w:r w:rsidRPr="00DA3C6E">
              <w:rPr>
                <w:u w:val="single"/>
              </w:rPr>
              <w:t>Inclusion criteria</w:t>
            </w:r>
            <w:r w:rsidRPr="00DA3C6E">
              <w:t>:</w:t>
            </w:r>
          </w:p>
          <w:p w14:paraId="7381549E" w14:textId="77777777" w:rsidR="000B06F3" w:rsidRPr="00DA3C6E" w:rsidRDefault="000B06F3" w:rsidP="008A5F97">
            <w:pPr>
              <w:pStyle w:val="Tabletext1"/>
              <w:jc w:val="left"/>
            </w:pPr>
            <w:r w:rsidRPr="00DA3C6E">
              <w:t>Patients with asymmetric lower motor neuron syndrome with no sensory or bulbar signs and had evidence of partial conduction block (&gt;30%) in motor nerves but normal sensory nerve conduction studies.</w:t>
            </w:r>
          </w:p>
          <w:p w14:paraId="43981547" w14:textId="77777777" w:rsidR="000B06F3" w:rsidRPr="00DA3C6E" w:rsidRDefault="000B06F3" w:rsidP="008A5F97">
            <w:pPr>
              <w:pStyle w:val="Tabletext1"/>
              <w:jc w:val="left"/>
            </w:pPr>
            <w:r w:rsidRPr="00DA3C6E">
              <w:rPr>
                <w:u w:val="single"/>
              </w:rPr>
              <w:t>Exclusion criteria</w:t>
            </w:r>
            <w:r w:rsidRPr="00DA3C6E">
              <w:t>:</w:t>
            </w:r>
          </w:p>
          <w:p w14:paraId="3C752394" w14:textId="77777777" w:rsidR="000B06F3" w:rsidRPr="00DA3C6E" w:rsidRDefault="000B06F3" w:rsidP="008A5F97">
            <w:pPr>
              <w:pStyle w:val="Tabletext1"/>
              <w:jc w:val="left"/>
            </w:pPr>
            <w:r w:rsidRPr="00DA3C6E">
              <w:t xml:space="preserve">Patients with ALS, chronic inflammatory demyelinating polyneuropathy and </w:t>
            </w:r>
            <w:r w:rsidRPr="00DA3C6E">
              <w:lastRenderedPageBreak/>
              <w:t>paraproteinemic neuropathy.</w:t>
            </w:r>
          </w:p>
        </w:tc>
        <w:tc>
          <w:tcPr>
            <w:tcW w:w="2268" w:type="dxa"/>
            <w:tcBorders>
              <w:top w:val="single" w:sz="4" w:space="0" w:color="auto"/>
              <w:left w:val="single" w:sz="4" w:space="0" w:color="auto"/>
              <w:bottom w:val="single" w:sz="4" w:space="0" w:color="auto"/>
              <w:right w:val="single" w:sz="4" w:space="0" w:color="auto"/>
            </w:tcBorders>
          </w:tcPr>
          <w:p w14:paraId="74E2B5FC" w14:textId="77777777" w:rsidR="000B06F3" w:rsidRPr="00DA3C6E" w:rsidRDefault="000B06F3" w:rsidP="008A5F97">
            <w:pPr>
              <w:pStyle w:val="Tabletext1"/>
              <w:jc w:val="left"/>
            </w:pPr>
            <w:r w:rsidRPr="00DA3C6E">
              <w:lastRenderedPageBreak/>
              <w:t>N = 16</w:t>
            </w:r>
          </w:p>
          <w:p w14:paraId="386C80DB" w14:textId="77777777" w:rsidR="000B06F3" w:rsidRPr="00DA3C6E" w:rsidRDefault="000B06F3" w:rsidP="008A5F97">
            <w:pPr>
              <w:pStyle w:val="Tabletext1"/>
              <w:jc w:val="left"/>
            </w:pPr>
            <w:r w:rsidRPr="00DA3C6E">
              <w:t>Mean age of onset (SD): 38.9 (2.8)</w:t>
            </w:r>
          </w:p>
          <w:p w14:paraId="35981239" w14:textId="77777777" w:rsidR="000B06F3" w:rsidRPr="00DA3C6E" w:rsidRDefault="000B06F3" w:rsidP="008A5F97">
            <w:pPr>
              <w:pStyle w:val="Tabletext1"/>
              <w:jc w:val="left"/>
            </w:pPr>
            <w:r w:rsidRPr="00DA3C6E">
              <w:t>Gender, n (%) male: 15 (94)</w:t>
            </w:r>
          </w:p>
          <w:p w14:paraId="25FFE52F" w14:textId="77777777" w:rsidR="000B06F3" w:rsidRPr="00DA3C6E" w:rsidRDefault="000B06F3" w:rsidP="008A5F97">
            <w:pPr>
              <w:pStyle w:val="Tabletext1"/>
              <w:jc w:val="left"/>
            </w:pPr>
            <w:r w:rsidRPr="00DA3C6E">
              <w:t>Duration of symptoms (mean years (SD)): 5.3 (1.2)</w:t>
            </w:r>
          </w:p>
          <w:p w14:paraId="6507F2B2" w14:textId="77777777" w:rsidR="000B06F3" w:rsidRPr="00DA3C6E" w:rsidRDefault="000B06F3" w:rsidP="008A5F97">
            <w:pPr>
              <w:pStyle w:val="Tabletext1"/>
              <w:jc w:val="left"/>
            </w:pPr>
            <w:r w:rsidRPr="00DA3C6E">
              <w:t>Baseline average disability (SD): intravenous Ig = 28.6 points (6.3), placebo = 25.4 points (5.9)</w:t>
            </w:r>
          </w:p>
          <w:p w14:paraId="7CF68076" w14:textId="77777777" w:rsidR="000B06F3" w:rsidRPr="00DA3C6E" w:rsidRDefault="000B06F3" w:rsidP="008A5F97">
            <w:pPr>
              <w:pStyle w:val="Tabletext1"/>
              <w:jc w:val="left"/>
            </w:pPr>
            <w:r w:rsidRPr="00DA3C6E">
              <w:t>Baseline grip strength (SD): intravenous Ig = 21.9 Kg (3.4), placebo = 19.7 Kg (SD = 3.2)</w:t>
            </w:r>
          </w:p>
          <w:p w14:paraId="17AB1AFE" w14:textId="77777777" w:rsidR="000B06F3" w:rsidRPr="00DA3C6E" w:rsidRDefault="000B06F3" w:rsidP="008A5F97">
            <w:pPr>
              <w:pStyle w:val="Tabletext1"/>
              <w:jc w:val="left"/>
            </w:pPr>
            <w:r w:rsidRPr="00DA3C6E">
              <w:lastRenderedPageBreak/>
              <w:t>Presence of conduction block: Yes</w:t>
            </w:r>
          </w:p>
          <w:p w14:paraId="1A3739F3" w14:textId="77777777" w:rsidR="000B06F3" w:rsidRPr="00DA3C6E" w:rsidRDefault="000B06F3" w:rsidP="008A5F97">
            <w:pPr>
              <w:pStyle w:val="Tabletext1"/>
              <w:jc w:val="left"/>
            </w:pPr>
            <w:r w:rsidRPr="00DA3C6E">
              <w:t>Previously treated: No</w:t>
            </w:r>
          </w:p>
        </w:tc>
        <w:tc>
          <w:tcPr>
            <w:tcW w:w="1985" w:type="dxa"/>
            <w:tcBorders>
              <w:top w:val="single" w:sz="4" w:space="0" w:color="auto"/>
              <w:left w:val="single" w:sz="4" w:space="0" w:color="auto"/>
              <w:bottom w:val="single" w:sz="4" w:space="0" w:color="auto"/>
              <w:right w:val="single" w:sz="4" w:space="0" w:color="auto"/>
            </w:tcBorders>
          </w:tcPr>
          <w:p w14:paraId="53B6D12E" w14:textId="516E5D32" w:rsidR="000B06F3" w:rsidRPr="00DA3C6E" w:rsidRDefault="000B06F3" w:rsidP="008A5F97">
            <w:pPr>
              <w:pStyle w:val="Tabletext1"/>
              <w:jc w:val="left"/>
            </w:pPr>
            <w:r w:rsidRPr="00DA3C6E">
              <w:lastRenderedPageBreak/>
              <w:t>Intravenous Ig treatment administered as 0.4g/Kg/day for 5 consecutive days. Patients who remained unchanged or deteriorated were crossed over into the alternate arm on day 28. Patients who improved were not cross</w:t>
            </w:r>
            <w:r w:rsidR="005272C2" w:rsidRPr="00DA3C6E">
              <w:t>ed</w:t>
            </w:r>
            <w:r w:rsidRPr="00DA3C6E">
              <w:t xml:space="preserve"> over to the alternate arm until their measures of benefits returned to baseline levels. </w:t>
            </w:r>
          </w:p>
          <w:p w14:paraId="2783AA81" w14:textId="77777777" w:rsidR="000B06F3" w:rsidRPr="00DA3C6E" w:rsidRDefault="000B06F3" w:rsidP="008A5F97">
            <w:pPr>
              <w:pStyle w:val="Tabletext1"/>
              <w:jc w:val="left"/>
            </w:pPr>
            <w:r w:rsidRPr="00DA3C6E">
              <w:lastRenderedPageBreak/>
              <w:t>Overall, all patients received the two treatments alternatively after 28 days.</w:t>
            </w:r>
          </w:p>
        </w:tc>
        <w:tc>
          <w:tcPr>
            <w:tcW w:w="1984" w:type="dxa"/>
            <w:tcBorders>
              <w:top w:val="single" w:sz="4" w:space="0" w:color="auto"/>
              <w:left w:val="single" w:sz="4" w:space="0" w:color="auto"/>
              <w:bottom w:val="single" w:sz="4" w:space="0" w:color="auto"/>
              <w:right w:val="single" w:sz="4" w:space="0" w:color="auto"/>
            </w:tcBorders>
          </w:tcPr>
          <w:p w14:paraId="0130D3B6" w14:textId="77777777" w:rsidR="000B06F3" w:rsidRPr="00DA3C6E" w:rsidRDefault="000B06F3" w:rsidP="008A5F97">
            <w:pPr>
              <w:pStyle w:val="Tabletext1"/>
              <w:jc w:val="left"/>
            </w:pPr>
            <w:r w:rsidRPr="00DA3C6E">
              <w:lastRenderedPageBreak/>
              <w:t xml:space="preserve">5% dextrose or 0.9% saline administered daily for 5 consecutive days. Patients who remained unchanged or deteriorated were crossed over into the alternate arm on day 28. Patients who improved were not cross over to the alternate arm until their measures of benefits returned back to baseline levels. </w:t>
            </w:r>
          </w:p>
          <w:p w14:paraId="49368D1D" w14:textId="77777777" w:rsidR="000B06F3" w:rsidRPr="00DA3C6E" w:rsidRDefault="000B06F3" w:rsidP="008A5F97">
            <w:pPr>
              <w:pStyle w:val="Tabletext1"/>
              <w:jc w:val="left"/>
            </w:pPr>
            <w:r w:rsidRPr="00DA3C6E">
              <w:lastRenderedPageBreak/>
              <w:t>Overall, all patients received the two treatments alternatively after 28 days.</w:t>
            </w:r>
          </w:p>
        </w:tc>
        <w:tc>
          <w:tcPr>
            <w:tcW w:w="1793" w:type="dxa"/>
            <w:tcBorders>
              <w:top w:val="single" w:sz="4" w:space="0" w:color="auto"/>
              <w:left w:val="single" w:sz="4" w:space="0" w:color="auto"/>
              <w:bottom w:val="single" w:sz="4" w:space="0" w:color="auto"/>
              <w:right w:val="single" w:sz="4" w:space="0" w:color="auto"/>
            </w:tcBorders>
          </w:tcPr>
          <w:p w14:paraId="4CD05A84"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lastRenderedPageBreak/>
              <w:t>Outcomes</w:t>
            </w:r>
          </w:p>
          <w:p w14:paraId="702D5C1B"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Primary:</w:t>
            </w:r>
          </w:p>
          <w:p w14:paraId="17337611"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Change in NDS (disability) in response to  intravenous Ig treatment</w:t>
            </w:r>
          </w:p>
          <w:p w14:paraId="2C452033"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Improvement in maximal grip strength</w:t>
            </w:r>
          </w:p>
          <w:p w14:paraId="72F11CF1" w14:textId="77777777" w:rsidR="000B06F3" w:rsidRPr="00DA3C6E" w:rsidRDefault="000B06F3" w:rsidP="008A5F97">
            <w:pPr>
              <w:tabs>
                <w:tab w:val="left" w:pos="2229"/>
              </w:tabs>
              <w:spacing w:after="0" w:line="240" w:lineRule="auto"/>
              <w:ind w:left="35"/>
              <w:contextualSpacing/>
              <w:jc w:val="left"/>
              <w:rPr>
                <w:rFonts w:ascii="Arial Narrow" w:hAnsi="Arial Narrow"/>
                <w:sz w:val="20"/>
                <w:szCs w:val="20"/>
              </w:rPr>
            </w:pPr>
            <w:r w:rsidRPr="00DA3C6E">
              <w:rPr>
                <w:rFonts w:ascii="Arial Narrow" w:hAnsi="Arial Narrow"/>
                <w:sz w:val="20"/>
                <w:szCs w:val="20"/>
              </w:rPr>
              <w:t>Secondary:</w:t>
            </w:r>
          </w:p>
          <w:p w14:paraId="26F03048"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Side effects (safety)</w:t>
            </w:r>
          </w:p>
          <w:p w14:paraId="6778EED4"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Patient self-rated overall functional ability and strength</w:t>
            </w:r>
          </w:p>
          <w:p w14:paraId="256F2F75"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p w14:paraId="357C5952"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Duration of follow-up</w:t>
            </w:r>
          </w:p>
          <w:p w14:paraId="7E7B7301"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Not reported</w:t>
            </w:r>
          </w:p>
          <w:p w14:paraId="60F7F3DC" w14:textId="77777777" w:rsidR="000B06F3" w:rsidRPr="00DA3C6E" w:rsidRDefault="000B06F3" w:rsidP="008A5F97">
            <w:pPr>
              <w:pStyle w:val="Tabletext1"/>
              <w:jc w:val="left"/>
            </w:pPr>
          </w:p>
        </w:tc>
        <w:tc>
          <w:tcPr>
            <w:tcW w:w="2460" w:type="dxa"/>
            <w:tcBorders>
              <w:top w:val="single" w:sz="4" w:space="0" w:color="auto"/>
              <w:left w:val="single" w:sz="4" w:space="0" w:color="auto"/>
              <w:bottom w:val="single" w:sz="4" w:space="0" w:color="auto"/>
              <w:right w:val="single" w:sz="4" w:space="0" w:color="auto"/>
            </w:tcBorders>
          </w:tcPr>
          <w:p w14:paraId="23531A90" w14:textId="77777777" w:rsidR="000B06F3" w:rsidRPr="00DA3C6E" w:rsidRDefault="000B06F3" w:rsidP="008A5F97">
            <w:pPr>
              <w:pStyle w:val="Tabletext1"/>
              <w:ind w:left="34"/>
              <w:jc w:val="left"/>
              <w:rPr>
                <w:u w:val="single"/>
              </w:rPr>
            </w:pPr>
            <w:r w:rsidRPr="00DA3C6E">
              <w:rPr>
                <w:u w:val="single"/>
              </w:rPr>
              <w:lastRenderedPageBreak/>
              <w:t>Measurement of outcome</w:t>
            </w:r>
          </w:p>
          <w:p w14:paraId="462EBF68"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t>E</w:t>
            </w:r>
            <w:r w:rsidRPr="00DA3C6E">
              <w:rPr>
                <w:rFonts w:ascii="Arial Narrow" w:hAnsi="Arial Narrow"/>
                <w:sz w:val="20"/>
                <w:szCs w:val="20"/>
              </w:rPr>
              <w:t>valuation was performed on days 1, 5 and 28 after drug administration.</w:t>
            </w:r>
          </w:p>
          <w:p w14:paraId="0A71E25C"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Overall disability tests included a modified NDS</w:t>
            </w:r>
            <w:r w:rsidRPr="00DA3C6E">
              <w:rPr>
                <w:rFonts w:ascii="Arial Narrow" w:hAnsi="Arial Narrow"/>
                <w:sz w:val="20"/>
                <w:szCs w:val="20"/>
                <w:vertAlign w:val="superscript"/>
              </w:rPr>
              <w:t>e</w:t>
            </w:r>
            <w:r w:rsidRPr="00DA3C6E">
              <w:rPr>
                <w:rFonts w:ascii="Arial Narrow" w:hAnsi="Arial Narrow"/>
                <w:sz w:val="20"/>
                <w:szCs w:val="20"/>
              </w:rPr>
              <w:t xml:space="preserve"> (from Dyck et al.1982). It comprised of a summed score of strength in 26 muscle groups (0 = normal, 1 = mildly weak, 2 = moderately weak, 3 = severely weak, 4 = paralysis); the summed score of sensation in all four limbs; and assessment of </w:t>
            </w:r>
            <w:r w:rsidRPr="00DA3C6E">
              <w:rPr>
                <w:rFonts w:ascii="Arial Narrow" w:hAnsi="Arial Narrow"/>
                <w:sz w:val="20"/>
                <w:szCs w:val="20"/>
              </w:rPr>
              <w:lastRenderedPageBreak/>
              <w:t xml:space="preserve">tendons reflexes (0 = normal, 1 = reduced, 2 = absent) and tremor (0 = absent, 1 = present). </w:t>
            </w:r>
          </w:p>
          <w:p w14:paraId="4E059446" w14:textId="77777777" w:rsidR="000B06F3" w:rsidRPr="00DA3C6E" w:rsidRDefault="000B06F3" w:rsidP="008A5F97">
            <w:pPr>
              <w:pStyle w:val="ListParagraph"/>
              <w:tabs>
                <w:tab w:val="left" w:pos="2229"/>
              </w:tabs>
              <w:spacing w:after="0" w:line="240" w:lineRule="auto"/>
              <w:ind w:left="177"/>
              <w:contextualSpacing/>
              <w:jc w:val="left"/>
              <w:rPr>
                <w:rFonts w:ascii="Arial Narrow" w:hAnsi="Arial Narrow"/>
                <w:sz w:val="20"/>
                <w:szCs w:val="20"/>
              </w:rPr>
            </w:pPr>
            <w:r w:rsidRPr="00DA3C6E">
              <w:rPr>
                <w:rFonts w:ascii="Arial Narrow" w:hAnsi="Arial Narrow"/>
                <w:i/>
                <w:sz w:val="20"/>
                <w:szCs w:val="20"/>
              </w:rPr>
              <w:t>A patient is said to have improved on day 28 if there is NDS reduction of ≥10.</w:t>
            </w:r>
          </w:p>
          <w:p w14:paraId="47162BC1" w14:textId="77777777" w:rsidR="000B06F3" w:rsidRPr="00DA3C6E" w:rsidRDefault="000B06F3" w:rsidP="00C5369E">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 xml:space="preserve">Maximal grip strength in both hands (best of the 3 trials) was measured by a hand dynamometer. This was performed by same blinded neurologist on days 1, 5, and 28. </w:t>
            </w:r>
            <w:r w:rsidRPr="00DA3C6E">
              <w:rPr>
                <w:rFonts w:ascii="Arial Narrow" w:hAnsi="Arial Narrow"/>
                <w:i/>
                <w:sz w:val="20"/>
                <w:szCs w:val="20"/>
              </w:rPr>
              <w:t>A patient is said to have improved on day 28 if there is improvement of grip strength of ≥10kg.</w:t>
            </w:r>
          </w:p>
          <w:p w14:paraId="38995B4A" w14:textId="0531DB49" w:rsidR="000B06F3" w:rsidRPr="00DA3C6E" w:rsidRDefault="000B06F3" w:rsidP="00C5369E">
            <w:pPr>
              <w:tabs>
                <w:tab w:val="left" w:pos="2229"/>
              </w:tabs>
              <w:spacing w:after="0" w:line="240" w:lineRule="auto"/>
              <w:ind w:left="35"/>
              <w:contextualSpacing/>
              <w:jc w:val="left"/>
              <w:rPr>
                <w:rFonts w:ascii="Arial Narrow" w:hAnsi="Arial Narrow"/>
                <w:i/>
                <w:sz w:val="20"/>
                <w:szCs w:val="20"/>
              </w:rPr>
            </w:pPr>
            <w:r w:rsidRPr="00DA3C6E">
              <w:rPr>
                <w:rFonts w:ascii="Arial Narrow" w:hAnsi="Arial Narrow"/>
                <w:i/>
                <w:sz w:val="20"/>
                <w:szCs w:val="20"/>
              </w:rPr>
              <w:t xml:space="preserve">Overall a patient </w:t>
            </w:r>
            <w:r w:rsidR="005272C2" w:rsidRPr="00DA3C6E">
              <w:rPr>
                <w:rFonts w:ascii="Arial Narrow" w:hAnsi="Arial Narrow"/>
                <w:i/>
                <w:sz w:val="20"/>
                <w:szCs w:val="20"/>
              </w:rPr>
              <w:t xml:space="preserve">is </w:t>
            </w:r>
            <w:r w:rsidRPr="00DA3C6E">
              <w:rPr>
                <w:rFonts w:ascii="Arial Narrow" w:hAnsi="Arial Narrow"/>
                <w:i/>
                <w:sz w:val="20"/>
                <w:szCs w:val="20"/>
              </w:rPr>
              <w:t>said to be improved in this study if he</w:t>
            </w:r>
            <w:r w:rsidR="000047E2" w:rsidRPr="00DA3C6E">
              <w:rPr>
                <w:rFonts w:ascii="Arial Narrow" w:hAnsi="Arial Narrow"/>
                <w:i/>
                <w:sz w:val="20"/>
                <w:szCs w:val="20"/>
              </w:rPr>
              <w:t>/she</w:t>
            </w:r>
            <w:r w:rsidRPr="00DA3C6E">
              <w:rPr>
                <w:rFonts w:ascii="Arial Narrow" w:hAnsi="Arial Narrow"/>
                <w:i/>
                <w:sz w:val="20"/>
                <w:szCs w:val="20"/>
              </w:rPr>
              <w:t xml:space="preserve"> experienced improvement in NDS, grip strength and subjective functional assessment.</w:t>
            </w:r>
          </w:p>
          <w:p w14:paraId="6E4FE6FE" w14:textId="77777777" w:rsidR="000B06F3" w:rsidRPr="00DA3C6E" w:rsidRDefault="000B06F3" w:rsidP="000047E2">
            <w:pPr>
              <w:spacing w:after="0" w:line="240" w:lineRule="auto"/>
              <w:jc w:val="left"/>
              <w:rPr>
                <w:rFonts w:ascii="Arial Narrow" w:hAnsi="Arial Narrow"/>
                <w:sz w:val="20"/>
                <w:szCs w:val="20"/>
                <w:u w:val="single"/>
              </w:rPr>
            </w:pPr>
            <w:r w:rsidRPr="00DA3C6E">
              <w:rPr>
                <w:rFonts w:ascii="Arial Narrow" w:hAnsi="Arial Narrow"/>
                <w:sz w:val="20"/>
                <w:szCs w:val="20"/>
                <w:u w:val="single"/>
              </w:rPr>
              <w:t>Time point of assessment</w:t>
            </w:r>
          </w:p>
          <w:p w14:paraId="0A5D988F" w14:textId="77777777" w:rsidR="000B06F3" w:rsidRPr="00DA3C6E" w:rsidRDefault="000B06F3" w:rsidP="001C60C7">
            <w:pPr>
              <w:spacing w:after="0" w:line="240" w:lineRule="auto"/>
              <w:jc w:val="left"/>
              <w:rPr>
                <w:rFonts w:ascii="Arial Narrow" w:hAnsi="Arial Narrow"/>
                <w:sz w:val="20"/>
                <w:szCs w:val="20"/>
              </w:rPr>
            </w:pPr>
            <w:r w:rsidRPr="00DA3C6E">
              <w:rPr>
                <w:rFonts w:ascii="Arial Narrow" w:hAnsi="Arial Narrow"/>
                <w:sz w:val="20"/>
                <w:szCs w:val="20"/>
              </w:rPr>
              <w:t>28 days after last treatment</w:t>
            </w:r>
          </w:p>
          <w:p w14:paraId="43B26A36" w14:textId="77777777" w:rsidR="000B06F3" w:rsidRPr="00DA3C6E" w:rsidRDefault="000B06F3" w:rsidP="00DB568A">
            <w:pPr>
              <w:tabs>
                <w:tab w:val="left" w:pos="2229"/>
              </w:tabs>
              <w:spacing w:after="0" w:line="240" w:lineRule="auto"/>
              <w:ind w:left="35"/>
              <w:contextualSpacing/>
              <w:jc w:val="left"/>
              <w:rPr>
                <w:rFonts w:ascii="Arial Narrow" w:hAnsi="Arial Narrow"/>
                <w:sz w:val="20"/>
                <w:szCs w:val="20"/>
              </w:rPr>
            </w:pPr>
          </w:p>
          <w:p w14:paraId="2EA15F4D" w14:textId="77777777" w:rsidR="000B06F3" w:rsidRPr="00DA3C6E" w:rsidRDefault="000B06F3" w:rsidP="00DB568A">
            <w:pPr>
              <w:spacing w:after="0" w:line="240" w:lineRule="auto"/>
              <w:jc w:val="left"/>
              <w:rPr>
                <w:rFonts w:ascii="Arial Narrow" w:hAnsi="Arial Narrow"/>
                <w:sz w:val="20"/>
                <w:szCs w:val="20"/>
                <w:u w:val="single"/>
              </w:rPr>
            </w:pPr>
            <w:r w:rsidRPr="00DA3C6E">
              <w:rPr>
                <w:rFonts w:ascii="Arial Narrow" w:hAnsi="Arial Narrow"/>
                <w:sz w:val="20"/>
                <w:szCs w:val="20"/>
                <w:u w:val="single"/>
              </w:rPr>
              <w:t>Statistical method of analysis</w:t>
            </w:r>
          </w:p>
          <w:p w14:paraId="7FD1E3F6" w14:textId="77777777" w:rsidR="000B06F3" w:rsidRPr="00DA3C6E" w:rsidRDefault="000B06F3" w:rsidP="00C5369E">
            <w:pPr>
              <w:pStyle w:val="Tabletext1"/>
              <w:spacing w:before="0" w:after="0"/>
              <w:ind w:left="34"/>
              <w:jc w:val="left"/>
            </w:pPr>
            <w:r w:rsidRPr="00DA3C6E">
              <w:t>Paired one-tailed Student's T-test</w:t>
            </w:r>
          </w:p>
        </w:tc>
      </w:tr>
      <w:tr w:rsidR="000B06F3" w:rsidRPr="00DA3C6E" w14:paraId="259D3FFA" w14:textId="77777777" w:rsidTr="008A5F97">
        <w:trPr>
          <w:trHeight w:val="319"/>
        </w:trPr>
        <w:tc>
          <w:tcPr>
            <w:tcW w:w="0" w:type="auto"/>
            <w:tcBorders>
              <w:top w:val="single" w:sz="4" w:space="0" w:color="auto"/>
              <w:left w:val="single" w:sz="4" w:space="0" w:color="auto"/>
              <w:bottom w:val="single" w:sz="4" w:space="0" w:color="auto"/>
              <w:right w:val="single" w:sz="4" w:space="0" w:color="auto"/>
            </w:tcBorders>
          </w:tcPr>
          <w:p w14:paraId="0FC69E58" w14:textId="764E9887" w:rsidR="000B06F3" w:rsidRPr="00DA3C6E" w:rsidRDefault="000B06F3" w:rsidP="00C04BCE">
            <w:pPr>
              <w:spacing w:after="0" w:line="240" w:lineRule="auto"/>
              <w:jc w:val="left"/>
              <w:rPr>
                <w:rFonts w:ascii="Arial Narrow" w:hAnsi="Arial Narrow"/>
                <w:sz w:val="20"/>
              </w:rPr>
            </w:pPr>
            <w:r w:rsidRPr="00DA3C6E">
              <w:rPr>
                <w:rFonts w:ascii="Arial Narrow" w:hAnsi="Arial Narrow"/>
                <w:sz w:val="20"/>
              </w:rPr>
              <w:lastRenderedPageBreak/>
              <w:t>Leger et al. 2001</w: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7" w:tooltip="Leger, 2001 #39" w:history="1">
              <w:r w:rsidR="00C04BCE" w:rsidRPr="00DA3C6E">
                <w:rPr>
                  <w:rFonts w:ascii="Arial Narrow" w:hAnsi="Arial Narrow"/>
                  <w:noProof/>
                  <w:sz w:val="20"/>
                </w:rPr>
                <w:t>27</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51B555F5" w14:textId="77777777" w:rsidR="000B06F3" w:rsidRPr="00DA3C6E" w:rsidRDefault="000B06F3" w:rsidP="008A5F97">
            <w:pPr>
              <w:tabs>
                <w:tab w:val="left" w:pos="2229"/>
              </w:tabs>
              <w:spacing w:after="0" w:line="240" w:lineRule="auto"/>
              <w:jc w:val="left"/>
              <w:rPr>
                <w:rFonts w:ascii="Arial Narrow" w:hAnsi="Arial Narrow"/>
                <w:sz w:val="20"/>
                <w:szCs w:val="20"/>
              </w:rPr>
            </w:pPr>
            <w:r w:rsidRPr="00DA3C6E">
              <w:rPr>
                <w:rFonts w:ascii="Arial Narrow" w:hAnsi="Arial Narrow"/>
                <w:sz w:val="20"/>
                <w:szCs w:val="20"/>
              </w:rPr>
              <w:t>Double-blind, placebo controlled cross over trial</w:t>
            </w:r>
          </w:p>
        </w:tc>
        <w:tc>
          <w:tcPr>
            <w:tcW w:w="2012" w:type="dxa"/>
            <w:tcBorders>
              <w:top w:val="single" w:sz="4" w:space="0" w:color="auto"/>
              <w:left w:val="single" w:sz="4" w:space="0" w:color="auto"/>
              <w:bottom w:val="single" w:sz="4" w:space="0" w:color="auto"/>
              <w:right w:val="single" w:sz="4" w:space="0" w:color="auto"/>
            </w:tcBorders>
          </w:tcPr>
          <w:p w14:paraId="34AF767D" w14:textId="77777777" w:rsidR="000B06F3" w:rsidRPr="00DA3C6E" w:rsidRDefault="000B06F3" w:rsidP="008A5F97">
            <w:pPr>
              <w:pStyle w:val="Tabletext1"/>
              <w:jc w:val="left"/>
            </w:pPr>
            <w:r w:rsidRPr="00DA3C6E">
              <w:rPr>
                <w:u w:val="single"/>
              </w:rPr>
              <w:t>Inclusion criteria:</w:t>
            </w:r>
            <w:r w:rsidRPr="00DA3C6E">
              <w:t xml:space="preserve"> </w:t>
            </w:r>
          </w:p>
          <w:p w14:paraId="4A61751F" w14:textId="77777777" w:rsidR="000B06F3" w:rsidRPr="00DA3C6E" w:rsidRDefault="000B06F3" w:rsidP="008A5F97">
            <w:pPr>
              <w:pStyle w:val="Tabletext1"/>
              <w:jc w:val="left"/>
            </w:pPr>
            <w:r w:rsidRPr="00DA3C6E">
              <w:t xml:space="preserve">Patients diagnosed with MMN based on clinical </w:t>
            </w:r>
            <w:r w:rsidRPr="00DA3C6E">
              <w:lastRenderedPageBreak/>
              <w:t>(progressive weakness with multifocal distribution, with no bulbar involvement and no upper motor neuron signs. Symptoms are prominent in the arms) and electrophysiological (multifocal conduction block confined to motor axons. Fasciculation may also be present) diagnostics who had not received immune-suppressants and intravenous Ig treatment for 2 months for treatment naïve (newly diagnosed) and 3 months for pre-treated patients with intravenous Ig.</w:t>
            </w:r>
          </w:p>
          <w:p w14:paraId="17D70CB1" w14:textId="77777777" w:rsidR="000B06F3" w:rsidRPr="00DA3C6E" w:rsidRDefault="000B06F3" w:rsidP="008A5F97">
            <w:pPr>
              <w:pStyle w:val="Tabletext1"/>
              <w:jc w:val="left"/>
              <w:rPr>
                <w:u w:val="single"/>
              </w:rPr>
            </w:pPr>
            <w:r w:rsidRPr="00DA3C6E">
              <w:rPr>
                <w:u w:val="single"/>
              </w:rPr>
              <w:t>Exclusion criteria:</w:t>
            </w:r>
          </w:p>
          <w:p w14:paraId="300EA164" w14:textId="77777777" w:rsidR="000B06F3" w:rsidRPr="00DA3C6E" w:rsidRDefault="000B06F3" w:rsidP="008A5F97">
            <w:pPr>
              <w:pStyle w:val="Tabletext1"/>
              <w:jc w:val="left"/>
            </w:pPr>
            <w:r w:rsidRPr="00DA3C6E">
              <w:t>Patients with severe concurrent medical condition that might cause neuropathy or interfere with the treatment, were pregnant or were less than 18 years.</w:t>
            </w:r>
          </w:p>
          <w:p w14:paraId="3C5250EB" w14:textId="77777777" w:rsidR="000B06F3" w:rsidRPr="00DA3C6E" w:rsidRDefault="000B06F3" w:rsidP="008A5F97">
            <w:pPr>
              <w:pStyle w:val="Tabletext1"/>
              <w:jc w:val="left"/>
            </w:pPr>
          </w:p>
        </w:tc>
        <w:tc>
          <w:tcPr>
            <w:tcW w:w="2268" w:type="dxa"/>
            <w:tcBorders>
              <w:top w:val="single" w:sz="4" w:space="0" w:color="auto"/>
              <w:left w:val="single" w:sz="4" w:space="0" w:color="auto"/>
              <w:bottom w:val="single" w:sz="4" w:space="0" w:color="auto"/>
              <w:right w:val="single" w:sz="4" w:space="0" w:color="auto"/>
            </w:tcBorders>
          </w:tcPr>
          <w:p w14:paraId="3CF72E2C" w14:textId="77777777" w:rsidR="000B06F3" w:rsidRPr="00DA3C6E" w:rsidRDefault="000B06F3" w:rsidP="008A5F97">
            <w:pPr>
              <w:pStyle w:val="Tabletext1"/>
              <w:jc w:val="left"/>
            </w:pPr>
            <w:r w:rsidRPr="00DA3C6E">
              <w:lastRenderedPageBreak/>
              <w:t>N = 19</w:t>
            </w:r>
          </w:p>
          <w:p w14:paraId="71B32FEA" w14:textId="77777777" w:rsidR="000B06F3" w:rsidRPr="00DA3C6E" w:rsidRDefault="000B06F3" w:rsidP="008A5F97">
            <w:pPr>
              <w:pStyle w:val="Tabletext1"/>
              <w:jc w:val="left"/>
            </w:pPr>
            <w:r w:rsidRPr="00DA3C6E">
              <w:t>Mean age of onset: 54.6 (range: 40-65)</w:t>
            </w:r>
          </w:p>
          <w:p w14:paraId="02420D5C" w14:textId="77777777" w:rsidR="000B06F3" w:rsidRPr="00DA3C6E" w:rsidRDefault="000B06F3" w:rsidP="008A5F97">
            <w:pPr>
              <w:pStyle w:val="Tabletext1"/>
              <w:jc w:val="left"/>
            </w:pPr>
            <w:r w:rsidRPr="00DA3C6E">
              <w:lastRenderedPageBreak/>
              <w:t>Gender, n (%) male:</w:t>
            </w:r>
          </w:p>
          <w:p w14:paraId="3B0744E2" w14:textId="77777777" w:rsidR="000B06F3" w:rsidRPr="00DA3C6E" w:rsidRDefault="000B06F3" w:rsidP="008A5F97">
            <w:pPr>
              <w:pStyle w:val="Tabletext1"/>
              <w:jc w:val="left"/>
            </w:pPr>
            <w:r w:rsidRPr="00DA3C6E">
              <w:t>Duration of symptoms (mean years): 9.04 (range: 1.3-31.7)</w:t>
            </w:r>
          </w:p>
          <w:p w14:paraId="20EA705E" w14:textId="77777777" w:rsidR="000B06F3" w:rsidRPr="00DA3C6E" w:rsidRDefault="000B06F3" w:rsidP="008A5F97">
            <w:pPr>
              <w:pStyle w:val="Tabletext1"/>
              <w:jc w:val="left"/>
            </w:pPr>
            <w:r w:rsidRPr="00DA3C6E">
              <w:t>Baseline average disability (SD)</w:t>
            </w:r>
            <w:r w:rsidRPr="00DA3C6E">
              <w:rPr>
                <w:vertAlign w:val="superscript"/>
              </w:rPr>
              <w:t xml:space="preserve">a </w:t>
            </w:r>
            <w:r w:rsidRPr="00DA3C6E">
              <w:t>: intravenous Ig arm = 118.4 (11.2), placebo arm = 112.9 (19.2)</w:t>
            </w:r>
          </w:p>
          <w:p w14:paraId="5CE57D98" w14:textId="77777777" w:rsidR="000B06F3" w:rsidRPr="00DA3C6E" w:rsidRDefault="000B06F3" w:rsidP="008A5F97">
            <w:pPr>
              <w:pStyle w:val="Tabletext1"/>
              <w:jc w:val="left"/>
            </w:pPr>
            <w:r w:rsidRPr="00DA3C6E">
              <w:t>Baseline self-evaluation score</w:t>
            </w:r>
            <w:r w:rsidRPr="00DA3C6E">
              <w:rPr>
                <w:vertAlign w:val="superscript"/>
              </w:rPr>
              <w:t>b</w:t>
            </w:r>
            <w:r w:rsidRPr="00DA3C6E">
              <w:t xml:space="preserve"> (SD): intravenous Ig arm = 19.1 (2), placebo arm = 18.7 (2.9)</w:t>
            </w:r>
          </w:p>
          <w:p w14:paraId="6B1019F1" w14:textId="77777777" w:rsidR="000B06F3" w:rsidRPr="00DA3C6E" w:rsidRDefault="000B06F3" w:rsidP="008A5F97">
            <w:pPr>
              <w:pStyle w:val="Tabletext1"/>
              <w:jc w:val="left"/>
            </w:pPr>
            <w:r w:rsidRPr="00DA3C6E">
              <w:t>Presence of conduction block: Yes</w:t>
            </w:r>
          </w:p>
          <w:p w14:paraId="63C017B4" w14:textId="77777777" w:rsidR="000B06F3" w:rsidRPr="00DA3C6E" w:rsidRDefault="000B06F3" w:rsidP="008A5F97">
            <w:pPr>
              <w:pStyle w:val="Tabletext1"/>
              <w:jc w:val="left"/>
            </w:pPr>
            <w:r w:rsidRPr="00DA3C6E">
              <w:t>Previously treated: Yes (9 out of 19)</w:t>
            </w:r>
          </w:p>
        </w:tc>
        <w:tc>
          <w:tcPr>
            <w:tcW w:w="1985" w:type="dxa"/>
            <w:tcBorders>
              <w:top w:val="single" w:sz="4" w:space="0" w:color="auto"/>
              <w:left w:val="single" w:sz="4" w:space="0" w:color="auto"/>
              <w:bottom w:val="single" w:sz="4" w:space="0" w:color="auto"/>
              <w:right w:val="single" w:sz="4" w:space="0" w:color="auto"/>
            </w:tcBorders>
          </w:tcPr>
          <w:p w14:paraId="5B5A369F" w14:textId="77777777" w:rsidR="000B06F3" w:rsidRPr="00DA3C6E" w:rsidRDefault="000B06F3" w:rsidP="008A5F97">
            <w:pPr>
              <w:pStyle w:val="Tabletext1"/>
              <w:jc w:val="left"/>
            </w:pPr>
            <w:r w:rsidRPr="00DA3C6E">
              <w:lastRenderedPageBreak/>
              <w:t xml:space="preserve">Intravenous Ig treatment administered as 0.5g/Kg/day for 5 </w:t>
            </w:r>
            <w:r w:rsidRPr="00DA3C6E">
              <w:lastRenderedPageBreak/>
              <w:t>consecutive days. Responders remained on the same treatment after 3 more months and non-responders crossed over to the alternative treatment for the following 3 months.</w:t>
            </w:r>
          </w:p>
        </w:tc>
        <w:tc>
          <w:tcPr>
            <w:tcW w:w="1984" w:type="dxa"/>
            <w:tcBorders>
              <w:top w:val="single" w:sz="4" w:space="0" w:color="auto"/>
              <w:left w:val="single" w:sz="4" w:space="0" w:color="auto"/>
              <w:bottom w:val="single" w:sz="4" w:space="0" w:color="auto"/>
              <w:right w:val="single" w:sz="4" w:space="0" w:color="auto"/>
            </w:tcBorders>
          </w:tcPr>
          <w:p w14:paraId="2EEE509F" w14:textId="77777777" w:rsidR="000B06F3" w:rsidRPr="00DA3C6E" w:rsidRDefault="000B06F3" w:rsidP="008A5F97">
            <w:pPr>
              <w:pStyle w:val="Tabletext1"/>
              <w:jc w:val="left"/>
            </w:pPr>
            <w:r w:rsidRPr="00DA3C6E">
              <w:lastRenderedPageBreak/>
              <w:t xml:space="preserve">1% human albumin, lyophilized once a month for 3 months. </w:t>
            </w:r>
          </w:p>
          <w:p w14:paraId="0797BBF5" w14:textId="77777777" w:rsidR="000B06F3" w:rsidRPr="00DA3C6E" w:rsidRDefault="000B06F3" w:rsidP="008A5F97">
            <w:pPr>
              <w:pStyle w:val="Tabletext1"/>
              <w:jc w:val="left"/>
              <w:rPr>
                <w:u w:val="single"/>
              </w:rPr>
            </w:pPr>
            <w:r w:rsidRPr="00DA3C6E">
              <w:lastRenderedPageBreak/>
              <w:t>Responders remained on the same treatment after 3 more months and non-responders crossed over to the alternative treatment for the following 3 months.</w:t>
            </w:r>
          </w:p>
        </w:tc>
        <w:tc>
          <w:tcPr>
            <w:tcW w:w="1793" w:type="dxa"/>
            <w:tcBorders>
              <w:top w:val="single" w:sz="4" w:space="0" w:color="auto"/>
              <w:left w:val="single" w:sz="4" w:space="0" w:color="auto"/>
              <w:bottom w:val="single" w:sz="4" w:space="0" w:color="auto"/>
              <w:right w:val="single" w:sz="4" w:space="0" w:color="auto"/>
            </w:tcBorders>
          </w:tcPr>
          <w:p w14:paraId="63125176"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lastRenderedPageBreak/>
              <w:t>Outcomes</w:t>
            </w:r>
          </w:p>
          <w:p w14:paraId="50CC0331"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 xml:space="preserve">Primary: </w:t>
            </w:r>
          </w:p>
          <w:p w14:paraId="3DA35B26"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lastRenderedPageBreak/>
              <w:t>Improvement in muscle strength</w:t>
            </w:r>
          </w:p>
          <w:p w14:paraId="3EEC8D4F"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Secondary:</w:t>
            </w:r>
          </w:p>
          <w:p w14:paraId="13F5D4A3"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Overall response</w:t>
            </w:r>
          </w:p>
          <w:p w14:paraId="58EB28E3"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Self-evaluation scale (assessing change in disability)</w:t>
            </w:r>
          </w:p>
          <w:p w14:paraId="508C64BB"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Side effects (safety)</w:t>
            </w:r>
          </w:p>
          <w:p w14:paraId="350132BA"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p w14:paraId="0A03C66A"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Duration of follow-up</w:t>
            </w:r>
          </w:p>
          <w:p w14:paraId="4DDF96DD" w14:textId="77777777" w:rsidR="000B06F3" w:rsidRPr="00DA3C6E" w:rsidRDefault="000B06F3" w:rsidP="008A5F97">
            <w:pPr>
              <w:pStyle w:val="Tabletext1"/>
              <w:jc w:val="left"/>
            </w:pPr>
            <w:r w:rsidRPr="00DA3C6E">
              <w:t>7 months</w:t>
            </w:r>
          </w:p>
        </w:tc>
        <w:tc>
          <w:tcPr>
            <w:tcW w:w="2460" w:type="dxa"/>
            <w:tcBorders>
              <w:top w:val="single" w:sz="4" w:space="0" w:color="auto"/>
              <w:left w:val="single" w:sz="4" w:space="0" w:color="auto"/>
              <w:bottom w:val="single" w:sz="4" w:space="0" w:color="auto"/>
              <w:right w:val="single" w:sz="4" w:space="0" w:color="auto"/>
            </w:tcBorders>
          </w:tcPr>
          <w:p w14:paraId="15AB8BA2" w14:textId="77777777" w:rsidR="000B06F3" w:rsidRPr="00DA3C6E" w:rsidRDefault="000B06F3" w:rsidP="00134AFC">
            <w:pPr>
              <w:pStyle w:val="Tabletext1"/>
              <w:ind w:left="34"/>
              <w:jc w:val="left"/>
              <w:rPr>
                <w:u w:val="single"/>
              </w:rPr>
            </w:pPr>
            <w:r w:rsidRPr="00DA3C6E">
              <w:rPr>
                <w:u w:val="single"/>
              </w:rPr>
              <w:lastRenderedPageBreak/>
              <w:t>Measurement of outcome</w:t>
            </w:r>
          </w:p>
          <w:p w14:paraId="7118762D" w14:textId="77777777" w:rsidR="000B06F3" w:rsidRPr="00DA3C6E" w:rsidRDefault="000B06F3" w:rsidP="00134AFC">
            <w:pPr>
              <w:tabs>
                <w:tab w:val="left" w:pos="2229"/>
              </w:tabs>
              <w:spacing w:after="0" w:line="240" w:lineRule="auto"/>
              <w:contextualSpacing/>
              <w:jc w:val="left"/>
              <w:rPr>
                <w:rFonts w:ascii="Arial Narrow" w:hAnsi="Arial Narrow"/>
                <w:sz w:val="20"/>
                <w:szCs w:val="20"/>
              </w:rPr>
            </w:pPr>
            <w:r w:rsidRPr="00DA3C6E">
              <w:t>E</w:t>
            </w:r>
            <w:r w:rsidRPr="00DA3C6E">
              <w:rPr>
                <w:rFonts w:ascii="Arial Narrow" w:hAnsi="Arial Narrow"/>
                <w:sz w:val="20"/>
                <w:szCs w:val="20"/>
              </w:rPr>
              <w:t>valuation was performed b at baseline, 4 and 7 months.</w:t>
            </w:r>
          </w:p>
          <w:p w14:paraId="527AA29E" w14:textId="6590D5AA" w:rsidR="000B06F3" w:rsidRPr="00DA3C6E" w:rsidRDefault="000B06F3" w:rsidP="00FA72EB">
            <w:pPr>
              <w:pStyle w:val="ListParagraph"/>
              <w:numPr>
                <w:ilvl w:val="0"/>
                <w:numId w:val="31"/>
              </w:numPr>
              <w:tabs>
                <w:tab w:val="left" w:pos="2229"/>
              </w:tabs>
              <w:spacing w:line="240" w:lineRule="auto"/>
              <w:ind w:left="177" w:hanging="142"/>
              <w:contextualSpacing/>
              <w:jc w:val="left"/>
              <w:rPr>
                <w:rFonts w:ascii="Arial Narrow" w:eastAsiaTheme="minorHAnsi" w:hAnsi="Arial Narrow" w:cstheme="minorBidi"/>
                <w:sz w:val="20"/>
                <w:szCs w:val="20"/>
                <w:lang w:eastAsia="en-US"/>
              </w:rPr>
            </w:pPr>
            <w:r w:rsidRPr="00DA3C6E">
              <w:rPr>
                <w:rFonts w:ascii="Arial Narrow" w:hAnsi="Arial Narrow"/>
                <w:sz w:val="20"/>
                <w:szCs w:val="20"/>
              </w:rPr>
              <w:lastRenderedPageBreak/>
              <w:t>Muscle strength was measured using the MRC score. MRC score was measured in 28 muscles (7 x 2 in the upper limbs, 5 x 2 in the lower limbs and 4 in the neck). Primary endpoint was a difference in MRC score between baseline and 4 months. Change in MRC was calculated as medians with 95% CI within each category of patients (intravenous Ig and Placebo), and between intravenous Ig patients and placebo patients. Changes were considered significant if CI did not include zero.</w:t>
            </w:r>
            <w:r w:rsidRPr="00DA3C6E">
              <w:rPr>
                <w:rFonts w:ascii="Arial Narrow" w:eastAsiaTheme="minorHAnsi" w:hAnsi="Arial Narrow" w:cstheme="minorBidi"/>
                <w:sz w:val="20"/>
                <w:szCs w:val="20"/>
                <w:lang w:eastAsia="en-US"/>
              </w:rPr>
              <w:t xml:space="preserve"> </w:t>
            </w:r>
            <w:r w:rsidRPr="00DA3C6E">
              <w:rPr>
                <w:rFonts w:ascii="Arial Narrow" w:eastAsiaTheme="minorHAnsi" w:hAnsi="Arial Narrow" w:cstheme="minorBidi"/>
                <w:i/>
                <w:sz w:val="20"/>
                <w:szCs w:val="20"/>
                <w:lang w:eastAsia="en-US"/>
              </w:rPr>
              <w:t>A patient is said to respond to intravenous Ig on the MRC scale at month 4 if he</w:t>
            </w:r>
            <w:r w:rsidR="000047E2" w:rsidRPr="00DA3C6E">
              <w:rPr>
                <w:rFonts w:ascii="Arial Narrow" w:eastAsiaTheme="minorHAnsi" w:hAnsi="Arial Narrow" w:cstheme="minorBidi"/>
                <w:i/>
                <w:sz w:val="20"/>
                <w:szCs w:val="20"/>
                <w:lang w:eastAsia="en-US"/>
              </w:rPr>
              <w:t>/she</w:t>
            </w:r>
            <w:r w:rsidRPr="00DA3C6E">
              <w:rPr>
                <w:rFonts w:ascii="Arial Narrow" w:eastAsiaTheme="minorHAnsi" w:hAnsi="Arial Narrow" w:cstheme="minorBidi"/>
                <w:i/>
                <w:sz w:val="20"/>
                <w:szCs w:val="20"/>
                <w:lang w:eastAsia="en-US"/>
              </w:rPr>
              <w:t xml:space="preserve"> had at least 1 more MRC point in two affected muscles Maximum mean overall MRC score in this study was 140; 0 (total paralysis) to 140 (normal strength)</w:t>
            </w:r>
          </w:p>
          <w:p w14:paraId="45BD746B" w14:textId="77777777" w:rsidR="000B06F3" w:rsidRPr="00DA3C6E" w:rsidRDefault="000B06F3" w:rsidP="00FA72EB">
            <w:pPr>
              <w:pStyle w:val="ListParagraph"/>
              <w:numPr>
                <w:ilvl w:val="0"/>
                <w:numId w:val="31"/>
              </w:numPr>
              <w:tabs>
                <w:tab w:val="left" w:pos="2229"/>
              </w:tabs>
              <w:spacing w:line="240" w:lineRule="auto"/>
              <w:ind w:left="177" w:hanging="142"/>
              <w:contextualSpacing/>
              <w:jc w:val="left"/>
              <w:rPr>
                <w:rFonts w:ascii="Arial Narrow" w:hAnsi="Arial Narrow"/>
                <w:sz w:val="20"/>
                <w:szCs w:val="20"/>
              </w:rPr>
            </w:pPr>
            <w:r w:rsidRPr="00DA3C6E">
              <w:rPr>
                <w:rFonts w:ascii="Arial Narrow" w:hAnsi="Arial Narrow"/>
                <w:sz w:val="20"/>
                <w:szCs w:val="20"/>
              </w:rPr>
              <w:t xml:space="preserve">Self-evaluation scale scored from 0 (normal) to 5 (impossible) for five motor ADL chosen for each </w:t>
            </w:r>
            <w:r w:rsidRPr="00DA3C6E">
              <w:rPr>
                <w:rFonts w:ascii="Arial Narrow" w:hAnsi="Arial Narrow"/>
                <w:sz w:val="20"/>
                <w:szCs w:val="20"/>
              </w:rPr>
              <w:lastRenderedPageBreak/>
              <w:t>patient together with the examiner at baseline. Maximum score = 25</w:t>
            </w:r>
          </w:p>
          <w:p w14:paraId="102811BA" w14:textId="77777777" w:rsidR="000B06F3" w:rsidRPr="00DA3C6E" w:rsidRDefault="000B06F3" w:rsidP="00FA72EB">
            <w:pPr>
              <w:tabs>
                <w:tab w:val="left" w:pos="2229"/>
              </w:tabs>
              <w:spacing w:line="240" w:lineRule="auto"/>
              <w:contextualSpacing/>
              <w:jc w:val="left"/>
              <w:rPr>
                <w:rFonts w:ascii="Arial Narrow" w:hAnsi="Arial Narrow"/>
                <w:i/>
                <w:sz w:val="20"/>
                <w:szCs w:val="20"/>
              </w:rPr>
            </w:pPr>
            <w:r w:rsidRPr="00DA3C6E">
              <w:rPr>
                <w:rFonts w:ascii="Arial Narrow" w:hAnsi="Arial Narrow"/>
                <w:i/>
                <w:sz w:val="20"/>
                <w:szCs w:val="20"/>
              </w:rPr>
              <w:t>Overall, patients were considered as responders at month 4 if they had at least 1 more MRC point in two affected muscles plus 1 point less in two ADL compared to baseline.</w:t>
            </w:r>
          </w:p>
          <w:p w14:paraId="6C3CD2C7" w14:textId="77777777" w:rsidR="000B06F3" w:rsidRPr="00DA3C6E" w:rsidRDefault="000B06F3" w:rsidP="00FA72EB">
            <w:pPr>
              <w:tabs>
                <w:tab w:val="left" w:pos="2229"/>
              </w:tabs>
              <w:spacing w:after="0" w:line="240" w:lineRule="auto"/>
              <w:contextualSpacing/>
              <w:jc w:val="left"/>
              <w:rPr>
                <w:rFonts w:ascii="Arial Narrow" w:hAnsi="Arial Narrow"/>
                <w:sz w:val="20"/>
                <w:szCs w:val="20"/>
              </w:rPr>
            </w:pPr>
          </w:p>
          <w:p w14:paraId="746EFDB2" w14:textId="77777777" w:rsidR="000B06F3" w:rsidRPr="00DA3C6E" w:rsidRDefault="000B06F3" w:rsidP="00134AFC">
            <w:pPr>
              <w:spacing w:after="0" w:line="240" w:lineRule="auto"/>
              <w:jc w:val="left"/>
              <w:rPr>
                <w:rFonts w:ascii="Arial Narrow" w:hAnsi="Arial Narrow"/>
                <w:sz w:val="20"/>
                <w:szCs w:val="20"/>
                <w:u w:val="single"/>
              </w:rPr>
            </w:pPr>
            <w:r w:rsidRPr="00DA3C6E">
              <w:rPr>
                <w:rFonts w:ascii="Arial Narrow" w:hAnsi="Arial Narrow"/>
                <w:sz w:val="20"/>
                <w:szCs w:val="20"/>
                <w:u w:val="single"/>
              </w:rPr>
              <w:t>Time point of assessment</w:t>
            </w:r>
          </w:p>
          <w:p w14:paraId="61079AF6" w14:textId="77777777" w:rsidR="000B06F3" w:rsidRPr="00DA3C6E" w:rsidRDefault="000B06F3" w:rsidP="00134AFC">
            <w:pPr>
              <w:spacing w:after="0" w:line="240" w:lineRule="auto"/>
              <w:jc w:val="left"/>
              <w:rPr>
                <w:rFonts w:ascii="Arial Narrow" w:hAnsi="Arial Narrow"/>
                <w:sz w:val="20"/>
                <w:szCs w:val="20"/>
              </w:rPr>
            </w:pPr>
            <w:r w:rsidRPr="00DA3C6E">
              <w:rPr>
                <w:rFonts w:ascii="Arial Narrow" w:hAnsi="Arial Narrow"/>
                <w:sz w:val="20"/>
                <w:szCs w:val="20"/>
              </w:rPr>
              <w:t xml:space="preserve">Analysis presented were for the difference between baseline and month 4 (i.e. 28 days after end of treatment course) </w:t>
            </w:r>
          </w:p>
          <w:p w14:paraId="7BD0AE99" w14:textId="77777777" w:rsidR="000B06F3" w:rsidRPr="00DA3C6E" w:rsidRDefault="000B06F3" w:rsidP="0088415E">
            <w:pPr>
              <w:tabs>
                <w:tab w:val="left" w:pos="2229"/>
              </w:tabs>
              <w:spacing w:after="0" w:line="240" w:lineRule="auto"/>
              <w:ind w:left="35"/>
              <w:contextualSpacing/>
              <w:jc w:val="left"/>
              <w:rPr>
                <w:rFonts w:ascii="Arial Narrow" w:hAnsi="Arial Narrow"/>
                <w:sz w:val="20"/>
                <w:szCs w:val="20"/>
              </w:rPr>
            </w:pPr>
          </w:p>
          <w:p w14:paraId="0FC71E9E" w14:textId="77777777" w:rsidR="000B06F3" w:rsidRPr="00DA3C6E" w:rsidRDefault="000B06F3" w:rsidP="0088415E">
            <w:pPr>
              <w:spacing w:after="0" w:line="240" w:lineRule="auto"/>
              <w:jc w:val="left"/>
              <w:rPr>
                <w:rFonts w:ascii="Arial Narrow" w:hAnsi="Arial Narrow"/>
                <w:sz w:val="20"/>
                <w:szCs w:val="20"/>
                <w:u w:val="single"/>
              </w:rPr>
            </w:pPr>
            <w:r w:rsidRPr="00DA3C6E">
              <w:rPr>
                <w:rFonts w:ascii="Arial Narrow" w:hAnsi="Arial Narrow"/>
                <w:sz w:val="20"/>
                <w:szCs w:val="20"/>
                <w:u w:val="single"/>
              </w:rPr>
              <w:t>Statistical method of analysis</w:t>
            </w:r>
          </w:p>
          <w:p w14:paraId="64EE50C3" w14:textId="77777777" w:rsidR="000B06F3" w:rsidRPr="00DA3C6E" w:rsidRDefault="000B06F3" w:rsidP="0088415E">
            <w:pPr>
              <w:pStyle w:val="Tabletext1"/>
              <w:ind w:left="34"/>
              <w:jc w:val="left"/>
            </w:pPr>
            <w:r w:rsidRPr="00DA3C6E">
              <w:t>Fischer’s exact test for muscle strength</w:t>
            </w:r>
          </w:p>
        </w:tc>
      </w:tr>
      <w:tr w:rsidR="000B06F3" w:rsidRPr="00DA3C6E" w14:paraId="64D6D594" w14:textId="77777777" w:rsidTr="008A5F97">
        <w:trPr>
          <w:trHeight w:val="319"/>
        </w:trPr>
        <w:tc>
          <w:tcPr>
            <w:tcW w:w="0" w:type="auto"/>
            <w:tcBorders>
              <w:top w:val="single" w:sz="4" w:space="0" w:color="auto"/>
              <w:left w:val="single" w:sz="4" w:space="0" w:color="auto"/>
              <w:bottom w:val="single" w:sz="4" w:space="0" w:color="auto"/>
              <w:right w:val="single" w:sz="4" w:space="0" w:color="auto"/>
            </w:tcBorders>
          </w:tcPr>
          <w:p w14:paraId="1CAC2C52" w14:textId="2C54297B" w:rsidR="000B06F3" w:rsidRPr="00DA3C6E" w:rsidRDefault="000B06F3" w:rsidP="00C04BCE">
            <w:pPr>
              <w:spacing w:after="0" w:line="240" w:lineRule="auto"/>
              <w:jc w:val="left"/>
              <w:rPr>
                <w:rFonts w:ascii="Arial Narrow" w:hAnsi="Arial Narrow"/>
                <w:sz w:val="20"/>
              </w:rPr>
            </w:pPr>
            <w:r w:rsidRPr="00DA3C6E">
              <w:rPr>
                <w:rFonts w:ascii="Arial Narrow" w:hAnsi="Arial Narrow"/>
                <w:sz w:val="20"/>
              </w:rPr>
              <w:lastRenderedPageBreak/>
              <w:t>Hahn et al. 2013</w:t>
            </w:r>
            <w:r w:rsidR="000E614C">
              <w:rPr>
                <w:rFonts w:ascii="Arial Narrow" w:hAnsi="Arial Narrow"/>
                <w:sz w:val="20"/>
              </w:rPr>
              <w:t xml:space="preserve"> </w: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 </w:instrText>
            </w:r>
            <w:r w:rsidR="00DB568A" w:rsidRPr="00DA3C6E">
              <w:rPr>
                <w:rFonts w:ascii="Arial Narrow" w:hAnsi="Arial Narrow"/>
                <w:sz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sz w:val="20"/>
              </w:rPr>
              <w:instrText xml:space="preserve"> ADDIN EN.CITE.DATA </w:instrText>
            </w:r>
            <w:r w:rsidR="00DB568A" w:rsidRPr="00DA3C6E">
              <w:rPr>
                <w:rFonts w:ascii="Arial Narrow" w:hAnsi="Arial Narrow"/>
                <w:sz w:val="20"/>
              </w:rPr>
            </w:r>
            <w:r w:rsidR="00DB568A" w:rsidRPr="00DA3C6E">
              <w:rPr>
                <w:rFonts w:ascii="Arial Narrow" w:hAnsi="Arial Narrow"/>
                <w:sz w:val="20"/>
              </w:rPr>
              <w:fldChar w:fldCharType="end"/>
            </w:r>
            <w:r w:rsidR="00DB568A" w:rsidRPr="00DA3C6E">
              <w:rPr>
                <w:rFonts w:ascii="Arial Narrow" w:hAnsi="Arial Narrow"/>
                <w:sz w:val="20"/>
              </w:rPr>
            </w:r>
            <w:r w:rsidR="00DB568A" w:rsidRPr="00DA3C6E">
              <w:rPr>
                <w:rFonts w:ascii="Arial Narrow" w:hAnsi="Arial Narrow"/>
                <w:sz w:val="20"/>
              </w:rPr>
              <w:fldChar w:fldCharType="separate"/>
            </w:r>
            <w:r w:rsidR="00DB568A" w:rsidRPr="00DA3C6E">
              <w:rPr>
                <w:rFonts w:ascii="Arial Narrow" w:hAnsi="Arial Narrow"/>
                <w:noProof/>
                <w:sz w:val="20"/>
              </w:rPr>
              <w:t>(</w:t>
            </w:r>
            <w:hyperlink w:anchor="_ENREF_28" w:tooltip="Hahn, 2013 #26" w:history="1">
              <w:r w:rsidR="00C04BCE" w:rsidRPr="00DA3C6E">
                <w:rPr>
                  <w:rFonts w:ascii="Arial Narrow" w:hAnsi="Arial Narrow"/>
                  <w:noProof/>
                  <w:sz w:val="20"/>
                </w:rPr>
                <w:t>28</w:t>
              </w:r>
            </w:hyperlink>
            <w:r w:rsidR="00DB568A" w:rsidRPr="00DA3C6E">
              <w:rPr>
                <w:rFonts w:ascii="Arial Narrow" w:hAnsi="Arial Narrow"/>
                <w:noProof/>
                <w:sz w:val="20"/>
              </w:rPr>
              <w:t>)</w:t>
            </w:r>
            <w:r w:rsidR="00DB568A" w:rsidRPr="00DA3C6E">
              <w:rPr>
                <w:rFonts w:ascii="Arial Narrow" w:hAnsi="Arial Narrow"/>
                <w:sz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142CF8BE" w14:textId="77777777" w:rsidR="000B06F3" w:rsidRPr="00DA3C6E" w:rsidRDefault="000B06F3" w:rsidP="008A5F97">
            <w:pPr>
              <w:pStyle w:val="Tabletext1"/>
              <w:jc w:val="left"/>
            </w:pPr>
            <w:r w:rsidRPr="00DA3C6E">
              <w:t>Phase III randomised withdrawal, double-blind, placebo-controlled, cross-over study.</w:t>
            </w:r>
          </w:p>
        </w:tc>
        <w:tc>
          <w:tcPr>
            <w:tcW w:w="2012" w:type="dxa"/>
            <w:tcBorders>
              <w:top w:val="single" w:sz="4" w:space="0" w:color="auto"/>
              <w:left w:val="single" w:sz="4" w:space="0" w:color="auto"/>
              <w:bottom w:val="single" w:sz="4" w:space="0" w:color="auto"/>
              <w:right w:val="single" w:sz="4" w:space="0" w:color="auto"/>
            </w:tcBorders>
          </w:tcPr>
          <w:p w14:paraId="1C4F5848" w14:textId="77777777" w:rsidR="000B06F3" w:rsidRPr="00DA3C6E" w:rsidRDefault="000B06F3" w:rsidP="008A5F97">
            <w:pPr>
              <w:pStyle w:val="Tabletext1"/>
              <w:jc w:val="left"/>
            </w:pPr>
            <w:r w:rsidRPr="00DA3C6E">
              <w:rPr>
                <w:u w:val="single"/>
              </w:rPr>
              <w:t>Inclusion criteria</w:t>
            </w:r>
            <w:r w:rsidRPr="00DA3C6E">
              <w:t>:</w:t>
            </w:r>
          </w:p>
          <w:p w14:paraId="2AFA9208" w14:textId="77777777" w:rsidR="000B06F3" w:rsidRPr="00DA3C6E" w:rsidRDefault="000B06F3" w:rsidP="008A5F97">
            <w:pPr>
              <w:pStyle w:val="Tabletext1"/>
              <w:jc w:val="left"/>
            </w:pPr>
            <w:r w:rsidRPr="00DA3C6E">
              <w:t>Patients diagnosed with probable or definite MMN according to American Association of Electro-diagnostic Medicine criteria, and are on a stable regimen of intravenous Ig for ≥3 months at a dose of 0.4-</w:t>
            </w:r>
            <w:r w:rsidRPr="00DA3C6E">
              <w:lastRenderedPageBreak/>
              <w:t>2.0g per kg body weight every 2-5 weeks.</w:t>
            </w:r>
          </w:p>
          <w:p w14:paraId="69C10882" w14:textId="77777777" w:rsidR="000B06F3" w:rsidRPr="00DA3C6E" w:rsidRDefault="000B06F3" w:rsidP="008A5F97">
            <w:pPr>
              <w:pStyle w:val="Tabletext1"/>
              <w:jc w:val="left"/>
              <w:rPr>
                <w:u w:val="single"/>
              </w:rPr>
            </w:pPr>
            <w:r w:rsidRPr="00DA3C6E">
              <w:rPr>
                <w:u w:val="single"/>
              </w:rPr>
              <w:t>Exclusion criteria:</w:t>
            </w:r>
          </w:p>
          <w:p w14:paraId="2D7047A2" w14:textId="77777777" w:rsidR="000B06F3" w:rsidRPr="00DA3C6E" w:rsidRDefault="000B06F3" w:rsidP="008A5F97">
            <w:pPr>
              <w:pStyle w:val="Tabletext1"/>
              <w:jc w:val="left"/>
            </w:pPr>
            <w:r w:rsidRPr="00DA3C6E">
              <w:t>Patients with any co-existing neuropathy, receiving treatment with other immunosuppressive agents, a history of thrombotic episodes, pregnant females, with neutropenia</w:t>
            </w:r>
          </w:p>
        </w:tc>
        <w:tc>
          <w:tcPr>
            <w:tcW w:w="2268" w:type="dxa"/>
            <w:tcBorders>
              <w:top w:val="single" w:sz="4" w:space="0" w:color="auto"/>
              <w:left w:val="single" w:sz="4" w:space="0" w:color="auto"/>
              <w:bottom w:val="single" w:sz="4" w:space="0" w:color="auto"/>
              <w:right w:val="single" w:sz="4" w:space="0" w:color="auto"/>
            </w:tcBorders>
          </w:tcPr>
          <w:p w14:paraId="4778D49D" w14:textId="77777777" w:rsidR="000B06F3" w:rsidRPr="00DA3C6E" w:rsidRDefault="000B06F3" w:rsidP="008A5F97">
            <w:pPr>
              <w:pStyle w:val="Tabletext1"/>
              <w:jc w:val="left"/>
            </w:pPr>
            <w:r w:rsidRPr="00DA3C6E">
              <w:lastRenderedPageBreak/>
              <w:t>N = 44</w:t>
            </w:r>
          </w:p>
          <w:p w14:paraId="01815ECF" w14:textId="77777777" w:rsidR="000B06F3" w:rsidRPr="00DA3C6E" w:rsidRDefault="000B06F3" w:rsidP="008A5F97">
            <w:pPr>
              <w:pStyle w:val="Tabletext1"/>
              <w:jc w:val="left"/>
            </w:pPr>
            <w:r w:rsidRPr="00DA3C6E">
              <w:t>Mean age of onset (SD): 51.64 (10.25)</w:t>
            </w:r>
          </w:p>
          <w:p w14:paraId="5B1EE185" w14:textId="77777777" w:rsidR="000B06F3" w:rsidRPr="00DA3C6E" w:rsidRDefault="000B06F3" w:rsidP="008A5F97">
            <w:pPr>
              <w:pStyle w:val="Tabletext1"/>
              <w:jc w:val="left"/>
            </w:pPr>
            <w:r w:rsidRPr="00DA3C6E">
              <w:t>Gender, n (%) male: 32 (72.7)</w:t>
            </w:r>
          </w:p>
          <w:p w14:paraId="4ABE9F9B" w14:textId="77777777" w:rsidR="000B06F3" w:rsidRPr="00DA3C6E" w:rsidRDefault="000B06F3" w:rsidP="008A5F97">
            <w:pPr>
              <w:pStyle w:val="Tabletext1"/>
              <w:jc w:val="left"/>
            </w:pPr>
            <w:r w:rsidRPr="00DA3C6E">
              <w:t>Duration of symptoms (mean years): NR</w:t>
            </w:r>
          </w:p>
          <w:p w14:paraId="0DFDDF05" w14:textId="77777777" w:rsidR="000B06F3" w:rsidRPr="00DA3C6E" w:rsidRDefault="000B06F3" w:rsidP="008A5F97">
            <w:pPr>
              <w:pStyle w:val="Tabletext1"/>
              <w:jc w:val="left"/>
            </w:pPr>
            <w:r w:rsidRPr="00DA3C6E">
              <w:t>Baseline average disability: NR</w:t>
            </w:r>
          </w:p>
          <w:p w14:paraId="5F6170E5" w14:textId="77777777" w:rsidR="000B06F3" w:rsidRPr="00DA3C6E" w:rsidRDefault="000B06F3" w:rsidP="008A5F97">
            <w:pPr>
              <w:pStyle w:val="Tabletext1"/>
              <w:jc w:val="left"/>
            </w:pPr>
            <w:r w:rsidRPr="00DA3C6E">
              <w:lastRenderedPageBreak/>
              <w:t>Presence of conduction block: NR</w:t>
            </w:r>
          </w:p>
          <w:p w14:paraId="3834F63B" w14:textId="77777777" w:rsidR="000B06F3" w:rsidRPr="00DA3C6E" w:rsidRDefault="000B06F3" w:rsidP="008A5F97">
            <w:pPr>
              <w:pStyle w:val="Tabletext1"/>
              <w:jc w:val="left"/>
            </w:pPr>
            <w:r w:rsidRPr="00DA3C6E">
              <w:t>Previously treated: yes</w:t>
            </w:r>
          </w:p>
        </w:tc>
        <w:tc>
          <w:tcPr>
            <w:tcW w:w="1985" w:type="dxa"/>
            <w:tcBorders>
              <w:top w:val="single" w:sz="4" w:space="0" w:color="auto"/>
              <w:left w:val="single" w:sz="4" w:space="0" w:color="auto"/>
              <w:bottom w:val="single" w:sz="4" w:space="0" w:color="auto"/>
              <w:right w:val="single" w:sz="4" w:space="0" w:color="auto"/>
            </w:tcBorders>
          </w:tcPr>
          <w:p w14:paraId="62D704A2" w14:textId="77777777" w:rsidR="000B06F3" w:rsidRPr="00DA3C6E" w:rsidRDefault="000B06F3" w:rsidP="008A5F97">
            <w:pPr>
              <w:pStyle w:val="Tabletext1"/>
              <w:jc w:val="left"/>
            </w:pPr>
            <w:r w:rsidRPr="00DA3C6E">
              <w:lastRenderedPageBreak/>
              <w:t xml:space="preserve">Intravenous Ig treatment was administered as 0.4 – 2g/kg body weight every 2- 4 weeks. Each treatment was divided over ≤5 consecutive days. </w:t>
            </w:r>
          </w:p>
          <w:p w14:paraId="6DD99477" w14:textId="77777777" w:rsidR="000B06F3" w:rsidRPr="00DA3C6E" w:rsidRDefault="000B06F3" w:rsidP="008A5F97">
            <w:pPr>
              <w:pStyle w:val="Tabletext1"/>
              <w:jc w:val="left"/>
              <w:rPr>
                <w:iCs/>
              </w:rPr>
            </w:pPr>
            <w:r w:rsidRPr="00DA3C6E">
              <w:t xml:space="preserve">Each blinded period lasted for 12 weeks. All 44 patients received </w:t>
            </w:r>
            <w:r w:rsidRPr="00DA3C6E">
              <w:lastRenderedPageBreak/>
              <w:t xml:space="preserve">intravenous Ig treatment before randomisation and at the end of each treatment course (or sequence), also for a 12-weeks period (making it a total of three 12-weeksperiods of open-label intravenous Ig treatment for all patients). To limit potential </w:t>
            </w:r>
            <w:r w:rsidRPr="00DA3C6E">
              <w:rPr>
                <w:iCs/>
              </w:rPr>
              <w:t xml:space="preserve">axonal damage associated with intravenous Ig withdrawal, patients were permitted to switch from blinded treatment to the next open-label intravenous Ig treatment period without breaking the blind (referred as ‘‘accelerated switch’’) as soon as deterioration interfered significantly with daily activities or if grip strength declined by 50% in the more affected hand. If baseline function was not regained after the switch to open-label intravenous Ig, a dose increase and/or administration of </w:t>
            </w:r>
            <w:r w:rsidRPr="00DA3C6E">
              <w:rPr>
                <w:iCs/>
              </w:rPr>
              <w:lastRenderedPageBreak/>
              <w:t>intravenous Ig at a shortened dosing interval was permitted (‘‘rescue’’ treatment) and no further blinded treatment was administered.</w:t>
            </w:r>
          </w:p>
          <w:p w14:paraId="4F217C5C" w14:textId="77777777" w:rsidR="000B06F3" w:rsidRPr="00DA3C6E" w:rsidRDefault="000B06F3" w:rsidP="008A5F97">
            <w:pPr>
              <w:pStyle w:val="Tabletext1"/>
              <w:jc w:val="left"/>
              <w:rPr>
                <w:iCs/>
              </w:rPr>
            </w:pPr>
          </w:p>
          <w:p w14:paraId="52ACBB40" w14:textId="77777777" w:rsidR="000B06F3" w:rsidRPr="00DA3C6E" w:rsidRDefault="000B06F3" w:rsidP="008A5F97">
            <w:pPr>
              <w:pStyle w:val="Tabletext1"/>
              <w:jc w:val="left"/>
              <w:rPr>
                <w:iCs/>
              </w:rPr>
            </w:pPr>
            <w:r w:rsidRPr="00DA3C6E">
              <w:rPr>
                <w:iCs/>
              </w:rPr>
              <w:t>Median total duration of intravenous Ig treatment per patient was 335 days (11.01 months).</w:t>
            </w:r>
          </w:p>
          <w:p w14:paraId="47985A52" w14:textId="77777777" w:rsidR="000B06F3" w:rsidRPr="00DA3C6E" w:rsidRDefault="000B06F3" w:rsidP="008A5F97">
            <w:pPr>
              <w:pStyle w:val="Tabletext1"/>
              <w:jc w:val="left"/>
            </w:pPr>
            <w:r w:rsidRPr="00DA3C6E">
              <w:rPr>
                <w:iCs/>
              </w:rPr>
              <w:t>Median monthly dose of 1.2g/kg body weight. Median treatment duration during the double-blinded cross-over period was 84 days (rang: 13-91)</w:t>
            </w:r>
          </w:p>
        </w:tc>
        <w:tc>
          <w:tcPr>
            <w:tcW w:w="1984" w:type="dxa"/>
            <w:tcBorders>
              <w:top w:val="single" w:sz="4" w:space="0" w:color="auto"/>
              <w:left w:val="single" w:sz="4" w:space="0" w:color="auto"/>
              <w:bottom w:val="single" w:sz="4" w:space="0" w:color="auto"/>
              <w:right w:val="single" w:sz="4" w:space="0" w:color="auto"/>
            </w:tcBorders>
          </w:tcPr>
          <w:p w14:paraId="3ACDCDFC" w14:textId="77777777" w:rsidR="000B06F3" w:rsidRPr="00DA3C6E" w:rsidRDefault="000B06F3" w:rsidP="008A5F97">
            <w:pPr>
              <w:pStyle w:val="Tabletext1"/>
              <w:jc w:val="left"/>
            </w:pPr>
            <w:r w:rsidRPr="00DA3C6E">
              <w:lastRenderedPageBreak/>
              <w:t>0.25% human albumin with normal saline from BUMINATE 25%, or human albumin 200g/l Baxter solution for infusion. Each blinded period lasted for 12 weeks. The same treatment protocol applied as in the intravenous Ig arm.</w:t>
            </w:r>
          </w:p>
          <w:p w14:paraId="0464205B" w14:textId="77777777" w:rsidR="000B06F3" w:rsidRPr="00DA3C6E" w:rsidRDefault="000B06F3" w:rsidP="008A5F97">
            <w:pPr>
              <w:pStyle w:val="Tabletext1"/>
              <w:jc w:val="left"/>
            </w:pPr>
            <w:r w:rsidRPr="00DA3C6E">
              <w:rPr>
                <w:iCs/>
              </w:rPr>
              <w:lastRenderedPageBreak/>
              <w:t>The median treatment duration during the double-blinded cross-over period was 28 days (range: 7-86).</w:t>
            </w:r>
          </w:p>
        </w:tc>
        <w:tc>
          <w:tcPr>
            <w:tcW w:w="1793" w:type="dxa"/>
            <w:tcBorders>
              <w:top w:val="single" w:sz="4" w:space="0" w:color="auto"/>
              <w:left w:val="single" w:sz="4" w:space="0" w:color="auto"/>
              <w:bottom w:val="single" w:sz="4" w:space="0" w:color="auto"/>
              <w:right w:val="single" w:sz="4" w:space="0" w:color="auto"/>
            </w:tcBorders>
          </w:tcPr>
          <w:p w14:paraId="1039F471"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lastRenderedPageBreak/>
              <w:t>Outcomes</w:t>
            </w:r>
          </w:p>
          <w:p w14:paraId="1A633B11"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 xml:space="preserve">Primary: </w:t>
            </w:r>
          </w:p>
          <w:p w14:paraId="6BDDAE80"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Change (deterioration) in disability in the upper limb portion</w:t>
            </w:r>
          </w:p>
          <w:p w14:paraId="327C4E9A"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Increased maximal grip strength in the more affected arm</w:t>
            </w:r>
          </w:p>
          <w:p w14:paraId="65E02536"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r w:rsidRPr="00DA3C6E">
              <w:rPr>
                <w:rFonts w:ascii="Arial Narrow" w:hAnsi="Arial Narrow"/>
                <w:sz w:val="20"/>
                <w:szCs w:val="20"/>
              </w:rPr>
              <w:t>Secondary:</w:t>
            </w:r>
          </w:p>
          <w:p w14:paraId="63007C74"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lastRenderedPageBreak/>
              <w:t>Decline of ≥30% in grip strength in the more and less affected arm</w:t>
            </w:r>
          </w:p>
          <w:p w14:paraId="24B3674D"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Maximal grip strength in the less affected arm</w:t>
            </w:r>
          </w:p>
          <w:p w14:paraId="118EC3CD" w14:textId="631F48A8"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Overall disability sum score (increased ODSS of at least one grade represent</w:t>
            </w:r>
            <w:r w:rsidR="000047E2" w:rsidRPr="00DA3C6E">
              <w:rPr>
                <w:rFonts w:ascii="Arial Narrow" w:hAnsi="Arial Narrow"/>
                <w:sz w:val="20"/>
                <w:szCs w:val="20"/>
              </w:rPr>
              <w:t>s</w:t>
            </w:r>
            <w:r w:rsidRPr="00DA3C6E">
              <w:rPr>
                <w:rFonts w:ascii="Arial Narrow" w:hAnsi="Arial Narrow"/>
                <w:sz w:val="20"/>
                <w:szCs w:val="20"/>
              </w:rPr>
              <w:t xml:space="preserve">  a clinically relevant worsening of disability)</w:t>
            </w:r>
          </w:p>
          <w:p w14:paraId="2CFA463F"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Time required for 9-hole board test with the dominant and non-dominant hand</w:t>
            </w:r>
          </w:p>
          <w:p w14:paraId="1865B043"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Patient global impression of change score</w:t>
            </w:r>
          </w:p>
          <w:p w14:paraId="1027B7DC"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Visual analogue scale of disability</w:t>
            </w:r>
          </w:p>
          <w:p w14:paraId="5EC52B44"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Safety and tolerability</w:t>
            </w:r>
          </w:p>
          <w:p w14:paraId="4D19C052" w14:textId="77777777" w:rsidR="000B06F3" w:rsidRPr="00DA3C6E" w:rsidRDefault="000B06F3" w:rsidP="008A5F97">
            <w:pPr>
              <w:tabs>
                <w:tab w:val="left" w:pos="2229"/>
              </w:tabs>
              <w:spacing w:after="0" w:line="240" w:lineRule="auto"/>
              <w:contextualSpacing/>
              <w:jc w:val="left"/>
              <w:rPr>
                <w:rFonts w:ascii="Arial Narrow" w:hAnsi="Arial Narrow"/>
                <w:sz w:val="20"/>
                <w:szCs w:val="20"/>
              </w:rPr>
            </w:pPr>
          </w:p>
          <w:p w14:paraId="6FF3E3DA" w14:textId="77777777" w:rsidR="000B06F3" w:rsidRPr="00DA3C6E" w:rsidRDefault="000B06F3" w:rsidP="008A5F97">
            <w:pPr>
              <w:tabs>
                <w:tab w:val="left" w:pos="2229"/>
              </w:tabs>
              <w:spacing w:after="0" w:line="240" w:lineRule="auto"/>
              <w:contextualSpacing/>
              <w:jc w:val="left"/>
              <w:rPr>
                <w:rFonts w:ascii="Arial Narrow" w:hAnsi="Arial Narrow"/>
                <w:sz w:val="20"/>
                <w:szCs w:val="20"/>
                <w:u w:val="single"/>
              </w:rPr>
            </w:pPr>
            <w:r w:rsidRPr="00DA3C6E">
              <w:rPr>
                <w:rFonts w:ascii="Arial Narrow" w:hAnsi="Arial Narrow"/>
                <w:sz w:val="20"/>
                <w:szCs w:val="20"/>
                <w:u w:val="single"/>
              </w:rPr>
              <w:t>Duration of follow-up</w:t>
            </w:r>
          </w:p>
          <w:p w14:paraId="7A7908C5" w14:textId="77777777" w:rsidR="000B06F3" w:rsidRPr="00DA3C6E" w:rsidRDefault="000B06F3" w:rsidP="008A5F97">
            <w:pPr>
              <w:tabs>
                <w:tab w:val="left" w:pos="2229"/>
              </w:tabs>
              <w:spacing w:after="0" w:line="240" w:lineRule="auto"/>
              <w:contextualSpacing/>
              <w:jc w:val="left"/>
            </w:pPr>
            <w:r w:rsidRPr="00DA3C6E">
              <w:rPr>
                <w:rFonts w:ascii="Arial Narrow" w:hAnsi="Arial Narrow"/>
                <w:sz w:val="20"/>
                <w:szCs w:val="20"/>
              </w:rPr>
              <w:t>Not reported.</w:t>
            </w:r>
          </w:p>
        </w:tc>
        <w:tc>
          <w:tcPr>
            <w:tcW w:w="2460" w:type="dxa"/>
            <w:tcBorders>
              <w:top w:val="single" w:sz="4" w:space="0" w:color="auto"/>
              <w:left w:val="single" w:sz="4" w:space="0" w:color="auto"/>
              <w:bottom w:val="single" w:sz="4" w:space="0" w:color="auto"/>
              <w:right w:val="single" w:sz="4" w:space="0" w:color="auto"/>
            </w:tcBorders>
          </w:tcPr>
          <w:p w14:paraId="10526109" w14:textId="77777777" w:rsidR="000B06F3" w:rsidRPr="00DA3C6E" w:rsidRDefault="000B06F3" w:rsidP="008A5F97">
            <w:pPr>
              <w:pStyle w:val="Tabletext1"/>
              <w:ind w:left="34"/>
              <w:jc w:val="left"/>
              <w:rPr>
                <w:u w:val="single"/>
              </w:rPr>
            </w:pPr>
            <w:r w:rsidRPr="00DA3C6E">
              <w:rPr>
                <w:u w:val="single"/>
              </w:rPr>
              <w:lastRenderedPageBreak/>
              <w:t>Measurement of outcome</w:t>
            </w:r>
          </w:p>
          <w:p w14:paraId="4361464C" w14:textId="77777777" w:rsidR="000B06F3" w:rsidRPr="00DA3C6E" w:rsidRDefault="000B06F3" w:rsidP="00FA72EB">
            <w:pPr>
              <w:spacing w:line="240" w:lineRule="auto"/>
              <w:jc w:val="left"/>
            </w:pPr>
            <w:r w:rsidRPr="00DA3C6E">
              <w:rPr>
                <w:rStyle w:val="SmallBold"/>
                <w:rFonts w:ascii="Arial Narrow" w:hAnsi="Arial Narrow"/>
                <w:b w:val="0"/>
                <w:szCs w:val="20"/>
              </w:rPr>
              <w:t>Day 8 (±1 day) of a 2-week treatment interval, and on day 15 (±2 days) for those treated every 3-4 weeks.</w:t>
            </w:r>
          </w:p>
          <w:p w14:paraId="05D2BC03"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Disability as determined by the upper limb portion of Guy's Neurological Disability Score (GNDS</w:t>
            </w:r>
            <w:r w:rsidRPr="00DA3C6E">
              <w:rPr>
                <w:rFonts w:ascii="Arial Narrow" w:hAnsi="Arial Narrow"/>
                <w:sz w:val="20"/>
                <w:szCs w:val="20"/>
                <w:vertAlign w:val="superscript"/>
              </w:rPr>
              <w:t>f</w:t>
            </w:r>
            <w:r w:rsidRPr="00DA3C6E">
              <w:rPr>
                <w:rFonts w:ascii="Arial Narrow" w:hAnsi="Arial Narrow"/>
                <w:sz w:val="20"/>
                <w:szCs w:val="20"/>
              </w:rPr>
              <w:t xml:space="preserve">): ranges from 0 and 5 (unable </w:t>
            </w:r>
            <w:r w:rsidRPr="00DA3C6E">
              <w:rPr>
                <w:rFonts w:ascii="Arial Narrow" w:hAnsi="Arial Narrow"/>
                <w:sz w:val="20"/>
                <w:szCs w:val="20"/>
              </w:rPr>
              <w:lastRenderedPageBreak/>
              <w:t>to use either arm for any purposeful movements). Effect of intravenous Ig was assessed for each blinded period by comparing the results to the most recent corresponding observations on open-label intravenous Ig (served as baseline value)</w:t>
            </w:r>
            <w:r w:rsidRPr="00DA3C6E">
              <w:rPr>
                <w:rFonts w:ascii="Arial Narrow" w:eastAsiaTheme="minorHAnsi" w:hAnsi="Arial Narrow" w:cstheme="minorBidi"/>
                <w:sz w:val="20"/>
                <w:szCs w:val="20"/>
                <w:lang w:eastAsia="en-US"/>
              </w:rPr>
              <w:t xml:space="preserve"> </w:t>
            </w:r>
            <w:r w:rsidRPr="00DA3C6E">
              <w:rPr>
                <w:rFonts w:ascii="Arial Narrow" w:hAnsi="Arial Narrow"/>
                <w:sz w:val="20"/>
                <w:szCs w:val="20"/>
              </w:rPr>
              <w:t xml:space="preserve">GNDS for the upper limbs was analysed as a binary variable indicating whether the score of a subject deteriorated from the blinded periods’ baseline (1 or 2) to the last cycle assessment at the end of the blinded periods (1 or 2). </w:t>
            </w:r>
          </w:p>
          <w:p w14:paraId="00836FDF" w14:textId="77777777" w:rsidR="000B06F3" w:rsidRPr="00DA3C6E" w:rsidRDefault="000B06F3" w:rsidP="008A5F97">
            <w:pPr>
              <w:pStyle w:val="ListParagraph"/>
              <w:numPr>
                <w:ilvl w:val="0"/>
                <w:numId w:val="31"/>
              </w:numPr>
              <w:tabs>
                <w:tab w:val="left" w:pos="2229"/>
              </w:tabs>
              <w:spacing w:after="0" w:line="240" w:lineRule="auto"/>
              <w:ind w:left="177" w:hanging="142"/>
              <w:contextualSpacing/>
              <w:jc w:val="left"/>
              <w:rPr>
                <w:rFonts w:ascii="Arial Narrow" w:hAnsi="Arial Narrow"/>
                <w:sz w:val="20"/>
                <w:szCs w:val="20"/>
              </w:rPr>
            </w:pPr>
            <w:r w:rsidRPr="00DA3C6E">
              <w:rPr>
                <w:rFonts w:ascii="Arial Narrow" w:hAnsi="Arial Narrow"/>
                <w:sz w:val="20"/>
                <w:szCs w:val="20"/>
              </w:rPr>
              <w:t xml:space="preserve">Muscle Maximal grip strength in the more affected hand measured with a DynEx digital dynamometer.  Effect of intravenous Ig was assessed for each blinded period by comparing the results to the most recent corresponding observations on open-label intravenous Ig (served as baseline value). Mean grip strength  of the three trials in the more affected hand, the </w:t>
            </w:r>
            <w:r w:rsidRPr="00DA3C6E">
              <w:rPr>
                <w:rFonts w:ascii="Arial Narrow" w:hAnsi="Arial Narrow"/>
                <w:sz w:val="20"/>
                <w:szCs w:val="20"/>
              </w:rPr>
              <w:lastRenderedPageBreak/>
              <w:t>relative change (%) from the blinded periods baseline (defined as the most recent observation from the previous open-label intravenous Ig treatment period) to the end of the blinded period (1 or 2) was analysed using a Fixed effects ANOVA model reflecting the cross-over study design, with factors for sequence (placebo followed by intravenous Ig or intravenous Ig followed by placebo), subject nested within sequence, period (1 or 2), treatment (intravenous Ig or placebo), and baseline for the relative change. The contrast to be tested was the treatment effect of intravenous Ig vs. placebo</w:t>
            </w:r>
          </w:p>
          <w:p w14:paraId="4D677B01" w14:textId="77777777" w:rsidR="000B06F3" w:rsidRPr="00DA3C6E" w:rsidRDefault="000B06F3" w:rsidP="008A5F97">
            <w:pPr>
              <w:pStyle w:val="ListParagraph"/>
              <w:tabs>
                <w:tab w:val="left" w:pos="2229"/>
              </w:tabs>
              <w:spacing w:after="0" w:line="240" w:lineRule="auto"/>
              <w:ind w:left="177"/>
              <w:contextualSpacing/>
              <w:jc w:val="left"/>
              <w:rPr>
                <w:rFonts w:ascii="Arial Narrow" w:hAnsi="Arial Narrow"/>
                <w:sz w:val="20"/>
                <w:szCs w:val="20"/>
              </w:rPr>
            </w:pPr>
          </w:p>
          <w:p w14:paraId="15E6A9A9"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Time point of assessment</w:t>
            </w:r>
          </w:p>
          <w:p w14:paraId="4D078499" w14:textId="77777777" w:rsidR="000B06F3" w:rsidRPr="00DA3C6E" w:rsidRDefault="000B06F3" w:rsidP="008A5F97">
            <w:pPr>
              <w:tabs>
                <w:tab w:val="left" w:pos="2229"/>
              </w:tabs>
              <w:spacing w:after="0" w:line="240" w:lineRule="auto"/>
              <w:ind w:left="35"/>
              <w:contextualSpacing/>
              <w:jc w:val="left"/>
              <w:rPr>
                <w:rFonts w:ascii="Arial Narrow" w:hAnsi="Arial Narrow"/>
                <w:sz w:val="20"/>
                <w:szCs w:val="20"/>
              </w:rPr>
            </w:pPr>
            <w:r w:rsidRPr="00DA3C6E">
              <w:rPr>
                <w:rFonts w:ascii="Arial Narrow" w:hAnsi="Arial Narrow"/>
                <w:sz w:val="20"/>
                <w:szCs w:val="20"/>
              </w:rPr>
              <w:t xml:space="preserve">Day 8 (±1 day) for a 2-week treatment interval and day 15 (±2 days) for a 3 or 4-week treatment interval </w:t>
            </w:r>
          </w:p>
          <w:p w14:paraId="3476B102" w14:textId="77777777" w:rsidR="000B06F3" w:rsidRPr="00DA3C6E" w:rsidRDefault="000B06F3" w:rsidP="008A5F97">
            <w:pPr>
              <w:tabs>
                <w:tab w:val="left" w:pos="2229"/>
              </w:tabs>
              <w:spacing w:after="0" w:line="240" w:lineRule="auto"/>
              <w:ind w:left="35"/>
              <w:contextualSpacing/>
              <w:jc w:val="left"/>
              <w:rPr>
                <w:rFonts w:ascii="Arial Narrow" w:hAnsi="Arial Narrow"/>
                <w:sz w:val="20"/>
                <w:szCs w:val="20"/>
              </w:rPr>
            </w:pPr>
          </w:p>
          <w:p w14:paraId="487161E2" w14:textId="77777777" w:rsidR="000B06F3" w:rsidRPr="00DA3C6E" w:rsidRDefault="000B06F3" w:rsidP="008A5F97">
            <w:pPr>
              <w:spacing w:after="0" w:line="240" w:lineRule="auto"/>
              <w:jc w:val="left"/>
              <w:rPr>
                <w:rFonts w:ascii="Arial Narrow" w:hAnsi="Arial Narrow"/>
                <w:sz w:val="20"/>
                <w:szCs w:val="20"/>
                <w:u w:val="single"/>
              </w:rPr>
            </w:pPr>
            <w:r w:rsidRPr="00DA3C6E">
              <w:rPr>
                <w:rFonts w:ascii="Arial Narrow" w:hAnsi="Arial Narrow"/>
                <w:sz w:val="20"/>
                <w:szCs w:val="20"/>
                <w:u w:val="single"/>
              </w:rPr>
              <w:t>Statistical method of analysis</w:t>
            </w:r>
          </w:p>
          <w:p w14:paraId="40C4F1DE" w14:textId="77777777" w:rsidR="000B06F3" w:rsidRPr="00DA3C6E" w:rsidRDefault="000B06F3" w:rsidP="008A5F97">
            <w:pPr>
              <w:pStyle w:val="Tabletext1"/>
              <w:ind w:left="34"/>
              <w:jc w:val="left"/>
            </w:pPr>
            <w:r w:rsidRPr="00DA3C6E">
              <w:t>McNemar’s test for disability</w:t>
            </w:r>
          </w:p>
          <w:p w14:paraId="5E7FB886" w14:textId="77777777" w:rsidR="000B06F3" w:rsidRPr="00DA3C6E" w:rsidRDefault="000B06F3" w:rsidP="008A5F97">
            <w:pPr>
              <w:pStyle w:val="Tabletext1"/>
              <w:ind w:left="34"/>
              <w:jc w:val="left"/>
            </w:pPr>
            <w:r w:rsidRPr="00DA3C6E">
              <w:lastRenderedPageBreak/>
              <w:t>Fixed effects ANOVA model for muscle grip strength</w:t>
            </w:r>
            <w:r w:rsidR="00F92DC9" w:rsidRPr="00DA3C6E">
              <w:t>.</w:t>
            </w:r>
          </w:p>
        </w:tc>
      </w:tr>
    </w:tbl>
    <w:p w14:paraId="20CC73FF" w14:textId="77777777" w:rsidR="000B06F3" w:rsidRPr="00DA3C6E" w:rsidRDefault="000B06F3" w:rsidP="006A5E97">
      <w:pPr>
        <w:pStyle w:val="Tablenotes0"/>
        <w:spacing w:after="0"/>
      </w:pPr>
      <w:r w:rsidRPr="00DA3C6E">
        <w:lastRenderedPageBreak/>
        <w:t>Abbreviations: ALS = amyotrophic lateral sclerosis; GNDS = Guy's Neurological Disability Score; MMN = multifocal motor neuropathy; MRC = medical research council; NDS = neurologic disability scale; NS = not specified; SD = standard deviation</w:t>
      </w:r>
    </w:p>
    <w:p w14:paraId="5E8AC052" w14:textId="77777777" w:rsidR="000B06F3" w:rsidRPr="00DA3C6E" w:rsidRDefault="000B06F3" w:rsidP="006A5E97">
      <w:pPr>
        <w:pStyle w:val="Tablenotes0"/>
        <w:spacing w:after="0"/>
      </w:pPr>
      <w:r w:rsidRPr="00DA3C6E">
        <w:t>Note: Italicised text were added during the report writing.</w:t>
      </w:r>
    </w:p>
    <w:p w14:paraId="0C00FCF5" w14:textId="77777777" w:rsidR="000B06F3" w:rsidRPr="00DA3C6E" w:rsidRDefault="000B06F3" w:rsidP="006A5E97">
      <w:pPr>
        <w:pStyle w:val="Tablenotes0"/>
        <w:spacing w:after="0"/>
      </w:pPr>
      <w:r w:rsidRPr="00DA3C6E">
        <w:t>a = Disability was measured using the Medical Council Research score; maximum score was 150</w:t>
      </w:r>
    </w:p>
    <w:p w14:paraId="1CF4FD73" w14:textId="77777777" w:rsidR="000B06F3" w:rsidRPr="00DA3C6E" w:rsidRDefault="000B06F3" w:rsidP="006A5E97">
      <w:pPr>
        <w:pStyle w:val="Tablenotes0"/>
        <w:spacing w:after="0"/>
      </w:pPr>
      <w:r w:rsidRPr="00DA3C6E">
        <w:t>b = The maximum self-evaluation score was 15</w:t>
      </w:r>
    </w:p>
    <w:p w14:paraId="7DABF253" w14:textId="1105C7B4" w:rsidR="000B06F3" w:rsidRPr="00DA3C6E" w:rsidRDefault="000B06F3" w:rsidP="006A5E97">
      <w:pPr>
        <w:pStyle w:val="Tablenotes0"/>
        <w:spacing w:after="0"/>
        <w:rPr>
          <w:i/>
        </w:rPr>
      </w:pPr>
      <w:r w:rsidRPr="00DA3C6E">
        <w:t xml:space="preserve">c = </w:t>
      </w:r>
      <w:r w:rsidRPr="00DA3C6E">
        <w:rPr>
          <w:i/>
        </w:rPr>
        <w:t>The modified Rankin scale is measured on a scale of 0 to 5 where, 0 = no symptoms at all; 1 = no significant disability despite symptoms: able to carry out all usual duties and activities;  2 = slight disability: unable to carry out all previous activities but able to look after own affairs without assistance;  3 = moderate disability: requiring some help, but able to walk without assistance;  4 = moderately severe disability: unable to walk without assistance, and unable to attend to own bodily needs without assistance;  5 = severe disability: bedridden, incontinent, and requiring constant nursing care and attention. (Was initially designed and used for stroke</w:t>
      </w:r>
      <w:r w:rsidR="007C7E04">
        <w:rPr>
          <w:i/>
        </w:rPr>
        <w:fldChar w:fldCharType="begin"/>
      </w:r>
      <w:r w:rsidR="007810D6">
        <w:rPr>
          <w:i/>
        </w:rPr>
        <w:instrText xml:space="preserve"> ADDIN EN.CITE &lt;EndNote&gt;&lt;Cite&gt;&lt;Author&gt;van Swieten&lt;/Author&gt;&lt;Year&gt;1988&lt;/Year&gt;&lt;RecNum&gt;82&lt;/RecNum&gt;&lt;DisplayText&gt;(75)&lt;/DisplayText&gt;&lt;record&gt;&lt;rec-number&gt;82&lt;/rec-number&gt;&lt;foreign-keys&gt;&lt;key app="EN" db-id="0992p2ztn5fez9e2wvnpw2xstd20f9w2dezz" timestamp="1586907332"&gt;82&lt;/key&gt;&lt;/foreign-keys&gt;&lt;ref-type name="Journal Article"&gt;17&lt;/ref-type&gt;&lt;contributors&gt;&lt;authors&gt;&lt;author&gt;van Swieten, J. C.&lt;/author&gt;&lt;author&gt;Koudstaal, P. J.&lt;/author&gt;&lt;author&gt;Visser, M. C.&lt;/author&gt;&lt;author&gt;Schouten, H. J.&lt;/author&gt;&lt;author&gt;van Gijn, J.&lt;/author&gt;&lt;/authors&gt;&lt;/contributors&gt;&lt;auth-address&gt;University Department of Neurology, Utrecht, The Netherlands.&lt;/auth-address&gt;&lt;titles&gt;&lt;title&gt;Interobserver agreement for the assessment of handicap in stroke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604-7&lt;/pages&gt;&lt;volume&gt;19&lt;/volume&gt;&lt;number&gt;5&lt;/number&gt;&lt;edition&gt;1988/05/01&lt;/edition&gt;&lt;keywords&gt;&lt;keyword&gt;Activities of Daily Living&lt;/keyword&gt;&lt;keyword&gt;Cerebrovascular Disorders/*physiopathology&lt;/keyword&gt;&lt;keyword&gt;Humans&lt;/keyword&gt;&lt;keyword&gt;Neurologic Examination&lt;/keyword&gt;&lt;keyword&gt;Prognosis&lt;/keyword&gt;&lt;/keywords&gt;&lt;dates&gt;&lt;year&gt;1988&lt;/year&gt;&lt;pub-dates&gt;&lt;date&gt;May&lt;/date&gt;&lt;/pub-dates&gt;&lt;/dates&gt;&lt;isbn&gt;0039-2499 (Print)&amp;#xD;0039-2499&lt;/isbn&gt;&lt;accession-num&gt;3363593&lt;/accession-num&gt;&lt;urls&gt;&lt;/urls&gt;&lt;electronic-resource-num&gt;10.1161/01.str.19.5.604&lt;/electronic-resource-num&gt;&lt;remote-database-provider&gt;NLM&lt;/remote-database-provider&gt;&lt;language&gt;eng&lt;/language&gt;&lt;/record&gt;&lt;/Cite&gt;&lt;/EndNote&gt;</w:instrText>
      </w:r>
      <w:r w:rsidR="007C7E04">
        <w:rPr>
          <w:i/>
        </w:rPr>
        <w:fldChar w:fldCharType="separate"/>
      </w:r>
      <w:r w:rsidR="007810D6">
        <w:rPr>
          <w:i/>
          <w:noProof/>
        </w:rPr>
        <w:t>(</w:t>
      </w:r>
      <w:hyperlink w:anchor="_ENREF_75" w:tooltip="van Swieten, 1988 #82" w:history="1">
        <w:r w:rsidR="00C04BCE">
          <w:rPr>
            <w:i/>
            <w:noProof/>
          </w:rPr>
          <w:t>75</w:t>
        </w:r>
      </w:hyperlink>
      <w:r w:rsidR="007810D6">
        <w:rPr>
          <w:i/>
          <w:noProof/>
        </w:rPr>
        <w:t>)</w:t>
      </w:r>
      <w:r w:rsidR="007C7E04">
        <w:rPr>
          <w:i/>
        </w:rPr>
        <w:fldChar w:fldCharType="end"/>
      </w:r>
      <w:r w:rsidRPr="00DA3C6E">
        <w:rPr>
          <w:i/>
        </w:rPr>
        <w:t>)</w:t>
      </w:r>
    </w:p>
    <w:p w14:paraId="487C5A48" w14:textId="693937AE" w:rsidR="000B06F3" w:rsidRPr="00DA3C6E" w:rsidRDefault="000B06F3" w:rsidP="006A5E97">
      <w:pPr>
        <w:pStyle w:val="Tablenotes0"/>
        <w:spacing w:after="0"/>
        <w:rPr>
          <w:i/>
        </w:rPr>
      </w:pPr>
      <w:r w:rsidRPr="00DA3C6E">
        <w:rPr>
          <w:i/>
        </w:rPr>
        <w:t xml:space="preserve">d = MRC scale is measured using the scale: 0 = No visible contraction 1 = Visible contraction without movement of the limb (not existent for hip flexion) 2 = Movement of the limb but not against gravity. 3 = Movement against gravity over (almost) the full range 4 = Movement against gravity and resistance 5 = Normal </w:t>
      </w:r>
      <w:r w:rsidR="007C7E04">
        <w:rPr>
          <w:i/>
        </w:rPr>
        <w:fldChar w:fldCharType="begin"/>
      </w:r>
      <w:r w:rsidR="007810D6">
        <w:rPr>
          <w:i/>
        </w:rPr>
        <w:instrText xml:space="preserve"> ADDIN EN.CITE &lt;EndNote&gt;&lt;Cite&gt;&lt;Author&gt;Kleyweg&lt;/Author&gt;&lt;Year&gt;1991&lt;/Year&gt;&lt;RecNum&gt;79&lt;/RecNum&gt;&lt;DisplayText&gt;(76)&lt;/DisplayText&gt;&lt;record&gt;&lt;rec-number&gt;79&lt;/rec-number&gt;&lt;foreign-keys&gt;&lt;key app="EN" db-id="0992p2ztn5fez9e2wvnpw2xstd20f9w2dezz" timestamp="1586906680"&gt;79&lt;/key&gt;&lt;/foreign-keys&gt;&lt;ref-type name="Journal Article"&gt;17&lt;/ref-type&gt;&lt;contributors&gt;&lt;authors&gt;&lt;author&gt;Kleyweg, R. P.&lt;/author&gt;&lt;author&gt;van der Meche, F. G.&lt;/author&gt;&lt;author&gt;Schmitz, P. I.&lt;/author&gt;&lt;/authors&gt;&lt;/contributors&gt;&lt;auth-address&gt;Department of Neurology, University Hospital Rotterdam-Dijkzigt, The Netherlands.&lt;/auth-address&gt;&lt;titles&gt;&lt;title&gt;Interobserver agreement in the assessment of muscle strength and functional abilities in Guillain-Barre syndrome&lt;/title&gt;&lt;secondary-title&gt;Muscle Nerve&lt;/secondary-title&gt;&lt;alt-title&gt;Muscle &amp;amp; nerve&lt;/alt-title&gt;&lt;/titles&gt;&lt;alt-periodical&gt;&lt;full-title&gt;Muscle &amp;amp; Nerve&lt;/full-title&gt;&lt;/alt-periodical&gt;&lt;pages&gt;1103-9&lt;/pages&gt;&lt;volume&gt;14&lt;/volume&gt;&lt;number&gt;11&lt;/number&gt;&lt;edition&gt;1991/11/01&lt;/edition&gt;&lt;keywords&gt;&lt;keyword&gt;Humans&lt;/keyword&gt;&lt;keyword&gt;Movement&lt;/keyword&gt;&lt;keyword&gt;Muscles/*physiopathology&lt;/keyword&gt;&lt;keyword&gt;Observer Variation&lt;/keyword&gt;&lt;keyword&gt;Polyradiculoneuropathy/*physiopathology&lt;/keyword&gt;&lt;keyword&gt;Sensitivity and Specificity&lt;/keyword&gt;&lt;keyword&gt;Walking&lt;/keyword&gt;&lt;/keywords&gt;&lt;dates&gt;&lt;year&gt;1991&lt;/year&gt;&lt;pub-dates&gt;&lt;date&gt;Nov&lt;/date&gt;&lt;/pub-dates&gt;&lt;/dates&gt;&lt;isbn&gt;0148-639X (Print)&amp;#xD;0148-639x&lt;/isbn&gt;&lt;accession-num&gt;1745285&lt;/accession-num&gt;&lt;urls&gt;&lt;/urls&gt;&lt;electronic-resource-num&gt;10.1002/mus.880141111&lt;/electronic-resource-num&gt;&lt;remote-database-provider&gt;NLM&lt;/remote-database-provider&gt;&lt;language&gt;eng&lt;/language&gt;&lt;/record&gt;&lt;/Cite&gt;&lt;/EndNote&gt;</w:instrText>
      </w:r>
      <w:r w:rsidR="007C7E04">
        <w:rPr>
          <w:i/>
        </w:rPr>
        <w:fldChar w:fldCharType="separate"/>
      </w:r>
      <w:r w:rsidR="007810D6">
        <w:rPr>
          <w:i/>
          <w:noProof/>
        </w:rPr>
        <w:t>(</w:t>
      </w:r>
      <w:hyperlink w:anchor="_ENREF_76" w:tooltip="Kleyweg, 1991 #79" w:history="1">
        <w:r w:rsidR="00C04BCE">
          <w:rPr>
            <w:i/>
            <w:noProof/>
          </w:rPr>
          <w:t>76</w:t>
        </w:r>
      </w:hyperlink>
      <w:r w:rsidR="007810D6">
        <w:rPr>
          <w:i/>
          <w:noProof/>
        </w:rPr>
        <w:t>)</w:t>
      </w:r>
      <w:r w:rsidR="007C7E04">
        <w:rPr>
          <w:i/>
        </w:rPr>
        <w:fldChar w:fldCharType="end"/>
      </w:r>
    </w:p>
    <w:p w14:paraId="65A04702" w14:textId="39529B44" w:rsidR="000B06F3" w:rsidRPr="00DA3C6E" w:rsidRDefault="000B06F3" w:rsidP="006A5E97">
      <w:pPr>
        <w:pStyle w:val="Tablenotes0"/>
        <w:spacing w:after="0"/>
        <w:rPr>
          <w:i/>
        </w:rPr>
      </w:pPr>
      <w:r w:rsidRPr="00DA3C6E">
        <w:rPr>
          <w:i/>
        </w:rPr>
        <w:t>e = NDS was designed for deficits affecting the peripheral nervous system</w:t>
      </w:r>
      <w:r w:rsidR="007C7E04">
        <w:rPr>
          <w:i/>
        </w:rPr>
        <w:fldChar w:fldCharType="begin"/>
      </w:r>
      <w:r w:rsidR="007810D6">
        <w:rPr>
          <w:i/>
        </w:rPr>
        <w:instrText xml:space="preserve"> ADDIN EN.CITE &lt;EndNote&gt;&lt;Cite&gt;&lt;Author&gt;Dyck&lt;/Author&gt;&lt;Year&gt;1982&lt;/Year&gt;&lt;RecNum&gt;80&lt;/RecNum&gt;&lt;DisplayText&gt;(77)&lt;/DisplayText&gt;&lt;record&gt;&lt;rec-number&gt;80&lt;/rec-number&gt;&lt;foreign-keys&gt;&lt;key app="EN" db-id="0992p2ztn5fez9e2wvnpw2xstd20f9w2dezz" timestamp="1586907099"&gt;80&lt;/key&gt;&lt;/foreign-keys&gt;&lt;ref-type name="Journal Article"&gt;17&lt;/ref-type&gt;&lt;contributors&gt;&lt;authors&gt;&lt;author&gt;Dyck, PJ.&lt;/author&gt;&lt;author&gt;O&amp;apos;Brien, PC.&lt;/author&gt;&lt;author&gt;Oviatt, KF.&lt;/author&gt;&lt;author&gt;Dinapoli, RP.&lt;/author&gt;&lt;author&gt;Daube, JR.&lt;/author&gt;&lt;author&gt;Bartleson, JD et al. &lt;/author&gt;&lt;/authors&gt;&lt;/contributors&gt;&lt;titles&gt;&lt;title&gt;Prednisone improves chronic inflammatory demyelinating polyradiculoneuropathy more than no treatment.&lt;/title&gt;&lt;secondary-title&gt;Annals of Neurology&lt;/secondary-title&gt;&lt;/titles&gt;&lt;periodical&gt;&lt;full-title&gt;Annals of Neurology&lt;/full-title&gt;&lt;/periodical&gt;&lt;pages&gt;136-141&lt;/pages&gt;&lt;volume&gt;11&lt;/volume&gt;&lt;number&gt;2&lt;/number&gt;&lt;dates&gt;&lt;year&gt;1982&lt;/year&gt;&lt;pub-dates&gt;&lt;date&gt;1982 Feb&lt;/date&gt;&lt;/pub-dates&gt;&lt;/dates&gt;&lt;urls&gt;&lt;/urls&gt;&lt;electronic-resource-num&gt;10.1002/ana.410110205&lt;/electronic-resource-num&gt;&lt;/record&gt;&lt;/Cite&gt;&lt;/EndNote&gt;</w:instrText>
      </w:r>
      <w:r w:rsidR="007C7E04">
        <w:rPr>
          <w:i/>
        </w:rPr>
        <w:fldChar w:fldCharType="separate"/>
      </w:r>
      <w:r w:rsidR="007810D6">
        <w:rPr>
          <w:i/>
          <w:noProof/>
        </w:rPr>
        <w:t>(</w:t>
      </w:r>
      <w:hyperlink w:anchor="_ENREF_77" w:tooltip="Dyck, 1982 #80" w:history="1">
        <w:r w:rsidR="00C04BCE">
          <w:rPr>
            <w:i/>
            <w:noProof/>
          </w:rPr>
          <w:t>77</w:t>
        </w:r>
      </w:hyperlink>
      <w:r w:rsidR="007810D6">
        <w:rPr>
          <w:i/>
          <w:noProof/>
        </w:rPr>
        <w:t>)</w:t>
      </w:r>
      <w:r w:rsidR="007C7E04">
        <w:rPr>
          <w:i/>
        </w:rPr>
        <w:fldChar w:fldCharType="end"/>
      </w:r>
      <w:r w:rsidR="00571273">
        <w:rPr>
          <w:i/>
        </w:rPr>
        <w:t>.</w:t>
      </w:r>
      <w:r w:rsidRPr="00DA3C6E">
        <w:rPr>
          <w:i/>
        </w:rPr>
        <w:t xml:space="preserve"> </w:t>
      </w:r>
    </w:p>
    <w:p w14:paraId="50D1032C" w14:textId="26B8D548" w:rsidR="000B06F3" w:rsidRPr="00DA3C6E" w:rsidRDefault="000B06F3" w:rsidP="006A5E97">
      <w:pPr>
        <w:pStyle w:val="Tablenotes0"/>
        <w:spacing w:after="240"/>
        <w:rPr>
          <w:i/>
        </w:rPr>
      </w:pPr>
      <w:r w:rsidRPr="00DA3C6E">
        <w:rPr>
          <w:i/>
        </w:rPr>
        <w:t>f = Guy's Neurological Disability Score (GNDS): ranges from 0 (no upper limb problem), 1 (problems in one or both arms, not affecting the ability to do any of the functions listed), 2 (problems in one or both arms, affecting some but not preventing any of the functions listed), 3 (problems in one or both arms, affecting all or preventing one or two of the functions listed), 4 (problems in one or both arms preventing three or all of the functions listed), and 5 (unable to use either arm for any purposeful movements)</w:t>
      </w:r>
      <w:r w:rsidR="007C7E04">
        <w:rPr>
          <w:i/>
        </w:rPr>
        <w:fldChar w:fldCharType="begin">
          <w:fldData xml:space="preserve">PEVuZE5vdGU+PENpdGU+PEF1dGhvcj5TaGFycmFjazwvQXV0aG9yPjxZZWFyPjE5OTk8L1llYXI+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</w:fldData>
        </w:fldChar>
      </w:r>
      <w:r w:rsidR="007810D6">
        <w:rPr>
          <w:i/>
        </w:rPr>
        <w:instrText xml:space="preserve"> ADDIN EN.CITE </w:instrText>
      </w:r>
      <w:r w:rsidR="007810D6">
        <w:rPr>
          <w:i/>
        </w:rPr>
        <w:fldChar w:fldCharType="begin">
          <w:fldData xml:space="preserve">PEVuZE5vdGU+PENpdGU+PEF1dGhvcj5TaGFycmFjazwvQXV0aG9yPjxZZWFyPjE5OTk8L1llYXI+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</w:fldData>
        </w:fldChar>
      </w:r>
      <w:r w:rsidR="007810D6">
        <w:rPr>
          <w:i/>
        </w:rPr>
        <w:instrText xml:space="preserve"> ADDIN EN.CITE.DATA </w:instrText>
      </w:r>
      <w:r w:rsidR="007810D6">
        <w:rPr>
          <w:i/>
        </w:rPr>
      </w:r>
      <w:r w:rsidR="007810D6">
        <w:rPr>
          <w:i/>
        </w:rPr>
        <w:fldChar w:fldCharType="end"/>
      </w:r>
      <w:r w:rsidR="007C7E04">
        <w:rPr>
          <w:i/>
        </w:rPr>
      </w:r>
      <w:r w:rsidR="007C7E04">
        <w:rPr>
          <w:i/>
        </w:rPr>
        <w:fldChar w:fldCharType="separate"/>
      </w:r>
      <w:r w:rsidR="007810D6">
        <w:rPr>
          <w:i/>
          <w:noProof/>
        </w:rPr>
        <w:t>(</w:t>
      </w:r>
      <w:hyperlink w:anchor="_ENREF_78" w:tooltip="Sharrack, 1999 #81" w:history="1">
        <w:r w:rsidR="00C04BCE">
          <w:rPr>
            <w:i/>
            <w:noProof/>
          </w:rPr>
          <w:t>78</w:t>
        </w:r>
      </w:hyperlink>
      <w:r w:rsidR="007810D6">
        <w:rPr>
          <w:i/>
          <w:noProof/>
        </w:rPr>
        <w:t>)</w:t>
      </w:r>
      <w:r w:rsidR="007C7E04">
        <w:rPr>
          <w:i/>
        </w:rPr>
        <w:fldChar w:fldCharType="end"/>
      </w:r>
      <w:r w:rsidRPr="00DA3C6E">
        <w:rPr>
          <w:i/>
        </w:rPr>
        <w:t>.</w:t>
      </w:r>
    </w:p>
    <w:p w14:paraId="7D739AF4" w14:textId="77777777" w:rsidR="000B06F3" w:rsidRPr="00DA3C6E" w:rsidRDefault="000B06F3">
      <w:pPr>
        <w:spacing w:after="0" w:line="240" w:lineRule="auto"/>
        <w:jc w:val="left"/>
      </w:pPr>
      <w:r w:rsidRPr="00DA3C6E">
        <w:br w:type="page"/>
      </w:r>
    </w:p>
    <w:p w14:paraId="570C7907" w14:textId="0EE84292" w:rsidR="000B06F3" w:rsidRPr="00DA3C6E" w:rsidRDefault="000B06F3" w:rsidP="00F211EB">
      <w:pPr>
        <w:pStyle w:val="Caption"/>
      </w:pPr>
      <w:bookmarkStart w:id="406" w:name="_Ref31207046"/>
      <w:bookmarkStart w:id="407" w:name="_Toc31144664"/>
      <w:bookmarkStart w:id="408" w:name="_Toc37845855"/>
      <w:r w:rsidRPr="00DA3C6E">
        <w:lastRenderedPageBreak/>
        <w:t xml:space="preserve">Table </w:t>
      </w:r>
      <w:r w:rsidR="00515153">
        <w:fldChar w:fldCharType="begin"/>
      </w:r>
      <w:r w:rsidR="00515153">
        <w:instrText xml:space="preserve"> SEQ Table \* ARABIC </w:instrText>
      </w:r>
      <w:r w:rsidR="00515153">
        <w:fldChar w:fldCharType="separate"/>
      </w:r>
      <w:r w:rsidR="00EA5DC1">
        <w:rPr>
          <w:noProof/>
        </w:rPr>
        <w:t>52</w:t>
      </w:r>
      <w:r w:rsidR="00515153">
        <w:rPr>
          <w:noProof/>
        </w:rPr>
        <w:fldChar w:fldCharType="end"/>
      </w:r>
      <w:bookmarkEnd w:id="406"/>
      <w:r w:rsidRPr="00DA3C6E">
        <w:t>. Profiles of single arm studies included in the systematic literature review.</w:t>
      </w:r>
      <w:bookmarkEnd w:id="407"/>
      <w:bookmarkEnd w:id="408"/>
    </w:p>
    <w:tbl>
      <w:tblPr>
        <w:tblW w:w="14454" w:type="dxa"/>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337"/>
        <w:gridCol w:w="1632"/>
        <w:gridCol w:w="1222"/>
        <w:gridCol w:w="2678"/>
        <w:gridCol w:w="1608"/>
        <w:gridCol w:w="1748"/>
        <w:gridCol w:w="1615"/>
        <w:gridCol w:w="2614"/>
      </w:tblGrid>
      <w:tr w:rsidR="007C7E04" w:rsidRPr="00DA3C6E" w14:paraId="38280E8C" w14:textId="77777777" w:rsidTr="006A5E97">
        <w:trPr>
          <w:trHeight w:val="1059"/>
        </w:trPr>
        <w:tc>
          <w:tcPr>
            <w:tcW w:w="1424" w:type="dxa"/>
            <w:tcBorders>
              <w:top w:val="single" w:sz="4" w:space="0" w:color="auto"/>
              <w:left w:val="single" w:sz="4" w:space="0" w:color="auto"/>
              <w:bottom w:val="single" w:sz="4" w:space="0" w:color="auto"/>
              <w:right w:val="single" w:sz="4" w:space="0" w:color="auto"/>
            </w:tcBorders>
          </w:tcPr>
          <w:p w14:paraId="148BDB16" w14:textId="77777777" w:rsidR="000B06F3" w:rsidRPr="00DA3C6E" w:rsidRDefault="000B06F3" w:rsidP="00136334">
            <w:pPr>
              <w:pStyle w:val="TableHeading"/>
            </w:pPr>
            <w:r w:rsidRPr="00DA3C6E">
              <w:t>Authors</w:t>
            </w:r>
          </w:p>
          <w:p w14:paraId="546090CA" w14:textId="77777777" w:rsidR="000B06F3" w:rsidRPr="00DA3C6E" w:rsidRDefault="000B06F3" w:rsidP="00136334">
            <w:pPr>
              <w:pStyle w:val="TableHeading"/>
            </w:pPr>
            <w:r w:rsidRPr="00DA3C6E">
              <w:t>Study ID</w:t>
            </w:r>
          </w:p>
          <w:p w14:paraId="179F7F42" w14:textId="77777777" w:rsidR="000B06F3" w:rsidRPr="00DA3C6E" w:rsidRDefault="000B06F3" w:rsidP="00136334">
            <w:pPr>
              <w:pStyle w:val="TableHeading"/>
            </w:pPr>
            <w:r w:rsidRPr="00DA3C6E">
              <w:t>Publication Year</w:t>
            </w:r>
          </w:p>
        </w:tc>
        <w:tc>
          <w:tcPr>
            <w:tcW w:w="1787" w:type="dxa"/>
            <w:tcBorders>
              <w:top w:val="single" w:sz="4" w:space="0" w:color="auto"/>
              <w:left w:val="single" w:sz="4" w:space="0" w:color="auto"/>
              <w:bottom w:val="single" w:sz="4" w:space="0" w:color="auto"/>
              <w:right w:val="single" w:sz="4" w:space="0" w:color="auto"/>
            </w:tcBorders>
          </w:tcPr>
          <w:p w14:paraId="5CE1D3B4" w14:textId="77777777" w:rsidR="000B06F3" w:rsidRPr="00DA3C6E" w:rsidRDefault="000B06F3" w:rsidP="00136334">
            <w:pPr>
              <w:pStyle w:val="TableHeading"/>
            </w:pPr>
            <w:r w:rsidRPr="00DA3C6E">
              <w:t>Study design</w:t>
            </w:r>
          </w:p>
        </w:tc>
        <w:tc>
          <w:tcPr>
            <w:tcW w:w="1259" w:type="dxa"/>
            <w:tcBorders>
              <w:top w:val="single" w:sz="4" w:space="0" w:color="auto"/>
              <w:left w:val="single" w:sz="4" w:space="0" w:color="auto"/>
              <w:bottom w:val="single" w:sz="4" w:space="0" w:color="auto"/>
              <w:right w:val="single" w:sz="4" w:space="0" w:color="auto"/>
            </w:tcBorders>
          </w:tcPr>
          <w:p w14:paraId="5E837A3A" w14:textId="77777777" w:rsidR="000B06F3" w:rsidRPr="00DA3C6E" w:rsidRDefault="000B06F3" w:rsidP="00136334">
            <w:pPr>
              <w:pStyle w:val="TableHeading"/>
            </w:pPr>
            <w:r w:rsidRPr="00DA3C6E">
              <w:t>Risk of bias (L=low, M=medium, H=high)</w:t>
            </w:r>
          </w:p>
        </w:tc>
        <w:tc>
          <w:tcPr>
            <w:tcW w:w="1812" w:type="dxa"/>
            <w:tcBorders>
              <w:top w:val="single" w:sz="4" w:space="0" w:color="auto"/>
              <w:left w:val="single" w:sz="4" w:space="0" w:color="auto"/>
              <w:bottom w:val="single" w:sz="4" w:space="0" w:color="auto"/>
              <w:right w:val="single" w:sz="4" w:space="0" w:color="auto"/>
            </w:tcBorders>
          </w:tcPr>
          <w:p w14:paraId="74F4FB1A" w14:textId="77777777" w:rsidR="000B06F3" w:rsidRPr="00DA3C6E" w:rsidRDefault="000B06F3" w:rsidP="00136334">
            <w:pPr>
              <w:pStyle w:val="TableHeading"/>
              <w:ind w:left="68"/>
              <w:rPr>
                <w:vertAlign w:val="superscript"/>
              </w:rPr>
            </w:pPr>
            <w:r w:rsidRPr="00DA3C6E">
              <w:t xml:space="preserve">Eligibility criteria </w:t>
            </w:r>
          </w:p>
        </w:tc>
        <w:tc>
          <w:tcPr>
            <w:tcW w:w="1621" w:type="dxa"/>
            <w:tcBorders>
              <w:top w:val="single" w:sz="4" w:space="0" w:color="auto"/>
              <w:left w:val="single" w:sz="4" w:space="0" w:color="auto"/>
              <w:bottom w:val="single" w:sz="4" w:space="0" w:color="auto"/>
              <w:right w:val="single" w:sz="4" w:space="0" w:color="auto"/>
            </w:tcBorders>
          </w:tcPr>
          <w:p w14:paraId="75521432" w14:textId="77777777" w:rsidR="000B06F3" w:rsidRPr="00DA3C6E" w:rsidRDefault="000B06F3" w:rsidP="00136334">
            <w:pPr>
              <w:pStyle w:val="TableHeading"/>
            </w:pPr>
            <w:r w:rsidRPr="00DA3C6E">
              <w:t>Study population characteristics</w:t>
            </w:r>
          </w:p>
          <w:p w14:paraId="68DDB6D3" w14:textId="77777777" w:rsidR="000B06F3" w:rsidRPr="00DA3C6E" w:rsidRDefault="000B06F3" w:rsidP="00136334">
            <w:pPr>
              <w:pStyle w:val="TableHeading"/>
              <w:rPr>
                <w:vanish/>
                <w:color w:val="C00000"/>
              </w:rPr>
            </w:pPr>
          </w:p>
        </w:tc>
        <w:tc>
          <w:tcPr>
            <w:tcW w:w="1813" w:type="dxa"/>
            <w:tcBorders>
              <w:top w:val="single" w:sz="4" w:space="0" w:color="auto"/>
              <w:left w:val="single" w:sz="4" w:space="0" w:color="auto"/>
              <w:bottom w:val="single" w:sz="4" w:space="0" w:color="auto"/>
              <w:right w:val="single" w:sz="4" w:space="0" w:color="auto"/>
            </w:tcBorders>
          </w:tcPr>
          <w:p w14:paraId="1CBBB5D0" w14:textId="77777777" w:rsidR="000B06F3" w:rsidRPr="00DA3C6E" w:rsidRDefault="000B06F3" w:rsidP="00136334">
            <w:pPr>
              <w:pStyle w:val="TableHeading"/>
              <w:ind w:left="34"/>
            </w:pPr>
            <w:r w:rsidRPr="00DA3C6E">
              <w:t>Description of Intervention</w:t>
            </w:r>
          </w:p>
          <w:p w14:paraId="683ABB63" w14:textId="77777777" w:rsidR="000B06F3" w:rsidRPr="00DA3C6E" w:rsidRDefault="000B06F3" w:rsidP="00136334">
            <w:pPr>
              <w:pStyle w:val="TableHeading"/>
              <w:ind w:left="34"/>
            </w:pPr>
          </w:p>
        </w:tc>
        <w:tc>
          <w:tcPr>
            <w:tcW w:w="1781" w:type="dxa"/>
            <w:tcBorders>
              <w:top w:val="single" w:sz="4" w:space="0" w:color="auto"/>
              <w:left w:val="single" w:sz="4" w:space="0" w:color="auto"/>
              <w:bottom w:val="single" w:sz="4" w:space="0" w:color="auto"/>
              <w:right w:val="single" w:sz="4" w:space="0" w:color="auto"/>
            </w:tcBorders>
          </w:tcPr>
          <w:p w14:paraId="3033A21A" w14:textId="77777777" w:rsidR="000B06F3" w:rsidRPr="00DA3C6E" w:rsidRDefault="000B06F3" w:rsidP="00136334">
            <w:pPr>
              <w:pStyle w:val="TableHeading"/>
              <w:ind w:left="34"/>
            </w:pPr>
            <w:r w:rsidRPr="00DA3C6E">
              <w:t xml:space="preserve">Relevant outcomes assessed </w:t>
            </w:r>
          </w:p>
          <w:p w14:paraId="47DE90D1" w14:textId="77777777" w:rsidR="000B06F3" w:rsidRPr="00DA3C6E" w:rsidRDefault="000B06F3" w:rsidP="00136334">
            <w:pPr>
              <w:pStyle w:val="TableHeading"/>
              <w:ind w:left="34"/>
            </w:pPr>
          </w:p>
        </w:tc>
        <w:tc>
          <w:tcPr>
            <w:tcW w:w="2957" w:type="dxa"/>
            <w:tcBorders>
              <w:top w:val="single" w:sz="4" w:space="0" w:color="auto"/>
              <w:left w:val="single" w:sz="4" w:space="0" w:color="auto"/>
              <w:bottom w:val="single" w:sz="4" w:space="0" w:color="auto"/>
              <w:right w:val="single" w:sz="4" w:space="0" w:color="auto"/>
            </w:tcBorders>
          </w:tcPr>
          <w:p w14:paraId="406685CE" w14:textId="77777777" w:rsidR="000B06F3" w:rsidRPr="00DA3C6E" w:rsidRDefault="000B06F3" w:rsidP="00136334">
            <w:pPr>
              <w:pStyle w:val="TableHeading"/>
              <w:ind w:left="34"/>
            </w:pPr>
            <w:r w:rsidRPr="00DA3C6E">
              <w:t>Measurement of outcomes, time point of outcome measurement reported, and methods of analysis</w:t>
            </w:r>
          </w:p>
        </w:tc>
      </w:tr>
      <w:tr w:rsidR="007C7E04" w:rsidRPr="00DA3C6E" w14:paraId="246DA2D0" w14:textId="77777777" w:rsidTr="006A5E97">
        <w:trPr>
          <w:trHeight w:val="300"/>
        </w:trPr>
        <w:tc>
          <w:tcPr>
            <w:tcW w:w="1424" w:type="dxa"/>
            <w:tcBorders>
              <w:top w:val="single" w:sz="4" w:space="0" w:color="auto"/>
              <w:left w:val="single" w:sz="4" w:space="0" w:color="auto"/>
              <w:right w:val="single" w:sz="4" w:space="0" w:color="auto"/>
            </w:tcBorders>
          </w:tcPr>
          <w:p w14:paraId="73C2DB1C" w14:textId="70A9C3F0" w:rsidR="000B06F3" w:rsidRPr="00DA3C6E" w:rsidRDefault="000B06F3" w:rsidP="00C04BCE">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Chaudhry et al. 1993</w:t>
            </w:r>
            <w:r w:rsidR="00DB568A" w:rsidRPr="00DA3C6E">
              <w:rPr>
                <w:rFonts w:ascii="Arial Narrow" w:hAnsi="Arial Narrow" w:cs="Calibri"/>
                <w:color w:val="000000"/>
                <w:sz w:val="20"/>
                <w:szCs w:val="20"/>
              </w:rPr>
              <w:fldChar w:fldCharType="begin"/>
            </w:r>
            <w:r w:rsidR="00DB568A" w:rsidRPr="00DA3C6E">
              <w:rPr>
                <w:rFonts w:ascii="Arial Narrow" w:hAnsi="Arial Narrow" w:cs="Calibri"/>
                <w:color w:val="000000"/>
                <w:sz w:val="20"/>
                <w:szCs w:val="20"/>
              </w:rPr>
              <w:instrText xml:space="preserve"> ADDIN EN.CITE &lt;EndNote&gt;&lt;Cite&gt;&lt;Author&gt;Chaudhry&lt;/Author&gt;&lt;Year&gt;1993&lt;/Year&gt;&lt;RecNum&gt;14&lt;/RecNum&gt;&lt;DisplayText&gt;(22)&lt;/DisplayText&gt;&lt;record&gt;&lt;rec-number&gt;14&lt;/rec-number&gt;&lt;foreign-keys&gt;&lt;key app="EN" db-id="0992p2ztn5fez9e2wvnpw2xstd20f9w2dezz" timestamp="1586818281"&gt;14&lt;/key&gt;&lt;/foreign-keys&gt;&lt;ref-type name="Journal Article"&gt;17&lt;/ref-type&gt;&lt;contributors&gt;&lt;authors&gt;&lt;author&gt;Chaudhry, V.&lt;/author&gt;&lt;author&gt;Corse, A. M.&lt;/author&gt;&lt;author&gt;Cornblath, D. R.&lt;/author&gt;&lt;author&gt;Kuncl, R. W.&lt;/author&gt;&lt;author&gt;Drachman, D. B.&lt;/author&gt;&lt;author&gt;Freimer, M. L.&lt;/author&gt;&lt;author&gt;Miller, R. G.&lt;/author&gt;&lt;author&gt;Griffin, J. W.&lt;/author&gt;&lt;/authors&gt;&lt;/contributors&gt;&lt;auth-address&gt;Department of Neurology, Johns Hopkins University School of Medicine, Baltimore, MD.&lt;/auth-address&gt;&lt;titles&gt;&lt;title&gt;Multifocal motor neuropathy: response to human immune globulin&lt;/title&gt;&lt;secondary-title&gt;Ann Neurol&lt;/secondary-title&gt;&lt;/titles&gt;&lt;periodical&gt;&lt;full-title&gt;Ann Neurol&lt;/full-title&gt;&lt;/periodical&gt;&lt;pages&gt;237-42&lt;/pages&gt;&lt;volume&gt;33&lt;/volume&gt;&lt;number&gt;3&lt;/number&gt;&lt;keywords&gt;&lt;keyword&gt;Adult&lt;/keyword&gt;&lt;keyword&gt;Cyclophosphamide/therapeutic use&lt;/keyword&gt;&lt;keyword&gt;Electrophysiology&lt;/keyword&gt;&lt;keyword&gt;Female&lt;/keyword&gt;&lt;keyword&gt;Humans&lt;/keyword&gt;&lt;keyword&gt;Immunoglobulins, Intravenous&lt;/keyword&gt;&lt;keyword&gt;Male&lt;/keyword&gt;&lt;keyword&gt;Middle Aged&lt;/keyword&gt;&lt;keyword&gt;Muscles/physiopathology&lt;/keyword&gt;&lt;keyword&gt;Neuromuscular Diseases/physiopathology/ therapy&lt;/keyword&gt;&lt;/keywords&gt;&lt;dates&gt;&lt;year&gt;1993&lt;/year&gt;&lt;pub-dates&gt;&lt;date&gt;Mar&lt;/date&gt;&lt;/pub-dates&gt;&lt;/dates&gt;&lt;accession-num&gt;8498806&lt;/accession-num&gt;&lt;urls&gt;&lt;related-urls&gt;&lt;url&gt;https://onlinelibrary.wiley.com/doi/abs/10.1002/ana.410330303?sid=nlm%3Apubmed&lt;/url&gt;&lt;/related-urls&gt;&lt;/urls&gt;&lt;research-notes&gt;B. Included 9 patients with MMN&lt;/research-notes&gt;&lt;/record&gt;&lt;/Cite&gt;&lt;/EndNote&gt;</w:instrText>
            </w:r>
            <w:r w:rsidR="00DB568A" w:rsidRPr="00DA3C6E">
              <w:rPr>
                <w:rFonts w:ascii="Arial Narrow" w:hAnsi="Arial Narrow" w:cs="Calibri"/>
                <w:color w:val="000000"/>
                <w:sz w:val="20"/>
                <w:szCs w:val="20"/>
              </w:rPr>
              <w:fldChar w:fldCharType="separate"/>
            </w:r>
            <w:r w:rsidR="00DB568A" w:rsidRPr="00DA3C6E">
              <w:rPr>
                <w:rFonts w:ascii="Arial Narrow" w:hAnsi="Arial Narrow" w:cs="Calibri"/>
                <w:noProof/>
                <w:color w:val="000000"/>
                <w:sz w:val="20"/>
                <w:szCs w:val="20"/>
              </w:rPr>
              <w:t>(</w:t>
            </w:r>
            <w:hyperlink w:anchor="_ENREF_22" w:tooltip="Chaudhry, 1993 #14" w:history="1">
              <w:r w:rsidR="00C04BCE" w:rsidRPr="00DA3C6E">
                <w:rPr>
                  <w:rFonts w:ascii="Arial Narrow" w:hAnsi="Arial Narrow" w:cs="Calibri"/>
                  <w:noProof/>
                  <w:color w:val="000000"/>
                  <w:sz w:val="20"/>
                  <w:szCs w:val="20"/>
                </w:rPr>
                <w:t>22</w:t>
              </w:r>
            </w:hyperlink>
            <w:r w:rsidR="00DB568A" w:rsidRPr="00DA3C6E">
              <w:rPr>
                <w:rFonts w:ascii="Arial Narrow" w:hAnsi="Arial Narrow" w:cs="Calibri"/>
                <w:noProof/>
                <w:color w:val="000000"/>
                <w:sz w:val="20"/>
                <w:szCs w:val="20"/>
              </w:rPr>
              <w:t>)</w:t>
            </w:r>
            <w:r w:rsidR="00DB568A" w:rsidRPr="00DA3C6E">
              <w:rPr>
                <w:rFonts w:ascii="Arial Narrow" w:hAnsi="Arial Narrow" w:cs="Calibri"/>
                <w:color w:val="000000"/>
                <w:sz w:val="20"/>
                <w:szCs w:val="20"/>
              </w:rPr>
              <w:fldChar w:fldCharType="end"/>
            </w:r>
          </w:p>
        </w:tc>
        <w:tc>
          <w:tcPr>
            <w:tcW w:w="1787" w:type="dxa"/>
            <w:tcBorders>
              <w:top w:val="single" w:sz="4" w:space="0" w:color="auto"/>
              <w:left w:val="single" w:sz="4" w:space="0" w:color="auto"/>
              <w:right w:val="single" w:sz="4" w:space="0" w:color="auto"/>
            </w:tcBorders>
          </w:tcPr>
          <w:p w14:paraId="155CC19A" w14:textId="77777777" w:rsidR="000B06F3" w:rsidRPr="00DA3C6E" w:rsidRDefault="000B06F3" w:rsidP="008A5F97">
            <w:pPr>
              <w:pStyle w:val="Tabletext1"/>
              <w:jc w:val="left"/>
            </w:pPr>
            <w:r w:rsidRPr="00DA3C6E">
              <w:t>Retrospective study</w:t>
            </w:r>
          </w:p>
          <w:p w14:paraId="227BF150" w14:textId="77777777" w:rsidR="000B06F3" w:rsidRPr="00DA3C6E" w:rsidRDefault="000B06F3" w:rsidP="008A5F97">
            <w:pPr>
              <w:pStyle w:val="Tabletext1"/>
              <w:jc w:val="left"/>
            </w:pPr>
          </w:p>
          <w:p w14:paraId="07E53EAA" w14:textId="77777777" w:rsidR="000B06F3" w:rsidRPr="00DA3C6E" w:rsidRDefault="000B06F3" w:rsidP="008A5F97">
            <w:pPr>
              <w:pStyle w:val="Tabletext1"/>
              <w:jc w:val="left"/>
            </w:pPr>
          </w:p>
          <w:p w14:paraId="00A1C6DE" w14:textId="77777777" w:rsidR="000B06F3" w:rsidRPr="00DA3C6E" w:rsidRDefault="000B06F3" w:rsidP="008A5F97">
            <w:pPr>
              <w:pStyle w:val="Tabletext1"/>
              <w:jc w:val="left"/>
            </w:pPr>
          </w:p>
        </w:tc>
        <w:tc>
          <w:tcPr>
            <w:tcW w:w="1259" w:type="dxa"/>
            <w:tcBorders>
              <w:top w:val="single" w:sz="4" w:space="0" w:color="auto"/>
              <w:left w:val="single" w:sz="4" w:space="0" w:color="auto"/>
              <w:right w:val="single" w:sz="4" w:space="0" w:color="auto"/>
            </w:tcBorders>
          </w:tcPr>
          <w:p w14:paraId="5956F496"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77F1F256" w14:textId="77777777" w:rsidR="000B06F3" w:rsidRPr="00DA3C6E" w:rsidRDefault="000B06F3" w:rsidP="00134AFC">
            <w:pPr>
              <w:pStyle w:val="Tabletext1"/>
              <w:jc w:val="left"/>
            </w:pPr>
            <w:r w:rsidRPr="00DA3C6E">
              <w:t>Chronic, progressive, asymmetrical predominantly distal limb weakness, muscle wasting, reflex loss, and electrophysiological evidence of multifocal motor demyelination with PMCB. Patients with sensory symptoms or significant sensory abnormalities, either clinically or electrophysiologically</w:t>
            </w:r>
            <w:r w:rsidR="00F92DC9" w:rsidRPr="00DA3C6E">
              <w:t xml:space="preserve"> </w:t>
            </w:r>
            <w:r w:rsidRPr="00DA3C6E">
              <w:t>were excluded.</w:t>
            </w:r>
          </w:p>
        </w:tc>
        <w:tc>
          <w:tcPr>
            <w:tcW w:w="1621" w:type="dxa"/>
            <w:tcBorders>
              <w:top w:val="single" w:sz="4" w:space="0" w:color="auto"/>
              <w:left w:val="single" w:sz="4" w:space="0" w:color="auto"/>
              <w:right w:val="single" w:sz="4" w:space="0" w:color="auto"/>
            </w:tcBorders>
          </w:tcPr>
          <w:p w14:paraId="17EABC5D" w14:textId="77777777" w:rsidR="000B06F3" w:rsidRPr="00DA3C6E" w:rsidRDefault="000B06F3" w:rsidP="008A5F97">
            <w:pPr>
              <w:pStyle w:val="Tabletext1"/>
              <w:jc w:val="left"/>
            </w:pPr>
            <w:r w:rsidRPr="00DA3C6E">
              <w:t xml:space="preserve">9 patients with MMN; </w:t>
            </w:r>
          </w:p>
          <w:p w14:paraId="2348FDA6" w14:textId="77777777" w:rsidR="000B06F3" w:rsidRPr="00DA3C6E" w:rsidRDefault="000B06F3" w:rsidP="008A5F97">
            <w:pPr>
              <w:pStyle w:val="Tabletext1"/>
              <w:jc w:val="left"/>
            </w:pPr>
            <w:r w:rsidRPr="00DA3C6E">
              <w:t xml:space="preserve">Mean age: 44 years </w:t>
            </w:r>
          </w:p>
        </w:tc>
        <w:tc>
          <w:tcPr>
            <w:tcW w:w="1813" w:type="dxa"/>
            <w:tcBorders>
              <w:top w:val="single" w:sz="4" w:space="0" w:color="auto"/>
              <w:left w:val="single" w:sz="4" w:space="0" w:color="auto"/>
              <w:right w:val="single" w:sz="4" w:space="0" w:color="auto"/>
            </w:tcBorders>
          </w:tcPr>
          <w:p w14:paraId="4237962E" w14:textId="77777777" w:rsidR="000B06F3" w:rsidRPr="00DA3C6E" w:rsidRDefault="000B06F3" w:rsidP="008A5F97">
            <w:pPr>
              <w:pStyle w:val="Tabletext1"/>
              <w:jc w:val="left"/>
            </w:pPr>
            <w:r w:rsidRPr="00DA3C6E">
              <w:t>HIG: 1.6g - 2.4 g/k g over a period of 2 to 5 days. Six of the 9 patients have received</w:t>
            </w:r>
          </w:p>
          <w:p w14:paraId="69894A7C" w14:textId="77777777" w:rsidR="000B06F3" w:rsidRPr="00DA3C6E" w:rsidRDefault="000B06F3" w:rsidP="008A5F97">
            <w:pPr>
              <w:pStyle w:val="Tabletext1"/>
              <w:jc w:val="left"/>
            </w:pPr>
            <w:r w:rsidRPr="00DA3C6E">
              <w:t>repeated treatments at intervals varying from 2 to 4 months</w:t>
            </w:r>
          </w:p>
        </w:tc>
        <w:tc>
          <w:tcPr>
            <w:tcW w:w="1781" w:type="dxa"/>
            <w:tcBorders>
              <w:top w:val="single" w:sz="4" w:space="0" w:color="auto"/>
              <w:left w:val="single" w:sz="4" w:space="0" w:color="auto"/>
              <w:right w:val="single" w:sz="4" w:space="0" w:color="auto"/>
            </w:tcBorders>
          </w:tcPr>
          <w:p w14:paraId="52FB66D7" w14:textId="77777777" w:rsidR="000B06F3" w:rsidRPr="00DA3C6E" w:rsidRDefault="000B06F3" w:rsidP="008A5F97">
            <w:pPr>
              <w:pStyle w:val="Tabletext1"/>
              <w:jc w:val="left"/>
            </w:pPr>
            <w:r w:rsidRPr="00DA3C6E">
              <w:t xml:space="preserve">Improvement in disability </w:t>
            </w:r>
          </w:p>
          <w:p w14:paraId="11A5203F" w14:textId="77777777" w:rsidR="000B06F3" w:rsidRPr="00DA3C6E" w:rsidRDefault="000B06F3" w:rsidP="008A5F97">
            <w:pPr>
              <w:pStyle w:val="Tabletext1"/>
              <w:jc w:val="left"/>
            </w:pPr>
          </w:p>
          <w:p w14:paraId="06D2D813" w14:textId="77777777" w:rsidR="000B06F3" w:rsidRPr="00DA3C6E" w:rsidRDefault="000B06F3" w:rsidP="008A5F97">
            <w:pPr>
              <w:pStyle w:val="Tabletext1"/>
              <w:jc w:val="left"/>
            </w:pPr>
          </w:p>
          <w:p w14:paraId="61B7F371"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69032C23"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 xml:space="preserve">Reported as ranging from dramatic to mild. </w:t>
            </w:r>
          </w:p>
          <w:p w14:paraId="39C11EBF" w14:textId="77777777" w:rsidR="000B06F3" w:rsidRPr="00DA3C6E" w:rsidRDefault="000B06F3" w:rsidP="008A5F97">
            <w:pPr>
              <w:spacing w:after="0" w:line="240" w:lineRule="auto"/>
              <w:jc w:val="left"/>
              <w:rPr>
                <w:rFonts w:ascii="Arial Narrow" w:hAnsi="Arial Narrow" w:cs="Calibri"/>
                <w:color w:val="000000"/>
                <w:sz w:val="20"/>
                <w:szCs w:val="20"/>
              </w:rPr>
            </w:pPr>
          </w:p>
          <w:p w14:paraId="40C54BAB" w14:textId="77777777" w:rsidR="000B06F3" w:rsidRPr="00DA3C6E" w:rsidRDefault="000B06F3" w:rsidP="008A5F97">
            <w:pPr>
              <w:spacing w:after="0" w:line="240" w:lineRule="auto"/>
              <w:jc w:val="left"/>
              <w:rPr>
                <w:rFonts w:ascii="Arial Narrow" w:hAnsi="Arial Narrow" w:cs="Calibri"/>
                <w:color w:val="000000"/>
                <w:sz w:val="20"/>
                <w:szCs w:val="20"/>
              </w:rPr>
            </w:pPr>
          </w:p>
          <w:p w14:paraId="6BF4C77E" w14:textId="77777777" w:rsidR="000B06F3" w:rsidRPr="00DA3C6E" w:rsidRDefault="000B06F3" w:rsidP="008A5F97">
            <w:pPr>
              <w:spacing w:after="0" w:line="240" w:lineRule="auto"/>
              <w:jc w:val="left"/>
              <w:rPr>
                <w:rFonts w:ascii="Arial Narrow" w:hAnsi="Arial Narrow" w:cs="Calibri"/>
                <w:color w:val="000000"/>
                <w:sz w:val="20"/>
                <w:szCs w:val="20"/>
              </w:rPr>
            </w:pPr>
          </w:p>
          <w:p w14:paraId="28962DF4" w14:textId="77777777" w:rsidR="000B06F3" w:rsidRPr="00DA3C6E" w:rsidRDefault="000B06F3" w:rsidP="008A5F97">
            <w:pPr>
              <w:spacing w:after="0" w:line="240" w:lineRule="auto"/>
              <w:jc w:val="left"/>
              <w:rPr>
                <w:rFonts w:ascii="Arial Narrow" w:hAnsi="Arial Narrow" w:cs="Calibri"/>
                <w:color w:val="000000"/>
                <w:sz w:val="20"/>
                <w:szCs w:val="20"/>
              </w:rPr>
            </w:pPr>
          </w:p>
        </w:tc>
      </w:tr>
      <w:tr w:rsidR="007C7E04" w:rsidRPr="00DA3C6E" w14:paraId="683A63FB" w14:textId="77777777" w:rsidTr="006A5E97">
        <w:trPr>
          <w:trHeight w:val="300"/>
        </w:trPr>
        <w:tc>
          <w:tcPr>
            <w:tcW w:w="1424" w:type="dxa"/>
            <w:tcBorders>
              <w:left w:val="single" w:sz="4" w:space="0" w:color="auto"/>
              <w:right w:val="single" w:sz="4" w:space="0" w:color="auto"/>
            </w:tcBorders>
          </w:tcPr>
          <w:p w14:paraId="1D0BCFBE" w14:textId="77777777" w:rsidR="000B06F3" w:rsidRPr="00DA3C6E" w:rsidRDefault="000B06F3" w:rsidP="008A5F97">
            <w:pPr>
              <w:spacing w:after="0" w:line="240" w:lineRule="auto"/>
              <w:jc w:val="left"/>
              <w:rPr>
                <w:rFonts w:ascii="Arial Narrow" w:hAnsi="Arial Narrow" w:cs="Calibri"/>
                <w:color w:val="000000"/>
                <w:sz w:val="20"/>
                <w:szCs w:val="20"/>
              </w:rPr>
            </w:pPr>
          </w:p>
        </w:tc>
        <w:tc>
          <w:tcPr>
            <w:tcW w:w="1787" w:type="dxa"/>
            <w:tcBorders>
              <w:left w:val="single" w:sz="4" w:space="0" w:color="auto"/>
              <w:right w:val="single" w:sz="4" w:space="0" w:color="auto"/>
            </w:tcBorders>
          </w:tcPr>
          <w:p w14:paraId="692D7F1E"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11728C99"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7288963B"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7CF84EAA"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5CEECC10"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501768D7" w14:textId="77777777" w:rsidR="000B06F3" w:rsidRPr="00DA3C6E" w:rsidRDefault="000B06F3" w:rsidP="008A5F97">
            <w:pPr>
              <w:pStyle w:val="Tabletext1"/>
              <w:jc w:val="left"/>
            </w:pPr>
            <w:r w:rsidRPr="00DA3C6E">
              <w:t xml:space="preserve">Improvement in muscle strength </w:t>
            </w:r>
          </w:p>
          <w:p w14:paraId="2D1DD094"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6BD79AC0"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Hand-held dynamometer,  a pinch and grip meter</w:t>
            </w:r>
          </w:p>
          <w:p w14:paraId="4958A18C" w14:textId="77777777" w:rsidR="000B06F3" w:rsidRPr="00DA3C6E" w:rsidRDefault="000B06F3" w:rsidP="008A5F97">
            <w:pPr>
              <w:spacing w:after="0" w:line="240" w:lineRule="auto"/>
              <w:jc w:val="left"/>
              <w:rPr>
                <w:rFonts w:ascii="Arial Narrow" w:hAnsi="Arial Narrow" w:cs="Calibri"/>
                <w:color w:val="000000"/>
                <w:sz w:val="20"/>
                <w:szCs w:val="20"/>
              </w:rPr>
            </w:pPr>
          </w:p>
        </w:tc>
      </w:tr>
      <w:tr w:rsidR="007C7E04" w:rsidRPr="00DA3C6E" w14:paraId="4C576BB3" w14:textId="77777777" w:rsidTr="006A5E97">
        <w:trPr>
          <w:trHeight w:val="300"/>
        </w:trPr>
        <w:tc>
          <w:tcPr>
            <w:tcW w:w="1424" w:type="dxa"/>
            <w:tcBorders>
              <w:left w:val="single" w:sz="4" w:space="0" w:color="auto"/>
              <w:right w:val="single" w:sz="4" w:space="0" w:color="auto"/>
            </w:tcBorders>
          </w:tcPr>
          <w:p w14:paraId="231A7225" w14:textId="77777777" w:rsidR="000B06F3" w:rsidRPr="00DA3C6E" w:rsidRDefault="000B06F3" w:rsidP="008A5F97">
            <w:pPr>
              <w:spacing w:after="0" w:line="240" w:lineRule="auto"/>
              <w:jc w:val="left"/>
              <w:rPr>
                <w:rFonts w:ascii="Arial Narrow" w:hAnsi="Arial Narrow" w:cs="Calibri"/>
                <w:color w:val="000000"/>
                <w:sz w:val="20"/>
                <w:szCs w:val="20"/>
              </w:rPr>
            </w:pPr>
          </w:p>
        </w:tc>
        <w:tc>
          <w:tcPr>
            <w:tcW w:w="1787" w:type="dxa"/>
            <w:tcBorders>
              <w:left w:val="single" w:sz="4" w:space="0" w:color="auto"/>
              <w:right w:val="single" w:sz="4" w:space="0" w:color="auto"/>
            </w:tcBorders>
          </w:tcPr>
          <w:p w14:paraId="4899C6BD"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4E6A1D92"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57FD4CDE"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2B7AD0E5"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21AC986A"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755FEF53" w14:textId="77777777" w:rsidR="000B06F3" w:rsidRPr="00DA3C6E" w:rsidRDefault="000B06F3" w:rsidP="008A5F97">
            <w:pPr>
              <w:pStyle w:val="Tabletext1"/>
              <w:jc w:val="left"/>
            </w:pPr>
            <w:r w:rsidRPr="00DA3C6E">
              <w:t>CB</w:t>
            </w:r>
          </w:p>
          <w:p w14:paraId="7C6D34AA"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048A6528"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EMG; CMAP</w:t>
            </w:r>
          </w:p>
        </w:tc>
      </w:tr>
      <w:tr w:rsidR="007C7E04" w:rsidRPr="00DA3C6E" w14:paraId="0BC183CE" w14:textId="77777777" w:rsidTr="006A5E97">
        <w:trPr>
          <w:trHeight w:val="300"/>
        </w:trPr>
        <w:tc>
          <w:tcPr>
            <w:tcW w:w="1424" w:type="dxa"/>
            <w:tcBorders>
              <w:left w:val="single" w:sz="4" w:space="0" w:color="auto"/>
              <w:bottom w:val="single" w:sz="4" w:space="0" w:color="auto"/>
              <w:right w:val="single" w:sz="4" w:space="0" w:color="auto"/>
            </w:tcBorders>
          </w:tcPr>
          <w:p w14:paraId="50CB8665" w14:textId="77777777" w:rsidR="000B06F3" w:rsidRPr="00DA3C6E" w:rsidRDefault="000B06F3" w:rsidP="008A5F97">
            <w:pPr>
              <w:spacing w:after="0" w:line="240" w:lineRule="auto"/>
              <w:jc w:val="left"/>
              <w:rPr>
                <w:rFonts w:ascii="Arial Narrow" w:hAnsi="Arial Narrow" w:cs="Calibri"/>
                <w:color w:val="000000"/>
                <w:sz w:val="20"/>
                <w:szCs w:val="20"/>
              </w:rPr>
            </w:pPr>
          </w:p>
        </w:tc>
        <w:tc>
          <w:tcPr>
            <w:tcW w:w="1787" w:type="dxa"/>
            <w:tcBorders>
              <w:left w:val="single" w:sz="4" w:space="0" w:color="auto"/>
              <w:bottom w:val="single" w:sz="4" w:space="0" w:color="auto"/>
              <w:right w:val="single" w:sz="4" w:space="0" w:color="auto"/>
            </w:tcBorders>
          </w:tcPr>
          <w:p w14:paraId="2AEFBEC3"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4A761229"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2EA38823"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52AA6701"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6E3E655B"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6AC345A6"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6053D93B" w14:textId="77777777" w:rsidR="000B06F3" w:rsidRPr="00DA3C6E" w:rsidRDefault="000B06F3" w:rsidP="008A5F97">
            <w:pPr>
              <w:spacing w:after="0" w:line="240" w:lineRule="auto"/>
              <w:jc w:val="left"/>
              <w:rPr>
                <w:rFonts w:ascii="Arial Narrow" w:hAnsi="Arial Narrow" w:cs="Calibri"/>
                <w:color w:val="000000"/>
                <w:sz w:val="20"/>
                <w:szCs w:val="20"/>
              </w:rPr>
            </w:pPr>
          </w:p>
        </w:tc>
      </w:tr>
      <w:tr w:rsidR="007C7E04" w:rsidRPr="00DA3C6E" w14:paraId="5200ED56" w14:textId="77777777" w:rsidTr="006A5E97">
        <w:trPr>
          <w:trHeight w:val="13"/>
        </w:trPr>
        <w:tc>
          <w:tcPr>
            <w:tcW w:w="1424" w:type="dxa"/>
            <w:tcBorders>
              <w:top w:val="single" w:sz="4" w:space="0" w:color="auto"/>
              <w:left w:val="single" w:sz="4" w:space="0" w:color="auto"/>
              <w:right w:val="single" w:sz="4" w:space="0" w:color="auto"/>
            </w:tcBorders>
          </w:tcPr>
          <w:p w14:paraId="19EA215F" w14:textId="19F638E2"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Nobile-Orazio et al. 1993</w:t>
            </w:r>
            <w:r w:rsidR="00DB568A" w:rsidRPr="00DA3C6E">
              <w:rPr>
                <w:rFonts w:ascii="Arial Narrow" w:hAnsi="Arial Narrow" w:cs="Calibri"/>
                <w:color w:val="000000"/>
                <w:sz w:val="20"/>
                <w:szCs w:val="20"/>
              </w:rPr>
              <w:fldChar w:fldCharType="begin"/>
            </w:r>
            <w:r w:rsidR="00DB568A" w:rsidRPr="00DA3C6E">
              <w:rPr>
                <w:rFonts w:ascii="Arial Narrow" w:hAnsi="Arial Narrow" w:cs="Calibri"/>
                <w:color w:val="000000"/>
                <w:sz w:val="20"/>
                <w:szCs w:val="20"/>
              </w:rPr>
              <w:instrText xml:space="preserve"> ADDIN EN.CITE &lt;EndNote&gt;&lt;Cite&gt;&lt;Author&gt;Nobile-Orazio&lt;/Author&gt;&lt;Year&gt;1993&lt;/Year&gt;&lt;RecNum&gt;51&lt;/RecNum&gt;&lt;DisplayText&gt;(36)&lt;/DisplayText&gt;&lt;record&gt;&lt;rec-number&gt;51&lt;/rec-number&gt;&lt;foreign-keys&gt;&lt;key app="EN" db-id="0992p2ztn5fez9e2wvnpw2xstd20f9w2dezz" timestamp="1586818281"&gt;51&lt;/key&gt;&lt;/foreign-keys&gt;&lt;ref-type name="Journal Article"&gt;17&lt;/ref-type&gt;&lt;contributors&gt;&lt;authors&gt;&lt;author&gt;Nobile-Orazio, E.&lt;/author&gt;&lt;author&gt;Meucci, N.&lt;/author&gt;&lt;author&gt;Barbieri, S.&lt;/author&gt;&lt;author&gt;Carpo, M.&lt;/author&gt;&lt;author&gt;Scarlato, G.&lt;/author&gt;&lt;/authors&gt;&lt;/contributors&gt;&lt;auth-address&gt;Institute of Clinical Neurology, Centro Dino Ferrari, University of Milan, Ospedale Maggiore-Policlinico, Italy.&lt;/auth-address&gt;&lt;titles&gt;&lt;title&gt;High-dose intravenous immunoglobulin therapy in multifocal motor neuropathy&lt;/title&gt;&lt;secondary-title&gt;Neurology&lt;/secondary-title&gt;&lt;/titles&gt;&lt;periodical&gt;&lt;full-title&gt;Neurology&lt;/full-title&gt;&lt;/periodical&gt;&lt;pages&gt;537-44&lt;/pages&gt;&lt;volume&gt;43&lt;/volume&gt;&lt;number&gt;3 Pt 1&lt;/number&gt;&lt;keywords&gt;&lt;keyword&gt;Adult&lt;/keyword&gt;&lt;keyword&gt;Autoantibodies/analysis&lt;/keyword&gt;&lt;keyword&gt;Female&lt;/keyword&gt;&lt;keyword&gt;G(M1) Ganglioside/analysis/immunology&lt;/keyword&gt;&lt;keyword&gt;Humans&lt;/keyword&gt;&lt;keyword&gt;Immunoglobulin M/analysis&lt;/keyword&gt;&lt;keyword&gt;Immunoglobulins, Intravenous/ administration &amp;amp; dosage&lt;/keyword&gt;&lt;keyword&gt;Male&lt;/keyword&gt;&lt;keyword&gt;Middle Aged&lt;/keyword&gt;&lt;keyword&gt;Motor Neuron Disease/blood/immunology/physiopathology/ therapy&lt;/keyword&gt;&lt;keyword&gt;Neural Conduction&lt;/keyword&gt;&lt;/keywords&gt;&lt;dates&gt;&lt;year&gt;1993&lt;/year&gt;&lt;pub-dates&gt;&lt;date&gt;Mar&lt;/date&gt;&lt;/pub-dates&gt;&lt;/dates&gt;&lt;accession-num&gt;8450997&lt;/accession-num&gt;&lt;urls&gt;&lt;/urls&gt;&lt;research-notes&gt;B. 5 patients with MMN&lt;/research-notes&gt;&lt;/record&gt;&lt;/Cite&gt;&lt;/EndNote&gt;</w:instrText>
            </w:r>
            <w:r w:rsidR="00DB568A" w:rsidRPr="00DA3C6E">
              <w:rPr>
                <w:rFonts w:ascii="Arial Narrow" w:hAnsi="Arial Narrow" w:cs="Calibri"/>
                <w:color w:val="000000"/>
                <w:sz w:val="20"/>
                <w:szCs w:val="20"/>
              </w:rPr>
              <w:fldChar w:fldCharType="separate"/>
            </w:r>
            <w:r w:rsidR="00DB568A" w:rsidRPr="00DA3C6E">
              <w:rPr>
                <w:rFonts w:ascii="Arial Narrow" w:hAnsi="Arial Narrow" w:cs="Calibri"/>
                <w:noProof/>
                <w:color w:val="000000"/>
                <w:sz w:val="20"/>
                <w:szCs w:val="20"/>
              </w:rPr>
              <w:t>(</w:t>
            </w:r>
            <w:hyperlink w:anchor="_ENREF_36" w:tooltip="Nobile-Orazio, 1993 #51" w:history="1">
              <w:r w:rsidR="00C04BCE" w:rsidRPr="00DA3C6E">
                <w:rPr>
                  <w:rFonts w:ascii="Arial Narrow" w:hAnsi="Arial Narrow" w:cs="Calibri"/>
                  <w:noProof/>
                  <w:color w:val="000000"/>
                  <w:sz w:val="20"/>
                  <w:szCs w:val="20"/>
                </w:rPr>
                <w:t>36</w:t>
              </w:r>
            </w:hyperlink>
            <w:r w:rsidR="00DB568A" w:rsidRPr="00DA3C6E">
              <w:rPr>
                <w:rFonts w:ascii="Arial Narrow" w:hAnsi="Arial Narrow" w:cs="Calibri"/>
                <w:noProof/>
                <w:color w:val="000000"/>
                <w:sz w:val="20"/>
                <w:szCs w:val="20"/>
              </w:rPr>
              <w:t>)</w:t>
            </w:r>
            <w:r w:rsidR="00DB568A" w:rsidRPr="00DA3C6E">
              <w:rPr>
                <w:rFonts w:ascii="Arial Narrow" w:hAnsi="Arial Narrow" w:cs="Calibri"/>
                <w:color w:val="000000"/>
                <w:sz w:val="20"/>
                <w:szCs w:val="20"/>
              </w:rPr>
              <w:fldChar w:fldCharType="end"/>
            </w:r>
          </w:p>
          <w:p w14:paraId="460F0171"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48B73447" w14:textId="77777777" w:rsidR="000B06F3" w:rsidRPr="00DA3C6E" w:rsidRDefault="000B06F3" w:rsidP="008A5F97">
            <w:pPr>
              <w:pStyle w:val="Tabletext1"/>
              <w:jc w:val="left"/>
            </w:pPr>
            <w:r w:rsidRPr="00DA3C6E">
              <w:t>Prospective, open, uncontrolled trial</w:t>
            </w:r>
          </w:p>
          <w:p w14:paraId="375D54AC" w14:textId="77777777" w:rsidR="000B06F3" w:rsidRPr="00DA3C6E" w:rsidRDefault="000B06F3" w:rsidP="008A5F97">
            <w:pPr>
              <w:pStyle w:val="Tabletext1"/>
              <w:jc w:val="left"/>
            </w:pPr>
          </w:p>
        </w:tc>
        <w:tc>
          <w:tcPr>
            <w:tcW w:w="1259" w:type="dxa"/>
            <w:tcBorders>
              <w:top w:val="single" w:sz="4" w:space="0" w:color="auto"/>
              <w:left w:val="single" w:sz="4" w:space="0" w:color="auto"/>
              <w:right w:val="single" w:sz="4" w:space="0" w:color="auto"/>
            </w:tcBorders>
          </w:tcPr>
          <w:p w14:paraId="12860BE6"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3B833FFC" w14:textId="77777777" w:rsidR="000B06F3" w:rsidRPr="00DA3C6E" w:rsidRDefault="000B06F3" w:rsidP="008A5F97">
            <w:pPr>
              <w:pStyle w:val="Tabletext1"/>
              <w:jc w:val="left"/>
            </w:pPr>
            <w:r w:rsidRPr="00DA3C6E">
              <w:t>Chronic or stepwise progressive</w:t>
            </w:r>
          </w:p>
          <w:p w14:paraId="353A80B0" w14:textId="77777777" w:rsidR="000B06F3" w:rsidRPr="00DA3C6E" w:rsidRDefault="000B06F3" w:rsidP="008A5F97">
            <w:pPr>
              <w:pStyle w:val="Tabletext1"/>
              <w:jc w:val="left"/>
            </w:pPr>
            <w:r w:rsidRPr="00DA3C6E">
              <w:t>asymmetric limb weakness with a multineuropathic distribution</w:t>
            </w:r>
          </w:p>
          <w:p w14:paraId="4383192B" w14:textId="37A8F440" w:rsidR="000B06F3" w:rsidRPr="00DA3C6E" w:rsidRDefault="000B06F3" w:rsidP="003A3CAF">
            <w:pPr>
              <w:pStyle w:val="Tabletext1"/>
              <w:jc w:val="left"/>
            </w:pPr>
            <w:r w:rsidRPr="00DA3C6E">
              <w:t>affecting the muscles of at least two distinct motor nerves</w:t>
            </w:r>
            <w:r w:rsidR="003A3CAF">
              <w:t xml:space="preserve"> </w:t>
            </w:r>
            <w:r w:rsidRPr="00DA3C6E">
              <w:t>and lasting at least two months; and  minimal or no</w:t>
            </w:r>
            <w:r w:rsidR="00F92DC9" w:rsidRPr="00DA3C6E">
              <w:t xml:space="preserve"> </w:t>
            </w:r>
            <w:r w:rsidRPr="00DA3C6E">
              <w:t>sensory loss or symptoms and absence of clinical signs of upper motor neurone involvement.</w:t>
            </w:r>
          </w:p>
        </w:tc>
        <w:tc>
          <w:tcPr>
            <w:tcW w:w="1621" w:type="dxa"/>
            <w:tcBorders>
              <w:top w:val="single" w:sz="4" w:space="0" w:color="auto"/>
              <w:left w:val="single" w:sz="4" w:space="0" w:color="auto"/>
              <w:right w:val="single" w:sz="4" w:space="0" w:color="auto"/>
            </w:tcBorders>
          </w:tcPr>
          <w:p w14:paraId="17695659" w14:textId="77777777" w:rsidR="000B06F3" w:rsidRPr="00DA3C6E" w:rsidRDefault="000B06F3" w:rsidP="008A5F97">
            <w:pPr>
              <w:pStyle w:val="Tabletext1"/>
              <w:jc w:val="left"/>
            </w:pPr>
            <w:r w:rsidRPr="00DA3C6E">
              <w:t>23 patients with MMN;</w:t>
            </w:r>
          </w:p>
          <w:p w14:paraId="3F225200" w14:textId="77777777" w:rsidR="000B06F3" w:rsidRPr="00DA3C6E" w:rsidRDefault="000B06F3" w:rsidP="008A5F97">
            <w:pPr>
              <w:pStyle w:val="Tabletext1"/>
              <w:jc w:val="left"/>
            </w:pPr>
            <w:r w:rsidRPr="00DA3C6E">
              <w:t xml:space="preserve">Mean age: 39.4 years </w:t>
            </w:r>
          </w:p>
        </w:tc>
        <w:tc>
          <w:tcPr>
            <w:tcW w:w="1813" w:type="dxa"/>
            <w:tcBorders>
              <w:top w:val="single" w:sz="4" w:space="0" w:color="auto"/>
              <w:left w:val="single" w:sz="4" w:space="0" w:color="auto"/>
              <w:right w:val="single" w:sz="4" w:space="0" w:color="auto"/>
            </w:tcBorders>
          </w:tcPr>
          <w:p w14:paraId="22B09049" w14:textId="77777777" w:rsidR="000B06F3" w:rsidRPr="00DA3C6E" w:rsidRDefault="000B06F3" w:rsidP="008A5F97">
            <w:pPr>
              <w:pStyle w:val="Tabletext1"/>
              <w:jc w:val="left"/>
            </w:pPr>
            <w:r w:rsidRPr="00DA3C6E">
              <w:t>Intravenous Ig for 6 to 12 months: 0.4 g</w:t>
            </w:r>
            <w:r w:rsidR="00F92DC9" w:rsidRPr="00DA3C6E">
              <w:t>/</w:t>
            </w:r>
            <w:r w:rsidRPr="00DA3C6E">
              <w:t>kg, for 5 consecutive days. No additional therapy was given to patients</w:t>
            </w:r>
            <w:r w:rsidR="00F92DC9" w:rsidRPr="00DA3C6E">
              <w:t xml:space="preserve"> </w:t>
            </w:r>
            <w:r w:rsidRPr="00DA3C6E">
              <w:t>during the first 3 to 5 months. Afterward, oral cyclophosphamide</w:t>
            </w:r>
          </w:p>
          <w:p w14:paraId="6A9C0287" w14:textId="77777777" w:rsidR="000B06F3" w:rsidRPr="00DA3C6E" w:rsidRDefault="000B06F3" w:rsidP="008A5F97">
            <w:pPr>
              <w:pStyle w:val="Tabletext1"/>
              <w:jc w:val="left"/>
            </w:pPr>
            <w:r w:rsidRPr="00DA3C6E">
              <w:t>(1.5 to 3 mgikgld) was added in two patients</w:t>
            </w:r>
          </w:p>
          <w:p w14:paraId="7E19F637" w14:textId="77777777" w:rsidR="000B06F3" w:rsidRPr="00DA3C6E" w:rsidRDefault="000B06F3" w:rsidP="008A5F97">
            <w:pPr>
              <w:pStyle w:val="Tabletext1"/>
              <w:jc w:val="left"/>
            </w:pPr>
            <w:r w:rsidRPr="00DA3C6E">
              <w:lastRenderedPageBreak/>
              <w:t>(nos. 1 and 2) in order to reduce the frequency of maintenance</w:t>
            </w:r>
          </w:p>
          <w:p w14:paraId="4507A1E1" w14:textId="77777777" w:rsidR="000B06F3" w:rsidRPr="00DA3C6E" w:rsidRDefault="000B06F3" w:rsidP="008A5F97">
            <w:pPr>
              <w:pStyle w:val="Tabletext1"/>
              <w:jc w:val="left"/>
            </w:pPr>
            <w:r w:rsidRPr="00DA3C6E">
              <w:t xml:space="preserve">Intravenous Ig infusions. </w:t>
            </w:r>
          </w:p>
        </w:tc>
        <w:tc>
          <w:tcPr>
            <w:tcW w:w="1781" w:type="dxa"/>
            <w:tcBorders>
              <w:top w:val="single" w:sz="4" w:space="0" w:color="auto"/>
              <w:left w:val="single" w:sz="4" w:space="0" w:color="auto"/>
              <w:right w:val="single" w:sz="4" w:space="0" w:color="auto"/>
            </w:tcBorders>
          </w:tcPr>
          <w:p w14:paraId="50D9FEFE" w14:textId="77777777" w:rsidR="000B06F3" w:rsidRPr="00DA3C6E" w:rsidRDefault="000B06F3" w:rsidP="008A5F97">
            <w:pPr>
              <w:pStyle w:val="Tabletext1"/>
              <w:jc w:val="left"/>
            </w:pPr>
            <w:r w:rsidRPr="00DA3C6E">
              <w:lastRenderedPageBreak/>
              <w:t xml:space="preserve">Improvement in disability </w:t>
            </w:r>
          </w:p>
          <w:p w14:paraId="56183056" w14:textId="77777777" w:rsidR="000B06F3" w:rsidRPr="00DA3C6E" w:rsidRDefault="000B06F3" w:rsidP="008A5F97">
            <w:pPr>
              <w:pStyle w:val="Tabletext1"/>
              <w:jc w:val="left"/>
            </w:pPr>
          </w:p>
          <w:p w14:paraId="790339D1"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0BCDFA52"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MRDS</w:t>
            </w:r>
          </w:p>
          <w:p w14:paraId="7808C4C6" w14:textId="77777777" w:rsidR="000B06F3" w:rsidRPr="00DA3C6E" w:rsidRDefault="000B06F3" w:rsidP="008A5F97">
            <w:pPr>
              <w:pStyle w:val="Tabletext1"/>
              <w:ind w:left="34"/>
              <w:jc w:val="left"/>
            </w:pPr>
          </w:p>
          <w:p w14:paraId="0371C77C" w14:textId="77777777" w:rsidR="000B06F3" w:rsidRPr="00DA3C6E" w:rsidRDefault="000B06F3" w:rsidP="008A5F97">
            <w:pPr>
              <w:pStyle w:val="Tabletext1"/>
              <w:ind w:left="34"/>
              <w:jc w:val="left"/>
            </w:pPr>
          </w:p>
          <w:p w14:paraId="3EFE94B9" w14:textId="77777777" w:rsidR="000B06F3" w:rsidRPr="00DA3C6E" w:rsidRDefault="000B06F3" w:rsidP="008A5F97">
            <w:pPr>
              <w:pStyle w:val="Tabletext1"/>
              <w:ind w:left="34"/>
              <w:jc w:val="left"/>
            </w:pPr>
          </w:p>
          <w:p w14:paraId="479C4B48" w14:textId="77777777" w:rsidR="000B06F3" w:rsidRPr="00DA3C6E" w:rsidRDefault="000B06F3" w:rsidP="008A5F97">
            <w:pPr>
              <w:pStyle w:val="Tabletext1"/>
              <w:ind w:left="34"/>
              <w:jc w:val="left"/>
            </w:pPr>
          </w:p>
        </w:tc>
      </w:tr>
      <w:tr w:rsidR="007C7E04" w:rsidRPr="00DA3C6E" w14:paraId="5617B525" w14:textId="77777777" w:rsidTr="006A5E97">
        <w:trPr>
          <w:trHeight w:val="13"/>
        </w:trPr>
        <w:tc>
          <w:tcPr>
            <w:tcW w:w="1424" w:type="dxa"/>
            <w:tcBorders>
              <w:left w:val="single" w:sz="4" w:space="0" w:color="auto"/>
              <w:right w:val="single" w:sz="4" w:space="0" w:color="auto"/>
            </w:tcBorders>
          </w:tcPr>
          <w:p w14:paraId="089DD077" w14:textId="77777777" w:rsidR="000B06F3" w:rsidRPr="00DA3C6E" w:rsidRDefault="000B06F3" w:rsidP="00136334">
            <w:pPr>
              <w:spacing w:after="0" w:line="240" w:lineRule="auto"/>
              <w:rPr>
                <w:rFonts w:ascii="Arial Narrow" w:hAnsi="Arial Narrow" w:cs="Calibri"/>
                <w:color w:val="000000"/>
                <w:sz w:val="20"/>
                <w:szCs w:val="20"/>
              </w:rPr>
            </w:pPr>
          </w:p>
        </w:tc>
        <w:tc>
          <w:tcPr>
            <w:tcW w:w="1787" w:type="dxa"/>
            <w:tcBorders>
              <w:left w:val="single" w:sz="4" w:space="0" w:color="auto"/>
              <w:right w:val="single" w:sz="4" w:space="0" w:color="auto"/>
            </w:tcBorders>
          </w:tcPr>
          <w:p w14:paraId="29531F00" w14:textId="77777777" w:rsidR="000B06F3" w:rsidRPr="00DA3C6E" w:rsidRDefault="000B06F3" w:rsidP="00136334">
            <w:pPr>
              <w:pStyle w:val="Tabletext1"/>
            </w:pPr>
          </w:p>
        </w:tc>
        <w:tc>
          <w:tcPr>
            <w:tcW w:w="1259" w:type="dxa"/>
            <w:tcBorders>
              <w:left w:val="single" w:sz="4" w:space="0" w:color="auto"/>
              <w:right w:val="single" w:sz="4" w:space="0" w:color="auto"/>
            </w:tcBorders>
          </w:tcPr>
          <w:p w14:paraId="74D91E8F" w14:textId="77777777" w:rsidR="000B06F3" w:rsidRPr="00DA3C6E" w:rsidRDefault="000B06F3" w:rsidP="00136334">
            <w:pPr>
              <w:pStyle w:val="Tabletext1"/>
            </w:pPr>
          </w:p>
        </w:tc>
        <w:tc>
          <w:tcPr>
            <w:tcW w:w="1812" w:type="dxa"/>
            <w:tcBorders>
              <w:left w:val="single" w:sz="4" w:space="0" w:color="auto"/>
              <w:right w:val="single" w:sz="4" w:space="0" w:color="auto"/>
            </w:tcBorders>
          </w:tcPr>
          <w:p w14:paraId="487652CD" w14:textId="77777777" w:rsidR="000B06F3" w:rsidRPr="00DA3C6E" w:rsidRDefault="000B06F3" w:rsidP="00136334">
            <w:pPr>
              <w:pStyle w:val="Tabletext1"/>
            </w:pPr>
          </w:p>
        </w:tc>
        <w:tc>
          <w:tcPr>
            <w:tcW w:w="1621" w:type="dxa"/>
            <w:tcBorders>
              <w:left w:val="single" w:sz="4" w:space="0" w:color="auto"/>
              <w:right w:val="single" w:sz="4" w:space="0" w:color="auto"/>
            </w:tcBorders>
          </w:tcPr>
          <w:p w14:paraId="7E53703D" w14:textId="77777777" w:rsidR="000B06F3" w:rsidRPr="00DA3C6E" w:rsidRDefault="000B06F3" w:rsidP="00136334">
            <w:pPr>
              <w:pStyle w:val="Tabletext1"/>
            </w:pPr>
          </w:p>
        </w:tc>
        <w:tc>
          <w:tcPr>
            <w:tcW w:w="1813" w:type="dxa"/>
            <w:tcBorders>
              <w:left w:val="single" w:sz="4" w:space="0" w:color="auto"/>
              <w:right w:val="single" w:sz="4" w:space="0" w:color="auto"/>
            </w:tcBorders>
          </w:tcPr>
          <w:p w14:paraId="6205D855" w14:textId="77777777" w:rsidR="000B06F3" w:rsidRPr="00DA3C6E" w:rsidRDefault="000B06F3" w:rsidP="00136334">
            <w:pPr>
              <w:pStyle w:val="Tabletext1"/>
            </w:pPr>
          </w:p>
        </w:tc>
        <w:tc>
          <w:tcPr>
            <w:tcW w:w="1781" w:type="dxa"/>
            <w:tcBorders>
              <w:left w:val="single" w:sz="4" w:space="0" w:color="auto"/>
              <w:right w:val="single" w:sz="4" w:space="0" w:color="auto"/>
            </w:tcBorders>
          </w:tcPr>
          <w:p w14:paraId="15491E9B" w14:textId="77777777" w:rsidR="000B06F3" w:rsidRPr="00DA3C6E" w:rsidRDefault="000B06F3" w:rsidP="008A5F97">
            <w:pPr>
              <w:pStyle w:val="Tabletext1"/>
              <w:jc w:val="left"/>
            </w:pPr>
            <w:r w:rsidRPr="00DA3C6E">
              <w:t>Improvement in muscle strength</w:t>
            </w:r>
          </w:p>
          <w:p w14:paraId="3127DF1A"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61A6A429" w14:textId="77777777" w:rsidR="000B06F3" w:rsidRPr="00DA3C6E" w:rsidRDefault="000B06F3" w:rsidP="008A5F97">
            <w:pPr>
              <w:pStyle w:val="Tabletext1"/>
              <w:ind w:left="34"/>
              <w:jc w:val="left"/>
            </w:pPr>
            <w:r w:rsidRPr="00DA3C6E">
              <w:t>MRC</w:t>
            </w:r>
          </w:p>
          <w:p w14:paraId="50F4B02E" w14:textId="77777777" w:rsidR="000B06F3" w:rsidRPr="00DA3C6E" w:rsidRDefault="000B06F3" w:rsidP="008A5F97">
            <w:pPr>
              <w:spacing w:after="0" w:line="240" w:lineRule="auto"/>
              <w:jc w:val="left"/>
              <w:rPr>
                <w:rFonts w:ascii="Arial Narrow" w:hAnsi="Arial Narrow" w:cs="Calibri"/>
                <w:color w:val="000000"/>
                <w:sz w:val="20"/>
                <w:szCs w:val="20"/>
              </w:rPr>
            </w:pPr>
          </w:p>
        </w:tc>
      </w:tr>
      <w:tr w:rsidR="007C7E04" w:rsidRPr="00DA3C6E" w14:paraId="69AF915B" w14:textId="77777777" w:rsidTr="006A5E97">
        <w:trPr>
          <w:trHeight w:val="13"/>
        </w:trPr>
        <w:tc>
          <w:tcPr>
            <w:tcW w:w="1424" w:type="dxa"/>
            <w:tcBorders>
              <w:left w:val="single" w:sz="4" w:space="0" w:color="auto"/>
              <w:right w:val="single" w:sz="4" w:space="0" w:color="auto"/>
            </w:tcBorders>
          </w:tcPr>
          <w:p w14:paraId="668D1D83" w14:textId="77777777" w:rsidR="000B06F3" w:rsidRPr="00DA3C6E" w:rsidRDefault="000B06F3" w:rsidP="00136334">
            <w:pPr>
              <w:spacing w:after="0" w:line="240" w:lineRule="auto"/>
              <w:rPr>
                <w:rFonts w:ascii="Arial Narrow" w:hAnsi="Arial Narrow" w:cs="Calibri"/>
                <w:color w:val="000000"/>
                <w:sz w:val="20"/>
                <w:szCs w:val="20"/>
              </w:rPr>
            </w:pPr>
          </w:p>
        </w:tc>
        <w:tc>
          <w:tcPr>
            <w:tcW w:w="1787" w:type="dxa"/>
            <w:tcBorders>
              <w:left w:val="single" w:sz="4" w:space="0" w:color="auto"/>
              <w:right w:val="single" w:sz="4" w:space="0" w:color="auto"/>
            </w:tcBorders>
          </w:tcPr>
          <w:p w14:paraId="4EB218F5" w14:textId="77777777" w:rsidR="000B06F3" w:rsidRPr="00DA3C6E" w:rsidRDefault="000B06F3" w:rsidP="00136334">
            <w:pPr>
              <w:pStyle w:val="Tabletext1"/>
            </w:pPr>
          </w:p>
        </w:tc>
        <w:tc>
          <w:tcPr>
            <w:tcW w:w="1259" w:type="dxa"/>
            <w:tcBorders>
              <w:left w:val="single" w:sz="4" w:space="0" w:color="auto"/>
              <w:right w:val="single" w:sz="4" w:space="0" w:color="auto"/>
            </w:tcBorders>
          </w:tcPr>
          <w:p w14:paraId="21745E33" w14:textId="77777777" w:rsidR="000B06F3" w:rsidRPr="00DA3C6E" w:rsidRDefault="000B06F3" w:rsidP="00136334">
            <w:pPr>
              <w:pStyle w:val="Tabletext1"/>
            </w:pPr>
          </w:p>
        </w:tc>
        <w:tc>
          <w:tcPr>
            <w:tcW w:w="1812" w:type="dxa"/>
            <w:tcBorders>
              <w:left w:val="single" w:sz="4" w:space="0" w:color="auto"/>
              <w:right w:val="single" w:sz="4" w:space="0" w:color="auto"/>
            </w:tcBorders>
          </w:tcPr>
          <w:p w14:paraId="084E9349" w14:textId="77777777" w:rsidR="000B06F3" w:rsidRPr="00DA3C6E" w:rsidRDefault="000B06F3" w:rsidP="00136334">
            <w:pPr>
              <w:pStyle w:val="Tabletext1"/>
            </w:pPr>
          </w:p>
        </w:tc>
        <w:tc>
          <w:tcPr>
            <w:tcW w:w="1621" w:type="dxa"/>
            <w:tcBorders>
              <w:left w:val="single" w:sz="4" w:space="0" w:color="auto"/>
              <w:right w:val="single" w:sz="4" w:space="0" w:color="auto"/>
            </w:tcBorders>
          </w:tcPr>
          <w:p w14:paraId="4975194E" w14:textId="77777777" w:rsidR="000B06F3" w:rsidRPr="00DA3C6E" w:rsidRDefault="000B06F3" w:rsidP="00136334">
            <w:pPr>
              <w:pStyle w:val="Tabletext1"/>
            </w:pPr>
          </w:p>
        </w:tc>
        <w:tc>
          <w:tcPr>
            <w:tcW w:w="1813" w:type="dxa"/>
            <w:tcBorders>
              <w:left w:val="single" w:sz="4" w:space="0" w:color="auto"/>
              <w:right w:val="single" w:sz="4" w:space="0" w:color="auto"/>
            </w:tcBorders>
          </w:tcPr>
          <w:p w14:paraId="2C58B19C" w14:textId="77777777" w:rsidR="000B06F3" w:rsidRPr="00DA3C6E" w:rsidRDefault="000B06F3" w:rsidP="00136334">
            <w:pPr>
              <w:pStyle w:val="Tabletext1"/>
            </w:pPr>
          </w:p>
        </w:tc>
        <w:tc>
          <w:tcPr>
            <w:tcW w:w="1781" w:type="dxa"/>
            <w:tcBorders>
              <w:left w:val="single" w:sz="4" w:space="0" w:color="auto"/>
              <w:right w:val="single" w:sz="4" w:space="0" w:color="auto"/>
            </w:tcBorders>
          </w:tcPr>
          <w:p w14:paraId="61A27334"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302A814F"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sz w:val="20"/>
                <w:szCs w:val="20"/>
              </w:rPr>
              <w:t>Electrodiagnostic studies; CMAP</w:t>
            </w:r>
          </w:p>
        </w:tc>
      </w:tr>
      <w:tr w:rsidR="007C7E04" w:rsidRPr="00DA3C6E" w14:paraId="20181D4F" w14:textId="77777777" w:rsidTr="006A5E97">
        <w:trPr>
          <w:trHeight w:val="13"/>
        </w:trPr>
        <w:tc>
          <w:tcPr>
            <w:tcW w:w="1424" w:type="dxa"/>
            <w:tcBorders>
              <w:left w:val="single" w:sz="4" w:space="0" w:color="auto"/>
              <w:bottom w:val="single" w:sz="4" w:space="0" w:color="auto"/>
              <w:right w:val="single" w:sz="4" w:space="0" w:color="auto"/>
            </w:tcBorders>
          </w:tcPr>
          <w:p w14:paraId="0F685236" w14:textId="77777777" w:rsidR="000B06F3" w:rsidRPr="00DA3C6E" w:rsidRDefault="000B06F3" w:rsidP="00136334">
            <w:pPr>
              <w:spacing w:after="0" w:line="240" w:lineRule="auto"/>
              <w:rPr>
                <w:rFonts w:ascii="Arial Narrow" w:hAnsi="Arial Narrow" w:cs="Calibri"/>
                <w:color w:val="000000"/>
                <w:sz w:val="20"/>
                <w:szCs w:val="20"/>
              </w:rPr>
            </w:pPr>
          </w:p>
        </w:tc>
        <w:tc>
          <w:tcPr>
            <w:tcW w:w="1787" w:type="dxa"/>
            <w:tcBorders>
              <w:left w:val="single" w:sz="4" w:space="0" w:color="auto"/>
              <w:bottom w:val="single" w:sz="4" w:space="0" w:color="auto"/>
              <w:right w:val="single" w:sz="4" w:space="0" w:color="auto"/>
            </w:tcBorders>
          </w:tcPr>
          <w:p w14:paraId="3026A8A7" w14:textId="77777777" w:rsidR="000B06F3" w:rsidRPr="00DA3C6E" w:rsidRDefault="000B06F3" w:rsidP="00136334">
            <w:pPr>
              <w:pStyle w:val="Tabletext1"/>
            </w:pPr>
          </w:p>
        </w:tc>
        <w:tc>
          <w:tcPr>
            <w:tcW w:w="1259" w:type="dxa"/>
            <w:tcBorders>
              <w:left w:val="single" w:sz="4" w:space="0" w:color="auto"/>
              <w:bottom w:val="single" w:sz="4" w:space="0" w:color="auto"/>
              <w:right w:val="single" w:sz="4" w:space="0" w:color="auto"/>
            </w:tcBorders>
          </w:tcPr>
          <w:p w14:paraId="5620C9A3" w14:textId="77777777" w:rsidR="000B06F3" w:rsidRPr="00DA3C6E" w:rsidRDefault="000B06F3" w:rsidP="00136334">
            <w:pPr>
              <w:pStyle w:val="Tabletext1"/>
            </w:pPr>
          </w:p>
        </w:tc>
        <w:tc>
          <w:tcPr>
            <w:tcW w:w="1812" w:type="dxa"/>
            <w:tcBorders>
              <w:left w:val="single" w:sz="4" w:space="0" w:color="auto"/>
              <w:bottom w:val="single" w:sz="4" w:space="0" w:color="auto"/>
              <w:right w:val="single" w:sz="4" w:space="0" w:color="auto"/>
            </w:tcBorders>
          </w:tcPr>
          <w:p w14:paraId="42E44A2E" w14:textId="77777777" w:rsidR="000B06F3" w:rsidRPr="00DA3C6E" w:rsidRDefault="000B06F3" w:rsidP="00136334">
            <w:pPr>
              <w:pStyle w:val="Tabletext1"/>
            </w:pPr>
          </w:p>
        </w:tc>
        <w:tc>
          <w:tcPr>
            <w:tcW w:w="1621" w:type="dxa"/>
            <w:tcBorders>
              <w:left w:val="single" w:sz="4" w:space="0" w:color="auto"/>
              <w:bottom w:val="single" w:sz="4" w:space="0" w:color="auto"/>
              <w:right w:val="single" w:sz="4" w:space="0" w:color="auto"/>
            </w:tcBorders>
          </w:tcPr>
          <w:p w14:paraId="4AFEA9FE" w14:textId="77777777" w:rsidR="000B06F3" w:rsidRPr="00DA3C6E" w:rsidRDefault="000B06F3" w:rsidP="00136334">
            <w:pPr>
              <w:pStyle w:val="Tabletext1"/>
            </w:pPr>
          </w:p>
        </w:tc>
        <w:tc>
          <w:tcPr>
            <w:tcW w:w="1813" w:type="dxa"/>
            <w:tcBorders>
              <w:left w:val="single" w:sz="4" w:space="0" w:color="auto"/>
              <w:bottom w:val="single" w:sz="4" w:space="0" w:color="auto"/>
              <w:right w:val="single" w:sz="4" w:space="0" w:color="auto"/>
            </w:tcBorders>
          </w:tcPr>
          <w:p w14:paraId="26CC429A" w14:textId="77777777" w:rsidR="000B06F3" w:rsidRPr="00DA3C6E" w:rsidRDefault="000B06F3" w:rsidP="00136334">
            <w:pPr>
              <w:pStyle w:val="Tabletext1"/>
            </w:pPr>
          </w:p>
        </w:tc>
        <w:tc>
          <w:tcPr>
            <w:tcW w:w="1781" w:type="dxa"/>
            <w:tcBorders>
              <w:left w:val="single" w:sz="4" w:space="0" w:color="auto"/>
              <w:bottom w:val="single" w:sz="4" w:space="0" w:color="auto"/>
              <w:right w:val="single" w:sz="4" w:space="0" w:color="auto"/>
            </w:tcBorders>
          </w:tcPr>
          <w:p w14:paraId="0523D2CF"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4A5AFFE7" w14:textId="77777777" w:rsidR="000B06F3" w:rsidRPr="00DA3C6E" w:rsidRDefault="000B06F3" w:rsidP="008A5F97">
            <w:pPr>
              <w:spacing w:after="0" w:line="240" w:lineRule="auto"/>
              <w:jc w:val="left"/>
            </w:pPr>
          </w:p>
        </w:tc>
      </w:tr>
      <w:tr w:rsidR="007C7E04" w:rsidRPr="00DA3C6E" w14:paraId="70F854A4" w14:textId="77777777" w:rsidTr="006A5E97">
        <w:trPr>
          <w:trHeight w:val="2234"/>
        </w:trPr>
        <w:tc>
          <w:tcPr>
            <w:tcW w:w="1424" w:type="dxa"/>
            <w:tcBorders>
              <w:top w:val="single" w:sz="4" w:space="0" w:color="auto"/>
              <w:left w:val="single" w:sz="4" w:space="0" w:color="auto"/>
              <w:right w:val="single" w:sz="4" w:space="0" w:color="auto"/>
            </w:tcBorders>
          </w:tcPr>
          <w:p w14:paraId="582911C0" w14:textId="465F07BB" w:rsidR="000B06F3" w:rsidRPr="00DA3C6E" w:rsidRDefault="000B06F3" w:rsidP="00C04BCE">
            <w:pPr>
              <w:pStyle w:val="Tabletext1"/>
              <w:jc w:val="left"/>
            </w:pPr>
            <w:r w:rsidRPr="00DA3C6E">
              <w:t xml:space="preserve">Comi et </w:t>
            </w:r>
            <w:r w:rsidR="003C5E4A">
              <w:t>a</w:t>
            </w:r>
            <w:r w:rsidRPr="00DA3C6E">
              <w:t>l.</w:t>
            </w:r>
            <w:r w:rsidR="003C5E4A">
              <w:t xml:space="preserve"> </w:t>
            </w:r>
            <w:r w:rsidRPr="00DA3C6E">
              <w:t>1994</w:t>
            </w:r>
            <w:r w:rsidR="000E614C">
              <w:t xml:space="preserve"> </w:t>
            </w:r>
            <w:r w:rsidR="00DB568A" w:rsidRPr="00DA3C6E">
              <w:fldChar w:fldCharType="begin">
                <w:fldData xml:space="preserve">PEVuZE5vdGU+PENpdGU+PEF1dGhvcj5Db21pPC9BdXRob3I+PFllYXI+MTk5NDwvWWVhcj48UmVj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==
</w:fldData>
              </w:fldChar>
            </w:r>
            <w:r w:rsidR="007810D6">
              <w:instrText xml:space="preserve"> ADDIN EN.CITE </w:instrText>
            </w:r>
            <w:r w:rsidR="007810D6">
              <w:fldChar w:fldCharType="begin">
                <w:fldData xml:space="preserve">PEVuZE5vdGU+PENpdGU+PEF1dGhvcj5Db21pPC9BdXRob3I+PFllYXI+MTk5NDwvWWVhcj48UmVj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==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69" w:tooltip="Comi, 1994 #16" w:history="1">
              <w:r w:rsidR="00C04BCE">
                <w:rPr>
                  <w:noProof/>
                </w:rPr>
                <w:t>69</w:t>
              </w:r>
            </w:hyperlink>
            <w:r w:rsidR="007810D6">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3A9AD97A" w14:textId="77777777" w:rsidR="000B06F3" w:rsidRPr="00DA3C6E" w:rsidRDefault="000B06F3" w:rsidP="008A5F97">
            <w:pPr>
              <w:jc w:val="left"/>
              <w:rPr>
                <w:rFonts w:ascii="Arial Narrow" w:hAnsi="Arial Narrow"/>
                <w:sz w:val="20"/>
                <w:szCs w:val="20"/>
              </w:rPr>
            </w:pPr>
            <w:r w:rsidRPr="00DA3C6E">
              <w:rPr>
                <w:rFonts w:ascii="Arial Narrow" w:hAnsi="Arial Narrow"/>
                <w:sz w:val="20"/>
                <w:szCs w:val="20"/>
              </w:rPr>
              <w:t>Prospective, open uncontrolled trial</w:t>
            </w:r>
          </w:p>
          <w:p w14:paraId="6195F848" w14:textId="77777777" w:rsidR="000B06F3" w:rsidRPr="00DA3C6E" w:rsidRDefault="000B06F3" w:rsidP="008A5F97">
            <w:pPr>
              <w:jc w:val="left"/>
              <w:rPr>
                <w:rFonts w:ascii="Arial Narrow" w:hAnsi="Arial Narrow"/>
                <w:sz w:val="20"/>
                <w:szCs w:val="20"/>
              </w:rPr>
            </w:pPr>
          </w:p>
        </w:tc>
        <w:tc>
          <w:tcPr>
            <w:tcW w:w="1259" w:type="dxa"/>
            <w:tcBorders>
              <w:top w:val="single" w:sz="4" w:space="0" w:color="auto"/>
              <w:left w:val="single" w:sz="4" w:space="0" w:color="auto"/>
              <w:right w:val="single" w:sz="4" w:space="0" w:color="auto"/>
            </w:tcBorders>
          </w:tcPr>
          <w:p w14:paraId="5162CFA0"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56C4156D" w14:textId="77777777" w:rsidR="000B06F3" w:rsidRPr="00DA3C6E" w:rsidRDefault="000B06F3" w:rsidP="008A5F97">
            <w:pPr>
              <w:pStyle w:val="Tabletext1"/>
              <w:jc w:val="left"/>
            </w:pPr>
            <w:r w:rsidRPr="00DA3C6E">
              <w:t>Asymmetrical weakness and muscle atrophy without relevant sensory loss, which lasted for at least six months; neurological disability</w:t>
            </w:r>
          </w:p>
        </w:tc>
        <w:tc>
          <w:tcPr>
            <w:tcW w:w="1621" w:type="dxa"/>
            <w:tcBorders>
              <w:top w:val="single" w:sz="4" w:space="0" w:color="auto"/>
              <w:left w:val="single" w:sz="4" w:space="0" w:color="auto"/>
              <w:right w:val="single" w:sz="4" w:space="0" w:color="auto"/>
            </w:tcBorders>
          </w:tcPr>
          <w:p w14:paraId="3B76CA71" w14:textId="77777777" w:rsidR="000B06F3" w:rsidRPr="00DA3C6E" w:rsidRDefault="000B06F3" w:rsidP="008A5F97">
            <w:pPr>
              <w:pStyle w:val="Tabletext1"/>
              <w:jc w:val="left"/>
            </w:pPr>
            <w:r w:rsidRPr="00DA3C6E">
              <w:t>5 patients with MMN; 3 previously treated steroids,</w:t>
            </w:r>
          </w:p>
          <w:p w14:paraId="574134B4" w14:textId="77777777" w:rsidR="000B06F3" w:rsidRPr="00DA3C6E" w:rsidRDefault="000B06F3" w:rsidP="008A5F97">
            <w:pPr>
              <w:pStyle w:val="Tabletext1"/>
              <w:jc w:val="left"/>
            </w:pPr>
            <w:r w:rsidRPr="00DA3C6E">
              <w:t>plasma exchange or cyclophosphamide</w:t>
            </w:r>
          </w:p>
          <w:p w14:paraId="7B8FCD8E" w14:textId="77777777" w:rsidR="000B06F3" w:rsidRPr="00DA3C6E" w:rsidRDefault="000B06F3" w:rsidP="008A5F97">
            <w:pPr>
              <w:pStyle w:val="Tabletext1"/>
              <w:jc w:val="left"/>
            </w:pPr>
            <w:r w:rsidRPr="00DA3C6E">
              <w:t>Mean age: 39.6 years (range</w:t>
            </w:r>
          </w:p>
          <w:p w14:paraId="56CDBD91" w14:textId="77777777" w:rsidR="000B06F3" w:rsidRPr="00DA3C6E" w:rsidRDefault="000B06F3" w:rsidP="008A5F97">
            <w:pPr>
              <w:pStyle w:val="Tabletext1"/>
              <w:jc w:val="left"/>
            </w:pPr>
            <w:r w:rsidRPr="00DA3C6E">
              <w:t>23-52).</w:t>
            </w:r>
          </w:p>
          <w:p w14:paraId="2DEE3C9E" w14:textId="77777777" w:rsidR="000B06F3" w:rsidRPr="00DA3C6E" w:rsidRDefault="000B06F3" w:rsidP="008A5F97">
            <w:pPr>
              <w:pStyle w:val="Tabletext1"/>
              <w:jc w:val="left"/>
            </w:pPr>
          </w:p>
        </w:tc>
        <w:tc>
          <w:tcPr>
            <w:tcW w:w="1813" w:type="dxa"/>
            <w:tcBorders>
              <w:top w:val="single" w:sz="4" w:space="0" w:color="auto"/>
              <w:left w:val="single" w:sz="4" w:space="0" w:color="auto"/>
              <w:right w:val="single" w:sz="4" w:space="0" w:color="auto"/>
            </w:tcBorders>
          </w:tcPr>
          <w:p w14:paraId="2798442E" w14:textId="77777777" w:rsidR="000B06F3" w:rsidRPr="00DA3C6E" w:rsidRDefault="000B06F3" w:rsidP="008A5F97">
            <w:pPr>
              <w:pStyle w:val="Tabletext1"/>
              <w:jc w:val="left"/>
            </w:pPr>
            <w:r w:rsidRPr="00DA3C6E">
              <w:t>HIG 0-4 g/kg for 5 consecutive days. All patients had at least</w:t>
            </w:r>
          </w:p>
          <w:p w14:paraId="177C56D4" w14:textId="77777777" w:rsidR="000B06F3" w:rsidRPr="00DA3C6E" w:rsidRDefault="000B06F3" w:rsidP="008A5F97">
            <w:pPr>
              <w:pStyle w:val="Tabletext1"/>
              <w:jc w:val="left"/>
            </w:pPr>
            <w:r w:rsidRPr="00DA3C6E">
              <w:t>2 intravenous Ig administrations.</w:t>
            </w:r>
          </w:p>
          <w:p w14:paraId="181BCCBF" w14:textId="77777777" w:rsidR="000B06F3" w:rsidRPr="00DA3C6E" w:rsidRDefault="000B06F3" w:rsidP="008A5F97">
            <w:pPr>
              <w:pStyle w:val="Tabletext1"/>
              <w:jc w:val="left"/>
            </w:pPr>
          </w:p>
        </w:tc>
        <w:tc>
          <w:tcPr>
            <w:tcW w:w="1781" w:type="dxa"/>
            <w:tcBorders>
              <w:top w:val="single" w:sz="4" w:space="0" w:color="auto"/>
              <w:left w:val="single" w:sz="4" w:space="0" w:color="auto"/>
              <w:right w:val="single" w:sz="4" w:space="0" w:color="auto"/>
            </w:tcBorders>
          </w:tcPr>
          <w:p w14:paraId="7D8A8B08" w14:textId="77777777" w:rsidR="000B06F3" w:rsidRPr="00DA3C6E" w:rsidRDefault="000B06F3" w:rsidP="008A5F97">
            <w:pPr>
              <w:pStyle w:val="Tabletext1"/>
              <w:jc w:val="left"/>
            </w:pPr>
            <w:r w:rsidRPr="00DA3C6E">
              <w:t xml:space="preserve">Improvement in disability </w:t>
            </w:r>
          </w:p>
          <w:p w14:paraId="4704B555"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1AAD486F" w14:textId="77777777" w:rsidR="000B06F3" w:rsidRPr="00DA3C6E" w:rsidRDefault="000B06F3" w:rsidP="008A5F97">
            <w:pPr>
              <w:pStyle w:val="Tabletext1"/>
              <w:ind w:left="34"/>
              <w:jc w:val="left"/>
            </w:pPr>
            <w:r w:rsidRPr="00DA3C6E">
              <w:t>MRC</w:t>
            </w:r>
          </w:p>
          <w:p w14:paraId="04C099E7" w14:textId="77777777" w:rsidR="000B06F3" w:rsidRPr="00DA3C6E" w:rsidRDefault="000B06F3" w:rsidP="008A5F97">
            <w:pPr>
              <w:pStyle w:val="Tabletext1"/>
              <w:ind w:left="34"/>
              <w:jc w:val="left"/>
            </w:pPr>
          </w:p>
          <w:p w14:paraId="6BDCE2A5" w14:textId="77777777" w:rsidR="000B06F3" w:rsidRPr="00DA3C6E" w:rsidRDefault="000B06F3" w:rsidP="008A5F97">
            <w:pPr>
              <w:pStyle w:val="Tabletext1"/>
              <w:ind w:left="34"/>
              <w:jc w:val="left"/>
            </w:pPr>
          </w:p>
          <w:p w14:paraId="13EFC8D5" w14:textId="77777777" w:rsidR="000B06F3" w:rsidRPr="00DA3C6E" w:rsidRDefault="000B06F3" w:rsidP="008A5F97">
            <w:pPr>
              <w:pStyle w:val="Tabletext1"/>
              <w:jc w:val="left"/>
            </w:pPr>
          </w:p>
        </w:tc>
      </w:tr>
      <w:tr w:rsidR="007C7E04" w:rsidRPr="00DA3C6E" w14:paraId="74466FCD" w14:textId="77777777" w:rsidTr="006A5E97">
        <w:trPr>
          <w:trHeight w:val="319"/>
        </w:trPr>
        <w:tc>
          <w:tcPr>
            <w:tcW w:w="1424" w:type="dxa"/>
            <w:tcBorders>
              <w:left w:val="single" w:sz="4" w:space="0" w:color="auto"/>
              <w:right w:val="single" w:sz="4" w:space="0" w:color="auto"/>
            </w:tcBorders>
          </w:tcPr>
          <w:p w14:paraId="01D3F970"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3C14F9DB" w14:textId="77777777" w:rsidR="000B06F3" w:rsidRPr="00DA3C6E" w:rsidRDefault="000B06F3" w:rsidP="008A5F97">
            <w:pPr>
              <w:jc w:val="left"/>
              <w:rPr>
                <w:rFonts w:ascii="Arial Narrow" w:hAnsi="Arial Narrow"/>
                <w:sz w:val="20"/>
                <w:szCs w:val="20"/>
              </w:rPr>
            </w:pPr>
          </w:p>
        </w:tc>
        <w:tc>
          <w:tcPr>
            <w:tcW w:w="1259" w:type="dxa"/>
            <w:tcBorders>
              <w:left w:val="single" w:sz="4" w:space="0" w:color="auto"/>
              <w:right w:val="single" w:sz="4" w:space="0" w:color="auto"/>
            </w:tcBorders>
          </w:tcPr>
          <w:p w14:paraId="0BC21AEF"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308FFB2C"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1EA3913E"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0407AB3A"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35409049" w14:textId="77777777" w:rsidR="000B06F3" w:rsidRPr="00DA3C6E" w:rsidRDefault="000B06F3" w:rsidP="008A5F97">
            <w:pPr>
              <w:pStyle w:val="Tabletext1"/>
              <w:jc w:val="left"/>
            </w:pPr>
            <w:r w:rsidRPr="00DA3C6E">
              <w:t>Improvement in muscle strength</w:t>
            </w:r>
          </w:p>
          <w:p w14:paraId="08EC0D8D"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62D08335" w14:textId="77777777" w:rsidR="000B06F3" w:rsidRPr="00DA3C6E" w:rsidRDefault="000B06F3" w:rsidP="008A5F97">
            <w:pPr>
              <w:pStyle w:val="Tabletext1"/>
              <w:ind w:left="34"/>
              <w:jc w:val="left"/>
            </w:pPr>
            <w:r w:rsidRPr="00DA3C6E">
              <w:t>MRC</w:t>
            </w:r>
          </w:p>
        </w:tc>
      </w:tr>
      <w:tr w:rsidR="007C7E04" w:rsidRPr="00DA3C6E" w14:paraId="539229B0" w14:textId="77777777" w:rsidTr="006A5E97">
        <w:trPr>
          <w:trHeight w:val="319"/>
        </w:trPr>
        <w:tc>
          <w:tcPr>
            <w:tcW w:w="1424" w:type="dxa"/>
            <w:tcBorders>
              <w:left w:val="single" w:sz="4" w:space="0" w:color="auto"/>
              <w:bottom w:val="single" w:sz="4" w:space="0" w:color="auto"/>
              <w:right w:val="single" w:sz="4" w:space="0" w:color="auto"/>
            </w:tcBorders>
          </w:tcPr>
          <w:p w14:paraId="4D3C0CB9"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13C0FBC9" w14:textId="77777777" w:rsidR="000B06F3" w:rsidRPr="00DA3C6E" w:rsidRDefault="000B06F3" w:rsidP="008A5F97">
            <w:pPr>
              <w:jc w:val="left"/>
              <w:rPr>
                <w:rFonts w:ascii="Arial Narrow" w:hAnsi="Arial Narrow"/>
                <w:sz w:val="20"/>
                <w:szCs w:val="20"/>
              </w:rPr>
            </w:pPr>
          </w:p>
        </w:tc>
        <w:tc>
          <w:tcPr>
            <w:tcW w:w="1259" w:type="dxa"/>
            <w:tcBorders>
              <w:left w:val="single" w:sz="4" w:space="0" w:color="auto"/>
              <w:bottom w:val="single" w:sz="4" w:space="0" w:color="auto"/>
              <w:right w:val="single" w:sz="4" w:space="0" w:color="auto"/>
            </w:tcBorders>
          </w:tcPr>
          <w:p w14:paraId="6D881B0B"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9826AB6"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3B448961"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4F573018"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5EDCEB19"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5C340AE0" w14:textId="77777777" w:rsidR="000B06F3" w:rsidRPr="00DA3C6E" w:rsidRDefault="000B06F3" w:rsidP="008A5F97">
            <w:pPr>
              <w:pStyle w:val="Tabletext1"/>
              <w:ind w:left="34"/>
              <w:jc w:val="left"/>
            </w:pPr>
            <w:r w:rsidRPr="00DA3C6E">
              <w:t>Electrophysiological test; CMAP</w:t>
            </w:r>
          </w:p>
        </w:tc>
      </w:tr>
      <w:tr w:rsidR="007C7E04" w:rsidRPr="00DA3C6E" w14:paraId="4A522FE4" w14:textId="77777777" w:rsidTr="006A5E97">
        <w:trPr>
          <w:trHeight w:val="319"/>
        </w:trPr>
        <w:tc>
          <w:tcPr>
            <w:tcW w:w="1424" w:type="dxa"/>
            <w:tcBorders>
              <w:top w:val="single" w:sz="4" w:space="0" w:color="auto"/>
              <w:left w:val="single" w:sz="4" w:space="0" w:color="auto"/>
              <w:right w:val="single" w:sz="4" w:space="0" w:color="auto"/>
            </w:tcBorders>
          </w:tcPr>
          <w:p w14:paraId="29561783" w14:textId="77456B5F" w:rsidR="000B06F3" w:rsidRPr="00DA3C6E" w:rsidRDefault="000B06F3" w:rsidP="008A5F97">
            <w:pPr>
              <w:pStyle w:val="Tabletext1"/>
              <w:jc w:val="left"/>
            </w:pPr>
            <w:r w:rsidRPr="00DA3C6E">
              <w:t>Leger et al. 1994</w:t>
            </w:r>
            <w:r w:rsidR="00DB568A" w:rsidRPr="00DA3C6E">
              <w:fldChar w:fldCharType="begin">
                <w:fldData xml:space="preserve">PEVuZE5vdGU+PENpdGU+PEF1dGhvcj5MZWdlcjwvQXV0aG9yPjxZZWFyPjE5OTQ8L1llYXI+PFJl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</w:fldData>
              </w:fldChar>
            </w:r>
            <w:r w:rsidR="007810D6">
              <w:instrText xml:space="preserve"> ADDIN EN.CITE </w:instrText>
            </w:r>
            <w:r w:rsidR="007810D6">
              <w:fldChar w:fldCharType="begin">
                <w:fldData xml:space="preserve">PEVuZE5vdGU+PENpdGU+PEF1dGhvcj5MZWdlcjwvQXV0aG9yPjxZZWFyPjE5OTQ8L1llYXI+PFJl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68" w:tooltip="Leger, 1994 #41" w:history="1">
              <w:r w:rsidR="00C04BCE">
                <w:rPr>
                  <w:noProof/>
                </w:rPr>
                <w:t>68</w:t>
              </w:r>
            </w:hyperlink>
            <w:r w:rsidR="007810D6">
              <w:rPr>
                <w:noProof/>
              </w:rPr>
              <w:t>)</w:t>
            </w:r>
            <w:r w:rsidR="00DB568A" w:rsidRPr="00DA3C6E">
              <w:fldChar w:fldCharType="end"/>
            </w:r>
          </w:p>
          <w:p w14:paraId="66D0B682"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6FF682B9"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5F01E9D1"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6773E571" w14:textId="77777777" w:rsidR="000B06F3" w:rsidRPr="00DA3C6E" w:rsidRDefault="000B06F3" w:rsidP="008A5F97">
            <w:pPr>
              <w:pStyle w:val="Tabletext1"/>
              <w:jc w:val="left"/>
            </w:pPr>
            <w:r w:rsidRPr="00DA3C6E">
              <w:t>NR</w:t>
            </w:r>
          </w:p>
        </w:tc>
        <w:tc>
          <w:tcPr>
            <w:tcW w:w="1621" w:type="dxa"/>
            <w:tcBorders>
              <w:top w:val="single" w:sz="4" w:space="0" w:color="auto"/>
              <w:left w:val="single" w:sz="4" w:space="0" w:color="auto"/>
              <w:right w:val="single" w:sz="4" w:space="0" w:color="auto"/>
            </w:tcBorders>
          </w:tcPr>
          <w:p w14:paraId="64361D2E" w14:textId="77777777" w:rsidR="000B06F3" w:rsidRPr="00DA3C6E" w:rsidRDefault="000B06F3" w:rsidP="008A5F97">
            <w:pPr>
              <w:pStyle w:val="Tabletext1"/>
              <w:jc w:val="left"/>
            </w:pPr>
            <w:r w:rsidRPr="00DA3C6E">
              <w:t>6 patients with MMN and CB;</w:t>
            </w:r>
          </w:p>
          <w:p w14:paraId="0B0A5497" w14:textId="77777777" w:rsidR="000B06F3" w:rsidRPr="00DA3C6E" w:rsidRDefault="000B06F3" w:rsidP="008A5F97">
            <w:pPr>
              <w:pStyle w:val="Tabletext1"/>
              <w:jc w:val="left"/>
            </w:pPr>
            <w:r w:rsidRPr="00DA3C6E">
              <w:t xml:space="preserve">Age: 34-50 years </w:t>
            </w:r>
          </w:p>
        </w:tc>
        <w:tc>
          <w:tcPr>
            <w:tcW w:w="1813" w:type="dxa"/>
            <w:tcBorders>
              <w:top w:val="single" w:sz="4" w:space="0" w:color="auto"/>
              <w:left w:val="single" w:sz="4" w:space="0" w:color="auto"/>
              <w:right w:val="single" w:sz="4" w:space="0" w:color="auto"/>
            </w:tcBorders>
          </w:tcPr>
          <w:p w14:paraId="265BE765" w14:textId="77777777" w:rsidR="000B06F3" w:rsidRPr="00DA3C6E" w:rsidRDefault="000B06F3" w:rsidP="008A5F97">
            <w:pPr>
              <w:pStyle w:val="Tabletext1"/>
              <w:jc w:val="left"/>
            </w:pPr>
            <w:r w:rsidRPr="00DA3C6E">
              <w:t>2g/kg 3-5 days for at least 6 months followed by maintenance treatment.</w:t>
            </w:r>
          </w:p>
        </w:tc>
        <w:tc>
          <w:tcPr>
            <w:tcW w:w="1781" w:type="dxa"/>
            <w:tcBorders>
              <w:top w:val="single" w:sz="4" w:space="0" w:color="auto"/>
              <w:left w:val="single" w:sz="4" w:space="0" w:color="auto"/>
              <w:right w:val="single" w:sz="4" w:space="0" w:color="auto"/>
            </w:tcBorders>
          </w:tcPr>
          <w:p w14:paraId="2EC8CC8F" w14:textId="77777777" w:rsidR="000B06F3" w:rsidRPr="00DA3C6E" w:rsidRDefault="000B06F3" w:rsidP="008A5F97">
            <w:pPr>
              <w:pStyle w:val="Tabletext1"/>
              <w:jc w:val="left"/>
            </w:pPr>
            <w:r w:rsidRPr="00DA3C6E">
              <w:t xml:space="preserve">Improvement in muscle strength </w:t>
            </w:r>
          </w:p>
        </w:tc>
        <w:tc>
          <w:tcPr>
            <w:tcW w:w="2957" w:type="dxa"/>
            <w:tcBorders>
              <w:top w:val="single" w:sz="4" w:space="0" w:color="auto"/>
              <w:left w:val="single" w:sz="4" w:space="0" w:color="auto"/>
              <w:right w:val="single" w:sz="4" w:space="0" w:color="auto"/>
            </w:tcBorders>
          </w:tcPr>
          <w:p w14:paraId="685C4CA2" w14:textId="77777777" w:rsidR="000B06F3" w:rsidRPr="00DA3C6E" w:rsidRDefault="000B06F3" w:rsidP="008A5F97">
            <w:pPr>
              <w:pStyle w:val="Tabletext1"/>
              <w:jc w:val="left"/>
            </w:pPr>
            <w:r w:rsidRPr="00DA3C6E">
              <w:t>MRC</w:t>
            </w:r>
          </w:p>
          <w:p w14:paraId="37F4D604" w14:textId="77777777" w:rsidR="000B06F3" w:rsidRPr="00DA3C6E" w:rsidRDefault="000B06F3" w:rsidP="008A5F97">
            <w:pPr>
              <w:pStyle w:val="Tabletext1"/>
              <w:jc w:val="left"/>
            </w:pPr>
          </w:p>
          <w:p w14:paraId="46C33843" w14:textId="77777777" w:rsidR="000B06F3" w:rsidRPr="00DA3C6E" w:rsidRDefault="000B06F3" w:rsidP="008A5F97">
            <w:pPr>
              <w:pStyle w:val="Tabletext1"/>
              <w:jc w:val="left"/>
            </w:pPr>
          </w:p>
        </w:tc>
      </w:tr>
      <w:tr w:rsidR="007C7E04" w:rsidRPr="00DA3C6E" w14:paraId="67E89ED8" w14:textId="77777777" w:rsidTr="006A5E97">
        <w:trPr>
          <w:trHeight w:val="319"/>
        </w:trPr>
        <w:tc>
          <w:tcPr>
            <w:tcW w:w="1424" w:type="dxa"/>
            <w:tcBorders>
              <w:left w:val="single" w:sz="4" w:space="0" w:color="auto"/>
              <w:bottom w:val="single" w:sz="4" w:space="0" w:color="auto"/>
              <w:right w:val="single" w:sz="4" w:space="0" w:color="auto"/>
            </w:tcBorders>
          </w:tcPr>
          <w:p w14:paraId="4E041797"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0E09ECED"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2DD2F73F"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163F9BE"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437096EF"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515B2F68"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323687CB"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71043682" w14:textId="77777777" w:rsidR="000B06F3" w:rsidRPr="00DA3C6E" w:rsidRDefault="000B06F3" w:rsidP="008A5F97">
            <w:pPr>
              <w:pStyle w:val="Tabletext1"/>
              <w:jc w:val="left"/>
            </w:pPr>
            <w:r w:rsidRPr="00DA3C6E">
              <w:t>Motor nerve</w:t>
            </w:r>
          </w:p>
          <w:p w14:paraId="49AC092B" w14:textId="77777777" w:rsidR="000B06F3" w:rsidRPr="00DA3C6E" w:rsidRDefault="000B06F3" w:rsidP="008A5F97">
            <w:pPr>
              <w:pStyle w:val="Tabletext1"/>
              <w:jc w:val="left"/>
            </w:pPr>
            <w:r w:rsidRPr="00DA3C6E">
              <w:t>conduction studies; CMAP</w:t>
            </w:r>
          </w:p>
        </w:tc>
      </w:tr>
      <w:tr w:rsidR="007C7E04" w:rsidRPr="00DA3C6E" w14:paraId="17320828" w14:textId="77777777" w:rsidTr="006A5E97">
        <w:trPr>
          <w:trHeight w:val="319"/>
        </w:trPr>
        <w:tc>
          <w:tcPr>
            <w:tcW w:w="1424" w:type="dxa"/>
            <w:tcBorders>
              <w:top w:val="single" w:sz="4" w:space="0" w:color="auto"/>
              <w:left w:val="single" w:sz="4" w:space="0" w:color="auto"/>
              <w:right w:val="single" w:sz="4" w:space="0" w:color="auto"/>
            </w:tcBorders>
          </w:tcPr>
          <w:p w14:paraId="6222B7B5" w14:textId="2240CA17" w:rsidR="000B06F3" w:rsidRPr="00DA3C6E" w:rsidRDefault="000047E2" w:rsidP="008A5F97">
            <w:pPr>
              <w:pStyle w:val="Tabletext1"/>
              <w:jc w:val="left"/>
              <w:rPr>
                <w:lang w:val="es-CL"/>
              </w:rPr>
            </w:pPr>
            <w:r w:rsidRPr="00DA3C6E">
              <w:rPr>
                <w:lang w:val="es-CL"/>
              </w:rPr>
              <w:lastRenderedPageBreak/>
              <w:t>V</w:t>
            </w:r>
            <w:r w:rsidR="000B06F3" w:rsidRPr="00DA3C6E">
              <w:rPr>
                <w:lang w:val="es-CL"/>
              </w:rPr>
              <w:t>an den Berg et al. 1995</w:t>
            </w:r>
            <w:r w:rsidR="00DB568A" w:rsidRPr="00DA3C6E">
              <w:rPr>
                <w:lang w:val="es-CL"/>
              </w:rPr>
              <w:fldChar w:fldCharType="begin"/>
            </w:r>
            <w:r w:rsidR="007810D6">
              <w:rPr>
                <w:lang w:val="es-CL"/>
              </w:rPr>
              <w:instrText xml:space="preserve"> ADDIN EN.CITE &lt;EndNote&gt;&lt;Cite&gt;&lt;Author&gt;Van den Berg&lt;/Author&gt;&lt;Year&gt;1995&lt;/Year&gt;&lt;RecNum&gt;65&lt;/RecNum&gt;&lt;DisplayText&gt;(70)&lt;/DisplayText&gt;&lt;record&gt;&lt;rec-number&gt;65&lt;/rec-number&gt;&lt;foreign-keys&gt;&lt;key app="EN" db-id="0992p2ztn5fez9e2wvnpw2xstd20f9w2dezz" timestamp="1586818281"&gt;65&lt;/key&gt;&lt;/foreign-keys&gt;&lt;ref-type name="Journal Article"&gt;17&lt;/ref-type&gt;&lt;contributors&gt;&lt;authors&gt;&lt;author&gt;Van den Berg, L. H.&lt;/author&gt;&lt;author&gt;Franssen, H.&lt;/author&gt;&lt;author&gt;Wokke, J. H.&lt;/author&gt;&lt;/authors&gt;&lt;/contributors&gt;&lt;auth-address&gt;Department of Neurology, Rudolf Magnus Research School in the Neurosciences, University Hospital Utrecht, The Netherlands.&lt;/auth-address&gt;&lt;titles&gt;&lt;title&gt;Improvement of multifocal motor neuropathy during long-term weekly treatment with human immunoglobulin&lt;/title&gt;&lt;secondary-title&gt;Neurology&lt;/secondary-title&gt;&lt;/titles&gt;&lt;periodical&gt;&lt;full-title&gt;Neurology&lt;/full-title&gt;&lt;/periodical&gt;&lt;pages&gt;987-8&lt;/pages&gt;&lt;volume&gt;45&lt;/volume&gt;&lt;number&gt;5&lt;/number&gt;&lt;keywords&gt;&lt;keyword&gt;Adult&lt;/keyword&gt;&lt;keyword&gt;Humans&lt;/keyword&gt;&lt;keyword&gt;Immunoglobulins, Intravenous/ therapeutic use&lt;/keyword&gt;&lt;keyword&gt;Male&lt;/keyword&gt;&lt;keyword&gt;Motor Neuron Disease/physiopathology/ therapy&lt;/keyword&gt;&lt;keyword&gt;Muscles/physiopathology&lt;/keyword&gt;&lt;keyword&gt;Neural Conduction/physiology&lt;/keyword&gt;&lt;keyword&gt;Time Factors&lt;/keyword&gt;&lt;/keywords&gt;&lt;dates&gt;&lt;year&gt;1995&lt;/year&gt;&lt;pub-dates&gt;&lt;date&gt;May&lt;/date&gt;&lt;/pub-dates&gt;&lt;/dates&gt;&lt;accession-num&gt;7746420&lt;/accession-num&gt;&lt;urls&gt;&lt;/urls&gt;&lt;research-notes&gt;B. case study&lt;/research-notes&gt;&lt;/record&gt;&lt;/Cite&gt;&lt;/EndNote&gt;</w:instrText>
            </w:r>
            <w:r w:rsidR="00DB568A" w:rsidRPr="00DA3C6E">
              <w:rPr>
                <w:lang w:val="es-CL"/>
              </w:rPr>
              <w:fldChar w:fldCharType="separate"/>
            </w:r>
            <w:r w:rsidR="007810D6">
              <w:rPr>
                <w:noProof/>
                <w:lang w:val="es-CL"/>
              </w:rPr>
              <w:t>(</w:t>
            </w:r>
            <w:hyperlink w:anchor="_ENREF_70" w:tooltip="Van den Berg, 1995 #65" w:history="1">
              <w:r w:rsidR="00C04BCE">
                <w:rPr>
                  <w:noProof/>
                  <w:lang w:val="es-CL"/>
                </w:rPr>
                <w:t>70</w:t>
              </w:r>
            </w:hyperlink>
            <w:r w:rsidR="007810D6">
              <w:rPr>
                <w:noProof/>
                <w:lang w:val="es-CL"/>
              </w:rPr>
              <w:t>)</w:t>
            </w:r>
            <w:r w:rsidR="00DB568A" w:rsidRPr="00DA3C6E">
              <w:rPr>
                <w:lang w:val="es-CL"/>
              </w:rPr>
              <w:fldChar w:fldCharType="end"/>
            </w:r>
          </w:p>
          <w:p w14:paraId="68EE8287" w14:textId="77777777" w:rsidR="000B06F3" w:rsidRPr="00DA3C6E" w:rsidRDefault="000B06F3" w:rsidP="008A5F97">
            <w:pPr>
              <w:pStyle w:val="Tabletext1"/>
              <w:jc w:val="left"/>
              <w:rPr>
                <w:lang w:val="es-CL"/>
              </w:rPr>
            </w:pPr>
          </w:p>
        </w:tc>
        <w:tc>
          <w:tcPr>
            <w:tcW w:w="1787" w:type="dxa"/>
            <w:tcBorders>
              <w:top w:val="single" w:sz="4" w:space="0" w:color="auto"/>
              <w:left w:val="single" w:sz="4" w:space="0" w:color="auto"/>
              <w:right w:val="single" w:sz="4" w:space="0" w:color="auto"/>
            </w:tcBorders>
          </w:tcPr>
          <w:p w14:paraId="211264D7" w14:textId="77777777" w:rsidR="000B06F3" w:rsidRPr="00DA3C6E" w:rsidRDefault="000B06F3" w:rsidP="008A5F97">
            <w:pPr>
              <w:pStyle w:val="Tabletext1"/>
              <w:jc w:val="left"/>
            </w:pPr>
            <w:r w:rsidRPr="00DA3C6E">
              <w:t xml:space="preserve">Case report </w:t>
            </w:r>
          </w:p>
        </w:tc>
        <w:tc>
          <w:tcPr>
            <w:tcW w:w="1259" w:type="dxa"/>
            <w:tcBorders>
              <w:top w:val="single" w:sz="4" w:space="0" w:color="auto"/>
              <w:left w:val="single" w:sz="4" w:space="0" w:color="auto"/>
              <w:right w:val="single" w:sz="4" w:space="0" w:color="auto"/>
            </w:tcBorders>
          </w:tcPr>
          <w:p w14:paraId="59B33FE1"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4CA68848" w14:textId="77777777" w:rsidR="000B06F3" w:rsidRPr="00DA3C6E" w:rsidRDefault="000B06F3" w:rsidP="008A5F97">
            <w:pPr>
              <w:pStyle w:val="Tabletext1"/>
              <w:jc w:val="left"/>
            </w:pPr>
            <w:r w:rsidRPr="00DA3C6E">
              <w:t xml:space="preserve">NA </w:t>
            </w:r>
          </w:p>
        </w:tc>
        <w:tc>
          <w:tcPr>
            <w:tcW w:w="1621" w:type="dxa"/>
            <w:tcBorders>
              <w:top w:val="single" w:sz="4" w:space="0" w:color="auto"/>
              <w:left w:val="single" w:sz="4" w:space="0" w:color="auto"/>
              <w:right w:val="single" w:sz="4" w:space="0" w:color="auto"/>
            </w:tcBorders>
          </w:tcPr>
          <w:p w14:paraId="2BC7216D" w14:textId="77777777" w:rsidR="000B06F3" w:rsidRPr="00DA3C6E" w:rsidRDefault="000B06F3" w:rsidP="008A5F97">
            <w:pPr>
              <w:pStyle w:val="Tabletext1"/>
              <w:jc w:val="left"/>
            </w:pPr>
            <w:r w:rsidRPr="00DA3C6E">
              <w:t xml:space="preserve">1 patient; Age: 37 </w:t>
            </w:r>
          </w:p>
        </w:tc>
        <w:tc>
          <w:tcPr>
            <w:tcW w:w="1813" w:type="dxa"/>
            <w:tcBorders>
              <w:top w:val="single" w:sz="4" w:space="0" w:color="auto"/>
              <w:left w:val="single" w:sz="4" w:space="0" w:color="auto"/>
              <w:right w:val="single" w:sz="4" w:space="0" w:color="auto"/>
            </w:tcBorders>
          </w:tcPr>
          <w:p w14:paraId="115A2253" w14:textId="77777777" w:rsidR="000B06F3" w:rsidRPr="00DA3C6E" w:rsidRDefault="000B06F3" w:rsidP="008A5F97">
            <w:pPr>
              <w:pStyle w:val="Tabletext1"/>
              <w:jc w:val="left"/>
            </w:pPr>
            <w:r w:rsidRPr="00DA3C6E">
              <w:t>HIG treatment in two treatment</w:t>
            </w:r>
          </w:p>
          <w:p w14:paraId="49E387D1" w14:textId="77777777" w:rsidR="000B06F3" w:rsidRPr="00DA3C6E" w:rsidRDefault="000B06F3" w:rsidP="008A5F97">
            <w:pPr>
              <w:pStyle w:val="Tabletext1"/>
              <w:jc w:val="left"/>
            </w:pPr>
            <w:r w:rsidRPr="00DA3C6E">
              <w:t>courses of 0.4 g/kg for 5 consecutive days followed by one</w:t>
            </w:r>
          </w:p>
          <w:p w14:paraId="38DE4993" w14:textId="77777777" w:rsidR="000B06F3" w:rsidRPr="00DA3C6E" w:rsidRDefault="000B06F3" w:rsidP="008A5F97">
            <w:pPr>
              <w:pStyle w:val="Tabletext1"/>
              <w:jc w:val="left"/>
            </w:pPr>
            <w:r w:rsidRPr="00DA3C6E">
              <w:t>HIG infusion (0.4 g/kg) every week for 11 months</w:t>
            </w:r>
          </w:p>
        </w:tc>
        <w:tc>
          <w:tcPr>
            <w:tcW w:w="1781" w:type="dxa"/>
            <w:tcBorders>
              <w:top w:val="single" w:sz="4" w:space="0" w:color="auto"/>
              <w:left w:val="single" w:sz="4" w:space="0" w:color="auto"/>
              <w:right w:val="single" w:sz="4" w:space="0" w:color="auto"/>
            </w:tcBorders>
            <w:shd w:val="clear" w:color="auto" w:fill="auto"/>
          </w:tcPr>
          <w:p w14:paraId="42B94E6A" w14:textId="77777777" w:rsidR="000B06F3" w:rsidRPr="00DA3C6E" w:rsidRDefault="000B06F3" w:rsidP="008A5F97">
            <w:pPr>
              <w:pStyle w:val="Tabletext1"/>
              <w:jc w:val="left"/>
            </w:pPr>
            <w:r w:rsidRPr="00DA3C6E">
              <w:t>Improvement in muscle strength</w:t>
            </w:r>
          </w:p>
          <w:p w14:paraId="5A021352"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1CAC1053" w14:textId="77777777" w:rsidR="000B06F3" w:rsidRPr="00DA3C6E" w:rsidRDefault="000B06F3" w:rsidP="008A5F97">
            <w:pPr>
              <w:pStyle w:val="Tabletext1"/>
              <w:ind w:left="34"/>
              <w:jc w:val="left"/>
            </w:pPr>
            <w:r w:rsidRPr="00DA3C6E">
              <w:t>MRC</w:t>
            </w:r>
          </w:p>
          <w:p w14:paraId="0FFB0A56" w14:textId="77777777" w:rsidR="000B06F3" w:rsidRPr="00DA3C6E" w:rsidRDefault="000B06F3" w:rsidP="008A5F97">
            <w:pPr>
              <w:pStyle w:val="Tabletext1"/>
              <w:ind w:left="34"/>
              <w:jc w:val="left"/>
            </w:pPr>
          </w:p>
          <w:p w14:paraId="2CC831FA" w14:textId="77777777" w:rsidR="000B06F3" w:rsidRPr="00DA3C6E" w:rsidRDefault="000B06F3" w:rsidP="008A5F97">
            <w:pPr>
              <w:pStyle w:val="Tabletext1"/>
              <w:ind w:left="34"/>
              <w:jc w:val="left"/>
            </w:pPr>
          </w:p>
        </w:tc>
      </w:tr>
      <w:tr w:rsidR="007C7E04" w:rsidRPr="00DA3C6E" w14:paraId="2BF56C10" w14:textId="77777777" w:rsidTr="006A5E97">
        <w:trPr>
          <w:trHeight w:val="319"/>
        </w:trPr>
        <w:tc>
          <w:tcPr>
            <w:tcW w:w="1424" w:type="dxa"/>
            <w:tcBorders>
              <w:left w:val="single" w:sz="4" w:space="0" w:color="auto"/>
              <w:bottom w:val="single" w:sz="4" w:space="0" w:color="auto"/>
              <w:right w:val="single" w:sz="4" w:space="0" w:color="auto"/>
            </w:tcBorders>
          </w:tcPr>
          <w:p w14:paraId="756FB32E"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5939E4F2"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1D10EDDC"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2D81D183"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684F5818"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46F371D3"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shd w:val="clear" w:color="auto" w:fill="auto"/>
          </w:tcPr>
          <w:p w14:paraId="04629515"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54FDE98B" w14:textId="77777777" w:rsidR="000B06F3" w:rsidRPr="00DA3C6E" w:rsidRDefault="000B06F3" w:rsidP="008A5F97">
            <w:pPr>
              <w:pStyle w:val="Tabletext1"/>
              <w:ind w:left="34"/>
              <w:jc w:val="left"/>
            </w:pPr>
            <w:r w:rsidRPr="00DA3C6E">
              <w:t>Electrodiagnostic studies, CMAP</w:t>
            </w:r>
          </w:p>
        </w:tc>
      </w:tr>
      <w:tr w:rsidR="007C7E04" w:rsidRPr="00DA3C6E" w14:paraId="1EE80DE8" w14:textId="77777777" w:rsidTr="006A5E97">
        <w:trPr>
          <w:trHeight w:val="319"/>
        </w:trPr>
        <w:tc>
          <w:tcPr>
            <w:tcW w:w="1424" w:type="dxa"/>
            <w:tcBorders>
              <w:top w:val="single" w:sz="4" w:space="0" w:color="auto"/>
              <w:left w:val="single" w:sz="4" w:space="0" w:color="auto"/>
              <w:right w:val="single" w:sz="4" w:space="0" w:color="auto"/>
            </w:tcBorders>
          </w:tcPr>
          <w:p w14:paraId="013F713E" w14:textId="1FF0CD69" w:rsidR="000B06F3" w:rsidRPr="00DA3C6E" w:rsidRDefault="000B06F3" w:rsidP="008A5F97">
            <w:pPr>
              <w:pStyle w:val="Tabletext1"/>
              <w:jc w:val="left"/>
            </w:pPr>
            <w:r w:rsidRPr="00DA3C6E">
              <w:t>Jaspert et al. 1996</w:t>
            </w:r>
            <w:r w:rsidR="00DB568A" w:rsidRPr="00DA3C6E">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00DB568A" w:rsidRPr="00DA3C6E">
              <w:instrText xml:space="preserve"> ADDIN EN.CITE </w:instrText>
            </w:r>
            <w:r w:rsidR="00DB568A" w:rsidRPr="00DA3C6E">
              <w:fldChar w:fldCharType="begin">
                <w:fldData xml:space="preserve">PEVuZE5vdGU+PENpdGU+PEF1dGhvcj5KYXNwZXJ0PC9BdXRob3I+PFllYXI+MTk5NjwvWWVhcj48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7" w:tooltip="Jaspert, 1996 #31" w:history="1">
              <w:r w:rsidR="00C04BCE" w:rsidRPr="00DA3C6E">
                <w:rPr>
                  <w:noProof/>
                </w:rPr>
                <w:t>37</w:t>
              </w:r>
            </w:hyperlink>
            <w:r w:rsidR="00DB568A" w:rsidRPr="00DA3C6E">
              <w:rPr>
                <w:noProof/>
              </w:rPr>
              <w:t>)</w:t>
            </w:r>
            <w:r w:rsidR="00DB568A" w:rsidRPr="00DA3C6E">
              <w:fldChar w:fldCharType="end"/>
            </w:r>
          </w:p>
          <w:p w14:paraId="79E7F950"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53546F31"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693A9D37"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08AE2ED6" w14:textId="77777777" w:rsidR="000B06F3" w:rsidRPr="00DA3C6E" w:rsidRDefault="000B06F3" w:rsidP="008A5F97">
            <w:pPr>
              <w:pStyle w:val="Tabletext1"/>
              <w:jc w:val="left"/>
            </w:pPr>
            <w:r w:rsidRPr="00DA3C6E">
              <w:t>CB</w:t>
            </w:r>
          </w:p>
        </w:tc>
        <w:tc>
          <w:tcPr>
            <w:tcW w:w="1621" w:type="dxa"/>
            <w:tcBorders>
              <w:top w:val="single" w:sz="4" w:space="0" w:color="auto"/>
              <w:left w:val="single" w:sz="4" w:space="0" w:color="auto"/>
              <w:right w:val="single" w:sz="4" w:space="0" w:color="auto"/>
            </w:tcBorders>
          </w:tcPr>
          <w:p w14:paraId="1D4771C8" w14:textId="77777777" w:rsidR="000B06F3" w:rsidRPr="00DA3C6E" w:rsidRDefault="000B06F3" w:rsidP="008A5F97">
            <w:pPr>
              <w:pStyle w:val="Tabletext1"/>
              <w:jc w:val="left"/>
            </w:pPr>
            <w:r w:rsidRPr="00DA3C6E">
              <w:t xml:space="preserve">8 patients with MMN, 7  patients with  asymmetrical paresis; 2 patients previously treated with corticosteroids </w:t>
            </w:r>
          </w:p>
        </w:tc>
        <w:tc>
          <w:tcPr>
            <w:tcW w:w="1813" w:type="dxa"/>
            <w:tcBorders>
              <w:top w:val="single" w:sz="4" w:space="0" w:color="auto"/>
              <w:left w:val="single" w:sz="4" w:space="0" w:color="auto"/>
              <w:right w:val="single" w:sz="4" w:space="0" w:color="auto"/>
            </w:tcBorders>
          </w:tcPr>
          <w:p w14:paraId="58E4B54F" w14:textId="77777777" w:rsidR="000B06F3" w:rsidRPr="00DA3C6E" w:rsidRDefault="000B06F3" w:rsidP="008A5F97">
            <w:pPr>
              <w:pStyle w:val="Tabletext1"/>
              <w:jc w:val="left"/>
            </w:pPr>
            <w:r w:rsidRPr="00DA3C6E">
              <w:t>High-dose intravenous Ig treatment; initial dosage 0.4 g/kg body weight per</w:t>
            </w:r>
          </w:p>
          <w:p w14:paraId="590C859E" w14:textId="77777777" w:rsidR="000B06F3" w:rsidRPr="00DA3C6E" w:rsidRDefault="000B06F3" w:rsidP="008A5F97">
            <w:pPr>
              <w:pStyle w:val="Tabletext1"/>
              <w:jc w:val="left"/>
            </w:pPr>
            <w:r w:rsidRPr="00DA3C6E">
              <w:t>day for 5 days; 0.4 g/kg body weight repeated  after 4 weeks but only for 1 day. Afterwards,</w:t>
            </w:r>
          </w:p>
          <w:p w14:paraId="506EEA25" w14:textId="77777777" w:rsidR="000B06F3" w:rsidRPr="00DA3C6E" w:rsidRDefault="000B06F3" w:rsidP="008A5F97">
            <w:pPr>
              <w:pStyle w:val="Tabletext1"/>
              <w:jc w:val="left"/>
            </w:pPr>
            <w:r w:rsidRPr="00DA3C6E">
              <w:t>intravenous Ig  dosage and the interval between treatment cycles were adjusted</w:t>
            </w:r>
          </w:p>
          <w:p w14:paraId="4A196EEC" w14:textId="77777777" w:rsidR="000B06F3" w:rsidRPr="00DA3C6E" w:rsidRDefault="000B06F3" w:rsidP="008A5F97">
            <w:pPr>
              <w:pStyle w:val="Tabletext1"/>
              <w:jc w:val="left"/>
            </w:pPr>
            <w:r w:rsidRPr="00DA3C6E">
              <w:t>to the individual clinical course of the patient.</w:t>
            </w:r>
          </w:p>
        </w:tc>
        <w:tc>
          <w:tcPr>
            <w:tcW w:w="1781" w:type="dxa"/>
            <w:tcBorders>
              <w:top w:val="single" w:sz="4" w:space="0" w:color="auto"/>
              <w:left w:val="single" w:sz="4" w:space="0" w:color="auto"/>
              <w:right w:val="single" w:sz="4" w:space="0" w:color="auto"/>
            </w:tcBorders>
          </w:tcPr>
          <w:p w14:paraId="4CC139A3" w14:textId="77777777" w:rsidR="000B06F3" w:rsidRPr="00DA3C6E" w:rsidRDefault="000B06F3" w:rsidP="008A5F97">
            <w:pPr>
              <w:pStyle w:val="Tabletext1"/>
              <w:jc w:val="left"/>
            </w:pPr>
            <w:r w:rsidRPr="00DA3C6E">
              <w:t xml:space="preserve">Improvement in muscle strength </w:t>
            </w:r>
          </w:p>
          <w:p w14:paraId="2BCCFD41"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721C74B0" w14:textId="77777777" w:rsidR="000B06F3" w:rsidRPr="00DA3C6E" w:rsidRDefault="000B06F3" w:rsidP="008A5F97">
            <w:pPr>
              <w:pStyle w:val="Tabletext1"/>
              <w:ind w:left="34"/>
              <w:jc w:val="left"/>
            </w:pPr>
            <w:r w:rsidRPr="00DA3C6E">
              <w:t>MRC</w:t>
            </w:r>
          </w:p>
          <w:p w14:paraId="48B5681E" w14:textId="77777777" w:rsidR="000B06F3" w:rsidRPr="00DA3C6E" w:rsidRDefault="000B06F3" w:rsidP="008A5F97">
            <w:pPr>
              <w:pStyle w:val="Tabletext1"/>
              <w:ind w:left="34"/>
              <w:jc w:val="left"/>
            </w:pPr>
          </w:p>
          <w:p w14:paraId="72681B31" w14:textId="77777777" w:rsidR="000B06F3" w:rsidRPr="00DA3C6E" w:rsidRDefault="000B06F3" w:rsidP="008A5F97">
            <w:pPr>
              <w:pStyle w:val="Tabletext1"/>
              <w:jc w:val="left"/>
            </w:pPr>
          </w:p>
        </w:tc>
      </w:tr>
      <w:tr w:rsidR="007C7E04" w:rsidRPr="00DA3C6E" w14:paraId="00E62457" w14:textId="77777777" w:rsidTr="006A5E97">
        <w:trPr>
          <w:trHeight w:val="319"/>
        </w:trPr>
        <w:tc>
          <w:tcPr>
            <w:tcW w:w="1424" w:type="dxa"/>
            <w:tcBorders>
              <w:left w:val="single" w:sz="4" w:space="0" w:color="auto"/>
              <w:right w:val="single" w:sz="4" w:space="0" w:color="auto"/>
            </w:tcBorders>
          </w:tcPr>
          <w:p w14:paraId="476A2E5C"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4F815849"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024D2B2"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0FB3B8E7"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7CC93F45"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4F8D3399"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77016665" w14:textId="77777777" w:rsidR="000B06F3" w:rsidRPr="00DA3C6E" w:rsidRDefault="000B06F3" w:rsidP="008A5F97">
            <w:pPr>
              <w:pStyle w:val="Tabletext1"/>
              <w:jc w:val="left"/>
            </w:pPr>
            <w:r w:rsidRPr="00DA3C6E">
              <w:t xml:space="preserve">CB </w:t>
            </w:r>
          </w:p>
          <w:p w14:paraId="0BC22D87"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335938D5" w14:textId="77777777" w:rsidR="000B06F3" w:rsidRPr="00DA3C6E" w:rsidRDefault="000B06F3" w:rsidP="008A5F97">
            <w:pPr>
              <w:pStyle w:val="Tabletext1"/>
              <w:ind w:left="34"/>
              <w:jc w:val="left"/>
            </w:pPr>
            <w:r w:rsidRPr="00DA3C6E">
              <w:t>Electrophysiological examination</w:t>
            </w:r>
          </w:p>
        </w:tc>
      </w:tr>
      <w:tr w:rsidR="007C7E04" w:rsidRPr="00DA3C6E" w14:paraId="263D638D" w14:textId="77777777" w:rsidTr="006A5E97">
        <w:trPr>
          <w:trHeight w:val="319"/>
        </w:trPr>
        <w:tc>
          <w:tcPr>
            <w:tcW w:w="1424" w:type="dxa"/>
            <w:tcBorders>
              <w:left w:val="single" w:sz="4" w:space="0" w:color="auto"/>
              <w:bottom w:val="single" w:sz="4" w:space="0" w:color="auto"/>
              <w:right w:val="single" w:sz="4" w:space="0" w:color="auto"/>
            </w:tcBorders>
          </w:tcPr>
          <w:p w14:paraId="180CD2BB"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3EFD2175"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0FF95C76"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6C5CD9A8"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4116E41D"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2639FD89"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19C031CF" w14:textId="77777777" w:rsidR="000B06F3" w:rsidRPr="00DA3C6E" w:rsidRDefault="000B06F3" w:rsidP="008A5F97">
            <w:pPr>
              <w:pStyle w:val="Tabletext1"/>
              <w:jc w:val="left"/>
            </w:pPr>
            <w:r w:rsidRPr="00DA3C6E">
              <w:t>AE</w:t>
            </w:r>
          </w:p>
        </w:tc>
        <w:tc>
          <w:tcPr>
            <w:tcW w:w="2957" w:type="dxa"/>
            <w:tcBorders>
              <w:left w:val="single" w:sz="4" w:space="0" w:color="auto"/>
              <w:bottom w:val="single" w:sz="4" w:space="0" w:color="auto"/>
              <w:right w:val="single" w:sz="4" w:space="0" w:color="auto"/>
            </w:tcBorders>
          </w:tcPr>
          <w:p w14:paraId="7D439F26" w14:textId="77777777" w:rsidR="000B06F3" w:rsidRPr="00DA3C6E" w:rsidRDefault="000B06F3" w:rsidP="008A5F97">
            <w:pPr>
              <w:pStyle w:val="Tabletext1"/>
              <w:ind w:left="34"/>
              <w:jc w:val="left"/>
            </w:pPr>
          </w:p>
        </w:tc>
      </w:tr>
      <w:tr w:rsidR="007C7E04" w:rsidRPr="00DA3C6E" w14:paraId="2C95BF77" w14:textId="77777777" w:rsidTr="006A5E97">
        <w:trPr>
          <w:trHeight w:val="319"/>
        </w:trPr>
        <w:tc>
          <w:tcPr>
            <w:tcW w:w="1424" w:type="dxa"/>
            <w:tcBorders>
              <w:top w:val="single" w:sz="4" w:space="0" w:color="auto"/>
              <w:left w:val="single" w:sz="4" w:space="0" w:color="auto"/>
              <w:right w:val="single" w:sz="4" w:space="0" w:color="auto"/>
            </w:tcBorders>
          </w:tcPr>
          <w:p w14:paraId="1C20DDAF" w14:textId="4BDCDA2D" w:rsidR="000B06F3" w:rsidRPr="00DA3C6E" w:rsidRDefault="000B06F3" w:rsidP="00C04BCE">
            <w:pPr>
              <w:pStyle w:val="Tabletext1"/>
              <w:jc w:val="left"/>
            </w:pPr>
            <w:r w:rsidRPr="00DA3C6E">
              <w:t>Azulay et al. 1997</w:t>
            </w:r>
            <w:r w:rsidR="00DB568A" w:rsidRPr="00DA3C6E">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00DB568A" w:rsidRPr="00DA3C6E">
              <w:instrText xml:space="preserve"> ADDIN EN.CITE </w:instrText>
            </w:r>
            <w:r w:rsidR="00DB568A" w:rsidRPr="00DA3C6E">
              <w:fldChar w:fldCharType="begin">
                <w:fldData xml:space="preserve">PEVuZE5vdGU+PENpdGU+PEF1dGhvcj5BenVsYXk8L0F1dGhvcj48WWVhcj4xOTk3PC9ZZWFyPjxS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8" w:tooltip="Azulay, 1997 #5" w:history="1">
              <w:r w:rsidR="00C04BCE" w:rsidRPr="00DA3C6E">
                <w:rPr>
                  <w:noProof/>
                </w:rPr>
                <w:t>38</w:t>
              </w:r>
            </w:hyperlink>
            <w:r w:rsidR="00DB568A" w:rsidRPr="00DA3C6E">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33E544A9"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7D87E92C"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62093EC2" w14:textId="77777777" w:rsidR="000B06F3" w:rsidRPr="00DA3C6E" w:rsidRDefault="000B06F3" w:rsidP="008A5F97">
            <w:pPr>
              <w:pStyle w:val="Tabletext1"/>
              <w:jc w:val="left"/>
            </w:pPr>
            <w:r w:rsidRPr="00DA3C6E">
              <w:t>Progressive, asymmetric neuropathy mainly affecting the upper limbs with/without mild sensory loss and CB</w:t>
            </w:r>
          </w:p>
        </w:tc>
        <w:tc>
          <w:tcPr>
            <w:tcW w:w="1621" w:type="dxa"/>
            <w:tcBorders>
              <w:top w:val="single" w:sz="4" w:space="0" w:color="auto"/>
              <w:left w:val="single" w:sz="4" w:space="0" w:color="auto"/>
              <w:right w:val="single" w:sz="4" w:space="0" w:color="auto"/>
            </w:tcBorders>
          </w:tcPr>
          <w:p w14:paraId="17B98965" w14:textId="77777777" w:rsidR="000B06F3" w:rsidRPr="00DA3C6E" w:rsidRDefault="000B06F3" w:rsidP="008A5F97">
            <w:pPr>
              <w:pStyle w:val="Tabletext1"/>
              <w:jc w:val="left"/>
            </w:pPr>
            <w:r w:rsidRPr="00DA3C6E">
              <w:t>18 patients with MMN; 4 patients had been treated</w:t>
            </w:r>
          </w:p>
          <w:p w14:paraId="43D8B744" w14:textId="77777777" w:rsidR="000B06F3" w:rsidRPr="00DA3C6E" w:rsidRDefault="000B06F3" w:rsidP="008A5F97">
            <w:pPr>
              <w:pStyle w:val="Tabletext1"/>
              <w:jc w:val="left"/>
            </w:pPr>
            <w:r w:rsidRPr="00DA3C6E">
              <w:lastRenderedPageBreak/>
              <w:t xml:space="preserve">previously with steroids without any improvement; Mean age: 45.8 years </w:t>
            </w:r>
          </w:p>
        </w:tc>
        <w:tc>
          <w:tcPr>
            <w:tcW w:w="1813" w:type="dxa"/>
            <w:tcBorders>
              <w:top w:val="single" w:sz="4" w:space="0" w:color="auto"/>
              <w:left w:val="single" w:sz="4" w:space="0" w:color="auto"/>
              <w:right w:val="single" w:sz="4" w:space="0" w:color="auto"/>
            </w:tcBorders>
          </w:tcPr>
          <w:p w14:paraId="6BFB81CB" w14:textId="77777777" w:rsidR="000B06F3" w:rsidRPr="00DA3C6E" w:rsidRDefault="000B06F3" w:rsidP="008A5F97">
            <w:pPr>
              <w:pStyle w:val="Tabletext1"/>
              <w:jc w:val="left"/>
            </w:pPr>
            <w:r w:rsidRPr="00DA3C6E">
              <w:lastRenderedPageBreak/>
              <w:t>0.4 g/kg/day,</w:t>
            </w:r>
          </w:p>
          <w:p w14:paraId="2AAF3DA3" w14:textId="77777777" w:rsidR="000B06F3" w:rsidRPr="00DA3C6E" w:rsidRDefault="000B06F3" w:rsidP="008A5F97">
            <w:pPr>
              <w:pStyle w:val="Tabletext1"/>
              <w:jc w:val="left"/>
            </w:pPr>
            <w:r w:rsidRPr="00DA3C6E">
              <w:t>for three to five consecutive days at intervals</w:t>
            </w:r>
          </w:p>
          <w:p w14:paraId="1FDC577B" w14:textId="77777777" w:rsidR="000B06F3" w:rsidRPr="00DA3C6E" w:rsidRDefault="000B06F3" w:rsidP="008A5F97">
            <w:pPr>
              <w:pStyle w:val="Tabletext1"/>
              <w:jc w:val="left"/>
            </w:pPr>
            <w:r w:rsidRPr="00DA3C6E">
              <w:lastRenderedPageBreak/>
              <w:t>determined for each patient after the first evaluation.</w:t>
            </w:r>
          </w:p>
          <w:p w14:paraId="6314C52D" w14:textId="77777777" w:rsidR="000B06F3" w:rsidRPr="00DA3C6E" w:rsidRDefault="000B06F3" w:rsidP="008A5F97">
            <w:pPr>
              <w:pStyle w:val="Tabletext1"/>
              <w:jc w:val="left"/>
            </w:pPr>
            <w:r w:rsidRPr="00DA3C6E">
              <w:t>A mean of 6-3 (range 2 to 15) infusions</w:t>
            </w:r>
          </w:p>
          <w:p w14:paraId="2EDD31BB" w14:textId="77777777" w:rsidR="000B06F3" w:rsidRPr="00DA3C6E" w:rsidRDefault="000B06F3" w:rsidP="008A5F97">
            <w:pPr>
              <w:pStyle w:val="Tabletext1"/>
              <w:jc w:val="left"/>
            </w:pPr>
            <w:r w:rsidRPr="00DA3C6E">
              <w:t>were performed per patient during a period of</w:t>
            </w:r>
          </w:p>
          <w:p w14:paraId="76C9995D" w14:textId="77777777" w:rsidR="000B06F3" w:rsidRPr="00DA3C6E" w:rsidRDefault="000B06F3" w:rsidP="008A5F97">
            <w:pPr>
              <w:pStyle w:val="Tabletext1"/>
              <w:jc w:val="left"/>
            </w:pPr>
            <w:r w:rsidRPr="00DA3C6E">
              <w:t>nine to 48 months with a mean follow up of</w:t>
            </w:r>
          </w:p>
          <w:p w14:paraId="2F0D7B19" w14:textId="77777777" w:rsidR="000B06F3" w:rsidRPr="00DA3C6E" w:rsidRDefault="000B06F3" w:rsidP="008A5F97">
            <w:pPr>
              <w:pStyle w:val="Tabletext1"/>
              <w:jc w:val="left"/>
            </w:pPr>
            <w:r w:rsidRPr="00DA3C6E">
              <w:t>25-3 months.</w:t>
            </w:r>
          </w:p>
        </w:tc>
        <w:tc>
          <w:tcPr>
            <w:tcW w:w="1781" w:type="dxa"/>
            <w:tcBorders>
              <w:top w:val="single" w:sz="4" w:space="0" w:color="auto"/>
              <w:left w:val="single" w:sz="4" w:space="0" w:color="auto"/>
              <w:right w:val="single" w:sz="4" w:space="0" w:color="auto"/>
            </w:tcBorders>
          </w:tcPr>
          <w:p w14:paraId="333840BB" w14:textId="77777777" w:rsidR="000B06F3" w:rsidRPr="00DA3C6E" w:rsidRDefault="000B06F3" w:rsidP="008A5F97">
            <w:pPr>
              <w:pStyle w:val="Tabletext1"/>
              <w:jc w:val="left"/>
            </w:pPr>
            <w:r w:rsidRPr="00DA3C6E">
              <w:lastRenderedPageBreak/>
              <w:t>Improvement in muscle strength</w:t>
            </w:r>
          </w:p>
          <w:p w14:paraId="101806D3" w14:textId="77777777" w:rsidR="000B06F3" w:rsidRPr="00DA3C6E" w:rsidRDefault="000B06F3" w:rsidP="008A5F97">
            <w:pPr>
              <w:pStyle w:val="Tabletext1"/>
              <w:jc w:val="left"/>
            </w:pPr>
          </w:p>
          <w:p w14:paraId="04CA8BAC"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695CEFBE"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MVIC</w:t>
            </w:r>
          </w:p>
          <w:p w14:paraId="2D6636F3" w14:textId="77777777" w:rsidR="000B06F3" w:rsidRPr="00DA3C6E" w:rsidRDefault="000B06F3" w:rsidP="008A5F97">
            <w:pPr>
              <w:pStyle w:val="Tabletext1"/>
              <w:jc w:val="left"/>
            </w:pPr>
          </w:p>
          <w:p w14:paraId="4556C378" w14:textId="77777777" w:rsidR="000B06F3" w:rsidRPr="00DA3C6E" w:rsidRDefault="000B06F3" w:rsidP="008A5F97">
            <w:pPr>
              <w:pStyle w:val="Tabletext1"/>
              <w:jc w:val="left"/>
            </w:pPr>
          </w:p>
        </w:tc>
      </w:tr>
      <w:tr w:rsidR="007C7E04" w:rsidRPr="00DA3C6E" w14:paraId="58AF4FA1" w14:textId="77777777" w:rsidTr="006A5E97">
        <w:trPr>
          <w:trHeight w:val="319"/>
        </w:trPr>
        <w:tc>
          <w:tcPr>
            <w:tcW w:w="1424" w:type="dxa"/>
            <w:tcBorders>
              <w:left w:val="single" w:sz="4" w:space="0" w:color="auto"/>
              <w:right w:val="single" w:sz="4" w:space="0" w:color="auto"/>
            </w:tcBorders>
          </w:tcPr>
          <w:p w14:paraId="07DF0F27"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1354F342"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D04E545"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7FDC6E0A"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46767E01"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4ACCB651"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2A7B25FB"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516CDEE1" w14:textId="77777777" w:rsidR="000B06F3" w:rsidRPr="00DA3C6E" w:rsidRDefault="000B06F3" w:rsidP="008A5F97">
            <w:pPr>
              <w:spacing w:after="0" w:line="240" w:lineRule="auto"/>
              <w:jc w:val="left"/>
              <w:rPr>
                <w:rFonts w:ascii="Arial Narrow" w:hAnsi="Arial Narrow" w:cs="Calibri"/>
                <w:color w:val="000000"/>
                <w:sz w:val="20"/>
                <w:szCs w:val="20"/>
              </w:rPr>
            </w:pPr>
            <w:r w:rsidRPr="00DA3C6E">
              <w:rPr>
                <w:rFonts w:ascii="Arial Narrow" w:hAnsi="Arial Narrow"/>
                <w:sz w:val="20"/>
                <w:szCs w:val="20"/>
              </w:rPr>
              <w:t>Electrophysiological examination</w:t>
            </w:r>
          </w:p>
        </w:tc>
      </w:tr>
      <w:tr w:rsidR="007C7E04" w:rsidRPr="00DA3C6E" w14:paraId="4A09FF74" w14:textId="77777777" w:rsidTr="006A5E97">
        <w:trPr>
          <w:trHeight w:val="319"/>
        </w:trPr>
        <w:tc>
          <w:tcPr>
            <w:tcW w:w="1424" w:type="dxa"/>
            <w:tcBorders>
              <w:left w:val="single" w:sz="4" w:space="0" w:color="auto"/>
              <w:bottom w:val="single" w:sz="4" w:space="0" w:color="auto"/>
              <w:right w:val="single" w:sz="4" w:space="0" w:color="auto"/>
            </w:tcBorders>
          </w:tcPr>
          <w:p w14:paraId="588EB0EC"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75263AFA"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56B18294"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72EB480C"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4737DDDC"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4547112C"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526A8D11"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5CB294F9" w14:textId="77777777" w:rsidR="000B06F3" w:rsidRPr="00DA3C6E" w:rsidRDefault="000B06F3" w:rsidP="008A5F97">
            <w:pPr>
              <w:spacing w:after="0" w:line="240" w:lineRule="auto"/>
              <w:jc w:val="left"/>
            </w:pPr>
          </w:p>
        </w:tc>
      </w:tr>
      <w:tr w:rsidR="007C7E04" w:rsidRPr="00DA3C6E" w14:paraId="34EDCBC3" w14:textId="77777777" w:rsidTr="006A5E97">
        <w:trPr>
          <w:trHeight w:val="319"/>
        </w:trPr>
        <w:tc>
          <w:tcPr>
            <w:tcW w:w="1424" w:type="dxa"/>
            <w:tcBorders>
              <w:top w:val="single" w:sz="4" w:space="0" w:color="auto"/>
              <w:left w:val="single" w:sz="4" w:space="0" w:color="auto"/>
              <w:right w:val="single" w:sz="4" w:space="0" w:color="auto"/>
            </w:tcBorders>
          </w:tcPr>
          <w:p w14:paraId="7C99EDAA" w14:textId="603CC299" w:rsidR="000B06F3" w:rsidRPr="00DA3C6E" w:rsidRDefault="000B06F3" w:rsidP="008A5F97">
            <w:pPr>
              <w:pStyle w:val="Tabletext1"/>
              <w:jc w:val="left"/>
            </w:pPr>
            <w:r w:rsidRPr="00DA3C6E">
              <w:t>Grehl et al. 1997</w:t>
            </w:r>
            <w:r w:rsidR="00DB568A" w:rsidRPr="00DA3C6E">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00DB568A" w:rsidRPr="00DA3C6E">
              <w:instrText xml:space="preserve"> ADDIN EN.CITE </w:instrText>
            </w:r>
            <w:r w:rsidR="00DB568A" w:rsidRPr="00DA3C6E">
              <w:fldChar w:fldCharType="begin">
                <w:fldData xml:space="preserve">PEVuZE5vdGU+PENpdGU+PEF1dGhvcj5HcmVobDwvQXV0aG9yPjxZZWFyPjE5OTc8L1llYXI+PFJl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9" w:tooltip="Grehl, 1997 #24" w:history="1">
              <w:r w:rsidR="00C04BCE" w:rsidRPr="00DA3C6E">
                <w:rPr>
                  <w:noProof/>
                </w:rPr>
                <w:t>39</w:t>
              </w:r>
            </w:hyperlink>
            <w:r w:rsidR="00DB568A" w:rsidRPr="00DA3C6E">
              <w:rPr>
                <w:noProof/>
              </w:rPr>
              <w:t>)</w:t>
            </w:r>
            <w:r w:rsidR="00DB568A" w:rsidRPr="00DA3C6E">
              <w:fldChar w:fldCharType="end"/>
            </w:r>
          </w:p>
          <w:p w14:paraId="383F7B82"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767201AA"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0EB6D5FD"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173C0EDF" w14:textId="77777777" w:rsidR="000B06F3" w:rsidRPr="00DA3C6E" w:rsidRDefault="000B06F3" w:rsidP="008A5F97">
            <w:pPr>
              <w:pStyle w:val="Tabletext1"/>
              <w:jc w:val="left"/>
            </w:pPr>
            <w:r w:rsidRPr="00DA3C6E">
              <w:t xml:space="preserve">NR </w:t>
            </w:r>
          </w:p>
        </w:tc>
        <w:tc>
          <w:tcPr>
            <w:tcW w:w="1621" w:type="dxa"/>
            <w:tcBorders>
              <w:top w:val="single" w:sz="4" w:space="0" w:color="auto"/>
              <w:left w:val="single" w:sz="4" w:space="0" w:color="auto"/>
              <w:right w:val="single" w:sz="4" w:space="0" w:color="auto"/>
            </w:tcBorders>
          </w:tcPr>
          <w:p w14:paraId="7613512F" w14:textId="77777777" w:rsidR="000B06F3" w:rsidRPr="00DA3C6E" w:rsidRDefault="000B06F3" w:rsidP="008A5F97">
            <w:pPr>
              <w:pStyle w:val="Tabletext1"/>
              <w:jc w:val="left"/>
            </w:pPr>
            <w:r w:rsidRPr="00DA3C6E">
              <w:t xml:space="preserve">7 patients with MMN </w:t>
            </w:r>
          </w:p>
        </w:tc>
        <w:tc>
          <w:tcPr>
            <w:tcW w:w="1813" w:type="dxa"/>
            <w:tcBorders>
              <w:top w:val="single" w:sz="4" w:space="0" w:color="auto"/>
              <w:left w:val="single" w:sz="4" w:space="0" w:color="auto"/>
              <w:right w:val="single" w:sz="4" w:space="0" w:color="auto"/>
            </w:tcBorders>
          </w:tcPr>
          <w:p w14:paraId="5E1E5F8C" w14:textId="77777777" w:rsidR="000B06F3" w:rsidRPr="00DA3C6E" w:rsidRDefault="000B06F3" w:rsidP="008A5F97">
            <w:pPr>
              <w:pStyle w:val="Tabletext1"/>
              <w:jc w:val="left"/>
            </w:pPr>
            <w:r w:rsidRPr="00DA3C6E">
              <w:t>During the first intravenous Ig course 0.4g/kg per day</w:t>
            </w:r>
          </w:p>
          <w:p w14:paraId="4E447837" w14:textId="77777777" w:rsidR="000B06F3" w:rsidRPr="00DA3C6E" w:rsidRDefault="000B06F3" w:rsidP="008A5F97">
            <w:pPr>
              <w:pStyle w:val="Tabletext1"/>
              <w:jc w:val="left"/>
            </w:pPr>
            <w:r w:rsidRPr="00DA3C6E">
              <w:t>for 5 days</w:t>
            </w:r>
          </w:p>
        </w:tc>
        <w:tc>
          <w:tcPr>
            <w:tcW w:w="1781" w:type="dxa"/>
            <w:tcBorders>
              <w:top w:val="single" w:sz="4" w:space="0" w:color="auto"/>
              <w:left w:val="single" w:sz="4" w:space="0" w:color="auto"/>
              <w:right w:val="single" w:sz="4" w:space="0" w:color="auto"/>
            </w:tcBorders>
          </w:tcPr>
          <w:p w14:paraId="33C4C793" w14:textId="77777777" w:rsidR="000B06F3" w:rsidRPr="00DA3C6E" w:rsidRDefault="000B06F3" w:rsidP="008A5F97">
            <w:pPr>
              <w:pStyle w:val="Tabletext1"/>
              <w:jc w:val="left"/>
            </w:pPr>
            <w:r w:rsidRPr="00DA3C6E">
              <w:t xml:space="preserve">Improvement in disability </w:t>
            </w:r>
          </w:p>
          <w:p w14:paraId="1F2913F8"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05EFC21A" w14:textId="77777777" w:rsidR="000B06F3" w:rsidRPr="00DA3C6E" w:rsidRDefault="000B06F3" w:rsidP="008A5F97">
            <w:pPr>
              <w:pStyle w:val="Tabletext1"/>
              <w:ind w:left="34"/>
              <w:jc w:val="left"/>
            </w:pPr>
            <w:r w:rsidRPr="00DA3C6E">
              <w:t>MRDS</w:t>
            </w:r>
          </w:p>
          <w:p w14:paraId="59F60AFA" w14:textId="77777777" w:rsidR="000B06F3" w:rsidRPr="00DA3C6E" w:rsidRDefault="000B06F3" w:rsidP="008A5F97">
            <w:pPr>
              <w:pStyle w:val="Tabletext1"/>
              <w:ind w:left="34"/>
              <w:jc w:val="left"/>
            </w:pPr>
          </w:p>
          <w:p w14:paraId="4F10071D" w14:textId="77777777" w:rsidR="000B06F3" w:rsidRPr="00DA3C6E" w:rsidRDefault="000B06F3" w:rsidP="008A5F97">
            <w:pPr>
              <w:pStyle w:val="Tabletext1"/>
              <w:ind w:left="34"/>
              <w:jc w:val="left"/>
            </w:pPr>
          </w:p>
        </w:tc>
      </w:tr>
      <w:tr w:rsidR="007C7E04" w:rsidRPr="00DA3C6E" w14:paraId="01FC4F25" w14:textId="77777777" w:rsidTr="006A5E97">
        <w:trPr>
          <w:trHeight w:val="319"/>
        </w:trPr>
        <w:tc>
          <w:tcPr>
            <w:tcW w:w="1424" w:type="dxa"/>
            <w:tcBorders>
              <w:left w:val="single" w:sz="4" w:space="0" w:color="auto"/>
              <w:right w:val="single" w:sz="4" w:space="0" w:color="auto"/>
            </w:tcBorders>
          </w:tcPr>
          <w:p w14:paraId="21AEC4B8"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48BD8842"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2A211568"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523F10EB"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5878F4EA"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3358A447"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6AA30784" w14:textId="77777777" w:rsidR="000B06F3" w:rsidRPr="00DA3C6E" w:rsidRDefault="000B06F3" w:rsidP="008A5F97">
            <w:pPr>
              <w:pStyle w:val="Tabletext1"/>
              <w:jc w:val="left"/>
            </w:pPr>
            <w:r w:rsidRPr="00DA3C6E">
              <w:t>Improvement in muscle strength</w:t>
            </w:r>
          </w:p>
          <w:p w14:paraId="0B6436FC"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1E9E27D5" w14:textId="77777777" w:rsidR="000B06F3" w:rsidRPr="00DA3C6E" w:rsidRDefault="000B06F3" w:rsidP="008A5F97">
            <w:pPr>
              <w:pStyle w:val="Tabletext1"/>
              <w:ind w:left="34"/>
              <w:jc w:val="left"/>
            </w:pPr>
            <w:r w:rsidRPr="00DA3C6E">
              <w:t>MRC</w:t>
            </w:r>
          </w:p>
          <w:p w14:paraId="346AD864" w14:textId="77777777" w:rsidR="000B06F3" w:rsidRPr="00DA3C6E" w:rsidRDefault="000B06F3" w:rsidP="008A5F97">
            <w:pPr>
              <w:pStyle w:val="Tabletext1"/>
              <w:ind w:left="34"/>
              <w:jc w:val="left"/>
            </w:pPr>
          </w:p>
        </w:tc>
      </w:tr>
      <w:tr w:rsidR="007C7E04" w:rsidRPr="00DA3C6E" w14:paraId="64C0C36F" w14:textId="77777777" w:rsidTr="006A5E97">
        <w:trPr>
          <w:trHeight w:val="319"/>
        </w:trPr>
        <w:tc>
          <w:tcPr>
            <w:tcW w:w="1424" w:type="dxa"/>
            <w:tcBorders>
              <w:left w:val="single" w:sz="4" w:space="0" w:color="auto"/>
              <w:right w:val="single" w:sz="4" w:space="0" w:color="auto"/>
            </w:tcBorders>
          </w:tcPr>
          <w:p w14:paraId="4774F79D"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6D4C0C37"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197D8415"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7F40D4E5"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75344907"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71E28AD9"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1AF5AA09"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5D88D0D7" w14:textId="77777777" w:rsidR="000B06F3" w:rsidRPr="00DA3C6E" w:rsidRDefault="000B06F3" w:rsidP="008A5F97">
            <w:pPr>
              <w:pStyle w:val="Tabletext1"/>
              <w:ind w:left="34"/>
              <w:jc w:val="left"/>
            </w:pPr>
            <w:r w:rsidRPr="00DA3C6E">
              <w:t>Neurophysiological studies</w:t>
            </w:r>
          </w:p>
        </w:tc>
      </w:tr>
      <w:tr w:rsidR="007C7E04" w:rsidRPr="00DA3C6E" w14:paraId="2A05205A" w14:textId="77777777" w:rsidTr="006A5E97">
        <w:trPr>
          <w:trHeight w:val="319"/>
        </w:trPr>
        <w:tc>
          <w:tcPr>
            <w:tcW w:w="1424" w:type="dxa"/>
            <w:tcBorders>
              <w:left w:val="single" w:sz="4" w:space="0" w:color="auto"/>
              <w:bottom w:val="single" w:sz="4" w:space="0" w:color="auto"/>
              <w:right w:val="single" w:sz="4" w:space="0" w:color="auto"/>
            </w:tcBorders>
          </w:tcPr>
          <w:p w14:paraId="521678C7" w14:textId="77777777" w:rsidR="000B06F3" w:rsidRPr="00DA3C6E" w:rsidRDefault="000B06F3" w:rsidP="00136334">
            <w:pPr>
              <w:pStyle w:val="Tabletext1"/>
            </w:pPr>
          </w:p>
        </w:tc>
        <w:tc>
          <w:tcPr>
            <w:tcW w:w="1787" w:type="dxa"/>
            <w:tcBorders>
              <w:left w:val="single" w:sz="4" w:space="0" w:color="auto"/>
              <w:bottom w:val="single" w:sz="4" w:space="0" w:color="auto"/>
              <w:right w:val="single" w:sz="4" w:space="0" w:color="auto"/>
            </w:tcBorders>
          </w:tcPr>
          <w:p w14:paraId="43244302" w14:textId="77777777" w:rsidR="000B06F3" w:rsidRPr="00DA3C6E" w:rsidRDefault="000B06F3" w:rsidP="00136334">
            <w:pPr>
              <w:pStyle w:val="Tabletext1"/>
            </w:pPr>
          </w:p>
        </w:tc>
        <w:tc>
          <w:tcPr>
            <w:tcW w:w="1259" w:type="dxa"/>
            <w:tcBorders>
              <w:left w:val="single" w:sz="4" w:space="0" w:color="auto"/>
              <w:bottom w:val="single" w:sz="4" w:space="0" w:color="auto"/>
              <w:right w:val="single" w:sz="4" w:space="0" w:color="auto"/>
            </w:tcBorders>
          </w:tcPr>
          <w:p w14:paraId="612B7FF6" w14:textId="77777777" w:rsidR="000B06F3" w:rsidRPr="00DA3C6E" w:rsidRDefault="000B06F3" w:rsidP="00136334">
            <w:pPr>
              <w:pStyle w:val="Tabletext1"/>
            </w:pPr>
          </w:p>
        </w:tc>
        <w:tc>
          <w:tcPr>
            <w:tcW w:w="1812" w:type="dxa"/>
            <w:tcBorders>
              <w:left w:val="single" w:sz="4" w:space="0" w:color="auto"/>
              <w:bottom w:val="single" w:sz="4" w:space="0" w:color="auto"/>
              <w:right w:val="single" w:sz="4" w:space="0" w:color="auto"/>
            </w:tcBorders>
          </w:tcPr>
          <w:p w14:paraId="5CD8F135" w14:textId="77777777" w:rsidR="000B06F3" w:rsidRPr="00DA3C6E" w:rsidRDefault="000B06F3" w:rsidP="00136334">
            <w:pPr>
              <w:pStyle w:val="Tabletext1"/>
            </w:pPr>
          </w:p>
        </w:tc>
        <w:tc>
          <w:tcPr>
            <w:tcW w:w="1621" w:type="dxa"/>
            <w:tcBorders>
              <w:left w:val="single" w:sz="4" w:space="0" w:color="auto"/>
              <w:bottom w:val="single" w:sz="4" w:space="0" w:color="auto"/>
              <w:right w:val="single" w:sz="4" w:space="0" w:color="auto"/>
            </w:tcBorders>
          </w:tcPr>
          <w:p w14:paraId="09AA6D3A" w14:textId="77777777" w:rsidR="000B06F3" w:rsidRPr="00DA3C6E" w:rsidRDefault="000B06F3" w:rsidP="00136334">
            <w:pPr>
              <w:pStyle w:val="Tabletext1"/>
            </w:pPr>
          </w:p>
        </w:tc>
        <w:tc>
          <w:tcPr>
            <w:tcW w:w="1813" w:type="dxa"/>
            <w:tcBorders>
              <w:left w:val="single" w:sz="4" w:space="0" w:color="auto"/>
              <w:bottom w:val="single" w:sz="4" w:space="0" w:color="auto"/>
              <w:right w:val="single" w:sz="4" w:space="0" w:color="auto"/>
            </w:tcBorders>
          </w:tcPr>
          <w:p w14:paraId="6A2CFDEB" w14:textId="77777777" w:rsidR="000B06F3" w:rsidRPr="00DA3C6E" w:rsidRDefault="000B06F3" w:rsidP="00136334">
            <w:pPr>
              <w:pStyle w:val="Tabletext1"/>
            </w:pPr>
          </w:p>
        </w:tc>
        <w:tc>
          <w:tcPr>
            <w:tcW w:w="1781" w:type="dxa"/>
            <w:tcBorders>
              <w:left w:val="single" w:sz="4" w:space="0" w:color="auto"/>
              <w:bottom w:val="single" w:sz="4" w:space="0" w:color="auto"/>
              <w:right w:val="single" w:sz="4" w:space="0" w:color="auto"/>
            </w:tcBorders>
          </w:tcPr>
          <w:p w14:paraId="5B1614E2" w14:textId="77777777" w:rsidR="000B06F3" w:rsidRPr="00DA3C6E" w:rsidRDefault="000B06F3" w:rsidP="00136334">
            <w:pPr>
              <w:pStyle w:val="Tabletext1"/>
            </w:pPr>
            <w:r w:rsidRPr="00DA3C6E">
              <w:t>AEs</w:t>
            </w:r>
          </w:p>
        </w:tc>
        <w:tc>
          <w:tcPr>
            <w:tcW w:w="2957" w:type="dxa"/>
            <w:tcBorders>
              <w:left w:val="single" w:sz="4" w:space="0" w:color="auto"/>
              <w:bottom w:val="single" w:sz="4" w:space="0" w:color="auto"/>
              <w:right w:val="single" w:sz="4" w:space="0" w:color="auto"/>
            </w:tcBorders>
          </w:tcPr>
          <w:p w14:paraId="792C0D3F" w14:textId="77777777" w:rsidR="000B06F3" w:rsidRPr="00DA3C6E" w:rsidRDefault="000B06F3" w:rsidP="00136334">
            <w:pPr>
              <w:pStyle w:val="Tabletext1"/>
              <w:ind w:left="34"/>
            </w:pPr>
          </w:p>
        </w:tc>
      </w:tr>
      <w:tr w:rsidR="007C7E04" w:rsidRPr="00DA3C6E" w14:paraId="308DB92D" w14:textId="77777777" w:rsidTr="006A5E97">
        <w:trPr>
          <w:trHeight w:val="319"/>
        </w:trPr>
        <w:tc>
          <w:tcPr>
            <w:tcW w:w="1424" w:type="dxa"/>
            <w:tcBorders>
              <w:top w:val="single" w:sz="4" w:space="0" w:color="auto"/>
              <w:left w:val="single" w:sz="4" w:space="0" w:color="auto"/>
              <w:right w:val="single" w:sz="4" w:space="0" w:color="auto"/>
            </w:tcBorders>
          </w:tcPr>
          <w:p w14:paraId="21B6D6EB" w14:textId="393FFC73" w:rsidR="000B06F3" w:rsidRPr="00DA3C6E" w:rsidRDefault="000047E2" w:rsidP="008A5F97">
            <w:pPr>
              <w:pStyle w:val="Tabletext1"/>
              <w:jc w:val="left"/>
              <w:rPr>
                <w:lang w:val="es-CL"/>
              </w:rPr>
            </w:pPr>
            <w:r w:rsidRPr="00DA3C6E">
              <w:rPr>
                <w:lang w:val="es-CL"/>
              </w:rPr>
              <w:t>V</w:t>
            </w:r>
            <w:r w:rsidR="000B06F3" w:rsidRPr="00DA3C6E">
              <w:rPr>
                <w:lang w:val="es-CL"/>
              </w:rPr>
              <w:t>an den Berg et al</w:t>
            </w:r>
            <w:r w:rsidRPr="00DA3C6E">
              <w:rPr>
                <w:lang w:val="es-CL"/>
              </w:rPr>
              <w:t>.</w:t>
            </w:r>
            <w:r w:rsidR="000B06F3" w:rsidRPr="00DA3C6E">
              <w:rPr>
                <w:lang w:val="es-CL"/>
              </w:rPr>
              <w:t xml:space="preserve"> 1998</w:t>
            </w:r>
            <w:r w:rsidR="00DB568A" w:rsidRPr="00DA3C6E">
              <w:rPr>
                <w:lang w:val="es-CL"/>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00DB568A" w:rsidRPr="00DA3C6E">
              <w:rPr>
                <w:lang w:val="es-CL"/>
              </w:rPr>
              <w:instrText xml:space="preserve"> ADDIN EN.CITE </w:instrText>
            </w:r>
            <w:r w:rsidR="00DB568A" w:rsidRPr="00DA3C6E">
              <w:rPr>
                <w:lang w:val="es-CL"/>
              </w:rPr>
              <w:fldChar w:fldCharType="begin">
                <w:fldData xml:space="preserve">PEVuZE5vdGU+PENpdGU+PEF1dGhvcj5WYW4gRGVuIEJlcmc8L0F1dGhvcj48WWVhcj4xOTk4PC9Z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</w:fldData>
              </w:fldChar>
            </w:r>
            <w:r w:rsidR="00DB568A" w:rsidRPr="00DA3C6E">
              <w:rPr>
                <w:lang w:val="es-CL"/>
              </w:rPr>
              <w:instrText xml:space="preserve"> ADDIN EN.CITE.DATA </w:instrText>
            </w:r>
            <w:r w:rsidR="00DB568A" w:rsidRPr="00DA3C6E">
              <w:rPr>
                <w:lang w:val="es-CL"/>
              </w:rPr>
            </w:r>
            <w:r w:rsidR="00DB568A" w:rsidRPr="00DA3C6E">
              <w:rPr>
                <w:lang w:val="es-CL"/>
              </w:rPr>
              <w:fldChar w:fldCharType="end"/>
            </w:r>
            <w:r w:rsidR="00DB568A" w:rsidRPr="00DA3C6E">
              <w:rPr>
                <w:lang w:val="es-CL"/>
              </w:rPr>
            </w:r>
            <w:r w:rsidR="00DB568A" w:rsidRPr="00DA3C6E">
              <w:rPr>
                <w:lang w:val="es-CL"/>
              </w:rPr>
              <w:fldChar w:fldCharType="separate"/>
            </w:r>
            <w:r w:rsidR="00DB568A" w:rsidRPr="00DA3C6E">
              <w:rPr>
                <w:noProof/>
                <w:lang w:val="es-CL"/>
              </w:rPr>
              <w:t>(</w:t>
            </w:r>
            <w:hyperlink w:anchor="_ENREF_29" w:tooltip="Van Den Berg, 1998 #66" w:history="1">
              <w:r w:rsidR="00C04BCE" w:rsidRPr="00DA3C6E">
                <w:rPr>
                  <w:noProof/>
                  <w:lang w:val="es-CL"/>
                </w:rPr>
                <w:t>29</w:t>
              </w:r>
            </w:hyperlink>
            <w:r w:rsidR="00DB568A" w:rsidRPr="00DA3C6E">
              <w:rPr>
                <w:noProof/>
                <w:lang w:val="es-CL"/>
              </w:rPr>
              <w:t>)</w:t>
            </w:r>
            <w:r w:rsidR="00DB568A" w:rsidRPr="00DA3C6E">
              <w:rPr>
                <w:lang w:val="es-CL"/>
              </w:rPr>
              <w:fldChar w:fldCharType="end"/>
            </w:r>
          </w:p>
          <w:p w14:paraId="7E5FAE03" w14:textId="77777777" w:rsidR="000B06F3" w:rsidRPr="00DA3C6E" w:rsidRDefault="000B06F3" w:rsidP="008A5F97">
            <w:pPr>
              <w:pStyle w:val="Tabletext1"/>
              <w:jc w:val="left"/>
              <w:rPr>
                <w:lang w:val="es-CL"/>
              </w:rPr>
            </w:pPr>
          </w:p>
        </w:tc>
        <w:tc>
          <w:tcPr>
            <w:tcW w:w="1787" w:type="dxa"/>
            <w:tcBorders>
              <w:top w:val="single" w:sz="4" w:space="0" w:color="auto"/>
              <w:left w:val="single" w:sz="4" w:space="0" w:color="auto"/>
              <w:right w:val="single" w:sz="4" w:space="0" w:color="auto"/>
            </w:tcBorders>
          </w:tcPr>
          <w:p w14:paraId="37A3B595"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1E79DEC9" w14:textId="77777777" w:rsidR="000B06F3" w:rsidRPr="00DA3C6E" w:rsidRDefault="000B06F3" w:rsidP="008A5F97">
            <w:pPr>
              <w:pStyle w:val="Tabletext1"/>
              <w:jc w:val="left"/>
            </w:pPr>
            <w:r w:rsidRPr="00DA3C6E">
              <w:t>L</w:t>
            </w:r>
          </w:p>
        </w:tc>
        <w:tc>
          <w:tcPr>
            <w:tcW w:w="1812" w:type="dxa"/>
            <w:tcBorders>
              <w:top w:val="single" w:sz="4" w:space="0" w:color="auto"/>
              <w:left w:val="single" w:sz="4" w:space="0" w:color="auto"/>
              <w:right w:val="single" w:sz="4" w:space="0" w:color="auto"/>
            </w:tcBorders>
          </w:tcPr>
          <w:p w14:paraId="44648DB3" w14:textId="56A41E8A" w:rsidR="000B06F3" w:rsidRPr="00DA3C6E" w:rsidRDefault="000B06F3" w:rsidP="008A5F97">
            <w:pPr>
              <w:pStyle w:val="Tabletext1"/>
              <w:jc w:val="left"/>
            </w:pPr>
            <w:r w:rsidRPr="00DA3C6E">
              <w:t>Asymmetrical lower motor neuron syndrome with onset distally in one limb, areflexia or hyporeflexia, absent upper motor neuron features, and evidence of CB. All patients we</w:t>
            </w:r>
            <w:r w:rsidR="00AB0563" w:rsidRPr="00DA3C6E">
              <w:t>re</w:t>
            </w:r>
            <w:r w:rsidRPr="00DA3C6E">
              <w:t xml:space="preserve"> previously untreated and presented with a decline in muscle strength before intravenous Ig.</w:t>
            </w:r>
          </w:p>
        </w:tc>
        <w:tc>
          <w:tcPr>
            <w:tcW w:w="1621" w:type="dxa"/>
            <w:tcBorders>
              <w:top w:val="single" w:sz="4" w:space="0" w:color="auto"/>
              <w:left w:val="single" w:sz="4" w:space="0" w:color="auto"/>
              <w:right w:val="single" w:sz="4" w:space="0" w:color="auto"/>
            </w:tcBorders>
          </w:tcPr>
          <w:p w14:paraId="609CED35" w14:textId="77777777" w:rsidR="000B06F3" w:rsidRPr="00DA3C6E" w:rsidRDefault="000B06F3" w:rsidP="008A5F97">
            <w:pPr>
              <w:pStyle w:val="Tabletext1"/>
              <w:jc w:val="left"/>
            </w:pPr>
            <w:r w:rsidRPr="00DA3C6E">
              <w:t>7 patients with MMN</w:t>
            </w:r>
          </w:p>
        </w:tc>
        <w:tc>
          <w:tcPr>
            <w:tcW w:w="1813" w:type="dxa"/>
            <w:tcBorders>
              <w:top w:val="single" w:sz="4" w:space="0" w:color="auto"/>
              <w:left w:val="single" w:sz="4" w:space="0" w:color="auto"/>
              <w:right w:val="single" w:sz="4" w:space="0" w:color="auto"/>
            </w:tcBorders>
          </w:tcPr>
          <w:p w14:paraId="7F44FAA5" w14:textId="77777777" w:rsidR="000B06F3" w:rsidRPr="00DA3C6E" w:rsidRDefault="000B06F3" w:rsidP="008A5F97">
            <w:pPr>
              <w:pStyle w:val="Tabletext1"/>
              <w:jc w:val="left"/>
            </w:pPr>
            <w:r w:rsidRPr="00DA3C6E">
              <w:t>2 Intravenous Ig treatments (0.4 g/kg for 5</w:t>
            </w:r>
          </w:p>
          <w:p w14:paraId="14507777" w14:textId="77777777" w:rsidR="000B06F3" w:rsidRPr="00DA3C6E" w:rsidRDefault="000B06F3" w:rsidP="008A5F97">
            <w:pPr>
              <w:pStyle w:val="Tabletext1"/>
              <w:jc w:val="left"/>
            </w:pPr>
            <w:r w:rsidRPr="00DA3C6E">
              <w:t>consecutive days) and 2 placebo treatments (pasteurized</w:t>
            </w:r>
          </w:p>
          <w:p w14:paraId="6E03DCE1" w14:textId="77777777" w:rsidR="000B06F3" w:rsidRPr="00DA3C6E" w:rsidRDefault="000B06F3" w:rsidP="008A5F97">
            <w:pPr>
              <w:pStyle w:val="Tabletext1"/>
              <w:jc w:val="left"/>
            </w:pPr>
            <w:r w:rsidRPr="00DA3C6E">
              <w:lastRenderedPageBreak/>
              <w:t>plasma solution for 5 consecutive days) in random order.</w:t>
            </w:r>
          </w:p>
          <w:p w14:paraId="253D9CF9" w14:textId="77777777" w:rsidR="000B06F3" w:rsidRPr="00DA3C6E" w:rsidRDefault="000B06F3" w:rsidP="008A5F97">
            <w:pPr>
              <w:pStyle w:val="Tabletext1"/>
              <w:jc w:val="left"/>
            </w:pPr>
            <w:r w:rsidRPr="00DA3C6E">
              <w:t>Treatments were blinded for the patient and the physician by</w:t>
            </w:r>
          </w:p>
          <w:p w14:paraId="47BBD266" w14:textId="77777777" w:rsidR="000B06F3" w:rsidRPr="00DA3C6E" w:rsidRDefault="000B06F3" w:rsidP="008A5F97">
            <w:pPr>
              <w:pStyle w:val="Tabletext1"/>
              <w:jc w:val="left"/>
            </w:pPr>
            <w:r w:rsidRPr="00DA3C6E">
              <w:t>the participating pharmacist.</w:t>
            </w:r>
          </w:p>
        </w:tc>
        <w:tc>
          <w:tcPr>
            <w:tcW w:w="1781" w:type="dxa"/>
            <w:tcBorders>
              <w:top w:val="single" w:sz="4" w:space="0" w:color="auto"/>
              <w:left w:val="single" w:sz="4" w:space="0" w:color="auto"/>
              <w:right w:val="single" w:sz="4" w:space="0" w:color="auto"/>
            </w:tcBorders>
          </w:tcPr>
          <w:p w14:paraId="0B837A02" w14:textId="77777777" w:rsidR="000B06F3" w:rsidRPr="00DA3C6E" w:rsidRDefault="000B06F3" w:rsidP="008A5F97">
            <w:pPr>
              <w:pStyle w:val="Tabletext1"/>
              <w:jc w:val="left"/>
            </w:pPr>
            <w:r w:rsidRPr="00DA3C6E">
              <w:lastRenderedPageBreak/>
              <w:t xml:space="preserve">Improvement in disability </w:t>
            </w:r>
          </w:p>
          <w:p w14:paraId="4DEC683B"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0167808B" w14:textId="77777777" w:rsidR="000B06F3" w:rsidRPr="00DA3C6E" w:rsidRDefault="000B06F3" w:rsidP="008A5F97">
            <w:pPr>
              <w:pStyle w:val="Tabletext1"/>
              <w:ind w:left="34"/>
              <w:jc w:val="left"/>
            </w:pPr>
            <w:r w:rsidRPr="00DA3C6E">
              <w:t>MRDs</w:t>
            </w:r>
          </w:p>
          <w:p w14:paraId="7ABB178E" w14:textId="77777777" w:rsidR="000B06F3" w:rsidRPr="00DA3C6E" w:rsidRDefault="000B06F3" w:rsidP="008A5F97">
            <w:pPr>
              <w:pStyle w:val="Tabletext1"/>
              <w:ind w:left="34"/>
              <w:jc w:val="left"/>
            </w:pPr>
          </w:p>
          <w:p w14:paraId="7683923A" w14:textId="77777777" w:rsidR="000B06F3" w:rsidRPr="00DA3C6E" w:rsidRDefault="000B06F3" w:rsidP="008A5F97">
            <w:pPr>
              <w:pStyle w:val="Tabletext1"/>
              <w:ind w:left="34"/>
              <w:jc w:val="left"/>
            </w:pPr>
          </w:p>
        </w:tc>
      </w:tr>
      <w:tr w:rsidR="007C7E04" w:rsidRPr="00DA3C6E" w14:paraId="4A187ACB" w14:textId="77777777" w:rsidTr="006A5E97">
        <w:trPr>
          <w:trHeight w:val="319"/>
        </w:trPr>
        <w:tc>
          <w:tcPr>
            <w:tcW w:w="1424" w:type="dxa"/>
            <w:tcBorders>
              <w:left w:val="single" w:sz="4" w:space="0" w:color="auto"/>
              <w:right w:val="single" w:sz="4" w:space="0" w:color="auto"/>
            </w:tcBorders>
          </w:tcPr>
          <w:p w14:paraId="4805C1CC"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1FE88FC5"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7E0382E"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2FD81EB8"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111F42CD"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775270A9"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30B8FA75" w14:textId="77777777" w:rsidR="000B06F3" w:rsidRPr="00DA3C6E" w:rsidRDefault="000B06F3" w:rsidP="008A5F97">
            <w:pPr>
              <w:pStyle w:val="Tabletext1"/>
              <w:jc w:val="left"/>
            </w:pPr>
            <w:r w:rsidRPr="00DA3C6E">
              <w:t>Improvement in muscle strength</w:t>
            </w:r>
          </w:p>
          <w:p w14:paraId="436D261B"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4D5BBE36" w14:textId="77777777" w:rsidR="000B06F3" w:rsidRPr="00DA3C6E" w:rsidRDefault="000B06F3" w:rsidP="008A5F97">
            <w:pPr>
              <w:pStyle w:val="Tabletext1"/>
              <w:ind w:left="34"/>
              <w:jc w:val="left"/>
            </w:pPr>
            <w:r w:rsidRPr="00DA3C6E">
              <w:t>Hand-held dynamometer</w:t>
            </w:r>
          </w:p>
          <w:p w14:paraId="539D06BE" w14:textId="77777777" w:rsidR="000B06F3" w:rsidRPr="00DA3C6E" w:rsidRDefault="000B06F3" w:rsidP="008A5F97">
            <w:pPr>
              <w:pStyle w:val="Tabletext1"/>
              <w:ind w:left="34"/>
              <w:jc w:val="left"/>
            </w:pPr>
          </w:p>
        </w:tc>
      </w:tr>
      <w:tr w:rsidR="007C7E04" w:rsidRPr="00DA3C6E" w14:paraId="019054C4" w14:textId="77777777" w:rsidTr="006A5E97">
        <w:trPr>
          <w:trHeight w:val="319"/>
        </w:trPr>
        <w:tc>
          <w:tcPr>
            <w:tcW w:w="1424" w:type="dxa"/>
            <w:tcBorders>
              <w:left w:val="single" w:sz="4" w:space="0" w:color="auto"/>
              <w:right w:val="single" w:sz="4" w:space="0" w:color="auto"/>
            </w:tcBorders>
          </w:tcPr>
          <w:p w14:paraId="282B9A6F"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2BD06240"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7456077D"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236A493D"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3F886255"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6E31210E"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6DCE0F8B"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15373246" w14:textId="77777777" w:rsidR="000B06F3" w:rsidRPr="00DA3C6E" w:rsidRDefault="000B06F3" w:rsidP="008A5F97">
            <w:pPr>
              <w:pStyle w:val="Tabletext1"/>
              <w:ind w:left="34"/>
              <w:jc w:val="left"/>
            </w:pPr>
            <w:r w:rsidRPr="00DA3C6E">
              <w:t>Electrophysiological studies, CMAP</w:t>
            </w:r>
          </w:p>
        </w:tc>
      </w:tr>
      <w:tr w:rsidR="007C7E04" w:rsidRPr="00DA3C6E" w14:paraId="2E45A6AA" w14:textId="77777777" w:rsidTr="006A5E97">
        <w:trPr>
          <w:trHeight w:val="319"/>
        </w:trPr>
        <w:tc>
          <w:tcPr>
            <w:tcW w:w="1424" w:type="dxa"/>
            <w:tcBorders>
              <w:left w:val="single" w:sz="4" w:space="0" w:color="auto"/>
              <w:bottom w:val="single" w:sz="4" w:space="0" w:color="auto"/>
              <w:right w:val="single" w:sz="4" w:space="0" w:color="auto"/>
            </w:tcBorders>
          </w:tcPr>
          <w:p w14:paraId="1910928F"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2BD34A00"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63CA9D01"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6EF61DFE"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72E98DB6"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04EE6373"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4869EEA5"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22F50ECD" w14:textId="77777777" w:rsidR="000B06F3" w:rsidRPr="00DA3C6E" w:rsidRDefault="000B06F3" w:rsidP="008A5F97">
            <w:pPr>
              <w:pStyle w:val="Tabletext1"/>
              <w:ind w:left="34"/>
              <w:jc w:val="left"/>
            </w:pPr>
          </w:p>
        </w:tc>
      </w:tr>
      <w:tr w:rsidR="007C7E04" w:rsidRPr="00DA3C6E" w14:paraId="30628BD1" w14:textId="77777777" w:rsidTr="006A5E97">
        <w:trPr>
          <w:trHeight w:val="319"/>
        </w:trPr>
        <w:tc>
          <w:tcPr>
            <w:tcW w:w="1424" w:type="dxa"/>
            <w:tcBorders>
              <w:top w:val="single" w:sz="4" w:space="0" w:color="auto"/>
              <w:left w:val="single" w:sz="4" w:space="0" w:color="auto"/>
              <w:right w:val="single" w:sz="4" w:space="0" w:color="auto"/>
            </w:tcBorders>
          </w:tcPr>
          <w:p w14:paraId="41179994" w14:textId="2930528B" w:rsidR="000B06F3" w:rsidRPr="00DA3C6E" w:rsidRDefault="000B06F3" w:rsidP="008A5F97">
            <w:pPr>
              <w:pStyle w:val="Tabletext1"/>
              <w:jc w:val="left"/>
            </w:pPr>
            <w:r w:rsidRPr="00DA3C6E">
              <w:t>Katz et al. 2002</w:t>
            </w:r>
            <w:r w:rsidR="00DB568A" w:rsidRPr="00DA3C6E">
              <w:fldChar w:fldCharType="begin"/>
            </w:r>
            <w:r w:rsidR="00DB568A" w:rsidRPr="00DA3C6E">
              <w:instrText xml:space="preserve"> ADDIN EN.CITE &lt;EndNote&gt;&lt;Cite&gt;&lt;Author&gt;Katz&lt;/Author&gt;&lt;Year&gt;2002&lt;/Year&gt;&lt;RecNum&gt;33&lt;/RecNum&gt;&lt;DisplayText&gt;(47)&lt;/DisplayText&gt;&lt;record&gt;&lt;rec-number&gt;33&lt;/rec-number&gt;&lt;foreign-keys&gt;&lt;key app="EN" db-id="0992p2ztn5fez9e2wvnpw2xstd20f9w2dezz" timestamp="1586818281"&gt;33&lt;/key&gt;&lt;/foreign-keys&gt;&lt;ref-type name="Journal Article"&gt;17&lt;/ref-type&gt;&lt;contributors&gt;&lt;authors&gt;&lt;author&gt;Katz, J. S.&lt;/author&gt;&lt;author&gt;Barohn, R. J.&lt;/author&gt;&lt;author&gt;Kojan, S.&lt;/author&gt;&lt;author&gt;Wolfe, G. I.&lt;/author&gt;&lt;author&gt;Nations, S. P.&lt;/author&gt;&lt;author&gt;Saperstein, D. S.&lt;/author&gt;&lt;author&gt;Amato, A. A.&lt;/author&gt;&lt;/authors&gt;&lt;/contributors&gt;&lt;auth-address&gt;Department of Neurology, Palo Alto VA Medical Center and Stanford University, Palo Alto, CA 94304, USA. jskatz@stanford.edu&lt;/auth-address&gt;&lt;titles&gt;&lt;title&gt;Axonal multifocal motor neuropathy without conduction block or other features of demyelination&lt;/title&gt;&lt;secondary-title&gt;Neurology&lt;/secondary-title&gt;&lt;/titles&gt;&lt;periodical&gt;&lt;full-title&gt;Neurology&lt;/full-title&gt;&lt;/periodical&gt;&lt;pages&gt;615-20&lt;/pages&gt;&lt;volume&gt;58&lt;/volume&gt;&lt;number&gt;4&lt;/number&gt;&lt;keywords&gt;&lt;keyword&gt;Adolescent&lt;/keyword&gt;&lt;keyword&gt;Adult&lt;/keyword&gt;&lt;keyword&gt;Aged&lt;/keyword&gt;&lt;keyword&gt;Anti-Inflammatory Agents/therapeutic use&lt;/keyword&gt;&lt;keyword&gt;Axons/ pathology&lt;/keyword&gt;&lt;keyword&gt;Demyelinating Diseases/ diagnosis&lt;/keyword&gt;&lt;keyword&gt;Electromyography&lt;/keyword&gt;&lt;keyword&gt;Female&lt;/keyword&gt;&lt;keyword&gt;Humans&lt;/keyword&gt;&lt;keyword&gt;Immunoglobulins, Intravenous/therapeutic use&lt;/keyword&gt;&lt;keyword&gt;Male&lt;/keyword&gt;&lt;keyword&gt;Middle Aged&lt;/keyword&gt;&lt;keyword&gt;Neural Conduction/physiology&lt;/keyword&gt;&lt;keyword&gt;Polyneuropathies/ diagnosis/drug therapy/physiopathology&lt;/keyword&gt;&lt;keyword&gt;Prednisone/therapeutic use&lt;/keyword&gt;&lt;/keywords&gt;&lt;dates&gt;&lt;year&gt;2002&lt;/year&gt;&lt;pub-dates&gt;&lt;date&gt;Feb 26&lt;/date&gt;&lt;/pub-dates&gt;&lt;/dates&gt;&lt;accession-num&gt;11865141&lt;/accession-num&gt;&lt;urls&gt;&lt;related-urls&gt;&lt;url&gt;https://n.neurology.org/content/58/4/615.long&lt;/url&gt;&lt;/related-urls&gt;&lt;/urls&gt;&lt;research-notes&gt;B. MMN patients with and witout conduction block treated with IVIg&lt;/research-notes&gt;&lt;/record&gt;&lt;/Cite&gt;&lt;/EndNote&gt;</w:instrText>
            </w:r>
            <w:r w:rsidR="00DB568A" w:rsidRPr="00DA3C6E">
              <w:fldChar w:fldCharType="separate"/>
            </w:r>
            <w:r w:rsidR="00DB568A" w:rsidRPr="00DA3C6E">
              <w:rPr>
                <w:noProof/>
              </w:rPr>
              <w:t>(</w:t>
            </w:r>
            <w:hyperlink w:anchor="_ENREF_47" w:tooltip="Katz, 2002 #33" w:history="1">
              <w:r w:rsidR="00C04BCE" w:rsidRPr="00DA3C6E">
                <w:rPr>
                  <w:noProof/>
                </w:rPr>
                <w:t>47</w:t>
              </w:r>
            </w:hyperlink>
            <w:r w:rsidR="00DB568A" w:rsidRPr="00DA3C6E">
              <w:rPr>
                <w:noProof/>
              </w:rPr>
              <w:t>)</w:t>
            </w:r>
            <w:r w:rsidR="00DB568A" w:rsidRPr="00DA3C6E">
              <w:fldChar w:fldCharType="end"/>
            </w:r>
          </w:p>
          <w:p w14:paraId="416BAA18"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5A6920B3" w14:textId="77777777" w:rsidR="000B06F3" w:rsidRPr="00DA3C6E" w:rsidRDefault="000B06F3" w:rsidP="008A5F97">
            <w:pPr>
              <w:jc w:val="left"/>
              <w:rPr>
                <w:rFonts w:ascii="Arial Narrow" w:hAnsi="Arial Narrow"/>
                <w:sz w:val="20"/>
                <w:szCs w:val="20"/>
              </w:rPr>
            </w:pPr>
            <w:r w:rsidRPr="00DA3C6E">
              <w:rPr>
                <w:rFonts w:ascii="Arial Narrow" w:hAnsi="Arial Narrow"/>
                <w:sz w:val="20"/>
                <w:szCs w:val="20"/>
              </w:rPr>
              <w:t>Prospective, open, uncontrolled trial</w:t>
            </w:r>
          </w:p>
        </w:tc>
        <w:tc>
          <w:tcPr>
            <w:tcW w:w="1259" w:type="dxa"/>
            <w:tcBorders>
              <w:top w:val="single" w:sz="4" w:space="0" w:color="auto"/>
              <w:left w:val="single" w:sz="4" w:space="0" w:color="auto"/>
              <w:right w:val="single" w:sz="4" w:space="0" w:color="auto"/>
            </w:tcBorders>
          </w:tcPr>
          <w:p w14:paraId="0E1865E5"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5909C720" w14:textId="77777777" w:rsidR="000B06F3" w:rsidRPr="00DA3C6E" w:rsidRDefault="000B06F3" w:rsidP="008A5F97">
            <w:pPr>
              <w:pStyle w:val="Tabletext1"/>
              <w:jc w:val="left"/>
            </w:pPr>
            <w:r w:rsidRPr="00DA3C6E">
              <w:t>Slowly progressive/ non-progressive, asymmetric, purely motor neuropathy multifocal weakness with preferential involvement of individual peripheral nerves by clinical examination.</w:t>
            </w:r>
          </w:p>
          <w:p w14:paraId="6728F4A8" w14:textId="77777777" w:rsidR="000B06F3" w:rsidRPr="00DA3C6E" w:rsidRDefault="000B06F3" w:rsidP="008A5F97">
            <w:pPr>
              <w:pStyle w:val="Tabletext1"/>
              <w:jc w:val="left"/>
            </w:pPr>
            <w:r w:rsidRPr="00DA3C6E">
              <w:t>Motor unit potentials or spontaneous activity suggestive of a neuropathic process.</w:t>
            </w:r>
          </w:p>
        </w:tc>
        <w:tc>
          <w:tcPr>
            <w:tcW w:w="1621" w:type="dxa"/>
            <w:tcBorders>
              <w:top w:val="single" w:sz="4" w:space="0" w:color="auto"/>
              <w:left w:val="single" w:sz="4" w:space="0" w:color="auto"/>
              <w:right w:val="single" w:sz="4" w:space="0" w:color="auto"/>
            </w:tcBorders>
          </w:tcPr>
          <w:p w14:paraId="293ECFA9" w14:textId="77777777" w:rsidR="000B06F3" w:rsidRPr="00DA3C6E" w:rsidRDefault="000B06F3" w:rsidP="008A5F97">
            <w:pPr>
              <w:pStyle w:val="Tabletext1"/>
              <w:jc w:val="left"/>
            </w:pPr>
            <w:r w:rsidRPr="00DA3C6E">
              <w:t xml:space="preserve">9 patients with MMN; </w:t>
            </w:r>
          </w:p>
          <w:p w14:paraId="69B15F2F" w14:textId="77777777" w:rsidR="000B06F3" w:rsidRPr="00DA3C6E" w:rsidRDefault="000B06F3" w:rsidP="008A5F97">
            <w:pPr>
              <w:pStyle w:val="Tabletext1"/>
              <w:jc w:val="left"/>
            </w:pPr>
            <w:r w:rsidRPr="00DA3C6E">
              <w:t xml:space="preserve">Mean age: 39 years </w:t>
            </w:r>
          </w:p>
        </w:tc>
        <w:tc>
          <w:tcPr>
            <w:tcW w:w="1813" w:type="dxa"/>
            <w:tcBorders>
              <w:top w:val="single" w:sz="4" w:space="0" w:color="auto"/>
              <w:left w:val="single" w:sz="4" w:space="0" w:color="auto"/>
              <w:right w:val="single" w:sz="4" w:space="0" w:color="auto"/>
            </w:tcBorders>
          </w:tcPr>
          <w:p w14:paraId="549D7147" w14:textId="77777777" w:rsidR="000B06F3" w:rsidRPr="00DA3C6E" w:rsidRDefault="000B06F3" w:rsidP="008A5F97">
            <w:pPr>
              <w:pStyle w:val="Tabletext1"/>
              <w:jc w:val="left"/>
            </w:pPr>
            <w:r w:rsidRPr="00DA3C6E">
              <w:t xml:space="preserve">Initial intravenous Ig 2g/kg, maintenance dose 0.4 g/kg </w:t>
            </w:r>
          </w:p>
        </w:tc>
        <w:tc>
          <w:tcPr>
            <w:tcW w:w="1781" w:type="dxa"/>
            <w:tcBorders>
              <w:top w:val="single" w:sz="4" w:space="0" w:color="auto"/>
              <w:left w:val="single" w:sz="4" w:space="0" w:color="auto"/>
              <w:right w:val="single" w:sz="4" w:space="0" w:color="auto"/>
            </w:tcBorders>
          </w:tcPr>
          <w:p w14:paraId="370F9D84" w14:textId="77777777" w:rsidR="000B06F3" w:rsidRPr="00DA3C6E" w:rsidRDefault="000B06F3" w:rsidP="008A5F97">
            <w:pPr>
              <w:pStyle w:val="Tabletext1"/>
              <w:jc w:val="left"/>
            </w:pPr>
            <w:r w:rsidRPr="00DA3C6E">
              <w:t>Improvement in muscle strength</w:t>
            </w:r>
          </w:p>
        </w:tc>
        <w:tc>
          <w:tcPr>
            <w:tcW w:w="2957" w:type="dxa"/>
            <w:tcBorders>
              <w:top w:val="single" w:sz="4" w:space="0" w:color="auto"/>
              <w:left w:val="single" w:sz="4" w:space="0" w:color="auto"/>
              <w:right w:val="single" w:sz="4" w:space="0" w:color="auto"/>
            </w:tcBorders>
          </w:tcPr>
          <w:p w14:paraId="6D1A99EE" w14:textId="77777777" w:rsidR="000B06F3" w:rsidRPr="00DA3C6E" w:rsidRDefault="000B06F3" w:rsidP="008A5F97">
            <w:pPr>
              <w:pStyle w:val="Tabletext1"/>
              <w:ind w:left="34"/>
              <w:jc w:val="left"/>
            </w:pPr>
            <w:r w:rsidRPr="00DA3C6E">
              <w:t>MRC</w:t>
            </w:r>
          </w:p>
          <w:p w14:paraId="30903C84" w14:textId="77777777" w:rsidR="000B06F3" w:rsidRPr="00DA3C6E" w:rsidRDefault="000B06F3" w:rsidP="008A5F97">
            <w:pPr>
              <w:pStyle w:val="Tabletext1"/>
              <w:ind w:left="34"/>
              <w:jc w:val="left"/>
            </w:pPr>
          </w:p>
          <w:p w14:paraId="286E73F0" w14:textId="77777777" w:rsidR="000B06F3" w:rsidRPr="00DA3C6E" w:rsidRDefault="000B06F3" w:rsidP="008A5F97">
            <w:pPr>
              <w:pStyle w:val="Tabletext1"/>
              <w:ind w:left="34"/>
              <w:jc w:val="left"/>
            </w:pPr>
          </w:p>
        </w:tc>
      </w:tr>
      <w:tr w:rsidR="007C7E04" w:rsidRPr="00DA3C6E" w14:paraId="6886C982" w14:textId="77777777" w:rsidTr="006A5E97">
        <w:trPr>
          <w:trHeight w:val="319"/>
        </w:trPr>
        <w:tc>
          <w:tcPr>
            <w:tcW w:w="1424" w:type="dxa"/>
            <w:tcBorders>
              <w:left w:val="single" w:sz="4" w:space="0" w:color="auto"/>
              <w:bottom w:val="single" w:sz="4" w:space="0" w:color="auto"/>
              <w:right w:val="single" w:sz="4" w:space="0" w:color="auto"/>
            </w:tcBorders>
          </w:tcPr>
          <w:p w14:paraId="4F9A8B4B" w14:textId="77777777" w:rsidR="000B06F3" w:rsidRPr="00DA3C6E" w:rsidRDefault="000B06F3" w:rsidP="00136334">
            <w:pPr>
              <w:pStyle w:val="Tabletext1"/>
            </w:pPr>
          </w:p>
        </w:tc>
        <w:tc>
          <w:tcPr>
            <w:tcW w:w="1787" w:type="dxa"/>
            <w:tcBorders>
              <w:left w:val="single" w:sz="4" w:space="0" w:color="auto"/>
              <w:bottom w:val="single" w:sz="4" w:space="0" w:color="auto"/>
              <w:right w:val="single" w:sz="4" w:space="0" w:color="auto"/>
            </w:tcBorders>
          </w:tcPr>
          <w:p w14:paraId="76DEA930" w14:textId="77777777" w:rsidR="000B06F3" w:rsidRPr="00DA3C6E" w:rsidRDefault="000B06F3" w:rsidP="00136334">
            <w:pPr>
              <w:rPr>
                <w:rFonts w:ascii="Arial Narrow" w:hAnsi="Arial Narrow"/>
                <w:sz w:val="20"/>
                <w:szCs w:val="20"/>
              </w:rPr>
            </w:pPr>
          </w:p>
        </w:tc>
        <w:tc>
          <w:tcPr>
            <w:tcW w:w="1259" w:type="dxa"/>
            <w:tcBorders>
              <w:left w:val="single" w:sz="4" w:space="0" w:color="auto"/>
              <w:bottom w:val="single" w:sz="4" w:space="0" w:color="auto"/>
              <w:right w:val="single" w:sz="4" w:space="0" w:color="auto"/>
            </w:tcBorders>
          </w:tcPr>
          <w:p w14:paraId="570D9AAF" w14:textId="77777777" w:rsidR="000B06F3" w:rsidRPr="00DA3C6E" w:rsidRDefault="000B06F3" w:rsidP="00136334">
            <w:pPr>
              <w:pStyle w:val="Tabletext1"/>
            </w:pPr>
          </w:p>
        </w:tc>
        <w:tc>
          <w:tcPr>
            <w:tcW w:w="1812" w:type="dxa"/>
            <w:tcBorders>
              <w:left w:val="single" w:sz="4" w:space="0" w:color="auto"/>
              <w:bottom w:val="single" w:sz="4" w:space="0" w:color="auto"/>
              <w:right w:val="single" w:sz="4" w:space="0" w:color="auto"/>
            </w:tcBorders>
          </w:tcPr>
          <w:p w14:paraId="3FF41C57" w14:textId="77777777" w:rsidR="000B06F3" w:rsidRPr="00DA3C6E" w:rsidRDefault="000B06F3" w:rsidP="00136334">
            <w:pPr>
              <w:pStyle w:val="Tabletext1"/>
            </w:pPr>
          </w:p>
        </w:tc>
        <w:tc>
          <w:tcPr>
            <w:tcW w:w="1621" w:type="dxa"/>
            <w:tcBorders>
              <w:left w:val="single" w:sz="4" w:space="0" w:color="auto"/>
              <w:bottom w:val="single" w:sz="4" w:space="0" w:color="auto"/>
              <w:right w:val="single" w:sz="4" w:space="0" w:color="auto"/>
            </w:tcBorders>
          </w:tcPr>
          <w:p w14:paraId="12F01D9C" w14:textId="77777777" w:rsidR="000B06F3" w:rsidRPr="00DA3C6E" w:rsidRDefault="000B06F3" w:rsidP="00136334">
            <w:pPr>
              <w:pStyle w:val="Tabletext1"/>
            </w:pPr>
          </w:p>
        </w:tc>
        <w:tc>
          <w:tcPr>
            <w:tcW w:w="1813" w:type="dxa"/>
            <w:tcBorders>
              <w:left w:val="single" w:sz="4" w:space="0" w:color="auto"/>
              <w:bottom w:val="single" w:sz="4" w:space="0" w:color="auto"/>
              <w:right w:val="single" w:sz="4" w:space="0" w:color="auto"/>
            </w:tcBorders>
          </w:tcPr>
          <w:p w14:paraId="20ACA1A5" w14:textId="77777777" w:rsidR="000B06F3" w:rsidRPr="00DA3C6E" w:rsidRDefault="000B06F3" w:rsidP="00136334">
            <w:pPr>
              <w:pStyle w:val="Tabletext1"/>
            </w:pPr>
          </w:p>
        </w:tc>
        <w:tc>
          <w:tcPr>
            <w:tcW w:w="1781" w:type="dxa"/>
            <w:tcBorders>
              <w:left w:val="single" w:sz="4" w:space="0" w:color="auto"/>
              <w:bottom w:val="single" w:sz="4" w:space="0" w:color="auto"/>
              <w:right w:val="single" w:sz="4" w:space="0" w:color="auto"/>
            </w:tcBorders>
          </w:tcPr>
          <w:p w14:paraId="19C204B8" w14:textId="77777777" w:rsidR="000B06F3" w:rsidRPr="00DA3C6E" w:rsidRDefault="000B06F3" w:rsidP="00136334">
            <w:pPr>
              <w:pStyle w:val="Tabletext1"/>
            </w:pPr>
            <w:r w:rsidRPr="00DA3C6E">
              <w:t>CB</w:t>
            </w:r>
          </w:p>
        </w:tc>
        <w:tc>
          <w:tcPr>
            <w:tcW w:w="2957" w:type="dxa"/>
            <w:tcBorders>
              <w:left w:val="single" w:sz="4" w:space="0" w:color="auto"/>
              <w:bottom w:val="single" w:sz="4" w:space="0" w:color="auto"/>
              <w:right w:val="single" w:sz="4" w:space="0" w:color="auto"/>
            </w:tcBorders>
          </w:tcPr>
          <w:p w14:paraId="433BCF26" w14:textId="77777777" w:rsidR="000B06F3" w:rsidRPr="00DA3C6E" w:rsidRDefault="000B06F3" w:rsidP="00136334">
            <w:pPr>
              <w:pStyle w:val="Tabletext1"/>
              <w:ind w:left="34"/>
            </w:pPr>
            <w:r w:rsidRPr="00DA3C6E">
              <w:t>Electrodiagnostic studies, CMAP</w:t>
            </w:r>
          </w:p>
        </w:tc>
      </w:tr>
      <w:tr w:rsidR="007C7E04" w:rsidRPr="00DA3C6E" w14:paraId="7CE51A73" w14:textId="77777777" w:rsidTr="006A5E97">
        <w:trPr>
          <w:trHeight w:val="319"/>
        </w:trPr>
        <w:tc>
          <w:tcPr>
            <w:tcW w:w="1424" w:type="dxa"/>
            <w:tcBorders>
              <w:top w:val="single" w:sz="4" w:space="0" w:color="auto"/>
              <w:left w:val="single" w:sz="4" w:space="0" w:color="auto"/>
              <w:right w:val="single" w:sz="4" w:space="0" w:color="auto"/>
            </w:tcBorders>
          </w:tcPr>
          <w:p w14:paraId="15ED5EDD" w14:textId="7AD5C38E" w:rsidR="000B06F3" w:rsidRPr="00DA3C6E" w:rsidRDefault="000B06F3" w:rsidP="008A5F97">
            <w:pPr>
              <w:pStyle w:val="Tabletext1"/>
              <w:jc w:val="left"/>
            </w:pPr>
            <w:r w:rsidRPr="00DA3C6E">
              <w:t>Nobile-Orazio et al. 2002</w:t>
            </w:r>
            <w:r w:rsidR="00DB568A" w:rsidRPr="00DA3C6E">
              <w:fldChar w:fldCharType="begin">
                <w:fldData xml:space="preserve">PEVuZE5vdGU+PENpdGU+PEF1dGhvcj5Ob2JpbGUtT3JhemlvPC9BdXRob3I+PFllYXI+MjAwMjwv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</w:fldData>
              </w:fldChar>
            </w:r>
            <w:r w:rsidR="007810D6">
              <w:instrText xml:space="preserve"> ADDIN EN.CITE </w:instrText>
            </w:r>
            <w:r w:rsidR="007810D6">
              <w:fldChar w:fldCharType="begin">
                <w:fldData xml:space="preserve">PEVuZE5vdGU+PENpdGU+PEF1dGhvcj5Ob2JpbGUtT3JhemlvPC9BdXRob3I+PFllYXI+MjAwMjwv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71" w:tooltip="Nobile-Orazio, 2002 #49" w:history="1">
              <w:r w:rsidR="00C04BCE">
                <w:rPr>
                  <w:noProof/>
                </w:rPr>
                <w:t>71</w:t>
              </w:r>
            </w:hyperlink>
            <w:r w:rsidR="007810D6">
              <w:rPr>
                <w:noProof/>
              </w:rPr>
              <w:t>)</w:t>
            </w:r>
            <w:r w:rsidR="00DB568A" w:rsidRPr="00DA3C6E">
              <w:fldChar w:fldCharType="end"/>
            </w:r>
          </w:p>
          <w:p w14:paraId="4E5D0792"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61F84A39"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0D4452EA"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112D8532" w14:textId="77777777" w:rsidR="000B06F3" w:rsidRPr="00DA3C6E" w:rsidRDefault="000B06F3" w:rsidP="008A5F97">
            <w:pPr>
              <w:pStyle w:val="Tabletext1"/>
              <w:jc w:val="left"/>
            </w:pPr>
            <w:r w:rsidRPr="00DA3C6E">
              <w:t>Chronic or stepwise progressive</w:t>
            </w:r>
          </w:p>
          <w:p w14:paraId="1A5B8CC2" w14:textId="77777777" w:rsidR="000B06F3" w:rsidRPr="00DA3C6E" w:rsidRDefault="000B06F3" w:rsidP="008A5F97">
            <w:pPr>
              <w:pStyle w:val="Tabletext1"/>
              <w:jc w:val="left"/>
            </w:pPr>
            <w:r w:rsidRPr="00DA3C6E">
              <w:t>asymmetric limb weakness with a multineuropathic distribution</w:t>
            </w:r>
          </w:p>
          <w:p w14:paraId="4533ADCA" w14:textId="77777777" w:rsidR="000B06F3" w:rsidRPr="00DA3C6E" w:rsidRDefault="000B06F3" w:rsidP="008A5F97">
            <w:pPr>
              <w:pStyle w:val="Tabletext1"/>
              <w:jc w:val="left"/>
            </w:pPr>
            <w:r w:rsidRPr="00DA3C6E">
              <w:t>affecting the muscles of at least two distinct motor nerves</w:t>
            </w:r>
          </w:p>
          <w:p w14:paraId="6A9F0AE0" w14:textId="77777777" w:rsidR="000B06F3" w:rsidRPr="00DA3C6E" w:rsidRDefault="000B06F3" w:rsidP="008A5F97">
            <w:pPr>
              <w:pStyle w:val="Tabletext1"/>
              <w:jc w:val="left"/>
            </w:pPr>
            <w:r w:rsidRPr="00DA3C6E">
              <w:t>and lasting at least two months; and (b) minimal or no</w:t>
            </w:r>
          </w:p>
          <w:p w14:paraId="7271342D" w14:textId="77777777" w:rsidR="000B06F3" w:rsidRPr="00DA3C6E" w:rsidRDefault="000B06F3" w:rsidP="008A5F97">
            <w:pPr>
              <w:pStyle w:val="Tabletext1"/>
              <w:jc w:val="left"/>
            </w:pPr>
            <w:r w:rsidRPr="00DA3C6E">
              <w:lastRenderedPageBreak/>
              <w:t>sensory loss or symptoms and absence of clinical signs of</w:t>
            </w:r>
          </w:p>
          <w:p w14:paraId="7BEB8566" w14:textId="77777777" w:rsidR="000B06F3" w:rsidRPr="00DA3C6E" w:rsidRDefault="000B06F3" w:rsidP="008A5F97">
            <w:pPr>
              <w:pStyle w:val="Tabletext1"/>
              <w:jc w:val="left"/>
            </w:pPr>
            <w:r w:rsidRPr="00DA3C6E">
              <w:t>upper motor neurone involvement</w:t>
            </w:r>
          </w:p>
        </w:tc>
        <w:tc>
          <w:tcPr>
            <w:tcW w:w="1621" w:type="dxa"/>
            <w:tcBorders>
              <w:top w:val="single" w:sz="4" w:space="0" w:color="auto"/>
              <w:left w:val="single" w:sz="4" w:space="0" w:color="auto"/>
              <w:right w:val="single" w:sz="4" w:space="0" w:color="auto"/>
            </w:tcBorders>
          </w:tcPr>
          <w:p w14:paraId="15699F5B" w14:textId="77777777" w:rsidR="000B06F3" w:rsidRPr="00DA3C6E" w:rsidRDefault="000B06F3" w:rsidP="008A5F97">
            <w:pPr>
              <w:pStyle w:val="Tabletext1"/>
              <w:jc w:val="left"/>
            </w:pPr>
            <w:r w:rsidRPr="00DA3C6E">
              <w:lastRenderedPageBreak/>
              <w:t xml:space="preserve">23 patients with MMN; </w:t>
            </w:r>
          </w:p>
          <w:p w14:paraId="10131EEF" w14:textId="77777777" w:rsidR="000B06F3" w:rsidRPr="00DA3C6E" w:rsidRDefault="000B06F3" w:rsidP="008A5F97">
            <w:pPr>
              <w:pStyle w:val="Tabletext1"/>
              <w:jc w:val="left"/>
            </w:pPr>
            <w:r w:rsidRPr="00DA3C6E">
              <w:t xml:space="preserve">Mean age: 38.2 years </w:t>
            </w:r>
          </w:p>
        </w:tc>
        <w:tc>
          <w:tcPr>
            <w:tcW w:w="1813" w:type="dxa"/>
            <w:tcBorders>
              <w:top w:val="single" w:sz="4" w:space="0" w:color="auto"/>
              <w:left w:val="single" w:sz="4" w:space="0" w:color="auto"/>
              <w:right w:val="single" w:sz="4" w:space="0" w:color="auto"/>
            </w:tcBorders>
          </w:tcPr>
          <w:p w14:paraId="48966521" w14:textId="77777777" w:rsidR="000B06F3" w:rsidRPr="00DA3C6E" w:rsidRDefault="000B06F3" w:rsidP="008A5F97">
            <w:pPr>
              <w:pStyle w:val="Tabletext1"/>
              <w:jc w:val="left"/>
            </w:pPr>
            <w:r w:rsidRPr="00DA3C6E">
              <w:t>Intravenous Ig 2 g/kg over 4-5 consecutive</w:t>
            </w:r>
          </w:p>
          <w:p w14:paraId="4CB28691" w14:textId="77777777" w:rsidR="000B06F3" w:rsidRPr="00DA3C6E" w:rsidRDefault="000B06F3" w:rsidP="008A5F97">
            <w:pPr>
              <w:pStyle w:val="Tabletext1"/>
              <w:jc w:val="left"/>
            </w:pPr>
            <w:r w:rsidRPr="00DA3C6E">
              <w:t>days, followed by periodic maintenance intravenous Ig infusions at a dose</w:t>
            </w:r>
          </w:p>
          <w:p w14:paraId="77E151DF" w14:textId="77777777" w:rsidR="000B06F3" w:rsidRPr="00DA3C6E" w:rsidRDefault="000B06F3" w:rsidP="008A5F97">
            <w:pPr>
              <w:pStyle w:val="Tabletext1"/>
              <w:jc w:val="left"/>
            </w:pPr>
            <w:r w:rsidRPr="00DA3C6E">
              <w:lastRenderedPageBreak/>
              <w:t>of 1–1.2 g/kg over 2-3 consecutive days at the time of</w:t>
            </w:r>
          </w:p>
          <w:p w14:paraId="1A0ED91E" w14:textId="77777777" w:rsidR="000B06F3" w:rsidRPr="00DA3C6E" w:rsidRDefault="000B06F3" w:rsidP="008A5F97">
            <w:pPr>
              <w:pStyle w:val="Tabletext1"/>
              <w:jc w:val="left"/>
            </w:pPr>
            <w:r w:rsidRPr="00DA3C6E">
              <w:t xml:space="preserve">clinical worsening; </w:t>
            </w:r>
          </w:p>
        </w:tc>
        <w:tc>
          <w:tcPr>
            <w:tcW w:w="1781" w:type="dxa"/>
            <w:tcBorders>
              <w:top w:val="single" w:sz="4" w:space="0" w:color="auto"/>
              <w:left w:val="single" w:sz="4" w:space="0" w:color="auto"/>
              <w:right w:val="single" w:sz="4" w:space="0" w:color="auto"/>
            </w:tcBorders>
          </w:tcPr>
          <w:p w14:paraId="46AC062D" w14:textId="77777777" w:rsidR="000B06F3" w:rsidRPr="00DA3C6E" w:rsidRDefault="000B06F3" w:rsidP="008A5F97">
            <w:pPr>
              <w:pStyle w:val="Tabletext1"/>
              <w:jc w:val="left"/>
            </w:pPr>
            <w:r w:rsidRPr="00DA3C6E">
              <w:lastRenderedPageBreak/>
              <w:t xml:space="preserve">Improvement in disability </w:t>
            </w:r>
          </w:p>
          <w:p w14:paraId="5075C19E"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509198FF" w14:textId="77777777" w:rsidR="000B06F3" w:rsidRPr="00DA3C6E" w:rsidRDefault="000B06F3" w:rsidP="008A5F97">
            <w:pPr>
              <w:pStyle w:val="Tabletext1"/>
              <w:ind w:left="34"/>
              <w:jc w:val="left"/>
            </w:pPr>
            <w:r w:rsidRPr="00DA3C6E">
              <w:t>MRDS</w:t>
            </w:r>
          </w:p>
          <w:p w14:paraId="7CA75D3A" w14:textId="77777777" w:rsidR="000B06F3" w:rsidRPr="00DA3C6E" w:rsidRDefault="000B06F3" w:rsidP="008A5F97">
            <w:pPr>
              <w:pStyle w:val="Tabletext1"/>
              <w:ind w:left="34"/>
              <w:jc w:val="left"/>
            </w:pPr>
          </w:p>
          <w:p w14:paraId="3BB07E2B" w14:textId="77777777" w:rsidR="000B06F3" w:rsidRPr="00DA3C6E" w:rsidRDefault="000B06F3" w:rsidP="008A5F97">
            <w:pPr>
              <w:pStyle w:val="Tabletext1"/>
              <w:ind w:left="34"/>
              <w:jc w:val="left"/>
            </w:pPr>
          </w:p>
        </w:tc>
      </w:tr>
      <w:tr w:rsidR="007C7E04" w:rsidRPr="00DA3C6E" w14:paraId="4BC7583A" w14:textId="77777777" w:rsidTr="006A5E97">
        <w:trPr>
          <w:trHeight w:val="319"/>
        </w:trPr>
        <w:tc>
          <w:tcPr>
            <w:tcW w:w="1424" w:type="dxa"/>
            <w:tcBorders>
              <w:left w:val="single" w:sz="4" w:space="0" w:color="auto"/>
              <w:right w:val="single" w:sz="4" w:space="0" w:color="auto"/>
            </w:tcBorders>
          </w:tcPr>
          <w:p w14:paraId="7C349E04"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099F038E"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4581B0E"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3312B1F7"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6F422E50"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58F7AE3E"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30E4720B" w14:textId="77777777" w:rsidR="000B06F3" w:rsidRPr="00DA3C6E" w:rsidRDefault="000B06F3" w:rsidP="008A5F97">
            <w:pPr>
              <w:pStyle w:val="Tabletext1"/>
              <w:jc w:val="left"/>
            </w:pPr>
            <w:r w:rsidRPr="00DA3C6E">
              <w:t>Improvement in muscle strength</w:t>
            </w:r>
          </w:p>
          <w:p w14:paraId="46F7CA97"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2B23DE58" w14:textId="77777777" w:rsidR="000B06F3" w:rsidRPr="00DA3C6E" w:rsidRDefault="000B06F3" w:rsidP="008A5F97">
            <w:pPr>
              <w:pStyle w:val="Tabletext1"/>
              <w:ind w:left="34"/>
              <w:jc w:val="left"/>
            </w:pPr>
            <w:r w:rsidRPr="00DA3C6E">
              <w:t>MRC</w:t>
            </w:r>
          </w:p>
          <w:p w14:paraId="1A15A77E" w14:textId="77777777" w:rsidR="000B06F3" w:rsidRPr="00DA3C6E" w:rsidRDefault="000B06F3" w:rsidP="008A5F97">
            <w:pPr>
              <w:pStyle w:val="Tabletext1"/>
              <w:ind w:left="34"/>
              <w:jc w:val="left"/>
            </w:pPr>
          </w:p>
        </w:tc>
      </w:tr>
      <w:tr w:rsidR="007C7E04" w:rsidRPr="00DA3C6E" w14:paraId="020E4C10" w14:textId="77777777" w:rsidTr="006A5E97">
        <w:trPr>
          <w:trHeight w:val="319"/>
        </w:trPr>
        <w:tc>
          <w:tcPr>
            <w:tcW w:w="1424" w:type="dxa"/>
            <w:tcBorders>
              <w:left w:val="single" w:sz="4" w:space="0" w:color="auto"/>
              <w:bottom w:val="single" w:sz="4" w:space="0" w:color="auto"/>
              <w:right w:val="single" w:sz="4" w:space="0" w:color="auto"/>
            </w:tcBorders>
          </w:tcPr>
          <w:p w14:paraId="39907F8A"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77799C22"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0F67BDBD"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9E6B907"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43551251"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31AC7FEC"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41B45A0D"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3EEF6BFB" w14:textId="77777777" w:rsidR="000B06F3" w:rsidRPr="00DA3C6E" w:rsidRDefault="000B06F3" w:rsidP="008A5F97">
            <w:pPr>
              <w:pStyle w:val="Tabletext1"/>
              <w:ind w:left="34"/>
              <w:jc w:val="left"/>
            </w:pPr>
            <w:r w:rsidRPr="00DA3C6E">
              <w:t>Electrophysiological examination, CMAP</w:t>
            </w:r>
          </w:p>
        </w:tc>
      </w:tr>
      <w:tr w:rsidR="007C7E04" w:rsidRPr="00DA3C6E" w14:paraId="049B698F" w14:textId="77777777" w:rsidTr="006A5E97">
        <w:trPr>
          <w:trHeight w:val="319"/>
        </w:trPr>
        <w:tc>
          <w:tcPr>
            <w:tcW w:w="1424" w:type="dxa"/>
            <w:tcBorders>
              <w:top w:val="single" w:sz="4" w:space="0" w:color="auto"/>
              <w:left w:val="single" w:sz="4" w:space="0" w:color="auto"/>
              <w:right w:val="single" w:sz="4" w:space="0" w:color="auto"/>
            </w:tcBorders>
          </w:tcPr>
          <w:p w14:paraId="7988A70C" w14:textId="232CF56E" w:rsidR="000B06F3" w:rsidRPr="00DA3C6E" w:rsidRDefault="000047E2" w:rsidP="008A5F97">
            <w:pPr>
              <w:pStyle w:val="Tabletext1"/>
              <w:jc w:val="left"/>
              <w:rPr>
                <w:lang w:val="es-CL"/>
              </w:rPr>
            </w:pPr>
            <w:r w:rsidRPr="00DA3C6E">
              <w:rPr>
                <w:lang w:val="es-CL"/>
              </w:rPr>
              <w:t>V</w:t>
            </w:r>
            <w:r w:rsidR="000B06F3" w:rsidRPr="00DA3C6E">
              <w:rPr>
                <w:lang w:val="es-CL"/>
              </w:rPr>
              <w:t>an den Berg et al. 2002</w:t>
            </w:r>
            <w:r w:rsidR="00DB568A" w:rsidRPr="00DA3C6E">
              <w:rPr>
                <w:lang w:val="es-CL"/>
              </w:rPr>
              <w:fldChar w:fldCharType="begin">
                <w:fldData xml:space="preserve">PEVuZE5vdGU+PENpdGU+PEF1dGhvcj5WYW4gZGVuIEJlcmctVm9zPC9BdXRob3I+PFllYXI+MjAw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</w:fldData>
              </w:fldChar>
            </w:r>
            <w:r w:rsidR="007810D6">
              <w:rPr>
                <w:lang w:val="es-CL"/>
              </w:rPr>
              <w:instrText xml:space="preserve"> ADDIN EN.CITE </w:instrText>
            </w:r>
            <w:r w:rsidR="007810D6">
              <w:rPr>
                <w:lang w:val="es-CL"/>
              </w:rPr>
              <w:fldChar w:fldCharType="begin">
                <w:fldData xml:space="preserve">PEVuZE5vdGU+PENpdGU+PEF1dGhvcj5WYW4gZGVuIEJlcmctVm9zPC9BdXRob3I+PFllYXI+MjAw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</w:fldData>
              </w:fldChar>
            </w:r>
            <w:r w:rsidR="007810D6">
              <w:rPr>
                <w:lang w:val="es-CL"/>
              </w:rPr>
              <w:instrText xml:space="preserve"> ADDIN EN.CITE.DATA </w:instrText>
            </w:r>
            <w:r w:rsidR="007810D6">
              <w:rPr>
                <w:lang w:val="es-CL"/>
              </w:rPr>
            </w:r>
            <w:r w:rsidR="007810D6">
              <w:rPr>
                <w:lang w:val="es-CL"/>
              </w:rPr>
              <w:fldChar w:fldCharType="end"/>
            </w:r>
            <w:r w:rsidR="00DB568A" w:rsidRPr="00DA3C6E">
              <w:rPr>
                <w:lang w:val="es-CL"/>
              </w:rPr>
            </w:r>
            <w:r w:rsidR="00DB568A" w:rsidRPr="00DA3C6E">
              <w:rPr>
                <w:lang w:val="es-CL"/>
              </w:rPr>
              <w:fldChar w:fldCharType="separate"/>
            </w:r>
            <w:r w:rsidR="007810D6">
              <w:rPr>
                <w:noProof/>
                <w:lang w:val="es-CL"/>
              </w:rPr>
              <w:t>(</w:t>
            </w:r>
            <w:hyperlink w:anchor="_ENREF_72" w:tooltip="Van den Berg-Vos, 2002 #67" w:history="1">
              <w:r w:rsidR="00C04BCE">
                <w:rPr>
                  <w:noProof/>
                  <w:lang w:val="es-CL"/>
                </w:rPr>
                <w:t>72</w:t>
              </w:r>
            </w:hyperlink>
            <w:r w:rsidR="007810D6">
              <w:rPr>
                <w:noProof/>
                <w:lang w:val="es-CL"/>
              </w:rPr>
              <w:t>)</w:t>
            </w:r>
            <w:r w:rsidR="00DB568A" w:rsidRPr="00DA3C6E">
              <w:rPr>
                <w:lang w:val="es-CL"/>
              </w:rPr>
              <w:fldChar w:fldCharType="end"/>
            </w:r>
          </w:p>
          <w:p w14:paraId="0A7D8222" w14:textId="77777777" w:rsidR="000B06F3" w:rsidRPr="00DA3C6E" w:rsidRDefault="000B06F3" w:rsidP="008A5F97">
            <w:pPr>
              <w:pStyle w:val="Tabletext1"/>
              <w:jc w:val="left"/>
              <w:rPr>
                <w:lang w:val="es-CL"/>
              </w:rPr>
            </w:pPr>
          </w:p>
        </w:tc>
        <w:tc>
          <w:tcPr>
            <w:tcW w:w="1787" w:type="dxa"/>
            <w:tcBorders>
              <w:top w:val="single" w:sz="4" w:space="0" w:color="auto"/>
              <w:left w:val="single" w:sz="4" w:space="0" w:color="auto"/>
              <w:right w:val="single" w:sz="4" w:space="0" w:color="auto"/>
            </w:tcBorders>
          </w:tcPr>
          <w:p w14:paraId="0BF605D5" w14:textId="77777777" w:rsidR="000B06F3" w:rsidRPr="00DA3C6E" w:rsidRDefault="000B06F3" w:rsidP="008A5F97">
            <w:pPr>
              <w:pStyle w:val="Tabletext1"/>
              <w:jc w:val="left"/>
              <w:rPr>
                <w:lang w:val="nn-NO"/>
              </w:rPr>
            </w:pPr>
            <w:r w:rsidRPr="00DA3C6E">
              <w:rPr>
                <w:lang w:val="nn-NO"/>
              </w:rPr>
              <w:t>Prospective, open, uncontrolled trial</w:t>
            </w:r>
          </w:p>
        </w:tc>
        <w:tc>
          <w:tcPr>
            <w:tcW w:w="1259" w:type="dxa"/>
            <w:tcBorders>
              <w:top w:val="single" w:sz="4" w:space="0" w:color="auto"/>
              <w:left w:val="single" w:sz="4" w:space="0" w:color="auto"/>
              <w:right w:val="single" w:sz="4" w:space="0" w:color="auto"/>
            </w:tcBorders>
          </w:tcPr>
          <w:p w14:paraId="784A67AF" w14:textId="77777777" w:rsidR="000B06F3" w:rsidRPr="00DA3C6E" w:rsidRDefault="000B06F3" w:rsidP="008A5F97">
            <w:pPr>
              <w:pStyle w:val="Tabletext1"/>
              <w:jc w:val="left"/>
              <w:rPr>
                <w:lang w:val="nn-NO"/>
              </w:rPr>
            </w:pPr>
            <w:r w:rsidRPr="00DA3C6E">
              <w:rPr>
                <w:lang w:val="nn-NO"/>
              </w:rPr>
              <w:t>M</w:t>
            </w:r>
          </w:p>
        </w:tc>
        <w:tc>
          <w:tcPr>
            <w:tcW w:w="1812" w:type="dxa"/>
            <w:tcBorders>
              <w:top w:val="single" w:sz="4" w:space="0" w:color="auto"/>
              <w:left w:val="single" w:sz="4" w:space="0" w:color="auto"/>
              <w:right w:val="single" w:sz="4" w:space="0" w:color="auto"/>
            </w:tcBorders>
          </w:tcPr>
          <w:p w14:paraId="5978A453" w14:textId="77777777" w:rsidR="000B06F3" w:rsidRPr="00DA3C6E" w:rsidRDefault="000B06F3" w:rsidP="008A5F97">
            <w:pPr>
              <w:pStyle w:val="Tabletext1"/>
              <w:jc w:val="left"/>
            </w:pPr>
            <w:r w:rsidRPr="00DA3C6E">
              <w:t>Presence of asymmetric limb weakness at onset, or a distribution of muscle</w:t>
            </w:r>
          </w:p>
          <w:p w14:paraId="0444F8D2" w14:textId="77777777" w:rsidR="000B06F3" w:rsidRPr="00DA3C6E" w:rsidRDefault="000B06F3" w:rsidP="008A5F97">
            <w:pPr>
              <w:pStyle w:val="Tabletext1"/>
              <w:jc w:val="left"/>
            </w:pPr>
            <w:r w:rsidRPr="00DA3C6E">
              <w:t>weakness at examination with at least two peripheral nerves affected and at least one muscle group demonstrating disabling weakness of MRC grade 4 or less; electrophysiological evidence of motor conduction</w:t>
            </w:r>
          </w:p>
          <w:p w14:paraId="650A3CA5" w14:textId="77777777" w:rsidR="000B06F3" w:rsidRPr="00DA3C6E" w:rsidRDefault="000B06F3" w:rsidP="008A5F97">
            <w:pPr>
              <w:pStyle w:val="Tabletext1"/>
              <w:jc w:val="left"/>
            </w:pPr>
            <w:r w:rsidRPr="00DA3C6E">
              <w:t>block in at least one nerve according to previously published</w:t>
            </w:r>
          </w:p>
          <w:p w14:paraId="54C57429" w14:textId="77777777" w:rsidR="000B06F3" w:rsidRPr="00DA3C6E" w:rsidRDefault="000B06F3" w:rsidP="008A5F97">
            <w:pPr>
              <w:pStyle w:val="Tabletext1"/>
              <w:jc w:val="left"/>
            </w:pPr>
            <w:r w:rsidRPr="00DA3C6E">
              <w:t>criteria ; the patient had not received any immunological</w:t>
            </w:r>
          </w:p>
          <w:p w14:paraId="36062A27" w14:textId="77777777" w:rsidR="000B06F3" w:rsidRPr="00DA3C6E" w:rsidRDefault="000B06F3" w:rsidP="008A5F97">
            <w:pPr>
              <w:pStyle w:val="Tabletext1"/>
              <w:jc w:val="left"/>
            </w:pPr>
            <w:r w:rsidRPr="00DA3C6E">
              <w:t>treatment previously.</w:t>
            </w:r>
          </w:p>
        </w:tc>
        <w:tc>
          <w:tcPr>
            <w:tcW w:w="1621" w:type="dxa"/>
            <w:tcBorders>
              <w:top w:val="single" w:sz="4" w:space="0" w:color="auto"/>
              <w:left w:val="single" w:sz="4" w:space="0" w:color="auto"/>
              <w:right w:val="single" w:sz="4" w:space="0" w:color="auto"/>
            </w:tcBorders>
          </w:tcPr>
          <w:p w14:paraId="258BEB2B" w14:textId="77777777" w:rsidR="000B06F3" w:rsidRPr="00DA3C6E" w:rsidRDefault="000B06F3" w:rsidP="008A5F97">
            <w:pPr>
              <w:pStyle w:val="Tabletext1"/>
              <w:jc w:val="left"/>
            </w:pPr>
            <w:r w:rsidRPr="00DA3C6E">
              <w:t xml:space="preserve">34 patients with MMN; </w:t>
            </w:r>
          </w:p>
          <w:p w14:paraId="03C991AA" w14:textId="77777777" w:rsidR="000B06F3" w:rsidRPr="00DA3C6E" w:rsidRDefault="000B06F3" w:rsidP="008A5F97">
            <w:pPr>
              <w:pStyle w:val="Tabletext1"/>
              <w:jc w:val="left"/>
            </w:pPr>
            <w:r w:rsidRPr="00DA3C6E">
              <w:t xml:space="preserve">Mean age: 33.5 years </w:t>
            </w:r>
          </w:p>
        </w:tc>
        <w:tc>
          <w:tcPr>
            <w:tcW w:w="1813" w:type="dxa"/>
            <w:tcBorders>
              <w:top w:val="single" w:sz="4" w:space="0" w:color="auto"/>
              <w:left w:val="single" w:sz="4" w:space="0" w:color="auto"/>
              <w:right w:val="single" w:sz="4" w:space="0" w:color="auto"/>
            </w:tcBorders>
          </w:tcPr>
          <w:p w14:paraId="66E5CD58" w14:textId="77777777" w:rsidR="000B06F3" w:rsidRPr="00DA3C6E" w:rsidRDefault="000B06F3" w:rsidP="008A5F97">
            <w:pPr>
              <w:pStyle w:val="Tabletext1"/>
              <w:jc w:val="left"/>
            </w:pPr>
            <w:r w:rsidRPr="00DA3C6E">
              <w:t>Full course of intravenous Ig 0.4</w:t>
            </w:r>
          </w:p>
          <w:p w14:paraId="190397B7" w14:textId="77777777" w:rsidR="000B06F3" w:rsidRPr="00DA3C6E" w:rsidRDefault="000B06F3" w:rsidP="008A5F97">
            <w:pPr>
              <w:pStyle w:val="Tabletext1"/>
              <w:jc w:val="left"/>
            </w:pPr>
            <w:r w:rsidRPr="00DA3C6E">
              <w:t xml:space="preserve">g/kg for 5 days. </w:t>
            </w:r>
          </w:p>
          <w:p w14:paraId="39E00CCA" w14:textId="77777777" w:rsidR="000B06F3" w:rsidRPr="00DA3C6E" w:rsidRDefault="000B06F3" w:rsidP="008A5F97">
            <w:pPr>
              <w:pStyle w:val="Tabletext1"/>
              <w:jc w:val="left"/>
            </w:pPr>
          </w:p>
        </w:tc>
        <w:tc>
          <w:tcPr>
            <w:tcW w:w="1781" w:type="dxa"/>
            <w:tcBorders>
              <w:top w:val="single" w:sz="4" w:space="0" w:color="auto"/>
              <w:left w:val="single" w:sz="4" w:space="0" w:color="auto"/>
              <w:right w:val="single" w:sz="4" w:space="0" w:color="auto"/>
            </w:tcBorders>
          </w:tcPr>
          <w:p w14:paraId="63577BE5" w14:textId="77777777" w:rsidR="000B06F3" w:rsidRPr="00DA3C6E" w:rsidRDefault="000B06F3" w:rsidP="008A5F97">
            <w:pPr>
              <w:pStyle w:val="Tabletext1"/>
              <w:jc w:val="left"/>
            </w:pPr>
            <w:r w:rsidRPr="00DA3C6E">
              <w:t xml:space="preserve">Improvement in disability </w:t>
            </w:r>
          </w:p>
          <w:p w14:paraId="2E38EA37"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587E1AA4" w14:textId="77777777" w:rsidR="000B06F3" w:rsidRPr="00DA3C6E" w:rsidRDefault="000B06F3" w:rsidP="008A5F97">
            <w:pPr>
              <w:pStyle w:val="Tabletext1"/>
              <w:ind w:left="34"/>
              <w:jc w:val="left"/>
            </w:pPr>
            <w:r w:rsidRPr="00DA3C6E">
              <w:t>MRDS</w:t>
            </w:r>
          </w:p>
          <w:p w14:paraId="78D0FD89" w14:textId="77777777" w:rsidR="000B06F3" w:rsidRPr="00DA3C6E" w:rsidRDefault="000B06F3" w:rsidP="008A5F97">
            <w:pPr>
              <w:pStyle w:val="Tabletext1"/>
              <w:ind w:left="34"/>
              <w:jc w:val="left"/>
            </w:pPr>
            <w:r w:rsidRPr="00DA3C6E">
              <w:t xml:space="preserve"> </w:t>
            </w:r>
          </w:p>
        </w:tc>
      </w:tr>
      <w:tr w:rsidR="007C7E04" w:rsidRPr="00DA3C6E" w14:paraId="59043022" w14:textId="77777777" w:rsidTr="006A5E97">
        <w:trPr>
          <w:trHeight w:val="319"/>
        </w:trPr>
        <w:tc>
          <w:tcPr>
            <w:tcW w:w="1424" w:type="dxa"/>
            <w:tcBorders>
              <w:left w:val="single" w:sz="4" w:space="0" w:color="auto"/>
              <w:right w:val="single" w:sz="4" w:space="0" w:color="auto"/>
            </w:tcBorders>
          </w:tcPr>
          <w:p w14:paraId="592D3EEE"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37D42234"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6030F463"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511C6F74"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4AEC87C9"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6F221145"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08FD6973" w14:textId="77777777" w:rsidR="000B06F3" w:rsidRPr="00DA3C6E" w:rsidRDefault="000B06F3" w:rsidP="008A5F97">
            <w:pPr>
              <w:pStyle w:val="Tabletext1"/>
              <w:jc w:val="left"/>
            </w:pPr>
            <w:r w:rsidRPr="00DA3C6E">
              <w:t>Improvement in muscle strength</w:t>
            </w:r>
          </w:p>
          <w:p w14:paraId="7CC30B1C"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618E2310" w14:textId="77777777" w:rsidR="000B06F3" w:rsidRPr="00DA3C6E" w:rsidRDefault="000B06F3" w:rsidP="008A5F97">
            <w:pPr>
              <w:pStyle w:val="Tabletext1"/>
              <w:ind w:left="34"/>
              <w:jc w:val="left"/>
            </w:pPr>
            <w:r w:rsidRPr="00DA3C6E">
              <w:t>MRC</w:t>
            </w:r>
          </w:p>
          <w:p w14:paraId="24E3FA40" w14:textId="77777777" w:rsidR="000B06F3" w:rsidRPr="00DA3C6E" w:rsidRDefault="000B06F3" w:rsidP="008A5F97">
            <w:pPr>
              <w:pStyle w:val="Tabletext1"/>
              <w:ind w:left="34"/>
              <w:jc w:val="left"/>
            </w:pPr>
          </w:p>
        </w:tc>
      </w:tr>
      <w:tr w:rsidR="007C7E04" w:rsidRPr="00DA3C6E" w14:paraId="0F0CAAA1" w14:textId="77777777" w:rsidTr="006A5E97">
        <w:trPr>
          <w:trHeight w:val="319"/>
        </w:trPr>
        <w:tc>
          <w:tcPr>
            <w:tcW w:w="1424" w:type="dxa"/>
            <w:tcBorders>
              <w:left w:val="single" w:sz="4" w:space="0" w:color="auto"/>
              <w:bottom w:val="single" w:sz="4" w:space="0" w:color="auto"/>
              <w:right w:val="single" w:sz="4" w:space="0" w:color="auto"/>
            </w:tcBorders>
          </w:tcPr>
          <w:p w14:paraId="10B75BC0"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65478E98"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05363FC1"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0D387D1F"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4B24D5F8"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5F315E6A"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03FFE1C0"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0A84430B" w14:textId="77777777" w:rsidR="000B06F3" w:rsidRPr="00DA3C6E" w:rsidRDefault="000B06F3" w:rsidP="008A5F97">
            <w:pPr>
              <w:pStyle w:val="Tabletext1"/>
              <w:ind w:left="34"/>
              <w:jc w:val="left"/>
            </w:pPr>
            <w:r w:rsidRPr="00DA3C6E">
              <w:t>Electrophysiological examination, CMAP</w:t>
            </w:r>
          </w:p>
        </w:tc>
      </w:tr>
      <w:tr w:rsidR="007C7E04" w:rsidRPr="00DA3C6E" w14:paraId="47A2CDBC" w14:textId="77777777" w:rsidTr="006A5E97">
        <w:trPr>
          <w:trHeight w:val="319"/>
        </w:trPr>
        <w:tc>
          <w:tcPr>
            <w:tcW w:w="1424" w:type="dxa"/>
            <w:tcBorders>
              <w:top w:val="single" w:sz="4" w:space="0" w:color="auto"/>
              <w:left w:val="single" w:sz="4" w:space="0" w:color="auto"/>
              <w:right w:val="single" w:sz="4" w:space="0" w:color="auto"/>
            </w:tcBorders>
          </w:tcPr>
          <w:p w14:paraId="73FAADB7" w14:textId="58ABCA22" w:rsidR="000B06F3" w:rsidRPr="00DA3C6E" w:rsidRDefault="000047E2" w:rsidP="008A5F97">
            <w:pPr>
              <w:pStyle w:val="Tabletext1"/>
              <w:jc w:val="left"/>
              <w:rPr>
                <w:lang w:val="nn-NO"/>
              </w:rPr>
            </w:pPr>
            <w:r w:rsidRPr="00DA3C6E">
              <w:rPr>
                <w:lang w:val="nn-NO"/>
              </w:rPr>
              <w:t>V</w:t>
            </w:r>
            <w:r w:rsidR="000B06F3" w:rsidRPr="00DA3C6E">
              <w:rPr>
                <w:lang w:val="nn-NO"/>
              </w:rPr>
              <w:t>an den Berg et al. 2002</w:t>
            </w:r>
            <w:r w:rsidR="00DB568A" w:rsidRPr="00DA3C6E">
              <w:rPr>
                <w:lang w:val="nn-NO"/>
              </w:rPr>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00DB568A" w:rsidRPr="00DA3C6E">
              <w:rPr>
                <w:lang w:val="nn-NO"/>
              </w:rPr>
              <w:instrText xml:space="preserve"> ADDIN EN.CITE </w:instrText>
            </w:r>
            <w:r w:rsidR="00DB568A" w:rsidRPr="00DA3C6E">
              <w:rPr>
                <w:lang w:val="nn-NO"/>
              </w:rPr>
              <w:fldChar w:fldCharType="begin">
                <w:fldData xml:space="preserve">PEVuZE5vdGU+PENpdGU+PEF1dGhvcj5WYW4gZGVuIEJlcmctVm9zPC9BdXRob3I+PFllYXI+MjAw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</w:fldData>
              </w:fldChar>
            </w:r>
            <w:r w:rsidR="00DB568A" w:rsidRPr="00DA3C6E">
              <w:rPr>
                <w:lang w:val="nn-NO"/>
              </w:rPr>
              <w:instrText xml:space="preserve"> ADDIN EN.CITE.DATA </w:instrText>
            </w:r>
            <w:r w:rsidR="00DB568A" w:rsidRPr="00DA3C6E">
              <w:rPr>
                <w:lang w:val="nn-NO"/>
              </w:rPr>
            </w:r>
            <w:r w:rsidR="00DB568A" w:rsidRPr="00DA3C6E">
              <w:rPr>
                <w:lang w:val="nn-NO"/>
              </w:rPr>
              <w:fldChar w:fldCharType="end"/>
            </w:r>
            <w:r w:rsidR="00DB568A" w:rsidRPr="00DA3C6E">
              <w:rPr>
                <w:lang w:val="nn-NO"/>
              </w:rPr>
            </w:r>
            <w:r w:rsidR="00DB568A" w:rsidRPr="00DA3C6E">
              <w:rPr>
                <w:lang w:val="nn-NO"/>
              </w:rPr>
              <w:fldChar w:fldCharType="separate"/>
            </w:r>
            <w:r w:rsidR="00DB568A" w:rsidRPr="00DA3C6E">
              <w:rPr>
                <w:noProof/>
                <w:lang w:val="nn-NO"/>
              </w:rPr>
              <w:t>(</w:t>
            </w:r>
            <w:hyperlink w:anchor="_ENREF_30" w:tooltip="Van den Berg-Vos, 2002 #68" w:history="1">
              <w:r w:rsidR="00C04BCE" w:rsidRPr="00DA3C6E">
                <w:rPr>
                  <w:noProof/>
                  <w:lang w:val="nn-NO"/>
                </w:rPr>
                <w:t>30</w:t>
              </w:r>
            </w:hyperlink>
            <w:r w:rsidR="00DB568A" w:rsidRPr="00DA3C6E">
              <w:rPr>
                <w:noProof/>
                <w:lang w:val="nn-NO"/>
              </w:rPr>
              <w:t>)</w:t>
            </w:r>
            <w:r w:rsidR="00DB568A" w:rsidRPr="00DA3C6E">
              <w:rPr>
                <w:lang w:val="nn-NO"/>
              </w:rPr>
              <w:fldChar w:fldCharType="end"/>
            </w:r>
          </w:p>
          <w:p w14:paraId="72E72D67" w14:textId="77777777" w:rsidR="000B06F3" w:rsidRPr="00DA3C6E" w:rsidRDefault="000B06F3" w:rsidP="008A5F97">
            <w:pPr>
              <w:pStyle w:val="Tabletext1"/>
              <w:jc w:val="left"/>
              <w:rPr>
                <w:lang w:val="nn-NO"/>
              </w:rPr>
            </w:pPr>
          </w:p>
        </w:tc>
        <w:tc>
          <w:tcPr>
            <w:tcW w:w="1787" w:type="dxa"/>
            <w:tcBorders>
              <w:top w:val="single" w:sz="4" w:space="0" w:color="auto"/>
              <w:left w:val="single" w:sz="4" w:space="0" w:color="auto"/>
              <w:right w:val="single" w:sz="4" w:space="0" w:color="auto"/>
            </w:tcBorders>
          </w:tcPr>
          <w:p w14:paraId="29C5C639"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235251A6" w14:textId="77777777" w:rsidR="000B06F3" w:rsidRPr="00DA3C6E" w:rsidRDefault="000B06F3" w:rsidP="008A5F97">
            <w:pPr>
              <w:pStyle w:val="Tabletext1"/>
              <w:jc w:val="left"/>
            </w:pPr>
            <w:r w:rsidRPr="00DA3C6E">
              <w:t>L</w:t>
            </w:r>
          </w:p>
        </w:tc>
        <w:tc>
          <w:tcPr>
            <w:tcW w:w="1812" w:type="dxa"/>
            <w:tcBorders>
              <w:top w:val="single" w:sz="4" w:space="0" w:color="auto"/>
              <w:left w:val="single" w:sz="4" w:space="0" w:color="auto"/>
              <w:right w:val="single" w:sz="4" w:space="0" w:color="auto"/>
            </w:tcBorders>
          </w:tcPr>
          <w:p w14:paraId="28131816" w14:textId="77777777" w:rsidR="000B06F3" w:rsidRPr="00DA3C6E" w:rsidRDefault="000B06F3" w:rsidP="008A5F97">
            <w:pPr>
              <w:pStyle w:val="Tabletext1"/>
              <w:jc w:val="left"/>
            </w:pPr>
            <w:r w:rsidRPr="00DA3C6E">
              <w:t xml:space="preserve">Asymmetrical limb weakness at onset or motor involvement with a motor nerve distribution in ≥2 peripheral nerve sites, predominant upper limb involvement, disabling weakness </w:t>
            </w:r>
            <w:r w:rsidRPr="00DA3C6E">
              <w:lastRenderedPageBreak/>
              <w:t>of MRC grade ≤4 in at least one muscle; (ii) definite/probable motor CB; (iii) response to intravenous Ig; and (iv) intravenous Ig maintenance treatment lasting at least 4 years.</w:t>
            </w:r>
          </w:p>
        </w:tc>
        <w:tc>
          <w:tcPr>
            <w:tcW w:w="1621" w:type="dxa"/>
            <w:tcBorders>
              <w:top w:val="single" w:sz="4" w:space="0" w:color="auto"/>
              <w:left w:val="single" w:sz="4" w:space="0" w:color="auto"/>
              <w:right w:val="single" w:sz="4" w:space="0" w:color="auto"/>
            </w:tcBorders>
          </w:tcPr>
          <w:p w14:paraId="7F8FC21B" w14:textId="77777777" w:rsidR="000B06F3" w:rsidRPr="00DA3C6E" w:rsidRDefault="000B06F3" w:rsidP="008A5F97">
            <w:pPr>
              <w:pStyle w:val="Tabletext1"/>
              <w:jc w:val="left"/>
            </w:pPr>
            <w:r w:rsidRPr="00DA3C6E">
              <w:lastRenderedPageBreak/>
              <w:t>11 patients with MMN;</w:t>
            </w:r>
          </w:p>
          <w:p w14:paraId="491675E7" w14:textId="77777777" w:rsidR="000B06F3" w:rsidRPr="00DA3C6E" w:rsidRDefault="000B06F3" w:rsidP="008A5F97">
            <w:pPr>
              <w:pStyle w:val="Tabletext1"/>
              <w:jc w:val="left"/>
            </w:pPr>
            <w:r w:rsidRPr="00DA3C6E">
              <w:t>Mean age: 38.8</w:t>
            </w:r>
          </w:p>
        </w:tc>
        <w:tc>
          <w:tcPr>
            <w:tcW w:w="1813" w:type="dxa"/>
            <w:tcBorders>
              <w:top w:val="single" w:sz="4" w:space="0" w:color="auto"/>
              <w:left w:val="single" w:sz="4" w:space="0" w:color="auto"/>
              <w:right w:val="single" w:sz="4" w:space="0" w:color="auto"/>
            </w:tcBorders>
          </w:tcPr>
          <w:p w14:paraId="7DB5EE90" w14:textId="77777777" w:rsidR="000B06F3" w:rsidRPr="00DA3C6E" w:rsidRDefault="000B06F3" w:rsidP="008A5F97">
            <w:pPr>
              <w:pStyle w:val="Tabletext1"/>
              <w:jc w:val="left"/>
            </w:pPr>
            <w:r w:rsidRPr="00DA3C6E">
              <w:t xml:space="preserve">Intravenous Ig 0.4 g/kg  for 6 days followed by one intravenous Ig infusion every week during the first year </w:t>
            </w:r>
            <w:r w:rsidRPr="00DA3C6E">
              <w:lastRenderedPageBreak/>
              <w:t>of intravenous Ig maintenance treatment. The dosage and frequency of intravenous Ig infusions during the remainder of the follow-up were tailored to each patient on the basis of functioning in daily life.</w:t>
            </w:r>
          </w:p>
        </w:tc>
        <w:tc>
          <w:tcPr>
            <w:tcW w:w="1781" w:type="dxa"/>
            <w:tcBorders>
              <w:top w:val="single" w:sz="4" w:space="0" w:color="auto"/>
              <w:left w:val="single" w:sz="4" w:space="0" w:color="auto"/>
              <w:right w:val="single" w:sz="4" w:space="0" w:color="auto"/>
            </w:tcBorders>
          </w:tcPr>
          <w:p w14:paraId="478E0DBD" w14:textId="77777777" w:rsidR="000B06F3" w:rsidRPr="00DA3C6E" w:rsidRDefault="000B06F3" w:rsidP="008A5F97">
            <w:pPr>
              <w:pStyle w:val="Tabletext1"/>
              <w:jc w:val="left"/>
            </w:pPr>
            <w:r w:rsidRPr="00DA3C6E">
              <w:lastRenderedPageBreak/>
              <w:t xml:space="preserve">Improvement in disability </w:t>
            </w:r>
          </w:p>
          <w:p w14:paraId="2FB1D637"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5473CB8E" w14:textId="77777777" w:rsidR="000B06F3" w:rsidRPr="00DA3C6E" w:rsidRDefault="000B06F3" w:rsidP="008A5F97">
            <w:pPr>
              <w:pStyle w:val="Tabletext1"/>
              <w:ind w:left="34"/>
              <w:jc w:val="left"/>
            </w:pPr>
            <w:r w:rsidRPr="00DA3C6E">
              <w:t>GNDS</w:t>
            </w:r>
          </w:p>
          <w:p w14:paraId="7954DCAD" w14:textId="77777777" w:rsidR="000B06F3" w:rsidRPr="00DA3C6E" w:rsidRDefault="000B06F3" w:rsidP="008A5F97">
            <w:pPr>
              <w:pStyle w:val="Tabletext1"/>
              <w:ind w:left="34"/>
              <w:jc w:val="left"/>
            </w:pPr>
          </w:p>
        </w:tc>
      </w:tr>
      <w:tr w:rsidR="007C7E04" w:rsidRPr="00DA3C6E" w14:paraId="6690EFB9" w14:textId="77777777" w:rsidTr="006A5E97">
        <w:trPr>
          <w:trHeight w:val="319"/>
        </w:trPr>
        <w:tc>
          <w:tcPr>
            <w:tcW w:w="1424" w:type="dxa"/>
            <w:tcBorders>
              <w:left w:val="single" w:sz="4" w:space="0" w:color="auto"/>
              <w:right w:val="single" w:sz="4" w:space="0" w:color="auto"/>
            </w:tcBorders>
          </w:tcPr>
          <w:p w14:paraId="4BBB8CEC"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751A1B96" w14:textId="77777777" w:rsidR="000B06F3" w:rsidRPr="00DA3C6E" w:rsidRDefault="000B06F3" w:rsidP="008A5F97">
            <w:pPr>
              <w:pStyle w:val="Tabletext1"/>
              <w:jc w:val="left"/>
            </w:pPr>
          </w:p>
        </w:tc>
        <w:tc>
          <w:tcPr>
            <w:tcW w:w="1259" w:type="dxa"/>
            <w:tcBorders>
              <w:top w:val="single" w:sz="4" w:space="0" w:color="auto"/>
              <w:left w:val="single" w:sz="4" w:space="0" w:color="auto"/>
              <w:right w:val="single" w:sz="4" w:space="0" w:color="auto"/>
            </w:tcBorders>
          </w:tcPr>
          <w:p w14:paraId="05A1523D"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18DCB4AC"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660BDB09"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6FDEDD15"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53D44F49" w14:textId="77777777" w:rsidR="000B06F3" w:rsidRPr="00DA3C6E" w:rsidRDefault="000B06F3" w:rsidP="008A5F97">
            <w:pPr>
              <w:pStyle w:val="Tabletext1"/>
              <w:jc w:val="left"/>
            </w:pPr>
            <w:r w:rsidRPr="00DA3C6E">
              <w:t>Improvement in muscle strength</w:t>
            </w:r>
          </w:p>
          <w:p w14:paraId="12F289A6"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7D976EE1" w14:textId="77777777" w:rsidR="000B06F3" w:rsidRPr="00DA3C6E" w:rsidRDefault="000B06F3" w:rsidP="008A5F97">
            <w:pPr>
              <w:pStyle w:val="Tabletext1"/>
              <w:ind w:left="34"/>
              <w:jc w:val="left"/>
            </w:pPr>
            <w:r w:rsidRPr="00DA3C6E">
              <w:t>MRC</w:t>
            </w:r>
          </w:p>
          <w:p w14:paraId="3585BC2E" w14:textId="77777777" w:rsidR="000B06F3" w:rsidRPr="00DA3C6E" w:rsidRDefault="000B06F3" w:rsidP="008A5F97">
            <w:pPr>
              <w:pStyle w:val="Tabletext1"/>
              <w:ind w:left="34"/>
              <w:jc w:val="left"/>
            </w:pPr>
          </w:p>
        </w:tc>
      </w:tr>
      <w:tr w:rsidR="007C7E04" w:rsidRPr="00DA3C6E" w14:paraId="7EA34153" w14:textId="77777777" w:rsidTr="006A5E97">
        <w:trPr>
          <w:trHeight w:val="319"/>
        </w:trPr>
        <w:tc>
          <w:tcPr>
            <w:tcW w:w="1424" w:type="dxa"/>
            <w:tcBorders>
              <w:left w:val="single" w:sz="4" w:space="0" w:color="auto"/>
              <w:right w:val="single" w:sz="4" w:space="0" w:color="auto"/>
            </w:tcBorders>
          </w:tcPr>
          <w:p w14:paraId="61498331"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5C3AD9B9"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58BF6FC3"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432F78B6"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0F36B50A"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40CBE8B8"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69ABBB80"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7C450379" w14:textId="77777777" w:rsidR="000B06F3" w:rsidRPr="00DA3C6E" w:rsidRDefault="000B06F3" w:rsidP="008A5F97">
            <w:pPr>
              <w:pStyle w:val="Tabletext1"/>
              <w:ind w:left="34"/>
              <w:jc w:val="left"/>
            </w:pPr>
            <w:r w:rsidRPr="00DA3C6E">
              <w:t>Electrophysiological examination, CMAP</w:t>
            </w:r>
          </w:p>
        </w:tc>
      </w:tr>
      <w:tr w:rsidR="007C7E04" w:rsidRPr="00DA3C6E" w14:paraId="305E2ED2" w14:textId="77777777" w:rsidTr="006A5E97">
        <w:trPr>
          <w:trHeight w:val="319"/>
        </w:trPr>
        <w:tc>
          <w:tcPr>
            <w:tcW w:w="1424" w:type="dxa"/>
            <w:tcBorders>
              <w:left w:val="single" w:sz="4" w:space="0" w:color="auto"/>
              <w:bottom w:val="single" w:sz="4" w:space="0" w:color="auto"/>
              <w:right w:val="single" w:sz="4" w:space="0" w:color="auto"/>
            </w:tcBorders>
          </w:tcPr>
          <w:p w14:paraId="580DFD78"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2BC1C939"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44516760"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01F79549"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1226C8F8"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74F89574"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7F8A7F4B"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7F425FB2" w14:textId="77777777" w:rsidR="000B06F3" w:rsidRPr="00DA3C6E" w:rsidRDefault="000B06F3" w:rsidP="008A5F97">
            <w:pPr>
              <w:pStyle w:val="Tabletext1"/>
              <w:ind w:left="34"/>
              <w:jc w:val="left"/>
            </w:pPr>
          </w:p>
        </w:tc>
      </w:tr>
      <w:tr w:rsidR="007C7E04" w:rsidRPr="00DA3C6E" w14:paraId="25E8F82F" w14:textId="77777777" w:rsidTr="006A5E97">
        <w:trPr>
          <w:trHeight w:val="319"/>
        </w:trPr>
        <w:tc>
          <w:tcPr>
            <w:tcW w:w="1424" w:type="dxa"/>
            <w:tcBorders>
              <w:top w:val="single" w:sz="4" w:space="0" w:color="auto"/>
              <w:left w:val="single" w:sz="4" w:space="0" w:color="auto"/>
              <w:right w:val="single" w:sz="4" w:space="0" w:color="auto"/>
            </w:tcBorders>
          </w:tcPr>
          <w:p w14:paraId="2836EB35" w14:textId="1492AD25" w:rsidR="000B06F3" w:rsidRPr="00DA3C6E" w:rsidRDefault="000B06F3" w:rsidP="00C04BCE">
            <w:pPr>
              <w:pStyle w:val="Tabletext1"/>
              <w:jc w:val="left"/>
            </w:pPr>
            <w:r w:rsidRPr="00DA3C6E">
              <w:t>Vucic et al. 2004</w:t>
            </w:r>
            <w:r w:rsidR="00DB568A" w:rsidRPr="00DA3C6E">
              <w:fldChar w:fldCharType="begin"/>
            </w:r>
            <w:r w:rsidR="00DB568A" w:rsidRPr="00DA3C6E">
              <w:instrText xml:space="preserve"> ADDIN EN.CITE &lt;EndNote&gt;&lt;Cite&gt;&lt;Author&gt;Vucic&lt;/Author&gt;&lt;Year&gt;2004&lt;/Year&gt;&lt;RecNum&gt;71&lt;/RecNum&gt;&lt;DisplayText&gt;(31)&lt;/DisplayText&gt;&lt;record&gt;&lt;rec-number&gt;71&lt;/rec-number&gt;&lt;foreign-keys&gt;&lt;key app="EN" db-id="0992p2ztn5fez9e2wvnpw2xstd20f9w2dezz" timestamp="1586818281"&gt;71&lt;/key&gt;&lt;/foreign-keys&gt;&lt;ref-type name="Journal Article"&gt;17&lt;/ref-type&gt;&lt;contributors&gt;&lt;authors&gt;&lt;author&gt;Vucic, S.&lt;/author&gt;&lt;author&gt;Black, K. R.&lt;/author&gt;&lt;author&gt;Chong, P. S.&lt;/author&gt;&lt;author&gt;Cros, D.&lt;/author&gt;&lt;/authors&gt;&lt;/contributors&gt;&lt;auth-address&gt;Department of Neurology, Massachusetts General Hospital, Boston, MA, USA.&lt;/auth-address&gt;&lt;titles&gt;&lt;title&gt;Multifocal motor neuropathy: decrease in conduction blocks and reinnervation with long-term IVIg&lt;/title&gt;&lt;secondary-title&gt;Neurology&lt;/secondary-title&gt;&lt;/titles&gt;&lt;periodical&gt;&lt;full-title&gt;Neurology&lt;/full-title&gt;&lt;/periodical&gt;&lt;pages&gt;1264-9&lt;/pages&gt;&lt;volume&gt;63&lt;/volume&gt;&lt;number&gt;7&lt;/number&gt;&lt;keywords&gt;&lt;keyword&gt;Action Potentials/drug effects&lt;/keyword&gt;&lt;keyword&gt;Adult&lt;/keyword&gt;&lt;keyword&gt;Axons/drug effects/physiology&lt;/keyword&gt;&lt;keyword&gt;Drug Administration Schedule&lt;/keyword&gt;&lt;keyword&gt;Female&lt;/keyword&gt;&lt;keyword&gt;Follow-Up Studies&lt;/keyword&gt;&lt;keyword&gt;Humans&lt;/keyword&gt;&lt;keyword&gt;Immunoglobulins, Intravenous/administration &amp;amp; dosage/ therapeutic use&lt;/keyword&gt;&lt;keyword&gt;Male&lt;/keyword&gt;&lt;keyword&gt;Middle Aged&lt;/keyword&gt;&lt;keyword&gt;Motor Neuron Disease/physiopathology/ therapy&lt;/keyword&gt;&lt;keyword&gt;Muscle Weakness/physiopathology/therapy&lt;/keyword&gt;&lt;keyword&gt;Muscles/drug effects/physiopathology&lt;/keyword&gt;&lt;keyword&gt;Nerve Degeneration/physiopathology&lt;/keyword&gt;&lt;keyword&gt;Neural Conduction/ drug effects&lt;/keyword&gt;&lt;keyword&gt;Polyneuropathies/physiopathology/ therapy&lt;/keyword&gt;&lt;/keywords&gt;&lt;dates&gt;&lt;year&gt;2004&lt;/year&gt;&lt;pub-dates&gt;&lt;date&gt;Oct 12&lt;/date&gt;&lt;/pub-dates&gt;&lt;/dates&gt;&lt;accession-num&gt;15477549&lt;/accession-num&gt;&lt;urls&gt;&lt;related-urls&gt;&lt;url&gt;https://n.neurology.org/content/63/7/1264.long&lt;/url&gt;&lt;/related-urls&gt;&lt;/urls&gt;&lt;research-notes&gt;B. 10 patients with MMN and CB&lt;/research-notes&gt;&lt;/record&gt;&lt;/Cite&gt;&lt;/EndNote&gt;</w:instrText>
            </w:r>
            <w:r w:rsidR="00DB568A" w:rsidRPr="00DA3C6E">
              <w:fldChar w:fldCharType="separate"/>
            </w:r>
            <w:r w:rsidR="00DB568A" w:rsidRPr="00DA3C6E">
              <w:rPr>
                <w:noProof/>
              </w:rPr>
              <w:t>(</w:t>
            </w:r>
            <w:hyperlink w:anchor="_ENREF_31" w:tooltip="Vucic, 2004 #71" w:history="1">
              <w:r w:rsidR="00C04BCE" w:rsidRPr="00DA3C6E">
                <w:rPr>
                  <w:noProof/>
                </w:rPr>
                <w:t>31</w:t>
              </w:r>
            </w:hyperlink>
            <w:r w:rsidR="00DB568A" w:rsidRPr="00DA3C6E">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5DEA1D94" w14:textId="77777777" w:rsidR="000B06F3" w:rsidRPr="00DA3C6E" w:rsidRDefault="000B06F3" w:rsidP="008A5F97">
            <w:pPr>
              <w:pStyle w:val="Tabletext1"/>
              <w:jc w:val="left"/>
            </w:pPr>
            <w:r w:rsidRPr="00DA3C6E">
              <w:t>Prospective (with retrospective collection of data), open, uncontrolled trial</w:t>
            </w:r>
          </w:p>
        </w:tc>
        <w:tc>
          <w:tcPr>
            <w:tcW w:w="1259" w:type="dxa"/>
            <w:tcBorders>
              <w:top w:val="single" w:sz="4" w:space="0" w:color="auto"/>
              <w:left w:val="single" w:sz="4" w:space="0" w:color="auto"/>
              <w:right w:val="single" w:sz="4" w:space="0" w:color="auto"/>
            </w:tcBorders>
          </w:tcPr>
          <w:p w14:paraId="797DA1FC" w14:textId="77777777" w:rsidR="000B06F3" w:rsidRPr="00DA3C6E" w:rsidRDefault="000B06F3" w:rsidP="008A5F97">
            <w:pPr>
              <w:pStyle w:val="Tabletext1"/>
              <w:jc w:val="left"/>
            </w:pPr>
            <w:r w:rsidRPr="00DA3C6E">
              <w:t xml:space="preserve">L </w:t>
            </w:r>
          </w:p>
        </w:tc>
        <w:tc>
          <w:tcPr>
            <w:tcW w:w="1812" w:type="dxa"/>
            <w:tcBorders>
              <w:top w:val="single" w:sz="4" w:space="0" w:color="auto"/>
              <w:left w:val="single" w:sz="4" w:space="0" w:color="auto"/>
              <w:right w:val="single" w:sz="4" w:space="0" w:color="auto"/>
            </w:tcBorders>
          </w:tcPr>
          <w:p w14:paraId="63BC3DFA" w14:textId="77777777" w:rsidR="000B06F3" w:rsidRPr="00DA3C6E" w:rsidRDefault="000B06F3" w:rsidP="008A5F97">
            <w:pPr>
              <w:pStyle w:val="Tabletext1"/>
              <w:jc w:val="left"/>
            </w:pPr>
            <w:r w:rsidRPr="00DA3C6E">
              <w:t>MMNCB criteria: (1) asymmetric limb weakness (≤grade 4 on the MRC) in ≥2 more motor nerves; and 2) evidence of CB ≥2 motor nerves at sites distinct from common entrapment or compression syndromes, with normal mixed and sensory NCS. All patients had to have showed response to intravenous Ig and had been given it for ≥2 years. The criteria for inclusion in this</w:t>
            </w:r>
          </w:p>
          <w:p w14:paraId="47A27C5B" w14:textId="77777777" w:rsidR="000B06F3" w:rsidRPr="00DA3C6E" w:rsidRDefault="000B06F3" w:rsidP="008A5F97">
            <w:pPr>
              <w:pStyle w:val="Tabletext1"/>
              <w:jc w:val="left"/>
            </w:pPr>
            <w:r w:rsidRPr="00DA3C6E">
              <w:t>study were 1) response to intravenous Ig treatment; and 2) intravenous Ig treatment</w:t>
            </w:r>
          </w:p>
          <w:p w14:paraId="3F899569" w14:textId="77777777" w:rsidR="000B06F3" w:rsidRPr="00DA3C6E" w:rsidRDefault="000B06F3" w:rsidP="008A5F97">
            <w:pPr>
              <w:pStyle w:val="Tabletext1"/>
              <w:jc w:val="left"/>
            </w:pPr>
            <w:r w:rsidRPr="00DA3C6E">
              <w:t xml:space="preserve">given for at least 2 years. </w:t>
            </w:r>
          </w:p>
          <w:p w14:paraId="1C35BBA2" w14:textId="77777777" w:rsidR="000B06F3" w:rsidRPr="00DA3C6E" w:rsidRDefault="000B06F3" w:rsidP="008A5F97">
            <w:pPr>
              <w:pStyle w:val="Tabletext1"/>
              <w:jc w:val="left"/>
            </w:pPr>
          </w:p>
        </w:tc>
        <w:tc>
          <w:tcPr>
            <w:tcW w:w="1621" w:type="dxa"/>
            <w:tcBorders>
              <w:top w:val="single" w:sz="4" w:space="0" w:color="auto"/>
              <w:left w:val="single" w:sz="4" w:space="0" w:color="auto"/>
              <w:right w:val="single" w:sz="4" w:space="0" w:color="auto"/>
            </w:tcBorders>
          </w:tcPr>
          <w:p w14:paraId="546BEB33" w14:textId="77777777" w:rsidR="000B06F3" w:rsidRPr="00DA3C6E" w:rsidRDefault="000B06F3" w:rsidP="008A5F97">
            <w:pPr>
              <w:pStyle w:val="Tabletext1"/>
              <w:jc w:val="left"/>
            </w:pPr>
            <w:r w:rsidRPr="00DA3C6E">
              <w:t xml:space="preserve">10 patient; Mean age: </w:t>
            </w:r>
          </w:p>
          <w:p w14:paraId="4B2AE9F4" w14:textId="77777777" w:rsidR="000B06F3" w:rsidRPr="00DA3C6E" w:rsidRDefault="000B06F3" w:rsidP="008A5F97">
            <w:pPr>
              <w:pStyle w:val="Tabletext1"/>
              <w:jc w:val="left"/>
            </w:pPr>
            <w:r w:rsidRPr="00DA3C6E">
              <w:t xml:space="preserve">Mean age: 46.1 years </w:t>
            </w:r>
          </w:p>
        </w:tc>
        <w:tc>
          <w:tcPr>
            <w:tcW w:w="1813" w:type="dxa"/>
            <w:tcBorders>
              <w:top w:val="single" w:sz="4" w:space="0" w:color="auto"/>
              <w:left w:val="single" w:sz="4" w:space="0" w:color="auto"/>
              <w:right w:val="single" w:sz="4" w:space="0" w:color="auto"/>
            </w:tcBorders>
          </w:tcPr>
          <w:p w14:paraId="485E1B18" w14:textId="77777777" w:rsidR="000B06F3" w:rsidRPr="00DA3C6E" w:rsidRDefault="000B06F3" w:rsidP="008A5F97">
            <w:pPr>
              <w:pStyle w:val="Tabletext1"/>
              <w:jc w:val="left"/>
            </w:pPr>
            <w:r w:rsidRPr="00DA3C6E">
              <w:t>Initial treatment:  intravenous Ig (2 g/kg) given every 4th week. Each course was</w:t>
            </w:r>
            <w:r w:rsidR="00F92DC9" w:rsidRPr="00DA3C6E">
              <w:t xml:space="preserve"> </w:t>
            </w:r>
            <w:r w:rsidRPr="00DA3C6E">
              <w:t>administered for 5 consecutive days (0.4 g/kg/day). If after the last course no</w:t>
            </w:r>
            <w:r w:rsidR="00F92DC9" w:rsidRPr="00DA3C6E">
              <w:t xml:space="preserve"> </w:t>
            </w:r>
            <w:r w:rsidRPr="00DA3C6E">
              <w:t>functional decline had occurred after the expected clinical improvement,</w:t>
            </w:r>
          </w:p>
          <w:p w14:paraId="5D423F4F" w14:textId="77777777" w:rsidR="000B06F3" w:rsidRPr="00DA3C6E" w:rsidRDefault="000B06F3" w:rsidP="008A5F97">
            <w:pPr>
              <w:pStyle w:val="Tabletext1"/>
              <w:jc w:val="left"/>
            </w:pPr>
            <w:r w:rsidRPr="00DA3C6E">
              <w:t>the dose of intravenous  Ig during the next course was decreased,</w:t>
            </w:r>
            <w:r w:rsidR="00F92DC9" w:rsidRPr="00DA3C6E">
              <w:t xml:space="preserve"> </w:t>
            </w:r>
            <w:r w:rsidRPr="00DA3C6E">
              <w:t xml:space="preserve">by 0.4 g/kg/4 weeks, to a </w:t>
            </w:r>
            <w:r w:rsidRPr="00DA3C6E">
              <w:lastRenderedPageBreak/>
              <w:t>new maintenance level of 1.6 g/kg given</w:t>
            </w:r>
            <w:r w:rsidR="00F92DC9" w:rsidRPr="00DA3C6E">
              <w:t xml:space="preserve"> </w:t>
            </w:r>
            <w:r w:rsidRPr="00DA3C6E">
              <w:t>over 4 days. If a functional decline had occurred, then the treatment</w:t>
            </w:r>
          </w:p>
          <w:p w14:paraId="5183A080" w14:textId="77777777" w:rsidR="000B06F3" w:rsidRPr="00DA3C6E" w:rsidRDefault="000B06F3" w:rsidP="008A5F97">
            <w:pPr>
              <w:pStyle w:val="Tabletext1"/>
              <w:jc w:val="left"/>
            </w:pPr>
            <w:r w:rsidRPr="00DA3C6E">
              <w:t>was repeated at the dose of 2 g/kg in 5 days for one or</w:t>
            </w:r>
            <w:r w:rsidR="00F92DC9" w:rsidRPr="00DA3C6E">
              <w:t xml:space="preserve"> </w:t>
            </w:r>
            <w:r w:rsidRPr="00DA3C6E">
              <w:t>several courses until strength level was stable. The monthly intravenous Ig</w:t>
            </w:r>
          </w:p>
          <w:p w14:paraId="41B1306E" w14:textId="77777777" w:rsidR="000B06F3" w:rsidRPr="00DA3C6E" w:rsidRDefault="000B06F3" w:rsidP="008A5F97">
            <w:pPr>
              <w:pStyle w:val="Tabletext1"/>
              <w:jc w:val="left"/>
            </w:pPr>
            <w:r w:rsidRPr="00DA3C6E">
              <w:t>dose then was gradually adjusted so that no functional decline</w:t>
            </w:r>
            <w:r w:rsidR="00F92DC9" w:rsidRPr="00DA3C6E">
              <w:t xml:space="preserve"> </w:t>
            </w:r>
            <w:r w:rsidRPr="00DA3C6E">
              <w:t>occurred before the next treatment. Should the threshold for maximum</w:t>
            </w:r>
          </w:p>
          <w:p w14:paraId="459BD54F" w14:textId="77777777" w:rsidR="000B06F3" w:rsidRPr="00DA3C6E" w:rsidRDefault="000B06F3" w:rsidP="008A5F97">
            <w:pPr>
              <w:pStyle w:val="Tabletext1"/>
              <w:jc w:val="left"/>
            </w:pPr>
            <w:r w:rsidRPr="00DA3C6E">
              <w:t>clinical efficacy be crossed (e.g., the patient’s strength declined</w:t>
            </w:r>
          </w:p>
          <w:p w14:paraId="06532061" w14:textId="77777777" w:rsidR="000B06F3" w:rsidRPr="00DA3C6E" w:rsidRDefault="000B06F3" w:rsidP="008A5F97">
            <w:pPr>
              <w:pStyle w:val="Tabletext1"/>
              <w:jc w:val="left"/>
            </w:pPr>
            <w:r w:rsidRPr="00DA3C6E">
              <w:t>before the upcoming treatment), the next dose then was</w:t>
            </w:r>
          </w:p>
          <w:p w14:paraId="3E0DD333" w14:textId="77777777" w:rsidR="000B06F3" w:rsidRPr="00DA3C6E" w:rsidRDefault="000B06F3" w:rsidP="008A5F97">
            <w:pPr>
              <w:pStyle w:val="Tabletext1"/>
              <w:jc w:val="left"/>
            </w:pPr>
            <w:r w:rsidRPr="00DA3C6E">
              <w:t>increased by 0.4 g/kg. Changes in intravenous  Ig dose were made in steps of</w:t>
            </w:r>
          </w:p>
          <w:p w14:paraId="336C1A94" w14:textId="77777777" w:rsidR="000B06F3" w:rsidRPr="00DA3C6E" w:rsidRDefault="000B06F3" w:rsidP="008A5F97">
            <w:pPr>
              <w:pStyle w:val="Tabletext1"/>
              <w:jc w:val="left"/>
            </w:pPr>
            <w:r w:rsidRPr="00DA3C6E">
              <w:t>0.4 g/kg every 4th week. All patients received maintenance intravenous  Ig</w:t>
            </w:r>
          </w:p>
          <w:p w14:paraId="55446B71" w14:textId="77777777" w:rsidR="000B06F3" w:rsidRPr="00DA3C6E" w:rsidRDefault="000B06F3" w:rsidP="008A5F97">
            <w:pPr>
              <w:pStyle w:val="Tabletext1"/>
              <w:jc w:val="left"/>
            </w:pPr>
            <w:r w:rsidRPr="00DA3C6E">
              <w:lastRenderedPageBreak/>
              <w:t>treatment every 4 weeks</w:t>
            </w:r>
          </w:p>
        </w:tc>
        <w:tc>
          <w:tcPr>
            <w:tcW w:w="1781" w:type="dxa"/>
            <w:tcBorders>
              <w:top w:val="single" w:sz="4" w:space="0" w:color="auto"/>
              <w:left w:val="single" w:sz="4" w:space="0" w:color="auto"/>
              <w:right w:val="single" w:sz="4" w:space="0" w:color="auto"/>
            </w:tcBorders>
          </w:tcPr>
          <w:p w14:paraId="3CDAB96C" w14:textId="77777777" w:rsidR="000B06F3" w:rsidRPr="00DA3C6E" w:rsidRDefault="000B06F3" w:rsidP="008A5F97">
            <w:pPr>
              <w:pStyle w:val="Tabletext1"/>
              <w:jc w:val="left"/>
            </w:pPr>
            <w:r w:rsidRPr="00DA3C6E">
              <w:lastRenderedPageBreak/>
              <w:t xml:space="preserve">Improvement in disability </w:t>
            </w:r>
          </w:p>
          <w:p w14:paraId="2E08493D"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0EEE7D4F" w14:textId="77777777" w:rsidR="000B06F3" w:rsidRPr="00DA3C6E" w:rsidRDefault="000B06F3" w:rsidP="008A5F97">
            <w:pPr>
              <w:pStyle w:val="Tabletext1"/>
              <w:ind w:left="34"/>
              <w:jc w:val="left"/>
            </w:pPr>
            <w:r w:rsidRPr="00DA3C6E">
              <w:t>MRDS</w:t>
            </w:r>
          </w:p>
          <w:p w14:paraId="6E49F280" w14:textId="77777777" w:rsidR="000B06F3" w:rsidRPr="00DA3C6E" w:rsidRDefault="000B06F3" w:rsidP="008A5F97">
            <w:pPr>
              <w:pStyle w:val="Tabletext1"/>
              <w:ind w:left="34"/>
              <w:jc w:val="left"/>
            </w:pPr>
            <w:r w:rsidRPr="00DA3C6E">
              <w:t xml:space="preserve"> </w:t>
            </w:r>
          </w:p>
        </w:tc>
      </w:tr>
      <w:tr w:rsidR="007C7E04" w:rsidRPr="00DA3C6E" w14:paraId="6CF3B0B7" w14:textId="77777777" w:rsidTr="006A5E97">
        <w:trPr>
          <w:trHeight w:val="319"/>
        </w:trPr>
        <w:tc>
          <w:tcPr>
            <w:tcW w:w="1424" w:type="dxa"/>
            <w:tcBorders>
              <w:left w:val="single" w:sz="4" w:space="0" w:color="auto"/>
              <w:right w:val="single" w:sz="4" w:space="0" w:color="auto"/>
            </w:tcBorders>
          </w:tcPr>
          <w:p w14:paraId="7585FB43"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30053187"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5249C901"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73B117B5"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6BE76D9E"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286531C6"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4D3337A5" w14:textId="77777777" w:rsidR="000B06F3" w:rsidRPr="00DA3C6E" w:rsidRDefault="000B06F3" w:rsidP="008A5F97">
            <w:pPr>
              <w:pStyle w:val="Tabletext1"/>
              <w:jc w:val="left"/>
            </w:pPr>
            <w:r w:rsidRPr="00DA3C6E">
              <w:t>Improvement in muscle strength</w:t>
            </w:r>
          </w:p>
          <w:p w14:paraId="40EA900E"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01A53E22" w14:textId="77777777" w:rsidR="000B06F3" w:rsidRPr="00DA3C6E" w:rsidRDefault="000B06F3" w:rsidP="008A5F97">
            <w:pPr>
              <w:pStyle w:val="Tabletext1"/>
              <w:ind w:left="34"/>
              <w:jc w:val="left"/>
            </w:pPr>
            <w:r w:rsidRPr="00DA3C6E">
              <w:t>MRC</w:t>
            </w:r>
          </w:p>
          <w:p w14:paraId="3B4D580C" w14:textId="77777777" w:rsidR="000B06F3" w:rsidRPr="00DA3C6E" w:rsidRDefault="000B06F3" w:rsidP="008A5F97">
            <w:pPr>
              <w:pStyle w:val="Tabletext1"/>
              <w:ind w:left="34"/>
              <w:jc w:val="left"/>
            </w:pPr>
          </w:p>
          <w:p w14:paraId="213798F5" w14:textId="77777777" w:rsidR="000B06F3" w:rsidRPr="00DA3C6E" w:rsidRDefault="000B06F3" w:rsidP="008A5F97">
            <w:pPr>
              <w:pStyle w:val="Tabletext1"/>
              <w:ind w:left="34"/>
              <w:jc w:val="left"/>
            </w:pPr>
          </w:p>
        </w:tc>
      </w:tr>
      <w:tr w:rsidR="007C7E04" w:rsidRPr="00DA3C6E" w14:paraId="67D94C6E" w14:textId="77777777" w:rsidTr="006A5E97">
        <w:trPr>
          <w:trHeight w:val="319"/>
        </w:trPr>
        <w:tc>
          <w:tcPr>
            <w:tcW w:w="1424" w:type="dxa"/>
            <w:tcBorders>
              <w:left w:val="single" w:sz="4" w:space="0" w:color="auto"/>
              <w:bottom w:val="single" w:sz="4" w:space="0" w:color="auto"/>
              <w:right w:val="single" w:sz="4" w:space="0" w:color="auto"/>
            </w:tcBorders>
          </w:tcPr>
          <w:p w14:paraId="5BCF41C8"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391B85AD"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6FE40687"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9DB4A3A"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0CBB5D2E"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0AF2537A"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0D7937C8"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7E5D9991" w14:textId="77777777" w:rsidR="000B06F3" w:rsidRPr="00DA3C6E" w:rsidRDefault="000B06F3" w:rsidP="008A5F97">
            <w:pPr>
              <w:pStyle w:val="Tabletext1"/>
              <w:ind w:left="34"/>
              <w:jc w:val="left"/>
            </w:pPr>
            <w:r w:rsidRPr="00DA3C6E">
              <w:t>EMG CMAP</w:t>
            </w:r>
          </w:p>
        </w:tc>
      </w:tr>
      <w:tr w:rsidR="007C7E04" w:rsidRPr="00DA3C6E" w14:paraId="48E020C6" w14:textId="77777777" w:rsidTr="006A5E97">
        <w:trPr>
          <w:trHeight w:val="319"/>
        </w:trPr>
        <w:tc>
          <w:tcPr>
            <w:tcW w:w="1424" w:type="dxa"/>
            <w:tcBorders>
              <w:top w:val="single" w:sz="4" w:space="0" w:color="auto"/>
              <w:left w:val="single" w:sz="4" w:space="0" w:color="auto"/>
              <w:right w:val="single" w:sz="4" w:space="0" w:color="auto"/>
            </w:tcBorders>
          </w:tcPr>
          <w:p w14:paraId="16560270" w14:textId="50BB4341" w:rsidR="000B06F3" w:rsidRPr="00DA3C6E" w:rsidRDefault="000B06F3" w:rsidP="008A5F97">
            <w:pPr>
              <w:pStyle w:val="Tabletext1"/>
              <w:jc w:val="left"/>
            </w:pPr>
            <w:r w:rsidRPr="00DA3C6E">
              <w:t>Delmont et al. 2006</w:t>
            </w:r>
            <w:r w:rsidR="00DB568A" w:rsidRPr="00DA3C6E">
              <w:fldChar w:fldCharType="begin">
                <w:fldData xml:space="preserve">PEVuZE5vdGU+PENpdGU+PEF1dGhvcj5EZWxtb250PC9BdXRob3I+PFllYXI+MjAwNjwvWWVhcj48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=
</w:fldData>
              </w:fldChar>
            </w:r>
            <w:r w:rsidR="007810D6">
              <w:instrText xml:space="preserve"> ADDIN EN.CITE </w:instrText>
            </w:r>
            <w:r w:rsidR="007810D6">
              <w:fldChar w:fldCharType="begin">
                <w:fldData xml:space="preserve">PEVuZE5vdGU+PENpdGU+PEF1dGhvcj5EZWxtb250PC9BdXRob3I+PFllYXI+MjAwNjwvWWVhcj48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=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5" w:tooltip="Delmont, 2006 #17" w:history="1">
              <w:r w:rsidR="00C04BCE">
                <w:rPr>
                  <w:noProof/>
                </w:rPr>
                <w:t>55</w:t>
              </w:r>
            </w:hyperlink>
            <w:r w:rsidR="007810D6">
              <w:rPr>
                <w:noProof/>
              </w:rPr>
              <w:t>)</w:t>
            </w:r>
            <w:r w:rsidR="00DB568A" w:rsidRPr="00DA3C6E">
              <w:fldChar w:fldCharType="end"/>
            </w:r>
          </w:p>
          <w:p w14:paraId="7CA83A6E"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5CD6938F"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2EE7A9B2"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0865D5DA" w14:textId="77777777" w:rsidR="000B06F3" w:rsidRPr="00DA3C6E" w:rsidRDefault="000B06F3" w:rsidP="008A5F97">
            <w:pPr>
              <w:pStyle w:val="Tabletext1"/>
              <w:jc w:val="left"/>
            </w:pPr>
            <w:r w:rsidRPr="00DA3C6E">
              <w:t>Chronic asymmetric purely motor weakness with a peripheral nerve distribution mainly affecting the upper limbs.</w:t>
            </w:r>
          </w:p>
        </w:tc>
        <w:tc>
          <w:tcPr>
            <w:tcW w:w="1621" w:type="dxa"/>
            <w:tcBorders>
              <w:top w:val="single" w:sz="4" w:space="0" w:color="auto"/>
              <w:left w:val="single" w:sz="4" w:space="0" w:color="auto"/>
              <w:right w:val="single" w:sz="4" w:space="0" w:color="auto"/>
            </w:tcBorders>
          </w:tcPr>
          <w:p w14:paraId="45C9CAE9" w14:textId="77777777" w:rsidR="000B06F3" w:rsidRPr="00DA3C6E" w:rsidRDefault="000B06F3" w:rsidP="008A5F97">
            <w:pPr>
              <w:pStyle w:val="Tabletext1"/>
              <w:jc w:val="left"/>
            </w:pPr>
            <w:r w:rsidRPr="00DA3C6E">
              <w:t>33 patients with 20 with CB; 13 no CB; Mean age: 44.3 years</w:t>
            </w:r>
          </w:p>
        </w:tc>
        <w:tc>
          <w:tcPr>
            <w:tcW w:w="1813" w:type="dxa"/>
            <w:tcBorders>
              <w:top w:val="single" w:sz="4" w:space="0" w:color="auto"/>
              <w:left w:val="single" w:sz="4" w:space="0" w:color="auto"/>
              <w:right w:val="single" w:sz="4" w:space="0" w:color="auto"/>
            </w:tcBorders>
          </w:tcPr>
          <w:p w14:paraId="697A27C1" w14:textId="77777777" w:rsidR="000B06F3" w:rsidRPr="00DA3C6E" w:rsidRDefault="000B06F3" w:rsidP="008A5F97">
            <w:pPr>
              <w:pStyle w:val="Tabletext1"/>
              <w:jc w:val="left"/>
            </w:pPr>
            <w:r w:rsidRPr="00DA3C6E">
              <w:t>intravenous Ig (0.4 g/kg, for 5</w:t>
            </w:r>
            <w:r w:rsidR="00F92DC9" w:rsidRPr="00DA3C6E">
              <w:t xml:space="preserve"> </w:t>
            </w:r>
            <w:r w:rsidRPr="00DA3C6E">
              <w:t>days. Patients were</w:t>
            </w:r>
          </w:p>
          <w:p w14:paraId="0E541286" w14:textId="77777777" w:rsidR="000B06F3" w:rsidRPr="00DA3C6E" w:rsidRDefault="000B06F3" w:rsidP="008A5F97">
            <w:pPr>
              <w:pStyle w:val="Tabletext1"/>
              <w:jc w:val="left"/>
            </w:pPr>
            <w:r w:rsidRPr="00DA3C6E">
              <w:t>usually given 3 days of intravenous Ig every 6 to 8 weeks depending on the</w:t>
            </w:r>
          </w:p>
          <w:p w14:paraId="4A575860" w14:textId="77777777" w:rsidR="000B06F3" w:rsidRPr="00DA3C6E" w:rsidRDefault="000B06F3" w:rsidP="008A5F97">
            <w:pPr>
              <w:pStyle w:val="Tabletext1"/>
              <w:jc w:val="left"/>
            </w:pPr>
            <w:r w:rsidRPr="00DA3C6E">
              <w:t xml:space="preserve">duration of their improvement after the first infusion. </w:t>
            </w:r>
          </w:p>
          <w:p w14:paraId="13E62F79" w14:textId="77777777" w:rsidR="000B06F3" w:rsidRPr="00DA3C6E" w:rsidRDefault="000B06F3" w:rsidP="008A5F97">
            <w:pPr>
              <w:pStyle w:val="Tabletext1"/>
              <w:jc w:val="left"/>
            </w:pPr>
          </w:p>
        </w:tc>
        <w:tc>
          <w:tcPr>
            <w:tcW w:w="1781" w:type="dxa"/>
            <w:tcBorders>
              <w:top w:val="single" w:sz="4" w:space="0" w:color="auto"/>
              <w:left w:val="single" w:sz="4" w:space="0" w:color="auto"/>
              <w:right w:val="single" w:sz="4" w:space="0" w:color="auto"/>
            </w:tcBorders>
          </w:tcPr>
          <w:p w14:paraId="00B7EB36" w14:textId="77777777" w:rsidR="000B06F3" w:rsidRPr="00DA3C6E" w:rsidRDefault="000B06F3" w:rsidP="008A5F97">
            <w:pPr>
              <w:pStyle w:val="Tabletext1"/>
              <w:jc w:val="left"/>
            </w:pPr>
            <w:r w:rsidRPr="00DA3C6E">
              <w:t>Improvement in muscle strength</w:t>
            </w:r>
          </w:p>
        </w:tc>
        <w:tc>
          <w:tcPr>
            <w:tcW w:w="2957" w:type="dxa"/>
            <w:tcBorders>
              <w:top w:val="single" w:sz="4" w:space="0" w:color="auto"/>
              <w:left w:val="single" w:sz="4" w:space="0" w:color="auto"/>
              <w:right w:val="single" w:sz="4" w:space="0" w:color="auto"/>
            </w:tcBorders>
          </w:tcPr>
          <w:p w14:paraId="2AC71736" w14:textId="77777777" w:rsidR="000B06F3" w:rsidRPr="00DA3C6E" w:rsidRDefault="000B06F3" w:rsidP="008A5F97">
            <w:pPr>
              <w:pStyle w:val="Tabletext1"/>
              <w:ind w:left="34"/>
              <w:jc w:val="left"/>
            </w:pPr>
            <w:r w:rsidRPr="00DA3C6E">
              <w:t xml:space="preserve">MRC </w:t>
            </w:r>
          </w:p>
          <w:p w14:paraId="32D24CFC" w14:textId="77777777" w:rsidR="000B06F3" w:rsidRPr="00DA3C6E" w:rsidRDefault="000B06F3" w:rsidP="008A5F97">
            <w:pPr>
              <w:pStyle w:val="Tabletext1"/>
              <w:ind w:left="34"/>
              <w:jc w:val="left"/>
            </w:pPr>
          </w:p>
        </w:tc>
      </w:tr>
      <w:tr w:rsidR="007C7E04" w:rsidRPr="00DA3C6E" w14:paraId="491A6962" w14:textId="77777777" w:rsidTr="006A5E97">
        <w:trPr>
          <w:trHeight w:val="319"/>
        </w:trPr>
        <w:tc>
          <w:tcPr>
            <w:tcW w:w="1424" w:type="dxa"/>
            <w:tcBorders>
              <w:left w:val="single" w:sz="4" w:space="0" w:color="auto"/>
              <w:bottom w:val="single" w:sz="4" w:space="0" w:color="auto"/>
              <w:right w:val="single" w:sz="4" w:space="0" w:color="auto"/>
            </w:tcBorders>
          </w:tcPr>
          <w:p w14:paraId="5956171E"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56C1D17C"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648E57FD"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43D26BDD"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7A80C6C9"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3957147E"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5CB9E8D5"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63262305" w14:textId="77777777" w:rsidR="000B06F3" w:rsidRPr="00DA3C6E" w:rsidRDefault="000B06F3" w:rsidP="008A5F97">
            <w:pPr>
              <w:pStyle w:val="Tabletext1"/>
              <w:ind w:left="34"/>
              <w:jc w:val="left"/>
            </w:pPr>
            <w:r w:rsidRPr="00DA3C6E">
              <w:rPr>
                <w:rFonts w:cs="NewCenturySchlbk-Roman"/>
              </w:rPr>
              <w:t>Electrophysiological studies, CMAP</w:t>
            </w:r>
          </w:p>
        </w:tc>
      </w:tr>
      <w:tr w:rsidR="007C7E04" w:rsidRPr="00DA3C6E" w14:paraId="74B3A33D" w14:textId="77777777" w:rsidTr="006A5E97">
        <w:trPr>
          <w:trHeight w:val="319"/>
        </w:trPr>
        <w:tc>
          <w:tcPr>
            <w:tcW w:w="1424" w:type="dxa"/>
            <w:tcBorders>
              <w:top w:val="single" w:sz="4" w:space="0" w:color="auto"/>
              <w:left w:val="single" w:sz="4" w:space="0" w:color="auto"/>
              <w:right w:val="single" w:sz="4" w:space="0" w:color="auto"/>
            </w:tcBorders>
          </w:tcPr>
          <w:p w14:paraId="1549A407" w14:textId="6BD97941" w:rsidR="000B06F3" w:rsidRPr="00DA3C6E" w:rsidRDefault="000B06F3" w:rsidP="008A5F97">
            <w:pPr>
              <w:pStyle w:val="Tabletext1"/>
              <w:jc w:val="left"/>
            </w:pPr>
            <w:r w:rsidRPr="00DA3C6E">
              <w:t>Slee et al. 2007</w:t>
            </w:r>
            <w:r w:rsidR="00DB568A" w:rsidRPr="00DA3C6E">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instrText xml:space="preserve"> ADDIN EN.CITE </w:instrText>
            </w:r>
            <w:r w:rsidR="007810D6">
              <w:fldChar w:fldCharType="begin">
                <w:fldData xml:space="preserve">PEVuZE5vdGU+PENpdGU+PEF1dGhvcj5TbGVlPC9BdXRob3I+PFllYXI+MjAwNzwvWWVhcj48UmVj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=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56" w:tooltip="Slee, 2007 #60" w:history="1">
              <w:r w:rsidR="00C04BCE">
                <w:rPr>
                  <w:noProof/>
                </w:rPr>
                <w:t>56</w:t>
              </w:r>
            </w:hyperlink>
            <w:r w:rsidR="007810D6">
              <w:rPr>
                <w:noProof/>
              </w:rPr>
              <w:t>)</w:t>
            </w:r>
            <w:r w:rsidR="00DB568A" w:rsidRPr="00DA3C6E">
              <w:fldChar w:fldCharType="end"/>
            </w:r>
          </w:p>
          <w:p w14:paraId="452668B3"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6D8B71CB"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19995FA0"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2BF63FBD" w14:textId="77777777" w:rsidR="000B06F3" w:rsidRPr="00DA3C6E" w:rsidRDefault="000B06F3" w:rsidP="008A5F97">
            <w:pPr>
              <w:pStyle w:val="Tabletext1"/>
              <w:jc w:val="left"/>
            </w:pPr>
            <w:r w:rsidRPr="00DA3C6E">
              <w:t>Asymmetric onset of purely LMN accompanied by one or more of 1) neurophysiologic evidence of motor CB, 2) clinical observation of markedly weak but un-wasted muscles, 3) markedly differential weakness between muscles innervated by the same motor nerve, 4) intravenous Ig responsiveness.</w:t>
            </w:r>
          </w:p>
          <w:p w14:paraId="20F7FB7F" w14:textId="77777777" w:rsidR="000B06F3" w:rsidRPr="00DA3C6E" w:rsidRDefault="000B06F3" w:rsidP="008A5F97">
            <w:pPr>
              <w:pStyle w:val="Tabletext1"/>
              <w:jc w:val="left"/>
            </w:pPr>
            <w:r w:rsidRPr="00DA3C6E">
              <w:t xml:space="preserve">Patients were excluded if had objective sensory abnormality or upper motor neuron signs. Minor subjective sensory symptoms and isolated neurophysiologic sensory potential abnormality was </w:t>
            </w:r>
            <w:r w:rsidRPr="00DA3C6E">
              <w:lastRenderedPageBreak/>
              <w:t>permitted if unlikely to be clinically relevant.</w:t>
            </w:r>
          </w:p>
        </w:tc>
        <w:tc>
          <w:tcPr>
            <w:tcW w:w="1621" w:type="dxa"/>
            <w:tcBorders>
              <w:top w:val="single" w:sz="4" w:space="0" w:color="auto"/>
              <w:left w:val="single" w:sz="4" w:space="0" w:color="auto"/>
              <w:right w:val="single" w:sz="4" w:space="0" w:color="auto"/>
            </w:tcBorders>
          </w:tcPr>
          <w:p w14:paraId="6477F5B3" w14:textId="77777777" w:rsidR="000B06F3" w:rsidRPr="00DA3C6E" w:rsidRDefault="000B06F3" w:rsidP="008A5F97">
            <w:pPr>
              <w:pStyle w:val="Tabletext1"/>
              <w:jc w:val="left"/>
            </w:pPr>
            <w:r w:rsidRPr="00DA3C6E">
              <w:lastRenderedPageBreak/>
              <w:t xml:space="preserve">47 patients with MMN; Mean age: 42 years </w:t>
            </w:r>
          </w:p>
        </w:tc>
        <w:tc>
          <w:tcPr>
            <w:tcW w:w="1813" w:type="dxa"/>
            <w:tcBorders>
              <w:top w:val="single" w:sz="4" w:space="0" w:color="auto"/>
              <w:left w:val="single" w:sz="4" w:space="0" w:color="auto"/>
              <w:right w:val="single" w:sz="4" w:space="0" w:color="auto"/>
            </w:tcBorders>
          </w:tcPr>
          <w:p w14:paraId="6919C791" w14:textId="77777777" w:rsidR="000B06F3" w:rsidRPr="00DA3C6E" w:rsidRDefault="000B06F3" w:rsidP="008A5F97">
            <w:pPr>
              <w:pStyle w:val="Tabletext1"/>
              <w:jc w:val="left"/>
            </w:pPr>
            <w:r w:rsidRPr="00DA3C6E">
              <w:t>Intravenous Ig 0.4 g/kg per day for 5 days. Maintenance intravenous Ig therapy began if the neurologist</w:t>
            </w:r>
            <w:r w:rsidR="00A33AE3" w:rsidRPr="00DA3C6E">
              <w:t xml:space="preserve"> </w:t>
            </w:r>
            <w:r w:rsidRPr="00DA3C6E">
              <w:t>and patient agreed that meaningful subjective and objective improvement had occurred. Selected patients were converted to domiciliary intravenous Ig</w:t>
            </w:r>
          </w:p>
          <w:p w14:paraId="1D09E2F7" w14:textId="77777777" w:rsidR="000B06F3" w:rsidRPr="00DA3C6E" w:rsidRDefault="000B06F3" w:rsidP="008A5F97">
            <w:pPr>
              <w:pStyle w:val="Tabletext1"/>
              <w:jc w:val="left"/>
            </w:pPr>
            <w:r w:rsidRPr="00DA3C6E">
              <w:lastRenderedPageBreak/>
              <w:t>administration. No further intravenous  Ig was administered to patients</w:t>
            </w:r>
            <w:r w:rsidR="00A33AE3" w:rsidRPr="00DA3C6E">
              <w:t xml:space="preserve"> </w:t>
            </w:r>
            <w:r w:rsidRPr="00DA3C6E">
              <w:t>without improvement at the initial post- intravenous Ig</w:t>
            </w:r>
          </w:p>
          <w:p w14:paraId="1F54D6AE" w14:textId="77777777" w:rsidR="000B06F3" w:rsidRPr="00DA3C6E" w:rsidRDefault="000B06F3" w:rsidP="008A5F97">
            <w:pPr>
              <w:pStyle w:val="Tabletext1"/>
              <w:jc w:val="left"/>
            </w:pPr>
            <w:r w:rsidRPr="00DA3C6E">
              <w:t>assessment</w:t>
            </w:r>
            <w:r w:rsidR="00A33AE3" w:rsidRPr="00DA3C6E">
              <w:t>.</w:t>
            </w:r>
          </w:p>
        </w:tc>
        <w:tc>
          <w:tcPr>
            <w:tcW w:w="1781" w:type="dxa"/>
            <w:tcBorders>
              <w:top w:val="single" w:sz="4" w:space="0" w:color="auto"/>
              <w:left w:val="single" w:sz="4" w:space="0" w:color="auto"/>
              <w:right w:val="single" w:sz="4" w:space="0" w:color="auto"/>
            </w:tcBorders>
          </w:tcPr>
          <w:p w14:paraId="14BC867D" w14:textId="77777777" w:rsidR="000B06F3" w:rsidRPr="00DA3C6E" w:rsidRDefault="000B06F3" w:rsidP="008A5F97">
            <w:pPr>
              <w:pStyle w:val="Tabletext1"/>
              <w:jc w:val="left"/>
            </w:pPr>
            <w:r w:rsidRPr="00DA3C6E">
              <w:lastRenderedPageBreak/>
              <w:t>Improvement in disability</w:t>
            </w:r>
          </w:p>
          <w:p w14:paraId="1F802282"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11B89871" w14:textId="77777777" w:rsidR="000B06F3" w:rsidRPr="00DA3C6E" w:rsidRDefault="000B06F3" w:rsidP="008A5F97">
            <w:pPr>
              <w:pStyle w:val="Tabletext1"/>
              <w:ind w:left="34"/>
              <w:jc w:val="left"/>
            </w:pPr>
            <w:r w:rsidRPr="00DA3C6E">
              <w:t>Self-nominated disability score</w:t>
            </w:r>
          </w:p>
          <w:p w14:paraId="71BCD7E7" w14:textId="77777777" w:rsidR="000B06F3" w:rsidRPr="00DA3C6E" w:rsidRDefault="000B06F3" w:rsidP="008A5F97">
            <w:pPr>
              <w:pStyle w:val="Tabletext1"/>
              <w:ind w:left="34"/>
              <w:jc w:val="left"/>
            </w:pPr>
          </w:p>
        </w:tc>
      </w:tr>
      <w:tr w:rsidR="007C7E04" w:rsidRPr="00DA3C6E" w14:paraId="0F1678B8" w14:textId="77777777" w:rsidTr="006A5E97">
        <w:trPr>
          <w:trHeight w:val="319"/>
        </w:trPr>
        <w:tc>
          <w:tcPr>
            <w:tcW w:w="1424" w:type="dxa"/>
            <w:tcBorders>
              <w:left w:val="single" w:sz="4" w:space="0" w:color="auto"/>
              <w:bottom w:val="single" w:sz="4" w:space="0" w:color="auto"/>
              <w:right w:val="single" w:sz="4" w:space="0" w:color="auto"/>
            </w:tcBorders>
          </w:tcPr>
          <w:p w14:paraId="2A8A51C6"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176FE117"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3A1ADFC3"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3406FC5B"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0B0BF199"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64403972"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0EE8B378"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1039A909" w14:textId="77777777" w:rsidR="000B06F3" w:rsidRPr="00DA3C6E" w:rsidRDefault="000B06F3" w:rsidP="008A5F97">
            <w:pPr>
              <w:pStyle w:val="Tabletext1"/>
              <w:ind w:left="34"/>
              <w:jc w:val="left"/>
            </w:pPr>
            <w:r w:rsidRPr="00DA3C6E">
              <w:t>EMG CMAP</w:t>
            </w:r>
          </w:p>
        </w:tc>
      </w:tr>
      <w:tr w:rsidR="007C7E04" w:rsidRPr="00DA3C6E" w14:paraId="73F31745" w14:textId="77777777" w:rsidTr="006A5E97">
        <w:trPr>
          <w:trHeight w:val="319"/>
        </w:trPr>
        <w:tc>
          <w:tcPr>
            <w:tcW w:w="1424" w:type="dxa"/>
            <w:tcBorders>
              <w:top w:val="single" w:sz="4" w:space="0" w:color="auto"/>
              <w:left w:val="single" w:sz="4" w:space="0" w:color="auto"/>
              <w:right w:val="single" w:sz="4" w:space="0" w:color="auto"/>
            </w:tcBorders>
          </w:tcPr>
          <w:p w14:paraId="6C21D207" w14:textId="30394317" w:rsidR="000B06F3" w:rsidRPr="00DA3C6E" w:rsidRDefault="000B06F3" w:rsidP="008A5F97">
            <w:pPr>
              <w:pStyle w:val="Tabletext1"/>
              <w:jc w:val="left"/>
            </w:pPr>
            <w:r w:rsidRPr="00DA3C6E">
              <w:t>Leger et al. 2008</w:t>
            </w:r>
            <w:r w:rsidR="00DB568A" w:rsidRPr="00DA3C6E">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instrText xml:space="preserve"> ADDIN EN.CITE </w:instrText>
            </w:r>
            <w:r w:rsidR="00DB568A" w:rsidRPr="00DA3C6E">
              <w:fldChar w:fldCharType="begin">
                <w:fldData xml:space="preserve">PEVuZE5vdGU+PENpdGU+PEF1dGhvcj5MZWdlcjwvQXV0aG9yPjxZZWFyPjIwMDg8L1llYXI+PFJl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9" w:tooltip="Leger, 2008 #40" w:history="1">
              <w:r w:rsidR="00C04BCE" w:rsidRPr="00DA3C6E">
                <w:rPr>
                  <w:noProof/>
                </w:rPr>
                <w:t>19</w:t>
              </w:r>
            </w:hyperlink>
            <w:r w:rsidR="00DB568A" w:rsidRPr="00DA3C6E">
              <w:rPr>
                <w:noProof/>
              </w:rPr>
              <w:t>)</w:t>
            </w:r>
            <w:r w:rsidR="00DB568A" w:rsidRPr="00DA3C6E">
              <w:fldChar w:fldCharType="end"/>
            </w:r>
          </w:p>
          <w:p w14:paraId="688356AB"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11A0CF57"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613F01B0"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4930A8E9" w14:textId="77777777" w:rsidR="000B06F3" w:rsidRPr="00DA3C6E" w:rsidRDefault="000B06F3" w:rsidP="008A5F97">
            <w:pPr>
              <w:pStyle w:val="Tabletext1"/>
              <w:jc w:val="left"/>
            </w:pPr>
            <w:r w:rsidRPr="00DA3C6E">
              <w:t>ENMC diagnostic criteria for MMN (except for upper age limit: 80years and CSF analysis).</w:t>
            </w:r>
          </w:p>
        </w:tc>
        <w:tc>
          <w:tcPr>
            <w:tcW w:w="1621" w:type="dxa"/>
            <w:tcBorders>
              <w:top w:val="single" w:sz="4" w:space="0" w:color="auto"/>
              <w:left w:val="single" w:sz="4" w:space="0" w:color="auto"/>
              <w:right w:val="single" w:sz="4" w:space="0" w:color="auto"/>
            </w:tcBorders>
          </w:tcPr>
          <w:p w14:paraId="6ACCC2AA" w14:textId="77777777" w:rsidR="000B06F3" w:rsidRPr="00DA3C6E" w:rsidRDefault="000B06F3" w:rsidP="008A5F97">
            <w:pPr>
              <w:pStyle w:val="Tabletext1"/>
              <w:jc w:val="left"/>
            </w:pPr>
            <w:r w:rsidRPr="00DA3C6E">
              <w:t xml:space="preserve">40 patients (22 naïve and 18 previously treated); Mean age; 42 years  </w:t>
            </w:r>
          </w:p>
        </w:tc>
        <w:tc>
          <w:tcPr>
            <w:tcW w:w="1813" w:type="dxa"/>
            <w:tcBorders>
              <w:top w:val="single" w:sz="4" w:space="0" w:color="auto"/>
              <w:left w:val="single" w:sz="4" w:space="0" w:color="auto"/>
              <w:right w:val="single" w:sz="4" w:space="0" w:color="auto"/>
            </w:tcBorders>
          </w:tcPr>
          <w:p w14:paraId="4C54F3A9" w14:textId="77777777" w:rsidR="000B06F3" w:rsidRPr="00DA3C6E" w:rsidRDefault="000B06F3" w:rsidP="008A5F97">
            <w:pPr>
              <w:pStyle w:val="Tabletext1"/>
              <w:jc w:val="left"/>
            </w:pPr>
            <w:r w:rsidRPr="00DA3C6E">
              <w:t>Monthly intravenous Ig 2 g/kg over 3–5 days for at least 6 months, maintenance infusions (at the same</w:t>
            </w:r>
          </w:p>
          <w:p w14:paraId="721476A1" w14:textId="77777777" w:rsidR="000B06F3" w:rsidRPr="00DA3C6E" w:rsidRDefault="000B06F3" w:rsidP="008A5F97">
            <w:pPr>
              <w:pStyle w:val="Tabletext1"/>
              <w:jc w:val="left"/>
            </w:pPr>
            <w:r w:rsidRPr="00DA3C6E">
              <w:t>dose), if needed by recurrent clinical worsening</w:t>
            </w:r>
          </w:p>
        </w:tc>
        <w:tc>
          <w:tcPr>
            <w:tcW w:w="1781" w:type="dxa"/>
            <w:tcBorders>
              <w:top w:val="single" w:sz="4" w:space="0" w:color="auto"/>
              <w:left w:val="single" w:sz="4" w:space="0" w:color="auto"/>
              <w:right w:val="single" w:sz="4" w:space="0" w:color="auto"/>
            </w:tcBorders>
          </w:tcPr>
          <w:p w14:paraId="1617EF55" w14:textId="77777777" w:rsidR="000B06F3" w:rsidRPr="00DA3C6E" w:rsidRDefault="000B06F3" w:rsidP="008A5F97">
            <w:pPr>
              <w:pStyle w:val="Tabletext1"/>
              <w:jc w:val="left"/>
            </w:pPr>
            <w:r w:rsidRPr="00DA3C6E">
              <w:t>Improvement in muscle strength</w:t>
            </w:r>
          </w:p>
        </w:tc>
        <w:tc>
          <w:tcPr>
            <w:tcW w:w="2957" w:type="dxa"/>
            <w:tcBorders>
              <w:top w:val="single" w:sz="4" w:space="0" w:color="auto"/>
              <w:left w:val="single" w:sz="4" w:space="0" w:color="auto"/>
              <w:right w:val="single" w:sz="4" w:space="0" w:color="auto"/>
            </w:tcBorders>
          </w:tcPr>
          <w:p w14:paraId="2F4558A3" w14:textId="77777777" w:rsidR="000B06F3" w:rsidRPr="00DA3C6E" w:rsidRDefault="000B06F3" w:rsidP="008A5F97">
            <w:pPr>
              <w:pStyle w:val="Tabletext1"/>
              <w:ind w:left="34"/>
              <w:jc w:val="left"/>
            </w:pPr>
            <w:r w:rsidRPr="00DA3C6E">
              <w:t xml:space="preserve">MRC </w:t>
            </w:r>
          </w:p>
          <w:p w14:paraId="12662701" w14:textId="77777777" w:rsidR="000B06F3" w:rsidRPr="00DA3C6E" w:rsidRDefault="000B06F3" w:rsidP="008A5F97">
            <w:pPr>
              <w:pStyle w:val="Tabletext1"/>
              <w:jc w:val="left"/>
            </w:pPr>
            <w:r w:rsidRPr="00DA3C6E">
              <w:br/>
            </w:r>
          </w:p>
        </w:tc>
      </w:tr>
      <w:tr w:rsidR="007C7E04" w:rsidRPr="00DA3C6E" w14:paraId="415AD69C" w14:textId="77777777" w:rsidTr="006A5E97">
        <w:trPr>
          <w:trHeight w:val="319"/>
        </w:trPr>
        <w:tc>
          <w:tcPr>
            <w:tcW w:w="1424" w:type="dxa"/>
            <w:tcBorders>
              <w:left w:val="single" w:sz="4" w:space="0" w:color="auto"/>
              <w:right w:val="single" w:sz="4" w:space="0" w:color="auto"/>
            </w:tcBorders>
          </w:tcPr>
          <w:p w14:paraId="4FD09DF6"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1148D5CA"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23E5DAE"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1D9CB800"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204B9F09"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1020D73E"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56EE1720"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06FA09E9" w14:textId="77777777" w:rsidR="000B06F3" w:rsidRPr="00DA3C6E" w:rsidRDefault="000B06F3" w:rsidP="008A5F97">
            <w:pPr>
              <w:pStyle w:val="Tabletext1"/>
              <w:ind w:left="34"/>
              <w:jc w:val="left"/>
            </w:pPr>
            <w:r w:rsidRPr="00DA3C6E">
              <w:t>Electromyography examination</w:t>
            </w:r>
          </w:p>
        </w:tc>
      </w:tr>
      <w:tr w:rsidR="007C7E04" w:rsidRPr="00DA3C6E" w14:paraId="2A8C3F6C" w14:textId="77777777" w:rsidTr="006A5E97">
        <w:trPr>
          <w:trHeight w:val="319"/>
        </w:trPr>
        <w:tc>
          <w:tcPr>
            <w:tcW w:w="1424" w:type="dxa"/>
            <w:tcBorders>
              <w:left w:val="single" w:sz="4" w:space="0" w:color="auto"/>
              <w:bottom w:val="single" w:sz="4" w:space="0" w:color="auto"/>
              <w:right w:val="single" w:sz="4" w:space="0" w:color="auto"/>
            </w:tcBorders>
          </w:tcPr>
          <w:p w14:paraId="54E7E388"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5F10AF79"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1E289159"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55CB563"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20A75755"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4ECE0C7A"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51C191CA"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0A02DAB0" w14:textId="77777777" w:rsidR="000B06F3" w:rsidRPr="00DA3C6E" w:rsidRDefault="000B06F3" w:rsidP="008A5F97">
            <w:pPr>
              <w:pStyle w:val="Tabletext1"/>
              <w:ind w:left="34"/>
              <w:jc w:val="left"/>
            </w:pPr>
          </w:p>
        </w:tc>
      </w:tr>
      <w:tr w:rsidR="007C7E04" w:rsidRPr="00DA3C6E" w14:paraId="676AAEDF" w14:textId="77777777" w:rsidTr="006A5E97">
        <w:trPr>
          <w:trHeight w:val="319"/>
        </w:trPr>
        <w:tc>
          <w:tcPr>
            <w:tcW w:w="1424" w:type="dxa"/>
            <w:tcBorders>
              <w:top w:val="single" w:sz="4" w:space="0" w:color="auto"/>
              <w:left w:val="single" w:sz="4" w:space="0" w:color="auto"/>
              <w:right w:val="single" w:sz="4" w:space="0" w:color="auto"/>
            </w:tcBorders>
          </w:tcPr>
          <w:p w14:paraId="6169CF86" w14:textId="3DCAA6F5" w:rsidR="000B06F3" w:rsidRPr="00DA3C6E" w:rsidRDefault="000B06F3" w:rsidP="008A5F97">
            <w:pPr>
              <w:pStyle w:val="Tabletext1"/>
              <w:jc w:val="left"/>
            </w:pPr>
            <w:r w:rsidRPr="00DA3C6E">
              <w:t>Baumann et al. 2009</w:t>
            </w:r>
            <w:r w:rsidR="00DB568A" w:rsidRPr="00DA3C6E">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00DB568A" w:rsidRPr="00DA3C6E">
              <w:instrText xml:space="preserve"> ADDIN EN.CITE </w:instrText>
            </w:r>
            <w:r w:rsidR="00DB568A" w:rsidRPr="00DA3C6E">
              <w:fldChar w:fldCharType="begin">
                <w:fldData xml:space="preserve">PEVuZE5vdGU+PENpdGU+PEF1dGhvcj5CYXVtYW5uPC9BdXRob3I+PFllYXI+MjAwOTwvWWVhcj48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==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40" w:tooltip="Baumann, 2009 #7" w:history="1">
              <w:r w:rsidR="00C04BCE" w:rsidRPr="00DA3C6E">
                <w:rPr>
                  <w:noProof/>
                </w:rPr>
                <w:t>40</w:t>
              </w:r>
            </w:hyperlink>
            <w:r w:rsidR="00DB568A" w:rsidRPr="00DA3C6E">
              <w:rPr>
                <w:noProof/>
              </w:rPr>
              <w:t>)</w:t>
            </w:r>
            <w:r w:rsidR="00DB568A" w:rsidRPr="00DA3C6E">
              <w:fldChar w:fldCharType="end"/>
            </w:r>
            <w:r w:rsidRPr="00DA3C6E">
              <w:t xml:space="preserve"> </w:t>
            </w:r>
          </w:p>
          <w:p w14:paraId="334B37D9"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67AA5672"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0CC352B8"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3C49279F" w14:textId="77777777" w:rsidR="000B06F3" w:rsidRPr="00DA3C6E" w:rsidRDefault="000B06F3" w:rsidP="008A5F97">
            <w:pPr>
              <w:pStyle w:val="Tabletext1"/>
              <w:jc w:val="left"/>
            </w:pPr>
            <w:r w:rsidRPr="00DA3C6E">
              <w:t>MMN diagnosed according</w:t>
            </w:r>
          </w:p>
          <w:p w14:paraId="5D81E33D" w14:textId="77777777" w:rsidR="000B06F3" w:rsidRPr="00DA3C6E" w:rsidRDefault="000B06F3" w:rsidP="00134AFC">
            <w:pPr>
              <w:pStyle w:val="Tabletext1"/>
              <w:jc w:val="left"/>
            </w:pPr>
            <w:r w:rsidRPr="00DA3C6E">
              <w:t>to AAEM criteria, repetitive intravenous Ig treatment for at least 1 year,</w:t>
            </w:r>
            <w:r w:rsidR="00A33AE3" w:rsidRPr="00DA3C6E">
              <w:t xml:space="preserve"> </w:t>
            </w:r>
            <w:r w:rsidRPr="00DA3C6E">
              <w:t>stable intravenous Ig dose during the last 6 months, persistent paresis and CB, and stable symptoms and findings for at least six months</w:t>
            </w:r>
          </w:p>
        </w:tc>
        <w:tc>
          <w:tcPr>
            <w:tcW w:w="1621" w:type="dxa"/>
            <w:tcBorders>
              <w:top w:val="single" w:sz="4" w:space="0" w:color="auto"/>
              <w:left w:val="single" w:sz="4" w:space="0" w:color="auto"/>
              <w:right w:val="single" w:sz="4" w:space="0" w:color="auto"/>
            </w:tcBorders>
          </w:tcPr>
          <w:p w14:paraId="5AF78B40" w14:textId="77777777" w:rsidR="000B06F3" w:rsidRPr="00DA3C6E" w:rsidRDefault="000B06F3" w:rsidP="008A5F97">
            <w:pPr>
              <w:pStyle w:val="Tabletext1"/>
              <w:jc w:val="left"/>
            </w:pPr>
            <w:r w:rsidRPr="00DA3C6E">
              <w:t xml:space="preserve">9 patients with MMN; Mean age: 59.4 years </w:t>
            </w:r>
          </w:p>
        </w:tc>
        <w:tc>
          <w:tcPr>
            <w:tcW w:w="1813" w:type="dxa"/>
            <w:tcBorders>
              <w:top w:val="single" w:sz="4" w:space="0" w:color="auto"/>
              <w:left w:val="single" w:sz="4" w:space="0" w:color="auto"/>
              <w:right w:val="single" w:sz="4" w:space="0" w:color="auto"/>
            </w:tcBorders>
          </w:tcPr>
          <w:p w14:paraId="65A60C43" w14:textId="77777777" w:rsidR="000B06F3" w:rsidRPr="00DA3C6E" w:rsidRDefault="000B06F3" w:rsidP="008A5F97">
            <w:pPr>
              <w:pStyle w:val="Tabletext1"/>
              <w:jc w:val="left"/>
            </w:pPr>
            <w:r w:rsidRPr="00DA3C6E">
              <w:t>Individual intravenous Ig dose given over the last six months was retrospectively</w:t>
            </w:r>
          </w:p>
          <w:p w14:paraId="2E314367" w14:textId="77777777" w:rsidR="000B06F3" w:rsidRPr="00DA3C6E" w:rsidRDefault="000B06F3" w:rsidP="008A5F97">
            <w:pPr>
              <w:pStyle w:val="Tabletext1"/>
              <w:jc w:val="left"/>
            </w:pPr>
            <w:r w:rsidRPr="00DA3C6E">
              <w:t>analysed. In step one, dose was increased to 1.2 g/kg per month given over 3 consecutive days planned for 6 cycles. If patients’ motor</w:t>
            </w:r>
          </w:p>
          <w:p w14:paraId="32F390D3" w14:textId="77777777" w:rsidR="000B06F3" w:rsidRPr="00DA3C6E" w:rsidRDefault="000B06F3" w:rsidP="008A5F97">
            <w:pPr>
              <w:pStyle w:val="Tabletext1"/>
              <w:jc w:val="left"/>
            </w:pPr>
            <w:r w:rsidRPr="00DA3C6E">
              <w:t xml:space="preserve">function did not improve after 2 </w:t>
            </w:r>
            <w:r w:rsidRPr="00DA3C6E">
              <w:lastRenderedPageBreak/>
              <w:t>cycles, they entered step two: Dose</w:t>
            </w:r>
          </w:p>
          <w:p w14:paraId="4507B04A" w14:textId="77777777" w:rsidR="000B06F3" w:rsidRPr="00DA3C6E" w:rsidRDefault="000B06F3" w:rsidP="008A5F97">
            <w:pPr>
              <w:pStyle w:val="Tabletext1"/>
              <w:jc w:val="left"/>
            </w:pPr>
            <w:r w:rsidRPr="00DA3C6E">
              <w:t>was increased to 2 g/kg per month given over 5 consecutive days</w:t>
            </w:r>
            <w:r w:rsidR="00A33AE3" w:rsidRPr="00DA3C6E">
              <w:t>.</w:t>
            </w:r>
          </w:p>
        </w:tc>
        <w:tc>
          <w:tcPr>
            <w:tcW w:w="1781" w:type="dxa"/>
            <w:tcBorders>
              <w:top w:val="single" w:sz="4" w:space="0" w:color="auto"/>
              <w:left w:val="single" w:sz="4" w:space="0" w:color="auto"/>
              <w:right w:val="single" w:sz="4" w:space="0" w:color="auto"/>
            </w:tcBorders>
          </w:tcPr>
          <w:p w14:paraId="5302E537" w14:textId="77777777" w:rsidR="000B06F3" w:rsidRPr="00DA3C6E" w:rsidRDefault="000B06F3" w:rsidP="008A5F97">
            <w:pPr>
              <w:pStyle w:val="Tabletext1"/>
              <w:jc w:val="left"/>
            </w:pPr>
            <w:r w:rsidRPr="00DA3C6E">
              <w:lastRenderedPageBreak/>
              <w:t xml:space="preserve">Improvement in disability </w:t>
            </w:r>
          </w:p>
          <w:p w14:paraId="3120631F" w14:textId="77777777" w:rsidR="000B06F3" w:rsidRPr="00DA3C6E" w:rsidRDefault="000B06F3" w:rsidP="008A5F97">
            <w:pPr>
              <w:pStyle w:val="Tabletext1"/>
              <w:jc w:val="left"/>
            </w:pPr>
            <w:r w:rsidRPr="00DA3C6E">
              <w:t>AE</w:t>
            </w:r>
          </w:p>
        </w:tc>
        <w:tc>
          <w:tcPr>
            <w:tcW w:w="2957" w:type="dxa"/>
            <w:tcBorders>
              <w:top w:val="single" w:sz="4" w:space="0" w:color="auto"/>
              <w:left w:val="single" w:sz="4" w:space="0" w:color="auto"/>
              <w:right w:val="single" w:sz="4" w:space="0" w:color="auto"/>
            </w:tcBorders>
          </w:tcPr>
          <w:p w14:paraId="42876491" w14:textId="77777777" w:rsidR="000B06F3" w:rsidRPr="00DA3C6E" w:rsidRDefault="000B06F3" w:rsidP="008A5F97">
            <w:pPr>
              <w:pStyle w:val="Tabletext1"/>
              <w:ind w:left="34"/>
              <w:jc w:val="left"/>
            </w:pPr>
            <w:r w:rsidRPr="00DA3C6E">
              <w:t>GNDS</w:t>
            </w:r>
          </w:p>
          <w:p w14:paraId="5F29F361" w14:textId="77777777" w:rsidR="000B06F3" w:rsidRPr="00DA3C6E" w:rsidRDefault="000B06F3" w:rsidP="008A5F97">
            <w:pPr>
              <w:pStyle w:val="Tabletext1"/>
              <w:ind w:left="34"/>
              <w:jc w:val="left"/>
            </w:pPr>
            <w:r w:rsidRPr="00DA3C6E">
              <w:t xml:space="preserve"> </w:t>
            </w:r>
          </w:p>
        </w:tc>
      </w:tr>
      <w:tr w:rsidR="007C7E04" w:rsidRPr="00DA3C6E" w14:paraId="39C67CBC" w14:textId="77777777" w:rsidTr="006A5E97">
        <w:trPr>
          <w:trHeight w:val="319"/>
        </w:trPr>
        <w:tc>
          <w:tcPr>
            <w:tcW w:w="1424" w:type="dxa"/>
            <w:tcBorders>
              <w:left w:val="single" w:sz="4" w:space="0" w:color="auto"/>
              <w:right w:val="single" w:sz="4" w:space="0" w:color="auto"/>
            </w:tcBorders>
          </w:tcPr>
          <w:p w14:paraId="02C38AAA" w14:textId="77777777" w:rsidR="000B06F3" w:rsidRPr="00DA3C6E" w:rsidRDefault="000B06F3" w:rsidP="00136334">
            <w:pPr>
              <w:pStyle w:val="Tabletext1"/>
            </w:pPr>
          </w:p>
        </w:tc>
        <w:tc>
          <w:tcPr>
            <w:tcW w:w="1787" w:type="dxa"/>
            <w:tcBorders>
              <w:left w:val="single" w:sz="4" w:space="0" w:color="auto"/>
              <w:right w:val="single" w:sz="4" w:space="0" w:color="auto"/>
            </w:tcBorders>
          </w:tcPr>
          <w:p w14:paraId="22AB5395" w14:textId="77777777" w:rsidR="000B06F3" w:rsidRPr="00DA3C6E" w:rsidRDefault="000B06F3" w:rsidP="00136334">
            <w:pPr>
              <w:pStyle w:val="Tabletext1"/>
            </w:pPr>
          </w:p>
        </w:tc>
        <w:tc>
          <w:tcPr>
            <w:tcW w:w="1259" w:type="dxa"/>
            <w:tcBorders>
              <w:left w:val="single" w:sz="4" w:space="0" w:color="auto"/>
              <w:right w:val="single" w:sz="4" w:space="0" w:color="auto"/>
            </w:tcBorders>
          </w:tcPr>
          <w:p w14:paraId="21B23AF9" w14:textId="77777777" w:rsidR="000B06F3" w:rsidRPr="00DA3C6E" w:rsidRDefault="000B06F3" w:rsidP="00136334">
            <w:pPr>
              <w:pStyle w:val="Tabletext1"/>
            </w:pPr>
          </w:p>
        </w:tc>
        <w:tc>
          <w:tcPr>
            <w:tcW w:w="1812" w:type="dxa"/>
            <w:tcBorders>
              <w:left w:val="single" w:sz="4" w:space="0" w:color="auto"/>
              <w:right w:val="single" w:sz="4" w:space="0" w:color="auto"/>
            </w:tcBorders>
          </w:tcPr>
          <w:p w14:paraId="4D8D23A5" w14:textId="77777777" w:rsidR="000B06F3" w:rsidRPr="00DA3C6E" w:rsidRDefault="000B06F3" w:rsidP="00136334">
            <w:pPr>
              <w:pStyle w:val="Tabletext1"/>
            </w:pPr>
          </w:p>
        </w:tc>
        <w:tc>
          <w:tcPr>
            <w:tcW w:w="1621" w:type="dxa"/>
            <w:tcBorders>
              <w:left w:val="single" w:sz="4" w:space="0" w:color="auto"/>
              <w:right w:val="single" w:sz="4" w:space="0" w:color="auto"/>
            </w:tcBorders>
          </w:tcPr>
          <w:p w14:paraId="3A9D4BD5" w14:textId="77777777" w:rsidR="000B06F3" w:rsidRPr="00DA3C6E" w:rsidRDefault="000B06F3" w:rsidP="00136334">
            <w:pPr>
              <w:pStyle w:val="Tabletext1"/>
            </w:pPr>
          </w:p>
        </w:tc>
        <w:tc>
          <w:tcPr>
            <w:tcW w:w="1813" w:type="dxa"/>
            <w:tcBorders>
              <w:left w:val="single" w:sz="4" w:space="0" w:color="auto"/>
              <w:right w:val="single" w:sz="4" w:space="0" w:color="auto"/>
            </w:tcBorders>
          </w:tcPr>
          <w:p w14:paraId="3F72EA85" w14:textId="77777777" w:rsidR="000B06F3" w:rsidRPr="00DA3C6E" w:rsidRDefault="000B06F3" w:rsidP="00136334">
            <w:pPr>
              <w:pStyle w:val="Tabletext1"/>
            </w:pPr>
          </w:p>
        </w:tc>
        <w:tc>
          <w:tcPr>
            <w:tcW w:w="1781" w:type="dxa"/>
            <w:tcBorders>
              <w:left w:val="single" w:sz="4" w:space="0" w:color="auto"/>
              <w:right w:val="single" w:sz="4" w:space="0" w:color="auto"/>
            </w:tcBorders>
          </w:tcPr>
          <w:p w14:paraId="369BB660" w14:textId="77777777" w:rsidR="000B06F3" w:rsidRPr="00DA3C6E" w:rsidRDefault="000B06F3" w:rsidP="008A5F97">
            <w:pPr>
              <w:pStyle w:val="Tabletext1"/>
              <w:jc w:val="left"/>
            </w:pPr>
            <w:r w:rsidRPr="00DA3C6E">
              <w:t>Improvement in muscle strength</w:t>
            </w:r>
          </w:p>
          <w:p w14:paraId="0EB05459"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1DA09B26" w14:textId="77777777" w:rsidR="000B06F3" w:rsidRPr="00DA3C6E" w:rsidRDefault="000B06F3" w:rsidP="008A5F97">
            <w:pPr>
              <w:pStyle w:val="Tabletext1"/>
              <w:ind w:left="34"/>
              <w:jc w:val="left"/>
            </w:pPr>
            <w:r w:rsidRPr="00DA3C6E">
              <w:t>MRC</w:t>
            </w:r>
          </w:p>
          <w:p w14:paraId="356CB8DA" w14:textId="77777777" w:rsidR="000B06F3" w:rsidRPr="00DA3C6E" w:rsidRDefault="000B06F3" w:rsidP="008A5F97">
            <w:pPr>
              <w:pStyle w:val="Tabletext1"/>
              <w:ind w:left="34"/>
              <w:jc w:val="left"/>
            </w:pPr>
          </w:p>
          <w:p w14:paraId="26FC57F1" w14:textId="77777777" w:rsidR="000B06F3" w:rsidRPr="00DA3C6E" w:rsidRDefault="000B06F3" w:rsidP="008A5F97">
            <w:pPr>
              <w:pStyle w:val="Tabletext1"/>
              <w:ind w:left="34"/>
              <w:jc w:val="left"/>
            </w:pPr>
          </w:p>
        </w:tc>
      </w:tr>
      <w:tr w:rsidR="007C7E04" w:rsidRPr="00DA3C6E" w14:paraId="435BC81D" w14:textId="77777777" w:rsidTr="006A5E97">
        <w:trPr>
          <w:trHeight w:val="319"/>
        </w:trPr>
        <w:tc>
          <w:tcPr>
            <w:tcW w:w="1424" w:type="dxa"/>
            <w:tcBorders>
              <w:left w:val="single" w:sz="4" w:space="0" w:color="auto"/>
              <w:right w:val="single" w:sz="4" w:space="0" w:color="auto"/>
            </w:tcBorders>
          </w:tcPr>
          <w:p w14:paraId="0EAC1D61" w14:textId="77777777" w:rsidR="000B06F3" w:rsidRPr="00DA3C6E" w:rsidRDefault="000B06F3" w:rsidP="00136334">
            <w:pPr>
              <w:pStyle w:val="Tabletext1"/>
            </w:pPr>
          </w:p>
        </w:tc>
        <w:tc>
          <w:tcPr>
            <w:tcW w:w="1787" w:type="dxa"/>
            <w:tcBorders>
              <w:left w:val="single" w:sz="4" w:space="0" w:color="auto"/>
              <w:right w:val="single" w:sz="4" w:space="0" w:color="auto"/>
            </w:tcBorders>
          </w:tcPr>
          <w:p w14:paraId="7BEFC6FC" w14:textId="77777777" w:rsidR="000B06F3" w:rsidRPr="00DA3C6E" w:rsidRDefault="000B06F3" w:rsidP="00136334">
            <w:pPr>
              <w:pStyle w:val="Tabletext1"/>
            </w:pPr>
          </w:p>
        </w:tc>
        <w:tc>
          <w:tcPr>
            <w:tcW w:w="1259" w:type="dxa"/>
            <w:tcBorders>
              <w:left w:val="single" w:sz="4" w:space="0" w:color="auto"/>
              <w:right w:val="single" w:sz="4" w:space="0" w:color="auto"/>
            </w:tcBorders>
          </w:tcPr>
          <w:p w14:paraId="38B1ACF4" w14:textId="77777777" w:rsidR="000B06F3" w:rsidRPr="00DA3C6E" w:rsidRDefault="000B06F3" w:rsidP="00136334">
            <w:pPr>
              <w:pStyle w:val="Tabletext1"/>
            </w:pPr>
          </w:p>
        </w:tc>
        <w:tc>
          <w:tcPr>
            <w:tcW w:w="1812" w:type="dxa"/>
            <w:tcBorders>
              <w:left w:val="single" w:sz="4" w:space="0" w:color="auto"/>
              <w:right w:val="single" w:sz="4" w:space="0" w:color="auto"/>
            </w:tcBorders>
          </w:tcPr>
          <w:p w14:paraId="1344ECC7" w14:textId="77777777" w:rsidR="000B06F3" w:rsidRPr="00DA3C6E" w:rsidRDefault="000B06F3" w:rsidP="00136334">
            <w:pPr>
              <w:pStyle w:val="Tabletext1"/>
            </w:pPr>
          </w:p>
        </w:tc>
        <w:tc>
          <w:tcPr>
            <w:tcW w:w="1621" w:type="dxa"/>
            <w:tcBorders>
              <w:left w:val="single" w:sz="4" w:space="0" w:color="auto"/>
              <w:right w:val="single" w:sz="4" w:space="0" w:color="auto"/>
            </w:tcBorders>
          </w:tcPr>
          <w:p w14:paraId="563C437E" w14:textId="77777777" w:rsidR="000B06F3" w:rsidRPr="00DA3C6E" w:rsidRDefault="000B06F3" w:rsidP="00136334">
            <w:pPr>
              <w:pStyle w:val="Tabletext1"/>
            </w:pPr>
          </w:p>
        </w:tc>
        <w:tc>
          <w:tcPr>
            <w:tcW w:w="1813" w:type="dxa"/>
            <w:tcBorders>
              <w:left w:val="single" w:sz="4" w:space="0" w:color="auto"/>
              <w:right w:val="single" w:sz="4" w:space="0" w:color="auto"/>
            </w:tcBorders>
          </w:tcPr>
          <w:p w14:paraId="60F61143" w14:textId="77777777" w:rsidR="000B06F3" w:rsidRPr="00DA3C6E" w:rsidRDefault="000B06F3" w:rsidP="00136334">
            <w:pPr>
              <w:pStyle w:val="Tabletext1"/>
            </w:pPr>
          </w:p>
        </w:tc>
        <w:tc>
          <w:tcPr>
            <w:tcW w:w="1781" w:type="dxa"/>
            <w:tcBorders>
              <w:left w:val="single" w:sz="4" w:space="0" w:color="auto"/>
              <w:right w:val="single" w:sz="4" w:space="0" w:color="auto"/>
            </w:tcBorders>
          </w:tcPr>
          <w:p w14:paraId="5B012509" w14:textId="77777777" w:rsidR="000B06F3" w:rsidRPr="00DA3C6E" w:rsidRDefault="000B06F3" w:rsidP="008A5F97">
            <w:pPr>
              <w:pStyle w:val="Tabletext1"/>
              <w:jc w:val="left"/>
            </w:pPr>
            <w:r w:rsidRPr="00DA3C6E">
              <w:t xml:space="preserve">CB </w:t>
            </w:r>
          </w:p>
          <w:p w14:paraId="55F6A11C"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718F9D04" w14:textId="77777777" w:rsidR="000B06F3" w:rsidRPr="00DA3C6E" w:rsidRDefault="000B06F3" w:rsidP="008A5F97">
            <w:pPr>
              <w:pStyle w:val="Tabletext1"/>
              <w:ind w:left="34"/>
              <w:jc w:val="left"/>
            </w:pPr>
            <w:r w:rsidRPr="00DA3C6E">
              <w:t>Electrophysiological</w:t>
            </w:r>
          </w:p>
          <w:p w14:paraId="2D87873C" w14:textId="77777777" w:rsidR="000B06F3" w:rsidRPr="00DA3C6E" w:rsidRDefault="000B06F3" w:rsidP="008A5F97">
            <w:pPr>
              <w:pStyle w:val="Tabletext1"/>
              <w:ind w:left="34"/>
              <w:jc w:val="left"/>
            </w:pPr>
            <w:r w:rsidRPr="00DA3C6E">
              <w:t>Studies, CMAP</w:t>
            </w:r>
          </w:p>
        </w:tc>
      </w:tr>
      <w:tr w:rsidR="007C7E04" w:rsidRPr="00DA3C6E" w14:paraId="0CDD05F9" w14:textId="77777777" w:rsidTr="006A5E97">
        <w:trPr>
          <w:trHeight w:val="319"/>
        </w:trPr>
        <w:tc>
          <w:tcPr>
            <w:tcW w:w="1424" w:type="dxa"/>
            <w:tcBorders>
              <w:left w:val="single" w:sz="4" w:space="0" w:color="auto"/>
              <w:bottom w:val="single" w:sz="4" w:space="0" w:color="auto"/>
              <w:right w:val="single" w:sz="4" w:space="0" w:color="auto"/>
            </w:tcBorders>
          </w:tcPr>
          <w:p w14:paraId="3318C6AB" w14:textId="77777777" w:rsidR="000B06F3" w:rsidRPr="00DA3C6E" w:rsidRDefault="000B06F3" w:rsidP="00136334">
            <w:pPr>
              <w:pStyle w:val="Tabletext1"/>
            </w:pPr>
          </w:p>
        </w:tc>
        <w:tc>
          <w:tcPr>
            <w:tcW w:w="1787" w:type="dxa"/>
            <w:tcBorders>
              <w:left w:val="single" w:sz="4" w:space="0" w:color="auto"/>
              <w:bottom w:val="single" w:sz="4" w:space="0" w:color="auto"/>
              <w:right w:val="single" w:sz="4" w:space="0" w:color="auto"/>
            </w:tcBorders>
          </w:tcPr>
          <w:p w14:paraId="588A688F" w14:textId="77777777" w:rsidR="000B06F3" w:rsidRPr="00DA3C6E" w:rsidRDefault="000B06F3" w:rsidP="00136334">
            <w:pPr>
              <w:pStyle w:val="Tabletext1"/>
            </w:pPr>
          </w:p>
        </w:tc>
        <w:tc>
          <w:tcPr>
            <w:tcW w:w="1259" w:type="dxa"/>
            <w:tcBorders>
              <w:left w:val="single" w:sz="4" w:space="0" w:color="auto"/>
              <w:bottom w:val="single" w:sz="4" w:space="0" w:color="auto"/>
              <w:right w:val="single" w:sz="4" w:space="0" w:color="auto"/>
            </w:tcBorders>
          </w:tcPr>
          <w:p w14:paraId="50DA1901" w14:textId="77777777" w:rsidR="000B06F3" w:rsidRPr="00DA3C6E" w:rsidRDefault="000B06F3" w:rsidP="00136334">
            <w:pPr>
              <w:pStyle w:val="Tabletext1"/>
            </w:pPr>
          </w:p>
        </w:tc>
        <w:tc>
          <w:tcPr>
            <w:tcW w:w="1812" w:type="dxa"/>
            <w:tcBorders>
              <w:left w:val="single" w:sz="4" w:space="0" w:color="auto"/>
              <w:bottom w:val="single" w:sz="4" w:space="0" w:color="auto"/>
              <w:right w:val="single" w:sz="4" w:space="0" w:color="auto"/>
            </w:tcBorders>
          </w:tcPr>
          <w:p w14:paraId="59FE1A25" w14:textId="77777777" w:rsidR="000B06F3" w:rsidRPr="00DA3C6E" w:rsidRDefault="000B06F3" w:rsidP="00136334">
            <w:pPr>
              <w:pStyle w:val="Tabletext1"/>
            </w:pPr>
          </w:p>
        </w:tc>
        <w:tc>
          <w:tcPr>
            <w:tcW w:w="1621" w:type="dxa"/>
            <w:tcBorders>
              <w:left w:val="single" w:sz="4" w:space="0" w:color="auto"/>
              <w:bottom w:val="single" w:sz="4" w:space="0" w:color="auto"/>
              <w:right w:val="single" w:sz="4" w:space="0" w:color="auto"/>
            </w:tcBorders>
          </w:tcPr>
          <w:p w14:paraId="043DF508" w14:textId="77777777" w:rsidR="000B06F3" w:rsidRPr="00DA3C6E" w:rsidRDefault="000B06F3" w:rsidP="00136334">
            <w:pPr>
              <w:pStyle w:val="Tabletext1"/>
            </w:pPr>
          </w:p>
        </w:tc>
        <w:tc>
          <w:tcPr>
            <w:tcW w:w="1813" w:type="dxa"/>
            <w:tcBorders>
              <w:left w:val="single" w:sz="4" w:space="0" w:color="auto"/>
              <w:bottom w:val="single" w:sz="4" w:space="0" w:color="auto"/>
              <w:right w:val="single" w:sz="4" w:space="0" w:color="auto"/>
            </w:tcBorders>
          </w:tcPr>
          <w:p w14:paraId="57EDE37C" w14:textId="77777777" w:rsidR="000B06F3" w:rsidRPr="00DA3C6E" w:rsidRDefault="000B06F3" w:rsidP="00136334">
            <w:pPr>
              <w:pStyle w:val="Tabletext1"/>
            </w:pPr>
          </w:p>
        </w:tc>
        <w:tc>
          <w:tcPr>
            <w:tcW w:w="1781" w:type="dxa"/>
            <w:tcBorders>
              <w:left w:val="single" w:sz="4" w:space="0" w:color="auto"/>
              <w:bottom w:val="single" w:sz="4" w:space="0" w:color="auto"/>
              <w:right w:val="single" w:sz="4" w:space="0" w:color="auto"/>
            </w:tcBorders>
          </w:tcPr>
          <w:p w14:paraId="5C3CF2FF" w14:textId="77777777" w:rsidR="000B06F3" w:rsidRPr="00DA3C6E" w:rsidRDefault="000B06F3" w:rsidP="008A5F97">
            <w:pPr>
              <w:pStyle w:val="Tabletext1"/>
              <w:jc w:val="left"/>
            </w:pPr>
            <w:r w:rsidRPr="00DA3C6E">
              <w:t>AE</w:t>
            </w:r>
          </w:p>
        </w:tc>
        <w:tc>
          <w:tcPr>
            <w:tcW w:w="2957" w:type="dxa"/>
            <w:tcBorders>
              <w:left w:val="single" w:sz="4" w:space="0" w:color="auto"/>
              <w:bottom w:val="single" w:sz="4" w:space="0" w:color="auto"/>
              <w:right w:val="single" w:sz="4" w:space="0" w:color="auto"/>
            </w:tcBorders>
          </w:tcPr>
          <w:p w14:paraId="29431082" w14:textId="77777777" w:rsidR="000B06F3" w:rsidRPr="00DA3C6E" w:rsidRDefault="000B06F3" w:rsidP="008A5F97">
            <w:pPr>
              <w:pStyle w:val="Tabletext1"/>
              <w:ind w:left="34"/>
              <w:jc w:val="left"/>
            </w:pPr>
          </w:p>
        </w:tc>
      </w:tr>
      <w:tr w:rsidR="007C7E04" w:rsidRPr="00DA3C6E" w14:paraId="63F2F2C3" w14:textId="77777777" w:rsidTr="006A5E97">
        <w:trPr>
          <w:trHeight w:val="319"/>
        </w:trPr>
        <w:tc>
          <w:tcPr>
            <w:tcW w:w="1424" w:type="dxa"/>
            <w:tcBorders>
              <w:top w:val="single" w:sz="4" w:space="0" w:color="auto"/>
              <w:left w:val="single" w:sz="4" w:space="0" w:color="auto"/>
              <w:right w:val="single" w:sz="4" w:space="0" w:color="auto"/>
            </w:tcBorders>
          </w:tcPr>
          <w:p w14:paraId="163AE485" w14:textId="624BFBAA" w:rsidR="000B06F3" w:rsidRPr="00DA3C6E" w:rsidRDefault="000B06F3" w:rsidP="008A5F97">
            <w:pPr>
              <w:pStyle w:val="Tabletext1"/>
              <w:jc w:val="left"/>
            </w:pPr>
            <w:r w:rsidRPr="00DA3C6E">
              <w:t>Cats et al. 2010</w: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 </w:instrText>
            </w:r>
            <w:r w:rsidR="00DB568A" w:rsidRPr="00DA3C6E">
              <w:fldChar w:fldCharType="begin">
                <w:fldData xml:space="preserve">PEVuZE5vdGU+PENpdGU+PEF1dGhvcj5DYXRzPC9BdXRob3I+PFllYXI+MjAxMDwvWWVhcj48UmVj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14" w:tooltip="Cats, 2010 #13" w:history="1">
              <w:r w:rsidR="00C04BCE" w:rsidRPr="00DA3C6E">
                <w:rPr>
                  <w:noProof/>
                </w:rPr>
                <w:t>14</w:t>
              </w:r>
            </w:hyperlink>
            <w:r w:rsidR="00DB568A" w:rsidRPr="00DA3C6E">
              <w:rPr>
                <w:noProof/>
              </w:rPr>
              <w:t>)</w:t>
            </w:r>
            <w:r w:rsidR="00DB568A" w:rsidRPr="00DA3C6E">
              <w:fldChar w:fldCharType="end"/>
            </w:r>
          </w:p>
          <w:p w14:paraId="6C5D8B98" w14:textId="77777777" w:rsidR="000B06F3" w:rsidRPr="00DA3C6E" w:rsidRDefault="000B06F3" w:rsidP="008A5F97">
            <w:pPr>
              <w:pStyle w:val="Tabletext1"/>
              <w:jc w:val="left"/>
            </w:pPr>
          </w:p>
        </w:tc>
        <w:tc>
          <w:tcPr>
            <w:tcW w:w="1787" w:type="dxa"/>
            <w:tcBorders>
              <w:top w:val="single" w:sz="4" w:space="0" w:color="auto"/>
              <w:left w:val="single" w:sz="4" w:space="0" w:color="auto"/>
              <w:right w:val="single" w:sz="4" w:space="0" w:color="auto"/>
            </w:tcBorders>
          </w:tcPr>
          <w:p w14:paraId="5BC138C8" w14:textId="77777777" w:rsidR="000B06F3" w:rsidRPr="00DA3C6E" w:rsidRDefault="000B06F3" w:rsidP="008A5F97">
            <w:pPr>
              <w:pStyle w:val="Tabletext1"/>
              <w:jc w:val="left"/>
            </w:pPr>
            <w:r w:rsidRPr="00DA3C6E">
              <w:t>A national cross-sectional descriptive study</w:t>
            </w:r>
          </w:p>
        </w:tc>
        <w:tc>
          <w:tcPr>
            <w:tcW w:w="1259" w:type="dxa"/>
            <w:tcBorders>
              <w:top w:val="single" w:sz="4" w:space="0" w:color="auto"/>
              <w:left w:val="single" w:sz="4" w:space="0" w:color="auto"/>
              <w:right w:val="single" w:sz="4" w:space="0" w:color="auto"/>
            </w:tcBorders>
          </w:tcPr>
          <w:p w14:paraId="1EAC4685"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521A2B71" w14:textId="77777777" w:rsidR="000B06F3" w:rsidRPr="00DA3C6E" w:rsidRDefault="000B06F3" w:rsidP="008A5F97">
            <w:pPr>
              <w:pStyle w:val="Tabletext1"/>
              <w:jc w:val="left"/>
            </w:pPr>
            <w:r w:rsidRPr="00DA3C6E">
              <w:t xml:space="preserve">Definite, probable, or possible MMN, based on the criteria published by Van den Berg 2000 (PMID: 11117549).  Normal sensory nerve conduction in segments with motor CB and normal distal sensory nerve action potential amplitudes at the first nerve conduction study. </w:t>
            </w:r>
          </w:p>
          <w:p w14:paraId="510160B2" w14:textId="77777777" w:rsidR="000B06F3" w:rsidRPr="00DA3C6E" w:rsidRDefault="000B06F3" w:rsidP="008A5F97">
            <w:pPr>
              <w:pStyle w:val="Tabletext1"/>
              <w:jc w:val="left"/>
            </w:pPr>
          </w:p>
        </w:tc>
        <w:tc>
          <w:tcPr>
            <w:tcW w:w="1621" w:type="dxa"/>
            <w:tcBorders>
              <w:top w:val="single" w:sz="4" w:space="0" w:color="auto"/>
              <w:left w:val="single" w:sz="4" w:space="0" w:color="auto"/>
              <w:right w:val="single" w:sz="4" w:space="0" w:color="auto"/>
            </w:tcBorders>
          </w:tcPr>
          <w:p w14:paraId="3CE773EA" w14:textId="77777777" w:rsidR="000B06F3" w:rsidRPr="00DA3C6E" w:rsidRDefault="000B06F3" w:rsidP="008A5F97">
            <w:pPr>
              <w:pStyle w:val="Tabletext1"/>
              <w:jc w:val="left"/>
            </w:pPr>
            <w:r w:rsidRPr="00DA3C6E">
              <w:t xml:space="preserve">88 patients with MMN; </w:t>
            </w:r>
          </w:p>
          <w:p w14:paraId="1656BD63" w14:textId="77777777" w:rsidR="000B06F3" w:rsidRPr="00DA3C6E" w:rsidRDefault="000B06F3" w:rsidP="008A5F97">
            <w:pPr>
              <w:pStyle w:val="Tabletext1"/>
              <w:jc w:val="left"/>
            </w:pPr>
            <w:r w:rsidRPr="00DA3C6E">
              <w:t>Mean age: 40 years ranging (22-66)</w:t>
            </w:r>
            <w:r w:rsidR="00A33AE3" w:rsidRPr="00DA3C6E">
              <w:t>.</w:t>
            </w:r>
          </w:p>
        </w:tc>
        <w:tc>
          <w:tcPr>
            <w:tcW w:w="1813" w:type="dxa"/>
            <w:tcBorders>
              <w:top w:val="single" w:sz="4" w:space="0" w:color="auto"/>
              <w:left w:val="single" w:sz="4" w:space="0" w:color="auto"/>
              <w:right w:val="single" w:sz="4" w:space="0" w:color="auto"/>
            </w:tcBorders>
          </w:tcPr>
          <w:p w14:paraId="18AC4F97" w14:textId="77777777" w:rsidR="000B06F3" w:rsidRPr="00DA3C6E" w:rsidRDefault="000B06F3" w:rsidP="008A5F97">
            <w:pPr>
              <w:pStyle w:val="Tabletext1"/>
              <w:jc w:val="left"/>
            </w:pPr>
            <w:r w:rsidRPr="00DA3C6E">
              <w:t>intravenous Ig 2g/kg. Median duration of maintenance treatment was 6 years (range 0–17)</w:t>
            </w:r>
          </w:p>
          <w:p w14:paraId="2576186B" w14:textId="77777777" w:rsidR="000B06F3" w:rsidRPr="00DA3C6E" w:rsidRDefault="000B06F3" w:rsidP="008A5F97">
            <w:pPr>
              <w:pStyle w:val="Tabletext1"/>
              <w:jc w:val="left"/>
            </w:pPr>
            <w:r w:rsidRPr="00DA3C6E">
              <w:t>Dose gradually increased over the years from 12 to 17 g/week.</w:t>
            </w:r>
          </w:p>
          <w:p w14:paraId="3E937C11" w14:textId="77777777" w:rsidR="000B06F3" w:rsidRPr="00DA3C6E" w:rsidRDefault="000B06F3" w:rsidP="008A5F97">
            <w:pPr>
              <w:pStyle w:val="Tabletext1"/>
              <w:jc w:val="left"/>
            </w:pPr>
          </w:p>
        </w:tc>
        <w:tc>
          <w:tcPr>
            <w:tcW w:w="1781" w:type="dxa"/>
            <w:tcBorders>
              <w:top w:val="single" w:sz="4" w:space="0" w:color="auto"/>
              <w:left w:val="single" w:sz="4" w:space="0" w:color="auto"/>
              <w:right w:val="single" w:sz="4" w:space="0" w:color="auto"/>
            </w:tcBorders>
          </w:tcPr>
          <w:p w14:paraId="3B0B5EAF" w14:textId="77777777" w:rsidR="000B06F3" w:rsidRPr="00DA3C6E" w:rsidRDefault="000B06F3" w:rsidP="008A5F97">
            <w:pPr>
              <w:pStyle w:val="Tabletext1"/>
              <w:jc w:val="left"/>
            </w:pPr>
            <w:r w:rsidRPr="00DA3C6E">
              <w:t xml:space="preserve">Improvement in disability </w:t>
            </w:r>
          </w:p>
          <w:p w14:paraId="3E3C367E"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27034E3A" w14:textId="77777777" w:rsidR="000B06F3" w:rsidRPr="00DA3C6E" w:rsidRDefault="000B06F3" w:rsidP="008A5F97">
            <w:pPr>
              <w:pStyle w:val="Tabletext1"/>
              <w:ind w:left="34"/>
              <w:jc w:val="left"/>
            </w:pPr>
            <w:r w:rsidRPr="00DA3C6E">
              <w:t>ODSS</w:t>
            </w:r>
          </w:p>
          <w:p w14:paraId="44DCC15D" w14:textId="77777777" w:rsidR="000B06F3" w:rsidRPr="00DA3C6E" w:rsidRDefault="000B06F3" w:rsidP="008A5F97">
            <w:pPr>
              <w:pStyle w:val="Tabletext1"/>
              <w:jc w:val="left"/>
            </w:pPr>
            <w:r w:rsidRPr="00DA3C6E">
              <w:t xml:space="preserve"> </w:t>
            </w:r>
          </w:p>
        </w:tc>
      </w:tr>
      <w:tr w:rsidR="007C7E04" w:rsidRPr="00DA3C6E" w14:paraId="5385B7AC" w14:textId="77777777" w:rsidTr="006A5E97">
        <w:trPr>
          <w:trHeight w:val="319"/>
        </w:trPr>
        <w:tc>
          <w:tcPr>
            <w:tcW w:w="1424" w:type="dxa"/>
            <w:tcBorders>
              <w:left w:val="single" w:sz="4" w:space="0" w:color="auto"/>
              <w:right w:val="single" w:sz="4" w:space="0" w:color="auto"/>
            </w:tcBorders>
          </w:tcPr>
          <w:p w14:paraId="7A5804D8"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1DBEC2CA"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3A437DA6"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4A3820F8"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6655B7DD"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017B7719"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7894BD70" w14:textId="77777777" w:rsidR="000B06F3" w:rsidRPr="00DA3C6E" w:rsidRDefault="000B06F3" w:rsidP="008A5F97">
            <w:pPr>
              <w:pStyle w:val="Tabletext1"/>
              <w:jc w:val="left"/>
            </w:pPr>
            <w:r w:rsidRPr="00DA3C6E">
              <w:t>Improvement in muscle strength</w:t>
            </w:r>
          </w:p>
          <w:p w14:paraId="7D347D34"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61B42182" w14:textId="77777777" w:rsidR="000B06F3" w:rsidRPr="00DA3C6E" w:rsidRDefault="000B06F3" w:rsidP="008A5F97">
            <w:pPr>
              <w:pStyle w:val="Tabletext1"/>
              <w:ind w:left="34"/>
              <w:jc w:val="left"/>
            </w:pPr>
            <w:r w:rsidRPr="00DA3C6E">
              <w:t>MRC</w:t>
            </w:r>
          </w:p>
          <w:p w14:paraId="56766E8A" w14:textId="77777777" w:rsidR="000B06F3" w:rsidRPr="00DA3C6E" w:rsidRDefault="000B06F3" w:rsidP="008A5F97">
            <w:pPr>
              <w:pStyle w:val="Tabletext1"/>
              <w:jc w:val="left"/>
            </w:pPr>
          </w:p>
          <w:p w14:paraId="187B76B5" w14:textId="77777777" w:rsidR="000B06F3" w:rsidRPr="00DA3C6E" w:rsidRDefault="000B06F3" w:rsidP="008A5F97">
            <w:pPr>
              <w:pStyle w:val="Tabletext1"/>
              <w:ind w:left="34"/>
              <w:jc w:val="left"/>
            </w:pPr>
          </w:p>
        </w:tc>
      </w:tr>
      <w:tr w:rsidR="007C7E04" w:rsidRPr="00DA3C6E" w14:paraId="1040975F" w14:textId="77777777" w:rsidTr="006A5E97">
        <w:trPr>
          <w:trHeight w:val="319"/>
        </w:trPr>
        <w:tc>
          <w:tcPr>
            <w:tcW w:w="1424" w:type="dxa"/>
            <w:tcBorders>
              <w:left w:val="single" w:sz="4" w:space="0" w:color="auto"/>
              <w:right w:val="single" w:sz="4" w:space="0" w:color="auto"/>
            </w:tcBorders>
          </w:tcPr>
          <w:p w14:paraId="4BE42AFC"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0B51D5CC"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5D83BB30"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21B1169A"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21BCD695"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6480D44A"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3D5D03A2" w14:textId="77777777" w:rsidR="000B06F3" w:rsidRPr="00DA3C6E" w:rsidRDefault="000B06F3" w:rsidP="008A5F97">
            <w:pPr>
              <w:pStyle w:val="Tabletext1"/>
              <w:jc w:val="left"/>
            </w:pPr>
            <w:r w:rsidRPr="00DA3C6E">
              <w:t>CB</w:t>
            </w:r>
          </w:p>
        </w:tc>
        <w:tc>
          <w:tcPr>
            <w:tcW w:w="2957" w:type="dxa"/>
            <w:tcBorders>
              <w:left w:val="single" w:sz="4" w:space="0" w:color="auto"/>
              <w:right w:val="single" w:sz="4" w:space="0" w:color="auto"/>
            </w:tcBorders>
          </w:tcPr>
          <w:p w14:paraId="34613525" w14:textId="77777777" w:rsidR="000B06F3" w:rsidRPr="00DA3C6E" w:rsidRDefault="000B06F3" w:rsidP="008A5F97">
            <w:pPr>
              <w:pStyle w:val="Tabletext1"/>
              <w:ind w:left="34"/>
              <w:jc w:val="left"/>
            </w:pPr>
            <w:r w:rsidRPr="00DA3C6E">
              <w:t>CMAP</w:t>
            </w:r>
          </w:p>
        </w:tc>
      </w:tr>
      <w:tr w:rsidR="007C7E04" w:rsidRPr="00DA3C6E" w14:paraId="06F2A382" w14:textId="77777777" w:rsidTr="006A5E97">
        <w:trPr>
          <w:trHeight w:val="319"/>
        </w:trPr>
        <w:tc>
          <w:tcPr>
            <w:tcW w:w="1424" w:type="dxa"/>
            <w:tcBorders>
              <w:left w:val="single" w:sz="4" w:space="0" w:color="auto"/>
              <w:bottom w:val="single" w:sz="4" w:space="0" w:color="auto"/>
              <w:right w:val="single" w:sz="4" w:space="0" w:color="auto"/>
            </w:tcBorders>
          </w:tcPr>
          <w:p w14:paraId="18FBE391"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1255F32B"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065E62A9"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6DFB9D0C"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68C4C347"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5F84669D"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75617D7B"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3817DFD4" w14:textId="77777777" w:rsidR="000B06F3" w:rsidRPr="00DA3C6E" w:rsidRDefault="000B06F3" w:rsidP="008A5F97">
            <w:pPr>
              <w:pStyle w:val="Tabletext1"/>
              <w:ind w:left="34"/>
              <w:jc w:val="left"/>
            </w:pPr>
          </w:p>
        </w:tc>
      </w:tr>
      <w:tr w:rsidR="007C7E04" w:rsidRPr="00DA3C6E" w14:paraId="49CBF816" w14:textId="77777777" w:rsidTr="006A5E97">
        <w:trPr>
          <w:trHeight w:val="319"/>
        </w:trPr>
        <w:tc>
          <w:tcPr>
            <w:tcW w:w="1424" w:type="dxa"/>
            <w:tcBorders>
              <w:top w:val="single" w:sz="4" w:space="0" w:color="auto"/>
              <w:left w:val="single" w:sz="4" w:space="0" w:color="auto"/>
              <w:bottom w:val="single" w:sz="4" w:space="0" w:color="auto"/>
              <w:right w:val="single" w:sz="4" w:space="0" w:color="auto"/>
            </w:tcBorders>
          </w:tcPr>
          <w:p w14:paraId="25775D63" w14:textId="38A1D493" w:rsidR="000B06F3" w:rsidRPr="00DA3C6E" w:rsidRDefault="000B06F3" w:rsidP="00C04BCE">
            <w:pPr>
              <w:pStyle w:val="Tabletext1"/>
              <w:jc w:val="left"/>
            </w:pPr>
            <w:r w:rsidRPr="00DA3C6E">
              <w:t>Vlam et al. 2014</w:t>
            </w:r>
            <w:r w:rsidR="00DB568A" w:rsidRPr="00DA3C6E">
              <w:fldChar w:fldCharType="begin">
                <w:fldData xml:space="preserve">PEVuZE5vdGU+PENpdGU+PEF1dGhvcj5WbGFtPC9BdXRob3I+PFllYXI+MjAxMzwvWWVhcj48UmVj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</w:fldData>
              </w:fldChar>
            </w:r>
            <w:r w:rsidR="007810D6">
              <w:instrText xml:space="preserve"> ADDIN EN.CITE </w:instrText>
            </w:r>
            <w:r w:rsidR="007810D6">
              <w:fldChar w:fldCharType="begin">
                <w:fldData xml:space="preserve">PEVuZE5vdGU+PENpdGU+PEF1dGhvcj5WbGFtPC9BdXRob3I+PFllYXI+MjAxMzwvWWVhcj48UmVj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73" w:tooltip="Vlam, 2013 #70" w:history="1">
              <w:r w:rsidR="00C04BCE">
                <w:rPr>
                  <w:noProof/>
                </w:rPr>
                <w:t>73</w:t>
              </w:r>
            </w:hyperlink>
            <w:r w:rsidR="007810D6">
              <w:rPr>
                <w:noProof/>
              </w:rPr>
              <w:t>)</w:t>
            </w:r>
            <w:r w:rsidR="00DB568A" w:rsidRPr="00DA3C6E">
              <w:fldChar w:fldCharType="end"/>
            </w:r>
          </w:p>
        </w:tc>
        <w:tc>
          <w:tcPr>
            <w:tcW w:w="1787" w:type="dxa"/>
            <w:tcBorders>
              <w:top w:val="single" w:sz="4" w:space="0" w:color="auto"/>
              <w:left w:val="single" w:sz="4" w:space="0" w:color="auto"/>
              <w:bottom w:val="single" w:sz="4" w:space="0" w:color="auto"/>
              <w:right w:val="single" w:sz="4" w:space="0" w:color="auto"/>
            </w:tcBorders>
          </w:tcPr>
          <w:p w14:paraId="6F466A6A" w14:textId="77777777" w:rsidR="000B06F3" w:rsidRPr="00DA3C6E" w:rsidRDefault="000B06F3" w:rsidP="008A5F97">
            <w:pPr>
              <w:pStyle w:val="Tabletext1"/>
              <w:jc w:val="left"/>
            </w:pPr>
          </w:p>
        </w:tc>
        <w:tc>
          <w:tcPr>
            <w:tcW w:w="1259" w:type="dxa"/>
            <w:tcBorders>
              <w:top w:val="single" w:sz="4" w:space="0" w:color="auto"/>
              <w:left w:val="single" w:sz="4" w:space="0" w:color="auto"/>
              <w:bottom w:val="single" w:sz="4" w:space="0" w:color="auto"/>
              <w:right w:val="single" w:sz="4" w:space="0" w:color="auto"/>
            </w:tcBorders>
          </w:tcPr>
          <w:p w14:paraId="7B6D6156"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bottom w:val="single" w:sz="4" w:space="0" w:color="auto"/>
              <w:right w:val="single" w:sz="4" w:space="0" w:color="auto"/>
            </w:tcBorders>
          </w:tcPr>
          <w:p w14:paraId="2E3C11C3" w14:textId="77777777" w:rsidR="000B06F3" w:rsidRPr="00DA3C6E" w:rsidRDefault="000B06F3" w:rsidP="008A5F97">
            <w:pPr>
              <w:pStyle w:val="Tabletext1"/>
              <w:jc w:val="left"/>
            </w:pPr>
            <w:r w:rsidRPr="00DA3C6E">
              <w:t>Definite or probable conduction block; axonal loss in combined nerves; decreased distal compound muscle action; presence of anti-monosialotetrahexosylganglioside</w:t>
            </w:r>
          </w:p>
          <w:p w14:paraId="51822082" w14:textId="77777777" w:rsidR="000B06F3" w:rsidRPr="00DA3C6E" w:rsidRDefault="000B06F3" w:rsidP="008A5F97">
            <w:pPr>
              <w:pStyle w:val="Tabletext1"/>
              <w:jc w:val="left"/>
            </w:pPr>
            <w:r w:rsidRPr="00DA3C6E">
              <w:t>(GM1) IgM antibodies</w:t>
            </w:r>
          </w:p>
        </w:tc>
        <w:tc>
          <w:tcPr>
            <w:tcW w:w="1621" w:type="dxa"/>
            <w:tcBorders>
              <w:top w:val="single" w:sz="4" w:space="0" w:color="auto"/>
              <w:left w:val="single" w:sz="4" w:space="0" w:color="auto"/>
              <w:bottom w:val="single" w:sz="4" w:space="0" w:color="auto"/>
              <w:right w:val="single" w:sz="4" w:space="0" w:color="auto"/>
            </w:tcBorders>
          </w:tcPr>
          <w:p w14:paraId="0825FDB0" w14:textId="77777777" w:rsidR="000B06F3" w:rsidRPr="00DA3C6E" w:rsidRDefault="000B06F3" w:rsidP="008A5F97">
            <w:pPr>
              <w:pStyle w:val="Tabletext1"/>
              <w:jc w:val="left"/>
            </w:pPr>
            <w:r w:rsidRPr="00DA3C6E">
              <w:t xml:space="preserve">23 patients with MMN; Mean age: 41 years </w:t>
            </w:r>
          </w:p>
        </w:tc>
        <w:tc>
          <w:tcPr>
            <w:tcW w:w="1813" w:type="dxa"/>
            <w:tcBorders>
              <w:top w:val="single" w:sz="4" w:space="0" w:color="auto"/>
              <w:left w:val="single" w:sz="4" w:space="0" w:color="auto"/>
              <w:bottom w:val="single" w:sz="4" w:space="0" w:color="auto"/>
              <w:right w:val="single" w:sz="4" w:space="0" w:color="auto"/>
            </w:tcBorders>
          </w:tcPr>
          <w:p w14:paraId="3481EFFA" w14:textId="77777777" w:rsidR="000B06F3" w:rsidRPr="00DA3C6E" w:rsidRDefault="000B06F3" w:rsidP="008A5F97">
            <w:pPr>
              <w:pStyle w:val="Tabletext1"/>
              <w:jc w:val="left"/>
            </w:pPr>
            <w:r w:rsidRPr="00DA3C6E">
              <w:t xml:space="preserve">Intravenous Ig 2g/kg </w:t>
            </w:r>
          </w:p>
        </w:tc>
        <w:tc>
          <w:tcPr>
            <w:tcW w:w="1781" w:type="dxa"/>
            <w:tcBorders>
              <w:top w:val="single" w:sz="4" w:space="0" w:color="auto"/>
              <w:left w:val="single" w:sz="4" w:space="0" w:color="auto"/>
              <w:bottom w:val="single" w:sz="4" w:space="0" w:color="auto"/>
              <w:right w:val="single" w:sz="4" w:space="0" w:color="auto"/>
            </w:tcBorders>
          </w:tcPr>
          <w:p w14:paraId="77E015A5" w14:textId="77777777" w:rsidR="000B06F3" w:rsidRPr="00DA3C6E" w:rsidRDefault="000B06F3" w:rsidP="008A5F97">
            <w:pPr>
              <w:pStyle w:val="Tabletext1"/>
              <w:jc w:val="left"/>
            </w:pPr>
            <w:r w:rsidRPr="00DA3C6E">
              <w:t>Improvement in muscle strength</w:t>
            </w:r>
          </w:p>
        </w:tc>
        <w:tc>
          <w:tcPr>
            <w:tcW w:w="2957" w:type="dxa"/>
            <w:tcBorders>
              <w:top w:val="single" w:sz="4" w:space="0" w:color="auto"/>
              <w:left w:val="single" w:sz="4" w:space="0" w:color="auto"/>
              <w:bottom w:val="single" w:sz="4" w:space="0" w:color="auto"/>
              <w:right w:val="single" w:sz="4" w:space="0" w:color="auto"/>
            </w:tcBorders>
          </w:tcPr>
          <w:p w14:paraId="6AAB543F" w14:textId="77777777" w:rsidR="000B06F3" w:rsidRPr="00DA3C6E" w:rsidRDefault="000B06F3" w:rsidP="008A5F97">
            <w:pPr>
              <w:pStyle w:val="Tabletext1"/>
              <w:ind w:left="34"/>
              <w:jc w:val="left"/>
            </w:pPr>
            <w:r w:rsidRPr="00DA3C6E">
              <w:t>MRC</w:t>
            </w:r>
          </w:p>
        </w:tc>
      </w:tr>
      <w:tr w:rsidR="007C7E04" w:rsidRPr="00DA3C6E" w14:paraId="458D7ED3" w14:textId="77777777" w:rsidTr="006A5E97">
        <w:trPr>
          <w:trHeight w:val="319"/>
        </w:trPr>
        <w:tc>
          <w:tcPr>
            <w:tcW w:w="1424" w:type="dxa"/>
            <w:tcBorders>
              <w:top w:val="single" w:sz="4" w:space="0" w:color="auto"/>
              <w:left w:val="single" w:sz="4" w:space="0" w:color="auto"/>
              <w:right w:val="single" w:sz="4" w:space="0" w:color="auto"/>
            </w:tcBorders>
          </w:tcPr>
          <w:p w14:paraId="30F93FDB" w14:textId="2F60823C" w:rsidR="000B06F3" w:rsidRPr="00DA3C6E" w:rsidRDefault="000B06F3" w:rsidP="00C04BCE">
            <w:pPr>
              <w:pStyle w:val="Tabletext1"/>
              <w:jc w:val="left"/>
            </w:pPr>
            <w:r w:rsidRPr="00DA3C6E">
              <w:lastRenderedPageBreak/>
              <w:t>Nobile-Orazio 2017</w:t>
            </w:r>
            <w:r w:rsidR="00DB568A" w:rsidRPr="00DA3C6E">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00DB568A" w:rsidRPr="00DA3C6E">
              <w:instrText xml:space="preserve"> ADDIN EN.CITE </w:instrText>
            </w:r>
            <w:r w:rsidR="00DB568A" w:rsidRPr="00DA3C6E">
              <w:fldChar w:fldCharType="begin">
                <w:fldData xml:space="preserve">PEVuZE5vdGU+PENpdGU+PEF1dGhvcj5Ob2JpbGUtT3JhemlvPC9BdXRob3I+PFllYXI+MjAxNzwv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41" w:tooltip="Nobile-Orazio, 2017 #50" w:history="1">
              <w:r w:rsidR="00C04BCE" w:rsidRPr="00DA3C6E">
                <w:rPr>
                  <w:noProof/>
                </w:rPr>
                <w:t>41</w:t>
              </w:r>
            </w:hyperlink>
            <w:r w:rsidR="00DB568A" w:rsidRPr="00DA3C6E">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6513828F"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38848529"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4EF54E3C" w14:textId="77777777" w:rsidR="000B06F3" w:rsidRPr="00DA3C6E" w:rsidRDefault="000B06F3" w:rsidP="008A5F97">
            <w:pPr>
              <w:pStyle w:val="Tabletext1"/>
              <w:jc w:val="left"/>
            </w:pPr>
            <w:r w:rsidRPr="00DA3C6E">
              <w:t>MMN according to European Federation of Neurological</w:t>
            </w:r>
          </w:p>
          <w:p w14:paraId="33C7338E" w14:textId="77777777" w:rsidR="000B06F3" w:rsidRPr="00DA3C6E" w:rsidRDefault="000B06F3" w:rsidP="008A5F97">
            <w:pPr>
              <w:pStyle w:val="Tabletext1"/>
              <w:jc w:val="left"/>
            </w:pPr>
            <w:r w:rsidRPr="00DA3C6E">
              <w:t>Societies/Peripheral Nerve Society (EFNS/PNS)</w:t>
            </w:r>
          </w:p>
          <w:p w14:paraId="7C11ADAB" w14:textId="77777777" w:rsidR="000B06F3" w:rsidRPr="00DA3C6E" w:rsidRDefault="000B06F3" w:rsidP="008A5F97">
            <w:pPr>
              <w:pStyle w:val="Tabletext1"/>
              <w:jc w:val="left"/>
            </w:pPr>
            <w:r w:rsidRPr="00DA3C6E">
              <w:t>criteria</w:t>
            </w:r>
          </w:p>
        </w:tc>
        <w:tc>
          <w:tcPr>
            <w:tcW w:w="1621" w:type="dxa"/>
            <w:tcBorders>
              <w:top w:val="single" w:sz="4" w:space="0" w:color="auto"/>
              <w:left w:val="single" w:sz="4" w:space="0" w:color="auto"/>
              <w:right w:val="single" w:sz="4" w:space="0" w:color="auto"/>
            </w:tcBorders>
          </w:tcPr>
          <w:p w14:paraId="4D406637" w14:textId="77777777" w:rsidR="000B06F3" w:rsidRPr="00DA3C6E" w:rsidRDefault="000B06F3" w:rsidP="008A5F97">
            <w:pPr>
              <w:pStyle w:val="Tabletext1"/>
              <w:jc w:val="left"/>
            </w:pPr>
            <w:r w:rsidRPr="00DA3C6E">
              <w:t xml:space="preserve">20 patients with MMN; 49 (31–70) years; 12 (60%) and 8 (40%) had been diagnosed with definite or probable MMN; </w:t>
            </w:r>
          </w:p>
        </w:tc>
        <w:tc>
          <w:tcPr>
            <w:tcW w:w="1813" w:type="dxa"/>
            <w:tcBorders>
              <w:top w:val="single" w:sz="4" w:space="0" w:color="auto"/>
              <w:left w:val="single" w:sz="4" w:space="0" w:color="auto"/>
              <w:right w:val="single" w:sz="4" w:space="0" w:color="auto"/>
            </w:tcBorders>
          </w:tcPr>
          <w:p w14:paraId="3A9E37CE" w14:textId="77777777" w:rsidR="000B06F3" w:rsidRPr="00DA3C6E" w:rsidRDefault="000B06F3" w:rsidP="008A5F97">
            <w:pPr>
              <w:pStyle w:val="Tabletext1"/>
              <w:jc w:val="left"/>
            </w:pPr>
            <w:r w:rsidRPr="00DA3C6E">
              <w:t>Intravenous Ig 0.4 g/kg/day for 5 days followed by maintenance dose</w:t>
            </w:r>
          </w:p>
          <w:p w14:paraId="62CF9BEC" w14:textId="77777777" w:rsidR="000B06F3" w:rsidRPr="00DA3C6E" w:rsidRDefault="000B06F3" w:rsidP="008A5F97">
            <w:pPr>
              <w:pStyle w:val="Tabletext1"/>
              <w:jc w:val="left"/>
            </w:pPr>
            <w:r w:rsidRPr="00DA3C6E">
              <w:t>individualised according to the clinical needs of each patient, and ranging from a minimum 25 g to a maximum of 80 g every 2–5 weeks.</w:t>
            </w:r>
          </w:p>
        </w:tc>
        <w:tc>
          <w:tcPr>
            <w:tcW w:w="1781" w:type="dxa"/>
            <w:tcBorders>
              <w:top w:val="single" w:sz="4" w:space="0" w:color="auto"/>
              <w:left w:val="single" w:sz="4" w:space="0" w:color="auto"/>
              <w:right w:val="single" w:sz="4" w:space="0" w:color="auto"/>
            </w:tcBorders>
          </w:tcPr>
          <w:p w14:paraId="519D8E84" w14:textId="77777777" w:rsidR="000B06F3" w:rsidRPr="00DA3C6E" w:rsidRDefault="000B06F3" w:rsidP="008A5F97">
            <w:pPr>
              <w:pStyle w:val="Tabletext1"/>
              <w:jc w:val="left"/>
            </w:pPr>
            <w:r w:rsidRPr="00DA3C6E">
              <w:t xml:space="preserve">Improvement in disability </w:t>
            </w:r>
          </w:p>
          <w:p w14:paraId="2471395E"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26B295B4" w14:textId="77777777" w:rsidR="000B06F3" w:rsidRPr="00DA3C6E" w:rsidRDefault="000B06F3" w:rsidP="008A5F97">
            <w:pPr>
              <w:pStyle w:val="Tabletext1"/>
              <w:ind w:left="34"/>
              <w:jc w:val="left"/>
            </w:pPr>
            <w:r w:rsidRPr="00DA3C6E">
              <w:t xml:space="preserve">ONLS </w:t>
            </w:r>
          </w:p>
          <w:p w14:paraId="2C25E9F7" w14:textId="77777777" w:rsidR="000B06F3" w:rsidRPr="00DA3C6E" w:rsidRDefault="000B06F3" w:rsidP="008A5F97">
            <w:pPr>
              <w:pStyle w:val="Tabletext1"/>
              <w:ind w:left="34"/>
              <w:jc w:val="left"/>
            </w:pPr>
          </w:p>
        </w:tc>
      </w:tr>
      <w:tr w:rsidR="007C7E04" w:rsidRPr="00DA3C6E" w14:paraId="73470C69" w14:textId="77777777" w:rsidTr="006A5E97">
        <w:trPr>
          <w:trHeight w:val="319"/>
        </w:trPr>
        <w:tc>
          <w:tcPr>
            <w:tcW w:w="1424" w:type="dxa"/>
            <w:tcBorders>
              <w:left w:val="single" w:sz="4" w:space="0" w:color="auto"/>
              <w:right w:val="single" w:sz="4" w:space="0" w:color="auto"/>
            </w:tcBorders>
          </w:tcPr>
          <w:p w14:paraId="6047332D"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26832CFA"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11612E51"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583A9571"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5A83FCD8"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1487E0C9"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3BC72B3A" w14:textId="77777777" w:rsidR="000B06F3" w:rsidRPr="00DA3C6E" w:rsidRDefault="000B06F3" w:rsidP="008A5F97">
            <w:pPr>
              <w:pStyle w:val="Tabletext1"/>
              <w:jc w:val="left"/>
            </w:pPr>
            <w:r w:rsidRPr="00DA3C6E">
              <w:t>Improvement in muscle strength</w:t>
            </w:r>
          </w:p>
          <w:p w14:paraId="62D2305A"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3495D632" w14:textId="77777777" w:rsidR="000B06F3" w:rsidRPr="00DA3C6E" w:rsidRDefault="000B06F3" w:rsidP="008A5F97">
            <w:pPr>
              <w:pStyle w:val="Tabletext1"/>
              <w:ind w:left="34"/>
              <w:jc w:val="left"/>
            </w:pPr>
            <w:r w:rsidRPr="00DA3C6E">
              <w:t>MRC</w:t>
            </w:r>
          </w:p>
        </w:tc>
      </w:tr>
      <w:tr w:rsidR="007C7E04" w:rsidRPr="00DA3C6E" w14:paraId="00EE87FA" w14:textId="77777777" w:rsidTr="006A5E97">
        <w:trPr>
          <w:trHeight w:val="319"/>
        </w:trPr>
        <w:tc>
          <w:tcPr>
            <w:tcW w:w="1424" w:type="dxa"/>
            <w:tcBorders>
              <w:left w:val="single" w:sz="4" w:space="0" w:color="auto"/>
              <w:bottom w:val="single" w:sz="4" w:space="0" w:color="auto"/>
              <w:right w:val="single" w:sz="4" w:space="0" w:color="auto"/>
            </w:tcBorders>
          </w:tcPr>
          <w:p w14:paraId="07B40698"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206D9ECE"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28721769"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3BF8D111"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53793C50"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6D0B994F"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71055A24"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75600D63" w14:textId="77777777" w:rsidR="000B06F3" w:rsidRPr="00DA3C6E" w:rsidRDefault="000B06F3" w:rsidP="008A5F97">
            <w:pPr>
              <w:pStyle w:val="Tabletext1"/>
              <w:ind w:left="34"/>
              <w:jc w:val="left"/>
            </w:pPr>
          </w:p>
        </w:tc>
      </w:tr>
      <w:tr w:rsidR="007C7E04" w:rsidRPr="00DA3C6E" w14:paraId="28BC77D0" w14:textId="77777777" w:rsidTr="006A5E97">
        <w:trPr>
          <w:trHeight w:val="319"/>
        </w:trPr>
        <w:tc>
          <w:tcPr>
            <w:tcW w:w="1424" w:type="dxa"/>
            <w:tcBorders>
              <w:top w:val="single" w:sz="4" w:space="0" w:color="auto"/>
              <w:left w:val="single" w:sz="4" w:space="0" w:color="auto"/>
              <w:right w:val="single" w:sz="4" w:space="0" w:color="auto"/>
            </w:tcBorders>
          </w:tcPr>
          <w:p w14:paraId="59E342C8" w14:textId="50962181" w:rsidR="000B06F3" w:rsidRPr="00DA3C6E" w:rsidRDefault="000B06F3" w:rsidP="00C04BCE">
            <w:pPr>
              <w:pStyle w:val="Tabletext1"/>
              <w:jc w:val="left"/>
            </w:pPr>
            <w:r w:rsidRPr="00DA3C6E">
              <w:t>Goedee et al. 2018</w:t>
            </w:r>
            <w:r w:rsidR="00DB568A" w:rsidRPr="00DA3C6E">
              <w:fldChar w:fldCharType="begin">
                <w:fldData xml:space="preserve">PEVuZE5vdGU+PENpdGU+PEF1dGhvcj5Hb2VkZWU8L0F1dGhvcj48WWVhcj4yMDE4PC9ZZWFyPjxS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</w:fldData>
              </w:fldChar>
            </w:r>
            <w:r w:rsidR="007810D6">
              <w:instrText xml:space="preserve"> ADDIN EN.CITE </w:instrText>
            </w:r>
            <w:r w:rsidR="007810D6">
              <w:fldChar w:fldCharType="begin">
                <w:fldData xml:space="preserve">PEVuZE5vdGU+PENpdGU+PEF1dGhvcj5Hb2VkZWU8L0F1dGhvcj48WWVhcj4yMDE4PC9ZZWFyPjxS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</w:fldData>
              </w:fldChar>
            </w:r>
            <w:r w:rsidR="007810D6">
              <w:instrText xml:space="preserve"> ADDIN EN.CITE.DATA </w:instrText>
            </w:r>
            <w:r w:rsidR="007810D6">
              <w:fldChar w:fldCharType="end"/>
            </w:r>
            <w:r w:rsidR="00DB568A" w:rsidRPr="00DA3C6E">
              <w:fldChar w:fldCharType="separate"/>
            </w:r>
            <w:r w:rsidR="007810D6">
              <w:rPr>
                <w:noProof/>
              </w:rPr>
              <w:t>(</w:t>
            </w:r>
            <w:hyperlink w:anchor="_ENREF_74" w:tooltip="Goedee, 2018 #23" w:history="1">
              <w:r w:rsidR="00C04BCE">
                <w:rPr>
                  <w:noProof/>
                </w:rPr>
                <w:t>74</w:t>
              </w:r>
            </w:hyperlink>
            <w:r w:rsidR="007810D6">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7E85DF00" w14:textId="77777777" w:rsidR="000B06F3" w:rsidRPr="00DA3C6E" w:rsidRDefault="000B06F3" w:rsidP="008A5F97">
            <w:pPr>
              <w:pStyle w:val="Tabletext1"/>
              <w:jc w:val="left"/>
            </w:pPr>
            <w:r w:rsidRPr="00DA3C6E">
              <w:t>Case report</w:t>
            </w:r>
          </w:p>
        </w:tc>
        <w:tc>
          <w:tcPr>
            <w:tcW w:w="1259" w:type="dxa"/>
            <w:tcBorders>
              <w:top w:val="single" w:sz="4" w:space="0" w:color="auto"/>
              <w:left w:val="single" w:sz="4" w:space="0" w:color="auto"/>
              <w:right w:val="single" w:sz="4" w:space="0" w:color="auto"/>
            </w:tcBorders>
          </w:tcPr>
          <w:p w14:paraId="70C90154"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6A44D6F1" w14:textId="77777777" w:rsidR="000B06F3" w:rsidRPr="00DA3C6E" w:rsidRDefault="000B06F3" w:rsidP="00C5369E">
            <w:pPr>
              <w:pStyle w:val="Tabletext1"/>
              <w:spacing w:before="0" w:after="0"/>
              <w:jc w:val="left"/>
            </w:pPr>
            <w:r w:rsidRPr="00DA3C6E">
              <w:t>Newly referred and</w:t>
            </w:r>
          </w:p>
          <w:p w14:paraId="4463DA5F" w14:textId="757EB3AF" w:rsidR="000B06F3" w:rsidRPr="00DA3C6E" w:rsidRDefault="000B06F3" w:rsidP="00C5369E">
            <w:pPr>
              <w:pStyle w:val="Tabletext1"/>
              <w:spacing w:before="0" w:after="0"/>
              <w:jc w:val="left"/>
            </w:pPr>
            <w:r w:rsidRPr="00DA3C6E">
              <w:t>treatment-</w:t>
            </w:r>
            <w:r w:rsidR="001C60C7" w:rsidRPr="00DA3C6E">
              <w:t>naïve</w:t>
            </w:r>
            <w:r w:rsidRPr="00DA3C6E">
              <w:t xml:space="preserve"> patients at the neuromuscular outpatient clinic at the</w:t>
            </w:r>
            <w:r w:rsidR="001C60C7" w:rsidRPr="00DA3C6E">
              <w:t xml:space="preserve"> </w:t>
            </w:r>
            <w:r w:rsidRPr="00DA3C6E">
              <w:t>University Medical Centre Utrecht (UMCU) who were seen between</w:t>
            </w:r>
            <w:r w:rsidR="001C60C7" w:rsidRPr="00DA3C6E">
              <w:t xml:space="preserve"> </w:t>
            </w:r>
            <w:r w:rsidRPr="00DA3C6E">
              <w:t>January 2014 and January 2016.4 They did not meet the inclusion</w:t>
            </w:r>
          </w:p>
          <w:p w14:paraId="0B06056E" w14:textId="5B2D156A" w:rsidR="000B06F3" w:rsidRPr="00DA3C6E" w:rsidRDefault="000B06F3" w:rsidP="00C5369E">
            <w:pPr>
              <w:pStyle w:val="Tabletext1"/>
              <w:spacing w:before="0" w:after="0"/>
              <w:jc w:val="left"/>
            </w:pPr>
            <w:r w:rsidRPr="00DA3C6E">
              <w:t>criteria of the ongoing study to evaluate the diagnostic accuracy of</w:t>
            </w:r>
            <w:r w:rsidR="001C60C7" w:rsidRPr="00DA3C6E">
              <w:t xml:space="preserve"> </w:t>
            </w:r>
            <w:r w:rsidRPr="00DA3C6E">
              <w:t>HRUS in patients with inflammatory neuropathies4 because their NCS</w:t>
            </w:r>
            <w:r w:rsidR="00A33AE3" w:rsidRPr="00DA3C6E">
              <w:t xml:space="preserve"> </w:t>
            </w:r>
            <w:r w:rsidRPr="00DA3C6E">
              <w:t xml:space="preserve">showed no electrodiagnostic features of demyelination. </w:t>
            </w:r>
          </w:p>
        </w:tc>
        <w:tc>
          <w:tcPr>
            <w:tcW w:w="1621" w:type="dxa"/>
            <w:tcBorders>
              <w:top w:val="single" w:sz="4" w:space="0" w:color="auto"/>
              <w:left w:val="single" w:sz="4" w:space="0" w:color="auto"/>
              <w:right w:val="single" w:sz="4" w:space="0" w:color="auto"/>
            </w:tcBorders>
          </w:tcPr>
          <w:p w14:paraId="010AFD38" w14:textId="77777777" w:rsidR="000B06F3" w:rsidRPr="00DA3C6E" w:rsidRDefault="000B06F3" w:rsidP="008A5F97">
            <w:pPr>
              <w:pStyle w:val="Tabletext1"/>
              <w:jc w:val="left"/>
            </w:pPr>
            <w:r w:rsidRPr="00DA3C6E">
              <w:t xml:space="preserve">1 patient with MMN; Age: 50 years </w:t>
            </w:r>
          </w:p>
        </w:tc>
        <w:tc>
          <w:tcPr>
            <w:tcW w:w="1813" w:type="dxa"/>
            <w:tcBorders>
              <w:top w:val="single" w:sz="4" w:space="0" w:color="auto"/>
              <w:left w:val="single" w:sz="4" w:space="0" w:color="auto"/>
              <w:right w:val="single" w:sz="4" w:space="0" w:color="auto"/>
            </w:tcBorders>
          </w:tcPr>
          <w:p w14:paraId="1DA0FFEC" w14:textId="77777777" w:rsidR="000B06F3" w:rsidRPr="00DA3C6E" w:rsidRDefault="000B06F3" w:rsidP="008A5F97">
            <w:pPr>
              <w:pStyle w:val="Tabletext1"/>
              <w:jc w:val="left"/>
            </w:pPr>
            <w:r w:rsidRPr="00DA3C6E">
              <w:t>Intravenous Ig 2g/kg; treatment effects assessed at intervals of 3 to</w:t>
            </w:r>
          </w:p>
          <w:p w14:paraId="4486CB84" w14:textId="77777777" w:rsidR="000B06F3" w:rsidRPr="00DA3C6E" w:rsidRDefault="000B06F3" w:rsidP="008A5F97">
            <w:pPr>
              <w:pStyle w:val="Tabletext1"/>
              <w:jc w:val="left"/>
            </w:pPr>
            <w:r w:rsidRPr="00DA3C6E">
              <w:t>4 weeks after initial doses</w:t>
            </w:r>
          </w:p>
        </w:tc>
        <w:tc>
          <w:tcPr>
            <w:tcW w:w="1781" w:type="dxa"/>
            <w:tcBorders>
              <w:top w:val="single" w:sz="4" w:space="0" w:color="auto"/>
              <w:left w:val="single" w:sz="4" w:space="0" w:color="auto"/>
              <w:right w:val="single" w:sz="4" w:space="0" w:color="auto"/>
            </w:tcBorders>
          </w:tcPr>
          <w:p w14:paraId="1231C975" w14:textId="4A4F0DD8" w:rsidR="000B06F3" w:rsidRPr="00DA3C6E" w:rsidRDefault="00C5369E" w:rsidP="008A5F97">
            <w:pPr>
              <w:pStyle w:val="Tabletext1"/>
              <w:jc w:val="left"/>
            </w:pPr>
            <w:r w:rsidRPr="00DA3C6E">
              <w:t>Improvement in muscle strength</w:t>
            </w:r>
          </w:p>
        </w:tc>
        <w:tc>
          <w:tcPr>
            <w:tcW w:w="2957" w:type="dxa"/>
            <w:tcBorders>
              <w:top w:val="single" w:sz="4" w:space="0" w:color="auto"/>
              <w:left w:val="single" w:sz="4" w:space="0" w:color="auto"/>
              <w:right w:val="single" w:sz="4" w:space="0" w:color="auto"/>
            </w:tcBorders>
          </w:tcPr>
          <w:p w14:paraId="1B0A4DDF" w14:textId="77777777" w:rsidR="000B06F3" w:rsidRPr="00DA3C6E" w:rsidRDefault="000B06F3" w:rsidP="008A5F97">
            <w:pPr>
              <w:pStyle w:val="Tabletext1"/>
              <w:ind w:left="34"/>
              <w:jc w:val="left"/>
            </w:pPr>
            <w:r w:rsidRPr="00DA3C6E">
              <w:t xml:space="preserve">MRC </w:t>
            </w:r>
          </w:p>
          <w:p w14:paraId="755A2F9D" w14:textId="77777777" w:rsidR="000B06F3" w:rsidRPr="00DA3C6E" w:rsidRDefault="000B06F3" w:rsidP="00C5369E">
            <w:pPr>
              <w:pStyle w:val="Tabletext1"/>
              <w:jc w:val="left"/>
            </w:pPr>
          </w:p>
          <w:p w14:paraId="1FE17E71" w14:textId="77777777" w:rsidR="000B06F3" w:rsidRPr="00DA3C6E" w:rsidRDefault="000B06F3" w:rsidP="008A5F97">
            <w:pPr>
              <w:pStyle w:val="Tabletext1"/>
              <w:ind w:left="34"/>
              <w:jc w:val="left"/>
            </w:pPr>
          </w:p>
        </w:tc>
      </w:tr>
      <w:tr w:rsidR="007C7E04" w:rsidRPr="00DA3C6E" w14:paraId="6D950930" w14:textId="77777777" w:rsidTr="006A5E97">
        <w:trPr>
          <w:trHeight w:val="319"/>
        </w:trPr>
        <w:tc>
          <w:tcPr>
            <w:tcW w:w="1424" w:type="dxa"/>
            <w:tcBorders>
              <w:left w:val="single" w:sz="4" w:space="0" w:color="auto"/>
              <w:bottom w:val="single" w:sz="4" w:space="0" w:color="auto"/>
              <w:right w:val="single" w:sz="4" w:space="0" w:color="auto"/>
            </w:tcBorders>
          </w:tcPr>
          <w:p w14:paraId="614D3A55"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6AC3AB90"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6F99A799"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74BF952F"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74CB2EF9"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31D5ECE3"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76ED7FA0" w14:textId="77777777" w:rsidR="000B06F3" w:rsidRPr="00DA3C6E" w:rsidRDefault="000B06F3" w:rsidP="008A5F97">
            <w:pPr>
              <w:pStyle w:val="Tabletext1"/>
              <w:jc w:val="left"/>
            </w:pPr>
            <w:r w:rsidRPr="00DA3C6E">
              <w:t>CB</w:t>
            </w:r>
          </w:p>
        </w:tc>
        <w:tc>
          <w:tcPr>
            <w:tcW w:w="2957" w:type="dxa"/>
            <w:tcBorders>
              <w:left w:val="single" w:sz="4" w:space="0" w:color="auto"/>
              <w:bottom w:val="single" w:sz="4" w:space="0" w:color="auto"/>
              <w:right w:val="single" w:sz="4" w:space="0" w:color="auto"/>
            </w:tcBorders>
          </w:tcPr>
          <w:p w14:paraId="1046220D" w14:textId="77777777" w:rsidR="000B06F3" w:rsidRPr="00DA3C6E" w:rsidRDefault="000B06F3" w:rsidP="008A5F97">
            <w:pPr>
              <w:pStyle w:val="Tabletext1"/>
              <w:ind w:left="34"/>
              <w:jc w:val="left"/>
            </w:pPr>
            <w:r w:rsidRPr="00DA3C6E">
              <w:t>CMAP, SNAP</w:t>
            </w:r>
          </w:p>
        </w:tc>
      </w:tr>
      <w:tr w:rsidR="007C7E04" w:rsidRPr="00DA3C6E" w14:paraId="1196FF13" w14:textId="77777777" w:rsidTr="006A5E97">
        <w:trPr>
          <w:trHeight w:val="319"/>
        </w:trPr>
        <w:tc>
          <w:tcPr>
            <w:tcW w:w="1424" w:type="dxa"/>
            <w:tcBorders>
              <w:top w:val="single" w:sz="4" w:space="0" w:color="auto"/>
              <w:left w:val="single" w:sz="4" w:space="0" w:color="auto"/>
              <w:right w:val="single" w:sz="4" w:space="0" w:color="auto"/>
            </w:tcBorders>
          </w:tcPr>
          <w:p w14:paraId="098E66AF" w14:textId="0F9716A0" w:rsidR="000B06F3" w:rsidRPr="00DA3C6E" w:rsidRDefault="000B06F3" w:rsidP="00C04BCE">
            <w:pPr>
              <w:pStyle w:val="Tabletext1"/>
              <w:jc w:val="left"/>
            </w:pPr>
            <w:r w:rsidRPr="00DA3C6E">
              <w:t>Kuwabara et al. 2018</w:t>
            </w:r>
            <w:r w:rsidR="00DB568A" w:rsidRPr="00DA3C6E">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00DB568A" w:rsidRPr="00DA3C6E">
              <w:instrText xml:space="preserve"> ADDIN EN.CITE </w:instrText>
            </w:r>
            <w:r w:rsidR="00DB568A" w:rsidRPr="00DA3C6E">
              <w:fldChar w:fldCharType="begin">
                <w:fldData xml:space="preserve">PEVuZE5vdGU+PENpdGU+PEF1dGhvcj5LdXdhYmFyYTwvQXV0aG9yPjxZZWFyPjIwMTg8L1llYXI+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2" w:tooltip="Kuwabara, 2018 #37" w:history="1">
              <w:r w:rsidR="00C04BCE" w:rsidRPr="00DA3C6E">
                <w:rPr>
                  <w:noProof/>
                </w:rPr>
                <w:t>32</w:t>
              </w:r>
            </w:hyperlink>
            <w:r w:rsidR="00DB568A" w:rsidRPr="00DA3C6E">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3705FEF2" w14:textId="77777777" w:rsidR="000B06F3" w:rsidRPr="00DA3C6E" w:rsidRDefault="000B06F3" w:rsidP="008A5F97">
            <w:pPr>
              <w:pStyle w:val="Tabletext1"/>
              <w:jc w:val="left"/>
            </w:pPr>
            <w:r w:rsidRPr="00DA3C6E">
              <w:t>Prospective, open, uncontrolled trial</w:t>
            </w:r>
          </w:p>
        </w:tc>
        <w:tc>
          <w:tcPr>
            <w:tcW w:w="1259" w:type="dxa"/>
            <w:tcBorders>
              <w:top w:val="single" w:sz="4" w:space="0" w:color="auto"/>
              <w:left w:val="single" w:sz="4" w:space="0" w:color="auto"/>
              <w:right w:val="single" w:sz="4" w:space="0" w:color="auto"/>
            </w:tcBorders>
          </w:tcPr>
          <w:p w14:paraId="7C126CAB" w14:textId="77777777" w:rsidR="000B06F3" w:rsidRPr="00DA3C6E" w:rsidRDefault="000B06F3" w:rsidP="008A5F97">
            <w:pPr>
              <w:pStyle w:val="Tabletext1"/>
              <w:jc w:val="left"/>
            </w:pPr>
            <w:r w:rsidRPr="00DA3C6E">
              <w:t>L</w:t>
            </w:r>
          </w:p>
        </w:tc>
        <w:tc>
          <w:tcPr>
            <w:tcW w:w="1812" w:type="dxa"/>
            <w:tcBorders>
              <w:top w:val="single" w:sz="4" w:space="0" w:color="auto"/>
              <w:left w:val="single" w:sz="4" w:space="0" w:color="auto"/>
              <w:right w:val="single" w:sz="4" w:space="0" w:color="auto"/>
            </w:tcBorders>
          </w:tcPr>
          <w:p w14:paraId="69DFC565" w14:textId="77777777" w:rsidR="000B06F3" w:rsidRPr="00DA3C6E" w:rsidRDefault="000B06F3" w:rsidP="008A5F97">
            <w:pPr>
              <w:pStyle w:val="Tabletext1"/>
              <w:jc w:val="left"/>
            </w:pPr>
            <w:r w:rsidRPr="00DA3C6E">
              <w:t xml:space="preserve">Definite (8 patients) or probable (5 patients) MMN according to the EFNS/PNS clinical diagnostic criteria. Inclusion criteria: patients requiring intravenous Ig Tx; no </w:t>
            </w:r>
            <w:r w:rsidRPr="00DA3C6E">
              <w:lastRenderedPageBreak/>
              <w:t>additional immunotherapy, or if already treated, not increasing dose of agents for MMN from 30 days prior to consent; at week 4 an MRCSS improved by ≥ 1 point or more in 2 or more muscles; age 20 years or older.</w:t>
            </w:r>
          </w:p>
        </w:tc>
        <w:tc>
          <w:tcPr>
            <w:tcW w:w="1621" w:type="dxa"/>
            <w:tcBorders>
              <w:top w:val="single" w:sz="4" w:space="0" w:color="auto"/>
              <w:left w:val="single" w:sz="4" w:space="0" w:color="auto"/>
              <w:right w:val="single" w:sz="4" w:space="0" w:color="auto"/>
            </w:tcBorders>
          </w:tcPr>
          <w:p w14:paraId="48A49579" w14:textId="77777777" w:rsidR="000B06F3" w:rsidRPr="00DA3C6E" w:rsidRDefault="000B06F3" w:rsidP="008A5F97">
            <w:pPr>
              <w:pStyle w:val="Tabletext1"/>
              <w:jc w:val="left"/>
            </w:pPr>
            <w:r w:rsidRPr="00DA3C6E">
              <w:lastRenderedPageBreak/>
              <w:t xml:space="preserve">13 patients with MMN (12 previously treated, </w:t>
            </w:r>
            <w:r w:rsidRPr="00DA3C6E">
              <w:lastRenderedPageBreak/>
              <w:t xml:space="preserve">1 naïve); Mean age: 60 years </w:t>
            </w:r>
          </w:p>
        </w:tc>
        <w:tc>
          <w:tcPr>
            <w:tcW w:w="1813" w:type="dxa"/>
            <w:tcBorders>
              <w:top w:val="single" w:sz="4" w:space="0" w:color="auto"/>
              <w:left w:val="single" w:sz="4" w:space="0" w:color="auto"/>
              <w:right w:val="single" w:sz="4" w:space="0" w:color="auto"/>
            </w:tcBorders>
          </w:tcPr>
          <w:p w14:paraId="6D071E5E" w14:textId="77777777" w:rsidR="000B06F3" w:rsidRPr="00DA3C6E" w:rsidRDefault="000B06F3" w:rsidP="008A5F97">
            <w:pPr>
              <w:pStyle w:val="Tabletext1"/>
              <w:jc w:val="left"/>
            </w:pPr>
            <w:r w:rsidRPr="00DA3C6E">
              <w:lastRenderedPageBreak/>
              <w:t xml:space="preserve">Intravenous Ig 0.4 g/kg/d for consecutive 5 days </w:t>
            </w:r>
            <w:r w:rsidRPr="00DA3C6E">
              <w:lastRenderedPageBreak/>
              <w:t>was administered as the</w:t>
            </w:r>
          </w:p>
          <w:p w14:paraId="4524ED11" w14:textId="77777777" w:rsidR="000B06F3" w:rsidRPr="00DA3C6E" w:rsidRDefault="000B06F3" w:rsidP="008A5F97">
            <w:pPr>
              <w:pStyle w:val="Tabletext1"/>
              <w:jc w:val="left"/>
            </w:pPr>
            <w:r w:rsidRPr="00DA3C6E">
              <w:t>induction treatment, After 3 weeks, intravenous Ig was then administered 1.0 g/kg/d for</w:t>
            </w:r>
          </w:p>
          <w:p w14:paraId="34A774D3" w14:textId="77777777" w:rsidR="000B06F3" w:rsidRPr="00DA3C6E" w:rsidRDefault="000B06F3" w:rsidP="008A5F97">
            <w:pPr>
              <w:pStyle w:val="Tabletext1"/>
              <w:jc w:val="left"/>
            </w:pPr>
            <w:r w:rsidRPr="00DA3C6E">
              <w:t>1 day, or 0.5 g/kg/d for consecutive 2 days as the maintenance treatment. The maintenance intravenous Ig was administrated every</w:t>
            </w:r>
          </w:p>
          <w:p w14:paraId="17399FB7" w14:textId="77777777" w:rsidR="000B06F3" w:rsidRPr="00DA3C6E" w:rsidRDefault="000B06F3" w:rsidP="008A5F97">
            <w:pPr>
              <w:pStyle w:val="Tabletext1"/>
              <w:jc w:val="left"/>
            </w:pPr>
            <w:r w:rsidRPr="00DA3C6E">
              <w:t>3 weeks from week 4 to week 49 in the maintenance period, with</w:t>
            </w:r>
            <w:r w:rsidR="00A33AE3" w:rsidRPr="00DA3C6E">
              <w:t xml:space="preserve"> </w:t>
            </w:r>
            <w:r w:rsidRPr="00DA3C6E">
              <w:t>observation conducted until week 52. If additional treatment for</w:t>
            </w:r>
          </w:p>
          <w:p w14:paraId="18B0F9E3" w14:textId="77777777" w:rsidR="000B06F3" w:rsidRPr="00DA3C6E" w:rsidRDefault="000B06F3" w:rsidP="008A5F97">
            <w:pPr>
              <w:pStyle w:val="Tabletext1"/>
              <w:jc w:val="left"/>
            </w:pPr>
            <w:r w:rsidRPr="00DA3C6E">
              <w:t>MMN was needed, the patient dropped out.</w:t>
            </w:r>
          </w:p>
        </w:tc>
        <w:tc>
          <w:tcPr>
            <w:tcW w:w="1781" w:type="dxa"/>
            <w:tcBorders>
              <w:top w:val="single" w:sz="4" w:space="0" w:color="auto"/>
              <w:left w:val="single" w:sz="4" w:space="0" w:color="auto"/>
              <w:right w:val="single" w:sz="4" w:space="0" w:color="auto"/>
            </w:tcBorders>
          </w:tcPr>
          <w:p w14:paraId="586F3B1A" w14:textId="77777777" w:rsidR="000B06F3" w:rsidRPr="00DA3C6E" w:rsidRDefault="000B06F3" w:rsidP="008A5F97">
            <w:pPr>
              <w:pStyle w:val="Tabletext1"/>
              <w:jc w:val="left"/>
            </w:pPr>
            <w:r w:rsidRPr="00DA3C6E">
              <w:lastRenderedPageBreak/>
              <w:t xml:space="preserve">Improvement in disability </w:t>
            </w:r>
          </w:p>
          <w:p w14:paraId="3E3B32C8"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0017F070" w14:textId="77777777" w:rsidR="000B06F3" w:rsidRPr="00DA3C6E" w:rsidRDefault="000B06F3" w:rsidP="008A5F97">
            <w:pPr>
              <w:pStyle w:val="Tabletext1"/>
              <w:ind w:left="34"/>
              <w:jc w:val="left"/>
            </w:pPr>
            <w:r w:rsidRPr="00DA3C6E">
              <w:t>GNDS</w:t>
            </w:r>
          </w:p>
          <w:p w14:paraId="316F9AA2" w14:textId="77777777" w:rsidR="000B06F3" w:rsidRPr="00DA3C6E" w:rsidRDefault="000B06F3" w:rsidP="008A5F97">
            <w:pPr>
              <w:pStyle w:val="Tabletext1"/>
              <w:ind w:left="34"/>
              <w:jc w:val="left"/>
            </w:pPr>
          </w:p>
          <w:p w14:paraId="218BF732" w14:textId="77777777" w:rsidR="000B06F3" w:rsidRPr="00DA3C6E" w:rsidRDefault="000B06F3" w:rsidP="008A5F97">
            <w:pPr>
              <w:pStyle w:val="Tabletext1"/>
              <w:jc w:val="left"/>
            </w:pPr>
          </w:p>
        </w:tc>
      </w:tr>
      <w:tr w:rsidR="007C7E04" w:rsidRPr="00DA3C6E" w14:paraId="6C63A775" w14:textId="77777777" w:rsidTr="006A5E97">
        <w:trPr>
          <w:trHeight w:val="319"/>
        </w:trPr>
        <w:tc>
          <w:tcPr>
            <w:tcW w:w="1424" w:type="dxa"/>
            <w:tcBorders>
              <w:left w:val="single" w:sz="4" w:space="0" w:color="auto"/>
              <w:right w:val="single" w:sz="4" w:space="0" w:color="auto"/>
            </w:tcBorders>
          </w:tcPr>
          <w:p w14:paraId="68C4416F" w14:textId="77777777" w:rsidR="000B06F3" w:rsidRPr="00DA3C6E" w:rsidRDefault="000B06F3" w:rsidP="008A5F97">
            <w:pPr>
              <w:pStyle w:val="Tabletext1"/>
              <w:jc w:val="left"/>
            </w:pPr>
          </w:p>
        </w:tc>
        <w:tc>
          <w:tcPr>
            <w:tcW w:w="1787" w:type="dxa"/>
            <w:tcBorders>
              <w:left w:val="single" w:sz="4" w:space="0" w:color="auto"/>
              <w:right w:val="single" w:sz="4" w:space="0" w:color="auto"/>
            </w:tcBorders>
          </w:tcPr>
          <w:p w14:paraId="4C0F2EBE" w14:textId="77777777" w:rsidR="000B06F3" w:rsidRPr="00DA3C6E" w:rsidRDefault="000B06F3" w:rsidP="008A5F97">
            <w:pPr>
              <w:pStyle w:val="Tabletext1"/>
              <w:jc w:val="left"/>
            </w:pPr>
          </w:p>
        </w:tc>
        <w:tc>
          <w:tcPr>
            <w:tcW w:w="1259" w:type="dxa"/>
            <w:tcBorders>
              <w:left w:val="single" w:sz="4" w:space="0" w:color="auto"/>
              <w:right w:val="single" w:sz="4" w:space="0" w:color="auto"/>
            </w:tcBorders>
          </w:tcPr>
          <w:p w14:paraId="7D810CAE" w14:textId="77777777" w:rsidR="000B06F3" w:rsidRPr="00DA3C6E" w:rsidRDefault="000B06F3" w:rsidP="008A5F97">
            <w:pPr>
              <w:pStyle w:val="Tabletext1"/>
              <w:jc w:val="left"/>
            </w:pPr>
          </w:p>
        </w:tc>
        <w:tc>
          <w:tcPr>
            <w:tcW w:w="1812" w:type="dxa"/>
            <w:tcBorders>
              <w:left w:val="single" w:sz="4" w:space="0" w:color="auto"/>
              <w:right w:val="single" w:sz="4" w:space="0" w:color="auto"/>
            </w:tcBorders>
          </w:tcPr>
          <w:p w14:paraId="5AD0715C" w14:textId="77777777" w:rsidR="000B06F3" w:rsidRPr="00DA3C6E" w:rsidRDefault="000B06F3" w:rsidP="008A5F97">
            <w:pPr>
              <w:pStyle w:val="Tabletext1"/>
              <w:jc w:val="left"/>
            </w:pPr>
          </w:p>
        </w:tc>
        <w:tc>
          <w:tcPr>
            <w:tcW w:w="1621" w:type="dxa"/>
            <w:tcBorders>
              <w:left w:val="single" w:sz="4" w:space="0" w:color="auto"/>
              <w:right w:val="single" w:sz="4" w:space="0" w:color="auto"/>
            </w:tcBorders>
          </w:tcPr>
          <w:p w14:paraId="0999C3E5" w14:textId="77777777" w:rsidR="000B06F3" w:rsidRPr="00DA3C6E" w:rsidRDefault="000B06F3" w:rsidP="008A5F97">
            <w:pPr>
              <w:pStyle w:val="Tabletext1"/>
              <w:jc w:val="left"/>
            </w:pPr>
          </w:p>
        </w:tc>
        <w:tc>
          <w:tcPr>
            <w:tcW w:w="1813" w:type="dxa"/>
            <w:tcBorders>
              <w:left w:val="single" w:sz="4" w:space="0" w:color="auto"/>
              <w:right w:val="single" w:sz="4" w:space="0" w:color="auto"/>
            </w:tcBorders>
          </w:tcPr>
          <w:p w14:paraId="6AFCEA20" w14:textId="77777777" w:rsidR="000B06F3" w:rsidRPr="00DA3C6E" w:rsidRDefault="000B06F3" w:rsidP="008A5F97">
            <w:pPr>
              <w:pStyle w:val="Tabletext1"/>
              <w:jc w:val="left"/>
            </w:pPr>
          </w:p>
        </w:tc>
        <w:tc>
          <w:tcPr>
            <w:tcW w:w="1781" w:type="dxa"/>
            <w:tcBorders>
              <w:left w:val="single" w:sz="4" w:space="0" w:color="auto"/>
              <w:right w:val="single" w:sz="4" w:space="0" w:color="auto"/>
            </w:tcBorders>
          </w:tcPr>
          <w:p w14:paraId="03AEC7D6" w14:textId="77777777" w:rsidR="000B06F3" w:rsidRPr="00DA3C6E" w:rsidRDefault="000B06F3" w:rsidP="008A5F97">
            <w:pPr>
              <w:pStyle w:val="Tabletext1"/>
              <w:jc w:val="left"/>
            </w:pPr>
            <w:r w:rsidRPr="00DA3C6E">
              <w:t>Improvement in muscle strength</w:t>
            </w:r>
          </w:p>
          <w:p w14:paraId="63351A1B" w14:textId="77777777" w:rsidR="000B06F3" w:rsidRPr="00DA3C6E" w:rsidRDefault="000B06F3" w:rsidP="008A5F97">
            <w:pPr>
              <w:pStyle w:val="Tabletext1"/>
              <w:jc w:val="left"/>
            </w:pPr>
          </w:p>
        </w:tc>
        <w:tc>
          <w:tcPr>
            <w:tcW w:w="2957" w:type="dxa"/>
            <w:tcBorders>
              <w:left w:val="single" w:sz="4" w:space="0" w:color="auto"/>
              <w:right w:val="single" w:sz="4" w:space="0" w:color="auto"/>
            </w:tcBorders>
          </w:tcPr>
          <w:p w14:paraId="073774F3" w14:textId="77777777" w:rsidR="000B06F3" w:rsidRPr="00DA3C6E" w:rsidRDefault="000B06F3" w:rsidP="008A5F97">
            <w:pPr>
              <w:pStyle w:val="Tabletext1"/>
              <w:ind w:left="34"/>
              <w:jc w:val="left"/>
            </w:pPr>
            <w:r w:rsidRPr="00DA3C6E">
              <w:t>MRC</w:t>
            </w:r>
          </w:p>
          <w:p w14:paraId="758E3A68" w14:textId="77777777" w:rsidR="000B06F3" w:rsidRPr="00DA3C6E" w:rsidRDefault="000B06F3" w:rsidP="008A5F97">
            <w:pPr>
              <w:pStyle w:val="Tabletext1"/>
              <w:ind w:left="34"/>
              <w:jc w:val="left"/>
            </w:pPr>
          </w:p>
        </w:tc>
      </w:tr>
      <w:tr w:rsidR="007C7E04" w:rsidRPr="00DA3C6E" w14:paraId="6E09C78F" w14:textId="77777777" w:rsidTr="006A5E97">
        <w:trPr>
          <w:trHeight w:val="319"/>
        </w:trPr>
        <w:tc>
          <w:tcPr>
            <w:tcW w:w="1424" w:type="dxa"/>
            <w:tcBorders>
              <w:left w:val="single" w:sz="4" w:space="0" w:color="auto"/>
              <w:bottom w:val="single" w:sz="4" w:space="0" w:color="auto"/>
              <w:right w:val="single" w:sz="4" w:space="0" w:color="auto"/>
            </w:tcBorders>
          </w:tcPr>
          <w:p w14:paraId="461C2120"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402F9893"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7CFD11F8"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13A75DBE"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16C4053D"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7909A603"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0232AB6B" w14:textId="77777777" w:rsidR="000B06F3" w:rsidRPr="00DA3C6E" w:rsidRDefault="000B06F3" w:rsidP="008A5F97">
            <w:pPr>
              <w:pStyle w:val="Tabletext1"/>
              <w:jc w:val="left"/>
            </w:pPr>
            <w:r w:rsidRPr="00DA3C6E">
              <w:t>AEs</w:t>
            </w:r>
          </w:p>
        </w:tc>
        <w:tc>
          <w:tcPr>
            <w:tcW w:w="2957" w:type="dxa"/>
            <w:tcBorders>
              <w:left w:val="single" w:sz="4" w:space="0" w:color="auto"/>
              <w:bottom w:val="single" w:sz="4" w:space="0" w:color="auto"/>
              <w:right w:val="single" w:sz="4" w:space="0" w:color="auto"/>
            </w:tcBorders>
          </w:tcPr>
          <w:p w14:paraId="6CE6D1C1" w14:textId="77777777" w:rsidR="000B06F3" w:rsidRPr="00DA3C6E" w:rsidRDefault="000B06F3" w:rsidP="008A5F97">
            <w:pPr>
              <w:pStyle w:val="Tabletext1"/>
              <w:ind w:left="34"/>
              <w:jc w:val="left"/>
            </w:pPr>
          </w:p>
        </w:tc>
      </w:tr>
      <w:tr w:rsidR="007C7E04" w:rsidRPr="00DA3C6E" w14:paraId="71706804" w14:textId="77777777" w:rsidTr="006A5E97">
        <w:trPr>
          <w:trHeight w:val="319"/>
        </w:trPr>
        <w:tc>
          <w:tcPr>
            <w:tcW w:w="1424" w:type="dxa"/>
            <w:tcBorders>
              <w:top w:val="single" w:sz="4" w:space="0" w:color="auto"/>
              <w:left w:val="single" w:sz="4" w:space="0" w:color="auto"/>
              <w:right w:val="single" w:sz="4" w:space="0" w:color="auto"/>
            </w:tcBorders>
          </w:tcPr>
          <w:p w14:paraId="08399FD4" w14:textId="263125B5" w:rsidR="000B06F3" w:rsidRPr="00DA3C6E" w:rsidRDefault="000B06F3" w:rsidP="00C04BCE">
            <w:pPr>
              <w:pStyle w:val="Tabletext1"/>
              <w:jc w:val="left"/>
            </w:pPr>
            <w:r w:rsidRPr="00DA3C6E">
              <w:t>Chia et al. 2019</w: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 </w:instrText>
            </w:r>
            <w:r w:rsidR="00DB568A" w:rsidRPr="00DA3C6E">
              <w:fldChar w:fldCharType="begin">
                <w:fldData xml:space="preserve">PEVuZE5vdGU+PENpdGU+PEF1dGhvcj5DaGlhPC9BdXRob3I+PFllYXI+MjAxOTwvWWVhcj48UmVj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</w:fldData>
              </w:fldChar>
            </w:r>
            <w:r w:rsidR="00DB568A" w:rsidRPr="00DA3C6E">
              <w:instrText xml:space="preserve"> ADDIN EN.CITE.DATA </w:instrText>
            </w:r>
            <w:r w:rsidR="00DB568A" w:rsidRPr="00DA3C6E">
              <w:fldChar w:fldCharType="end"/>
            </w:r>
            <w:r w:rsidR="00DB568A" w:rsidRPr="00DA3C6E">
              <w:fldChar w:fldCharType="separate"/>
            </w:r>
            <w:r w:rsidR="00DB568A" w:rsidRPr="00DA3C6E">
              <w:rPr>
                <w:noProof/>
              </w:rPr>
              <w:t>(</w:t>
            </w:r>
            <w:hyperlink w:anchor="_ENREF_34" w:tooltip="Chia, 2019 #15" w:history="1">
              <w:r w:rsidR="00C04BCE" w:rsidRPr="00DA3C6E">
                <w:rPr>
                  <w:noProof/>
                </w:rPr>
                <w:t>34</w:t>
              </w:r>
            </w:hyperlink>
            <w:r w:rsidR="00DB568A" w:rsidRPr="00DA3C6E">
              <w:rPr>
                <w:noProof/>
              </w:rPr>
              <w:t>)</w:t>
            </w:r>
            <w:r w:rsidR="00DB568A" w:rsidRPr="00DA3C6E">
              <w:fldChar w:fldCharType="end"/>
            </w:r>
          </w:p>
        </w:tc>
        <w:tc>
          <w:tcPr>
            <w:tcW w:w="1787" w:type="dxa"/>
            <w:tcBorders>
              <w:top w:val="single" w:sz="4" w:space="0" w:color="auto"/>
              <w:left w:val="single" w:sz="4" w:space="0" w:color="auto"/>
              <w:right w:val="single" w:sz="4" w:space="0" w:color="auto"/>
            </w:tcBorders>
          </w:tcPr>
          <w:p w14:paraId="25B54AA1" w14:textId="77777777" w:rsidR="000B06F3" w:rsidRPr="00DA3C6E" w:rsidRDefault="000B06F3" w:rsidP="008A5F97">
            <w:pPr>
              <w:pStyle w:val="Tabletext1"/>
              <w:jc w:val="left"/>
            </w:pPr>
            <w:r w:rsidRPr="00DA3C6E">
              <w:t>Retrospective study</w:t>
            </w:r>
          </w:p>
        </w:tc>
        <w:tc>
          <w:tcPr>
            <w:tcW w:w="1259" w:type="dxa"/>
            <w:tcBorders>
              <w:top w:val="single" w:sz="4" w:space="0" w:color="auto"/>
              <w:left w:val="single" w:sz="4" w:space="0" w:color="auto"/>
              <w:right w:val="single" w:sz="4" w:space="0" w:color="auto"/>
            </w:tcBorders>
          </w:tcPr>
          <w:p w14:paraId="36FCC853" w14:textId="77777777" w:rsidR="000B06F3" w:rsidRPr="00DA3C6E" w:rsidRDefault="000B06F3" w:rsidP="008A5F97">
            <w:pPr>
              <w:pStyle w:val="Tabletext1"/>
              <w:jc w:val="left"/>
            </w:pPr>
            <w:r w:rsidRPr="00DA3C6E">
              <w:t>M</w:t>
            </w:r>
          </w:p>
        </w:tc>
        <w:tc>
          <w:tcPr>
            <w:tcW w:w="1812" w:type="dxa"/>
            <w:tcBorders>
              <w:top w:val="single" w:sz="4" w:space="0" w:color="auto"/>
              <w:left w:val="single" w:sz="4" w:space="0" w:color="auto"/>
              <w:right w:val="single" w:sz="4" w:space="0" w:color="auto"/>
            </w:tcBorders>
          </w:tcPr>
          <w:p w14:paraId="1A9DD6B8" w14:textId="77777777" w:rsidR="000B06F3" w:rsidRPr="00DA3C6E" w:rsidRDefault="000B06F3" w:rsidP="008A5F97">
            <w:pPr>
              <w:pStyle w:val="Tabletext1"/>
              <w:jc w:val="left"/>
            </w:pPr>
            <w:r w:rsidRPr="00DA3C6E">
              <w:t>MMN fulfilling EFNS/PNS criteria for definite and probable MMN</w:t>
            </w:r>
          </w:p>
        </w:tc>
        <w:tc>
          <w:tcPr>
            <w:tcW w:w="1621" w:type="dxa"/>
            <w:tcBorders>
              <w:top w:val="single" w:sz="4" w:space="0" w:color="auto"/>
              <w:left w:val="single" w:sz="4" w:space="0" w:color="auto"/>
              <w:right w:val="single" w:sz="4" w:space="0" w:color="auto"/>
            </w:tcBorders>
          </w:tcPr>
          <w:p w14:paraId="34431E05" w14:textId="77777777" w:rsidR="000B06F3" w:rsidRPr="00DA3C6E" w:rsidRDefault="000B06F3" w:rsidP="008A5F97">
            <w:pPr>
              <w:pStyle w:val="Tabletext1"/>
              <w:jc w:val="left"/>
            </w:pPr>
            <w:r w:rsidRPr="00DA3C6E">
              <w:t xml:space="preserve">11 patients with MMN, 9 with definite, 2 with probable MMN; Mean age: 39.5 years </w:t>
            </w:r>
          </w:p>
        </w:tc>
        <w:tc>
          <w:tcPr>
            <w:tcW w:w="1813" w:type="dxa"/>
            <w:tcBorders>
              <w:top w:val="single" w:sz="4" w:space="0" w:color="auto"/>
              <w:left w:val="single" w:sz="4" w:space="0" w:color="auto"/>
              <w:right w:val="single" w:sz="4" w:space="0" w:color="auto"/>
            </w:tcBorders>
          </w:tcPr>
          <w:p w14:paraId="0DE3831B" w14:textId="77777777" w:rsidR="000B06F3" w:rsidRPr="00DA3C6E" w:rsidRDefault="000B06F3" w:rsidP="008A5F97">
            <w:pPr>
              <w:pStyle w:val="Tabletext1"/>
              <w:jc w:val="left"/>
            </w:pPr>
            <w:r w:rsidRPr="00DA3C6E">
              <w:t>Intravenous Ig 2</w:t>
            </w:r>
            <w:r w:rsidR="00A33AE3" w:rsidRPr="00DA3C6E">
              <w:t xml:space="preserve"> </w:t>
            </w:r>
            <w:r w:rsidRPr="00DA3C6E">
              <w:t>g/kg as per actual body weight, with mean dose of 146</w:t>
            </w:r>
            <w:r w:rsidR="00A33AE3" w:rsidRPr="00DA3C6E">
              <w:t xml:space="preserve"> </w:t>
            </w:r>
            <w:r w:rsidRPr="00DA3C6E">
              <w:t>gm divided over 5 infusion days. On average, each patient</w:t>
            </w:r>
            <w:r w:rsidR="00A33AE3" w:rsidRPr="00DA3C6E">
              <w:t xml:space="preserve"> </w:t>
            </w:r>
            <w:r w:rsidRPr="00DA3C6E">
              <w:t xml:space="preserve">received 5.5 </w:t>
            </w:r>
            <w:r w:rsidRPr="00DA3C6E">
              <w:lastRenderedPageBreak/>
              <w:t>(range 4–7, SD 1.0) cycles of treatment over</w:t>
            </w:r>
            <w:r w:rsidR="00A33AE3" w:rsidRPr="00DA3C6E">
              <w:t xml:space="preserve"> </w:t>
            </w:r>
            <w:r w:rsidRPr="00DA3C6E">
              <w:t>24.7 weeks (SD 9.1) duration before treatment regime change. This</w:t>
            </w:r>
          </w:p>
          <w:p w14:paraId="6C295BC0" w14:textId="77777777" w:rsidR="000B06F3" w:rsidRPr="00DA3C6E" w:rsidRDefault="000B06F3" w:rsidP="008A5F97">
            <w:pPr>
              <w:pStyle w:val="Tabletext1"/>
              <w:jc w:val="left"/>
            </w:pPr>
            <w:r w:rsidRPr="00DA3C6E">
              <w:t>was equivalent to an average of 129.9 gm intravenous Ig per month or 1.82</w:t>
            </w:r>
          </w:p>
          <w:p w14:paraId="09B1D6C1" w14:textId="77777777" w:rsidR="000B06F3" w:rsidRPr="00DA3C6E" w:rsidRDefault="000B06F3" w:rsidP="008A5F97">
            <w:pPr>
              <w:pStyle w:val="Tabletext1"/>
              <w:jc w:val="left"/>
            </w:pPr>
            <w:r w:rsidRPr="00DA3C6E">
              <w:t>gm/kg/month (SD 0.3)</w:t>
            </w:r>
          </w:p>
        </w:tc>
        <w:tc>
          <w:tcPr>
            <w:tcW w:w="1781" w:type="dxa"/>
            <w:tcBorders>
              <w:top w:val="single" w:sz="4" w:space="0" w:color="auto"/>
              <w:left w:val="single" w:sz="4" w:space="0" w:color="auto"/>
              <w:right w:val="single" w:sz="4" w:space="0" w:color="auto"/>
            </w:tcBorders>
          </w:tcPr>
          <w:p w14:paraId="0688634A" w14:textId="77777777" w:rsidR="000B06F3" w:rsidRPr="00DA3C6E" w:rsidRDefault="000B06F3" w:rsidP="008A5F97">
            <w:pPr>
              <w:pStyle w:val="Tabletext1"/>
              <w:jc w:val="left"/>
            </w:pPr>
            <w:r w:rsidRPr="00DA3C6E">
              <w:lastRenderedPageBreak/>
              <w:t xml:space="preserve">Improvement in disability </w:t>
            </w:r>
          </w:p>
          <w:p w14:paraId="3955B1B3" w14:textId="77777777" w:rsidR="000B06F3" w:rsidRPr="00DA3C6E" w:rsidRDefault="000B06F3" w:rsidP="008A5F97">
            <w:pPr>
              <w:pStyle w:val="Tabletext1"/>
              <w:jc w:val="left"/>
            </w:pPr>
          </w:p>
        </w:tc>
        <w:tc>
          <w:tcPr>
            <w:tcW w:w="2957" w:type="dxa"/>
            <w:tcBorders>
              <w:top w:val="single" w:sz="4" w:space="0" w:color="auto"/>
              <w:left w:val="single" w:sz="4" w:space="0" w:color="auto"/>
              <w:right w:val="single" w:sz="4" w:space="0" w:color="auto"/>
            </w:tcBorders>
          </w:tcPr>
          <w:p w14:paraId="278EF320" w14:textId="77777777" w:rsidR="000B06F3" w:rsidRPr="00DA3C6E" w:rsidRDefault="000B06F3" w:rsidP="008A5F97">
            <w:pPr>
              <w:pStyle w:val="Tabletext1"/>
              <w:ind w:left="34"/>
              <w:jc w:val="left"/>
            </w:pPr>
            <w:r w:rsidRPr="00DA3C6E">
              <w:t>MRDS</w:t>
            </w:r>
          </w:p>
          <w:p w14:paraId="3211D6F6" w14:textId="77777777" w:rsidR="000B06F3" w:rsidRPr="00DA3C6E" w:rsidRDefault="000B06F3" w:rsidP="008A5F97">
            <w:pPr>
              <w:pStyle w:val="Tabletext1"/>
              <w:ind w:left="34"/>
              <w:jc w:val="left"/>
            </w:pPr>
          </w:p>
        </w:tc>
      </w:tr>
      <w:tr w:rsidR="007C7E04" w:rsidRPr="00DA3C6E" w14:paraId="5DCDC56F" w14:textId="77777777" w:rsidTr="006A5E97">
        <w:trPr>
          <w:trHeight w:val="319"/>
        </w:trPr>
        <w:tc>
          <w:tcPr>
            <w:tcW w:w="1424" w:type="dxa"/>
            <w:tcBorders>
              <w:left w:val="single" w:sz="4" w:space="0" w:color="auto"/>
              <w:bottom w:val="single" w:sz="4" w:space="0" w:color="auto"/>
              <w:right w:val="single" w:sz="4" w:space="0" w:color="auto"/>
            </w:tcBorders>
          </w:tcPr>
          <w:p w14:paraId="00535AB1" w14:textId="77777777" w:rsidR="000B06F3" w:rsidRPr="00DA3C6E" w:rsidRDefault="000B06F3" w:rsidP="008A5F97">
            <w:pPr>
              <w:pStyle w:val="Tabletext1"/>
              <w:jc w:val="left"/>
            </w:pPr>
          </w:p>
        </w:tc>
        <w:tc>
          <w:tcPr>
            <w:tcW w:w="1787" w:type="dxa"/>
            <w:tcBorders>
              <w:left w:val="single" w:sz="4" w:space="0" w:color="auto"/>
              <w:bottom w:val="single" w:sz="4" w:space="0" w:color="auto"/>
              <w:right w:val="single" w:sz="4" w:space="0" w:color="auto"/>
            </w:tcBorders>
          </w:tcPr>
          <w:p w14:paraId="18CAE7E2" w14:textId="77777777" w:rsidR="000B06F3" w:rsidRPr="00DA3C6E" w:rsidRDefault="000B06F3" w:rsidP="008A5F97">
            <w:pPr>
              <w:pStyle w:val="Tabletext1"/>
              <w:jc w:val="left"/>
            </w:pPr>
          </w:p>
        </w:tc>
        <w:tc>
          <w:tcPr>
            <w:tcW w:w="1259" w:type="dxa"/>
            <w:tcBorders>
              <w:left w:val="single" w:sz="4" w:space="0" w:color="auto"/>
              <w:bottom w:val="single" w:sz="4" w:space="0" w:color="auto"/>
              <w:right w:val="single" w:sz="4" w:space="0" w:color="auto"/>
            </w:tcBorders>
          </w:tcPr>
          <w:p w14:paraId="3B2E89B1" w14:textId="77777777" w:rsidR="000B06F3" w:rsidRPr="00DA3C6E" w:rsidRDefault="000B06F3" w:rsidP="008A5F97">
            <w:pPr>
              <w:pStyle w:val="Tabletext1"/>
              <w:jc w:val="left"/>
            </w:pPr>
          </w:p>
        </w:tc>
        <w:tc>
          <w:tcPr>
            <w:tcW w:w="1812" w:type="dxa"/>
            <w:tcBorders>
              <w:left w:val="single" w:sz="4" w:space="0" w:color="auto"/>
              <w:bottom w:val="single" w:sz="4" w:space="0" w:color="auto"/>
              <w:right w:val="single" w:sz="4" w:space="0" w:color="auto"/>
            </w:tcBorders>
          </w:tcPr>
          <w:p w14:paraId="0365232D" w14:textId="77777777" w:rsidR="000B06F3" w:rsidRPr="00DA3C6E" w:rsidRDefault="000B06F3" w:rsidP="008A5F97">
            <w:pPr>
              <w:pStyle w:val="Tabletext1"/>
              <w:jc w:val="left"/>
            </w:pPr>
          </w:p>
        </w:tc>
        <w:tc>
          <w:tcPr>
            <w:tcW w:w="1621" w:type="dxa"/>
            <w:tcBorders>
              <w:left w:val="single" w:sz="4" w:space="0" w:color="auto"/>
              <w:bottom w:val="single" w:sz="4" w:space="0" w:color="auto"/>
              <w:right w:val="single" w:sz="4" w:space="0" w:color="auto"/>
            </w:tcBorders>
          </w:tcPr>
          <w:p w14:paraId="5A03332A" w14:textId="77777777" w:rsidR="000B06F3" w:rsidRPr="00DA3C6E" w:rsidRDefault="000B06F3" w:rsidP="008A5F97">
            <w:pPr>
              <w:pStyle w:val="Tabletext1"/>
              <w:jc w:val="left"/>
            </w:pPr>
          </w:p>
        </w:tc>
        <w:tc>
          <w:tcPr>
            <w:tcW w:w="1813" w:type="dxa"/>
            <w:tcBorders>
              <w:left w:val="single" w:sz="4" w:space="0" w:color="auto"/>
              <w:bottom w:val="single" w:sz="4" w:space="0" w:color="auto"/>
              <w:right w:val="single" w:sz="4" w:space="0" w:color="auto"/>
            </w:tcBorders>
          </w:tcPr>
          <w:p w14:paraId="47CEA67A" w14:textId="77777777" w:rsidR="000B06F3" w:rsidRPr="00DA3C6E" w:rsidRDefault="000B06F3" w:rsidP="008A5F97">
            <w:pPr>
              <w:pStyle w:val="Tabletext1"/>
              <w:jc w:val="left"/>
            </w:pPr>
          </w:p>
        </w:tc>
        <w:tc>
          <w:tcPr>
            <w:tcW w:w="1781" w:type="dxa"/>
            <w:tcBorders>
              <w:left w:val="single" w:sz="4" w:space="0" w:color="auto"/>
              <w:bottom w:val="single" w:sz="4" w:space="0" w:color="auto"/>
              <w:right w:val="single" w:sz="4" w:space="0" w:color="auto"/>
            </w:tcBorders>
          </w:tcPr>
          <w:p w14:paraId="5DD57674" w14:textId="77777777" w:rsidR="000B06F3" w:rsidRPr="00DA3C6E" w:rsidRDefault="000B06F3" w:rsidP="008A5F97">
            <w:pPr>
              <w:pStyle w:val="Tabletext1"/>
              <w:jc w:val="left"/>
            </w:pPr>
            <w:r w:rsidRPr="00DA3C6E">
              <w:t>Improvement in muscle strength</w:t>
            </w:r>
          </w:p>
          <w:p w14:paraId="612E1BB4" w14:textId="77777777" w:rsidR="000B06F3" w:rsidRPr="00DA3C6E" w:rsidRDefault="000B06F3" w:rsidP="008A5F97">
            <w:pPr>
              <w:pStyle w:val="Tabletext1"/>
              <w:jc w:val="left"/>
            </w:pPr>
          </w:p>
        </w:tc>
        <w:tc>
          <w:tcPr>
            <w:tcW w:w="2957" w:type="dxa"/>
            <w:tcBorders>
              <w:left w:val="single" w:sz="4" w:space="0" w:color="auto"/>
              <w:bottom w:val="single" w:sz="4" w:space="0" w:color="auto"/>
              <w:right w:val="single" w:sz="4" w:space="0" w:color="auto"/>
            </w:tcBorders>
          </w:tcPr>
          <w:p w14:paraId="40E9A0E2" w14:textId="77777777" w:rsidR="000B06F3" w:rsidRPr="00DA3C6E" w:rsidRDefault="000B06F3" w:rsidP="008A5F97">
            <w:pPr>
              <w:pStyle w:val="Tabletext1"/>
              <w:ind w:left="34"/>
              <w:jc w:val="left"/>
            </w:pPr>
            <w:r w:rsidRPr="00DA3C6E">
              <w:t>MRC</w:t>
            </w:r>
          </w:p>
        </w:tc>
      </w:tr>
    </w:tbl>
    <w:p w14:paraId="17FE2E7B" w14:textId="77777777" w:rsidR="00226182" w:rsidRDefault="000B06F3" w:rsidP="00E003F8">
      <w:pPr>
        <w:pStyle w:val="Tablenotes0"/>
        <w:spacing w:after="240"/>
      </w:pPr>
      <w:r w:rsidRPr="00DA3C6E">
        <w:t>Abbreviations: AEs=adverse events; CB=conduction block; CMAP= compound muscle action potentials; EFN/PNS= European Federation of Neurological Societies/Peripheral Nerve Society; EMG= Needle electromyography; GM1= anti-monosialotetrahexosylganglioside; GNDS= Guy's Neurological Disability Score; HIG= human immunoglobulin; IgM= Immunoglobulin M; Ig= immunoglobulin; MMN=Multifocal motor neuropathy; MMNCB= Multifocal motor neuropathy with conduction block; MRC=Research Council; MRDS= modified Rankin disability scale; MVIC= Maximal voluntary isometric contraction; NA=not available; NCS= Nerve conduction study NR= not reported; ODSS= overall disability sum score; ONLS= Overall Neuropathy Limitations Scale; PMCB=partial motor conduction block;  SNAP= sensory nerve action potential; UMCU=University Medical Centre Utrecht LMN=lower motor neuropathy</w:t>
      </w:r>
      <w:r w:rsidR="00226182">
        <w:t>.</w:t>
      </w:r>
    </w:p>
    <w:p w14:paraId="3A1C0A2B" w14:textId="4DC84B51" w:rsidR="000B06F3" w:rsidRPr="00DA3C6E" w:rsidRDefault="000B06F3" w:rsidP="00E003F8">
      <w:pPr>
        <w:pStyle w:val="Tablenotes0"/>
        <w:spacing w:after="240"/>
      </w:pPr>
      <w:r w:rsidRPr="00DA3C6E">
        <w:br w:type="page"/>
      </w:r>
    </w:p>
    <w:p w14:paraId="60BEDB1A" w14:textId="6B7CBEAD" w:rsidR="000B06F3" w:rsidRPr="00DA3C6E" w:rsidRDefault="000B06F3" w:rsidP="00855ADC">
      <w:pPr>
        <w:pStyle w:val="Heading1"/>
      </w:pPr>
      <w:bookmarkStart w:id="409" w:name="_Toc37845796"/>
      <w:r w:rsidRPr="00DA3C6E">
        <w:lastRenderedPageBreak/>
        <w:t xml:space="preserve">Appendix </w:t>
      </w:r>
      <w:r w:rsidR="00515153">
        <w:fldChar w:fldCharType="begin"/>
      </w:r>
      <w:r w:rsidR="00515153">
        <w:instrText xml:space="preserve"> SEQ Appendix \* ALPHABETIC </w:instrText>
      </w:r>
      <w:r w:rsidR="00515153">
        <w:fldChar w:fldCharType="separate"/>
      </w:r>
      <w:r w:rsidR="00EA5DC1">
        <w:rPr>
          <w:noProof/>
        </w:rPr>
        <w:t>C</w:t>
      </w:r>
      <w:r w:rsidR="00515153">
        <w:rPr>
          <w:noProof/>
        </w:rPr>
        <w:fldChar w:fldCharType="end"/>
      </w:r>
      <w:r w:rsidRPr="00DA3C6E">
        <w:tab/>
        <w:t>Evidence Profile Tables</w:t>
      </w:r>
      <w:bookmarkEnd w:id="409"/>
      <w:r w:rsidRPr="00DA3C6E">
        <w:t xml:space="preserve"> </w:t>
      </w:r>
    </w:p>
    <w:p w14:paraId="14E8593A" w14:textId="33089128" w:rsidR="000B06F3" w:rsidRPr="00DA3C6E" w:rsidRDefault="000B06F3" w:rsidP="00F211EB">
      <w:pPr>
        <w:pStyle w:val="Caption"/>
      </w:pPr>
      <w:bookmarkStart w:id="410" w:name="_Ref31197214"/>
      <w:bookmarkStart w:id="411" w:name="_Toc31144665"/>
      <w:bookmarkStart w:id="412" w:name="_Toc37845856"/>
      <w:r w:rsidRPr="00DA3C6E">
        <w:t xml:space="preserve">Table </w:t>
      </w:r>
      <w:r w:rsidR="00515153">
        <w:fldChar w:fldCharType="begin"/>
      </w:r>
      <w:r w:rsidR="00515153">
        <w:instrText xml:space="preserve"> SEQ Table \* ARABIC </w:instrText>
      </w:r>
      <w:r w:rsidR="00515153">
        <w:fldChar w:fldCharType="separate"/>
      </w:r>
      <w:r w:rsidR="00EA5DC1">
        <w:rPr>
          <w:noProof/>
        </w:rPr>
        <w:t>53</w:t>
      </w:r>
      <w:r w:rsidR="00515153">
        <w:rPr>
          <w:noProof/>
        </w:rPr>
        <w:fldChar w:fldCharType="end"/>
      </w:r>
      <w:bookmarkEnd w:id="410"/>
      <w:r w:rsidRPr="00DA3C6E">
        <w:t>: Risk of bias assessment of randomised controlled studies using the Cochrane risk of bias tool</w:t>
      </w:r>
      <w:bookmarkEnd w:id="411"/>
      <w:bookmarkEnd w:id="412"/>
      <w:r w:rsidRPr="00DA3C6E">
        <w:tab/>
      </w:r>
    </w:p>
    <w:tbl>
      <w:tblPr>
        <w:tblStyle w:val="TableGrid"/>
        <w:tblW w:w="0" w:type="auto"/>
        <w:tblLook w:val="04A0" w:firstRow="1" w:lastRow="0" w:firstColumn="1" w:lastColumn="0" w:noHBand="0" w:noVBand="1"/>
        <w:tblCaption w:val="Table 53: Risk of bias assessment of randomised controlled studies using the Cochrane risk of bias tool"/>
      </w:tblPr>
      <w:tblGrid>
        <w:gridCol w:w="2689"/>
        <w:gridCol w:w="2268"/>
        <w:gridCol w:w="2126"/>
        <w:gridCol w:w="2551"/>
        <w:gridCol w:w="2127"/>
        <w:gridCol w:w="2187"/>
      </w:tblGrid>
      <w:tr w:rsidR="000B06F3" w:rsidRPr="00DA3C6E" w14:paraId="6C305F92" w14:textId="77777777" w:rsidTr="00740643">
        <w:trPr>
          <w:tblHeader/>
        </w:trPr>
        <w:tc>
          <w:tcPr>
            <w:tcW w:w="2689" w:type="dxa"/>
          </w:tcPr>
          <w:p w14:paraId="30B3C550" w14:textId="77777777" w:rsidR="000B06F3" w:rsidRPr="00DA3C6E" w:rsidRDefault="000B06F3" w:rsidP="00740643">
            <w:pPr>
              <w:spacing w:after="0" w:line="240" w:lineRule="auto"/>
              <w:rPr>
                <w:rFonts w:ascii="Arial Narrow" w:hAnsi="Arial Narrow"/>
                <w:sz w:val="20"/>
                <w:szCs w:val="20"/>
              </w:rPr>
            </w:pPr>
          </w:p>
        </w:tc>
        <w:tc>
          <w:tcPr>
            <w:tcW w:w="2268" w:type="dxa"/>
          </w:tcPr>
          <w:p w14:paraId="7BA54D39" w14:textId="21DAC132" w:rsidR="000B06F3" w:rsidRPr="00DA3C6E" w:rsidRDefault="000B06F3" w:rsidP="00C04BCE">
            <w:pPr>
              <w:spacing w:after="0" w:line="240" w:lineRule="auto"/>
              <w:ind w:left="0"/>
              <w:rPr>
                <w:rFonts w:ascii="Arial Narrow" w:hAnsi="Arial Narrow"/>
                <w:b/>
                <w:sz w:val="20"/>
                <w:szCs w:val="20"/>
              </w:rPr>
            </w:pPr>
            <w:r w:rsidRPr="00DA3C6E">
              <w:rPr>
                <w:rFonts w:ascii="Arial Narrow" w:hAnsi="Arial Narrow"/>
                <w:b/>
                <w:sz w:val="20"/>
                <w:szCs w:val="20"/>
              </w:rPr>
              <w:t>Azulay et al. 1994</w:t>
            </w:r>
            <w:r w:rsidR="003C5E4A">
              <w:rPr>
                <w:rFonts w:ascii="Arial Narrow" w:hAnsi="Arial Narrow"/>
                <w:b/>
                <w:sz w:val="20"/>
                <w:szCs w:val="20"/>
              </w:rPr>
              <w:t xml:space="preserve"> </w:t>
            </w:r>
            <w:r w:rsidR="00DB568A" w:rsidRPr="00DA3C6E">
              <w:rPr>
                <w:rFonts w:ascii="Arial Narrow" w:hAnsi="Arial Narrow"/>
                <w:b/>
                <w:sz w:val="20"/>
                <w:szCs w:val="20"/>
              </w:rPr>
              <w:fldChar w:fldCharType="begin"/>
            </w:r>
            <w:r w:rsidR="00DB568A" w:rsidRPr="00DA3C6E">
              <w:rPr>
                <w:rFonts w:ascii="Arial Narrow" w:hAnsi="Arial Narrow"/>
                <w:b/>
                <w:sz w:val="20"/>
                <w:szCs w:val="20"/>
              </w:rPr>
              <w:instrText xml:space="preserve"> ADDIN EN.CITE &lt;EndNote&gt;&lt;Cite&gt;&lt;Author&gt;Azulay&lt;/Author&gt;&lt;Year&gt;1994&lt;/Year&gt;&lt;RecNum&gt;4&lt;/RecNum&gt;&lt;DisplayText&gt;(24)&lt;/DisplayText&gt;&lt;record&gt;&lt;rec-number&gt;4&lt;/rec-number&gt;&lt;foreign-keys&gt;&lt;key app="EN" db-id="0992p2ztn5fez9e2wvnpw2xstd20f9w2dezz" timestamp="1586818281"&gt;4&lt;/key&gt;&lt;/foreign-keys&gt;&lt;ref-type name="Journal Article"&gt;17&lt;/ref-type&gt;&lt;contributors&gt;&lt;authors&gt;&lt;author&gt;Azulay, J. P.&lt;/author&gt;&lt;author&gt;Blin, O.&lt;/author&gt;&lt;author&gt;Pouget, J.&lt;/author&gt;&lt;author&gt;Boucraut, J.&lt;/author&gt;&lt;author&gt;Bille-Turc, F.&lt;/author&gt;&lt;author&gt;Carles, G.&lt;/author&gt;&lt;author&gt;Serratrice, G.&lt;/author&gt;&lt;/authors&gt;&lt;/contributors&gt;&lt;auth-address&gt;Department of Neurology, University Hospital Timone, Marseilles, France.&lt;/auth-address&gt;&lt;titles&gt;&lt;title&gt;Intravenous immunoglobulin treatment in patients with motor neuron syndromes associated with anti-GM1 antibodies: a double-blind, placebo-controlled study&lt;/title&gt;&lt;secondary-title&gt;Neurology&lt;/secondary-title&gt;&lt;alt-title&gt;Neurology&lt;/alt-title&gt;&lt;/titles&gt;&lt;periodical&gt;&lt;full-title&gt;Neurology&lt;/full-title&gt;&lt;/periodical&gt;&lt;alt-periodical&gt;&lt;full-title&gt;Neurology&lt;/full-title&gt;&lt;/alt-periodical&gt;&lt;pages&gt;429-32&lt;/pages&gt;&lt;volume&gt;44&lt;/volume&gt;&lt;number&gt;3 Pt 1&lt;/number&gt;&lt;edition&gt;1994/03/01&lt;/edition&gt;&lt;keywords&gt;&lt;keyword&gt;Adult&lt;/keyword&gt;&lt;keyword&gt;Autoantibodies/*blood&lt;/keyword&gt;&lt;keyword&gt;Double-Blind Method&lt;/keyword&gt;&lt;keyword&gt;Female&lt;/keyword&gt;&lt;keyword&gt;G(M1) Ganglioside/*immunology&lt;/keyword&gt;&lt;keyword&gt;Humans&lt;/keyword&gt;&lt;keyword&gt;Immunoglobulins, Intravenous/*therapeutic use&lt;/keyword&gt;&lt;keyword&gt;Isometric Contraction/physiology&lt;/keyword&gt;&lt;keyword&gt;Male&lt;/keyword&gt;&lt;keyword&gt;Middle Aged&lt;/keyword&gt;&lt;keyword&gt;Motor Neuron Disease/immunology/physiopathology/*therapy&lt;/keyword&gt;&lt;/keywords&gt;&lt;dates&gt;&lt;year&gt;1994&lt;/year&gt;&lt;pub-dates&gt;&lt;date&gt;Mar&lt;/date&gt;&lt;/pub-dates&gt;&lt;/dates&gt;&lt;isbn&gt;0028-3878 (Print)&amp;#xD;0028-3878&lt;/isbn&gt;&lt;accession-num&gt;8145910&lt;/accession-num&gt;&lt;urls&gt;&lt;/urls&gt;&lt;electronic-resource-num&gt;10.1212/wnl.44.3_part_1.429&lt;/electronic-resource-num&gt;&lt;remote-database-provider&gt;NLM&lt;/remote-database-provider&gt;&lt;research-notes&gt;Included. Need to find full text&lt;/research-notes&gt;&lt;language&gt;eng&lt;/language&gt;&lt;/record&gt;&lt;/Cite&gt;&lt;/EndNote&gt;</w:instrText>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4" w:tooltip="Azulay, 1994 #4" w:history="1">
              <w:r w:rsidR="00C04BCE" w:rsidRPr="00DA3C6E">
                <w:rPr>
                  <w:rFonts w:ascii="Arial Narrow" w:hAnsi="Arial Narrow"/>
                  <w:b/>
                  <w:noProof/>
                  <w:sz w:val="20"/>
                  <w:szCs w:val="20"/>
                </w:rPr>
                <w:t>24</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p>
        </w:tc>
        <w:tc>
          <w:tcPr>
            <w:tcW w:w="2126" w:type="dxa"/>
          </w:tcPr>
          <w:p w14:paraId="0F9088A2" w14:textId="0DA65E75" w:rsidR="000B06F3" w:rsidRPr="00DA3C6E" w:rsidRDefault="000B06F3" w:rsidP="00C04BCE">
            <w:pPr>
              <w:spacing w:after="0" w:line="240" w:lineRule="auto"/>
              <w:ind w:left="0"/>
              <w:rPr>
                <w:rFonts w:ascii="Arial Narrow" w:hAnsi="Arial Narrow"/>
                <w:b/>
                <w:sz w:val="20"/>
                <w:szCs w:val="20"/>
                <w:lang w:val="es-CL"/>
              </w:rPr>
            </w:pPr>
            <w:r w:rsidRPr="00DA3C6E">
              <w:rPr>
                <w:rFonts w:ascii="Arial Narrow" w:hAnsi="Arial Narrow"/>
                <w:b/>
                <w:sz w:val="20"/>
                <w:szCs w:val="20"/>
                <w:lang w:val="es-CL"/>
              </w:rPr>
              <w:t>Van den Berg et al. 1995</w:t>
            </w:r>
            <w:r w:rsidR="003C5E4A">
              <w:rPr>
                <w:rFonts w:ascii="Arial Narrow" w:hAnsi="Arial Narrow"/>
                <w:b/>
                <w:sz w:val="20"/>
                <w:szCs w:val="20"/>
                <w:lang w:val="es-CL"/>
              </w:rPr>
              <w:t xml:space="preserve"> </w:t>
            </w:r>
            <w:r w:rsidR="00DB568A" w:rsidRPr="00DA3C6E">
              <w:rPr>
                <w:rFonts w:ascii="Arial Narrow" w:hAnsi="Arial Narrow"/>
                <w:b/>
                <w:sz w:val="20"/>
                <w:szCs w:val="20"/>
                <w:lang w:val="es-CL"/>
              </w:rPr>
              <w:fldChar w:fldCharType="begin"/>
            </w:r>
            <w:r w:rsidR="00DB568A" w:rsidRPr="00DA3C6E">
              <w:rPr>
                <w:rFonts w:ascii="Arial Narrow" w:hAnsi="Arial Narrow"/>
                <w:b/>
                <w:sz w:val="20"/>
                <w:szCs w:val="20"/>
                <w:lang w:val="es-CL"/>
              </w:rPr>
              <w:instrText xml:space="preserve"> ADDIN EN.CITE &lt;EndNote&gt;&lt;Cite&gt;&lt;Author&gt;Van den Berg&lt;/Author&gt;&lt;Year&gt;1995&lt;/Year&gt;&lt;RecNum&gt;77&lt;/RecNum&gt;&lt;DisplayText&gt;(25)&lt;/DisplayText&gt;&lt;record&gt;&lt;rec-number&gt;77&lt;/rec-number&gt;&lt;foreign-keys&gt;&lt;key app="EN" db-id="0992p2ztn5fez9e2wvnpw2xstd20f9w2dezz" timestamp="1586863422"&gt;77&lt;/key&gt;&lt;/foreign-keys&gt;&lt;ref-type name="Journal Article"&gt;17&lt;/ref-type&gt;&lt;contributors&gt;&lt;authors&gt;&lt;author&gt;Van den Berg, L. H.&lt;/author&gt;&lt;author&gt;Kerkhoff, H.&lt;/author&gt;&lt;author&gt;Oey, P. L.&lt;/author&gt;&lt;author&gt;Franssen, H.&lt;/author&gt;&lt;author&gt;Mollee, I.&lt;/author&gt;&lt;author&gt;Vermeulen, M.&lt;/author&gt;&lt;author&gt;Jennekens, F. G.&lt;/author&gt;&lt;author&gt;Wokke, J. H.&lt;/author&gt;&lt;/authors&gt;&lt;/contributors&gt;&lt;auth-address&gt;Rudolf Magnus Research School in the Neurosciences, Department of Neurology, University Hospital Utrecht, The Netherlands.&lt;/auth-address&gt;&lt;titles&gt;&lt;title&gt;Treatment of multifocal motor neuropathy with high dose intravenous immunoglobulins: a double blind, placebo controlled study&lt;/title&gt;&lt;secondary-title&gt;J Neurol Neurosurg Psychiatry&lt;/secondary-title&gt;&lt;alt-title&gt;Journal of neurology, neurosurgery, and psychiatry&lt;/alt-title&gt;&lt;/titles&gt;&lt;alt-periodical&gt;&lt;full-title&gt;Journal of neurology, neurosurgery, and psychiatry&lt;/full-title&gt;&lt;/alt-periodical&gt;&lt;pages&gt;248-52&lt;/pages&gt;&lt;volume&gt;59&lt;/volume&gt;&lt;number&gt;3&lt;/number&gt;&lt;edition&gt;1995/09/01&lt;/edition&gt;&lt;keywords&gt;&lt;keyword&gt;Adult&lt;/keyword&gt;&lt;keyword&gt;Double-Blind Method&lt;/keyword&gt;&lt;keyword&gt;Female&lt;/keyword&gt;&lt;keyword&gt;Humans&lt;/keyword&gt;&lt;keyword&gt;Immunoglobulins, Intravenous/*administration &amp;amp; dosage/therapeutic use&lt;/keyword&gt;&lt;keyword&gt;Male&lt;/keyword&gt;&lt;keyword&gt;Middle Aged&lt;/keyword&gt;&lt;keyword&gt;Motor Neuron Disease/physiopathology/*therapy&lt;/keyword&gt;&lt;keyword&gt;Muscles/physiopathology&lt;/keyword&gt;&lt;/keywords&gt;&lt;dates&gt;&lt;year&gt;1995&lt;/year&gt;&lt;pub-dates&gt;&lt;date&gt;Sep&lt;/date&gt;&lt;/pub-dates&gt;&lt;/dates&gt;&lt;isbn&gt;0022-3050 (Print)&amp;#xD;0022-3050&lt;/isbn&gt;&lt;accession-num&gt;7673950&lt;/accession-num&gt;&lt;urls&gt;&lt;/urls&gt;&lt;custom2&gt;PMC486021&lt;/custom2&gt;&lt;electronic-resource-num&gt;10.1136/jnnp.59.3.248&lt;/electronic-resource-num&gt;&lt;remote-database-provider&gt;NLM&lt;/remote-database-provider&gt;&lt;language&gt;eng&lt;/language&gt;&lt;/record&gt;&lt;/Cite&gt;&lt;/EndNote&gt;</w:instrText>
            </w:r>
            <w:r w:rsidR="00DB568A" w:rsidRPr="00DA3C6E">
              <w:rPr>
                <w:rFonts w:ascii="Arial Narrow" w:hAnsi="Arial Narrow"/>
                <w:b/>
                <w:sz w:val="20"/>
                <w:szCs w:val="20"/>
                <w:lang w:val="es-CL"/>
              </w:rPr>
              <w:fldChar w:fldCharType="separate"/>
            </w:r>
            <w:r w:rsidR="00DB568A" w:rsidRPr="00DA3C6E">
              <w:rPr>
                <w:rFonts w:ascii="Arial Narrow" w:hAnsi="Arial Narrow"/>
                <w:b/>
                <w:noProof/>
                <w:sz w:val="20"/>
                <w:szCs w:val="20"/>
                <w:lang w:val="es-CL"/>
              </w:rPr>
              <w:t>(</w:t>
            </w:r>
            <w:hyperlink w:anchor="_ENREF_25" w:tooltip="Van den Berg, 1995 #77" w:history="1">
              <w:r w:rsidR="00C04BCE" w:rsidRPr="00DA3C6E">
                <w:rPr>
                  <w:rFonts w:ascii="Arial Narrow" w:hAnsi="Arial Narrow"/>
                  <w:b/>
                  <w:noProof/>
                  <w:sz w:val="20"/>
                  <w:szCs w:val="20"/>
                  <w:lang w:val="es-CL"/>
                </w:rPr>
                <w:t>25</w:t>
              </w:r>
            </w:hyperlink>
            <w:r w:rsidR="00DB568A" w:rsidRPr="00DA3C6E">
              <w:rPr>
                <w:rFonts w:ascii="Arial Narrow" w:hAnsi="Arial Narrow"/>
                <w:b/>
                <w:noProof/>
                <w:sz w:val="20"/>
                <w:szCs w:val="20"/>
                <w:lang w:val="es-CL"/>
              </w:rPr>
              <w:t>)</w:t>
            </w:r>
            <w:r w:rsidR="00DB568A" w:rsidRPr="00DA3C6E">
              <w:rPr>
                <w:rFonts w:ascii="Arial Narrow" w:hAnsi="Arial Narrow"/>
                <w:b/>
                <w:sz w:val="20"/>
                <w:szCs w:val="20"/>
                <w:lang w:val="es-CL"/>
              </w:rPr>
              <w:fldChar w:fldCharType="end"/>
            </w:r>
          </w:p>
        </w:tc>
        <w:tc>
          <w:tcPr>
            <w:tcW w:w="2551" w:type="dxa"/>
          </w:tcPr>
          <w:p w14:paraId="36D66B52" w14:textId="58F86C46" w:rsidR="000B06F3" w:rsidRPr="00DA3C6E" w:rsidRDefault="000B06F3" w:rsidP="00C04BCE">
            <w:pPr>
              <w:spacing w:after="0" w:line="240" w:lineRule="auto"/>
              <w:ind w:left="0"/>
              <w:rPr>
                <w:rFonts w:ascii="Arial Narrow" w:hAnsi="Arial Narrow"/>
                <w:b/>
                <w:sz w:val="20"/>
                <w:szCs w:val="20"/>
              </w:rPr>
            </w:pPr>
            <w:r w:rsidRPr="00DA3C6E">
              <w:rPr>
                <w:rFonts w:ascii="Arial Narrow" w:hAnsi="Arial Narrow"/>
                <w:b/>
                <w:sz w:val="20"/>
                <w:szCs w:val="20"/>
              </w:rPr>
              <w:t>Federico et al. 2000</w:t>
            </w:r>
            <w:r w:rsidR="003C5E4A">
              <w:rPr>
                <w:rFonts w:ascii="Arial Narrow" w:hAnsi="Arial Narrow"/>
                <w:b/>
                <w:sz w:val="20"/>
                <w:szCs w:val="20"/>
              </w:rPr>
              <w:t xml:space="preserve"> </w:t>
            </w:r>
            <w:r w:rsidR="00DB568A" w:rsidRPr="00DA3C6E">
              <w:rPr>
                <w:rFonts w:ascii="Arial Narrow" w:hAnsi="Arial Narrow"/>
                <w:b/>
                <w:sz w:val="2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sz w:val="20"/>
                <w:szCs w:val="20"/>
              </w:rPr>
              <w:instrText xml:space="preserve"> ADDIN EN.CITE </w:instrText>
            </w:r>
            <w:r w:rsidR="00DB568A" w:rsidRPr="00DA3C6E">
              <w:rPr>
                <w:rFonts w:ascii="Arial Narrow" w:hAnsi="Arial Narrow"/>
                <w:b/>
                <w:sz w:val="20"/>
                <w:szCs w:val="20"/>
              </w:rPr>
              <w:fldChar w:fldCharType="begin">
                <w:fldData xml:space="preserve">PEVuZE5vdGU+PENpdGU+PEF1dGhvcj5GZWRlcmljbzwvQXV0aG9yPjxZZWFyPjIwMDA8L1llYXI+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</w:fldData>
              </w:fldChar>
            </w:r>
            <w:r w:rsidR="00DB568A" w:rsidRPr="00DA3C6E">
              <w:rPr>
                <w:rFonts w:ascii="Arial Narrow" w:hAnsi="Arial Narrow"/>
                <w:b/>
                <w:sz w:val="20"/>
                <w:szCs w:val="20"/>
              </w:rPr>
              <w:instrText xml:space="preserve"> ADDIN EN.CITE.DATA </w:instrText>
            </w:r>
            <w:r w:rsidR="00DB568A" w:rsidRPr="00DA3C6E">
              <w:rPr>
                <w:rFonts w:ascii="Arial Narrow" w:hAnsi="Arial Narrow"/>
                <w:b/>
                <w:sz w:val="20"/>
                <w:szCs w:val="20"/>
              </w:rPr>
            </w:r>
            <w:r w:rsidR="00DB568A" w:rsidRPr="00DA3C6E">
              <w:rPr>
                <w:rFonts w:ascii="Arial Narrow" w:hAnsi="Arial Narrow"/>
                <w:b/>
                <w:sz w:val="20"/>
                <w:szCs w:val="20"/>
              </w:rPr>
              <w:fldChar w:fldCharType="end"/>
            </w:r>
            <w:r w:rsidR="00DB568A" w:rsidRPr="00DA3C6E">
              <w:rPr>
                <w:rFonts w:ascii="Arial Narrow" w:hAnsi="Arial Narrow"/>
                <w:b/>
                <w:sz w:val="20"/>
                <w:szCs w:val="20"/>
              </w:rPr>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6" w:tooltip="Federico, 2000 #20" w:history="1">
              <w:r w:rsidR="00C04BCE" w:rsidRPr="00DA3C6E">
                <w:rPr>
                  <w:rFonts w:ascii="Arial Narrow" w:hAnsi="Arial Narrow"/>
                  <w:b/>
                  <w:noProof/>
                  <w:sz w:val="20"/>
                  <w:szCs w:val="20"/>
                </w:rPr>
                <w:t>26</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p>
        </w:tc>
        <w:tc>
          <w:tcPr>
            <w:tcW w:w="2127" w:type="dxa"/>
          </w:tcPr>
          <w:p w14:paraId="5ADFF2AB" w14:textId="79A6046D" w:rsidR="000B06F3" w:rsidRPr="00DA3C6E" w:rsidRDefault="000B06F3" w:rsidP="00C04BCE">
            <w:pPr>
              <w:spacing w:after="0" w:line="240" w:lineRule="auto"/>
              <w:ind w:left="0"/>
              <w:rPr>
                <w:rFonts w:ascii="Arial Narrow" w:hAnsi="Arial Narrow"/>
                <w:b/>
                <w:sz w:val="20"/>
                <w:szCs w:val="20"/>
              </w:rPr>
            </w:pPr>
            <w:r w:rsidRPr="00DA3C6E">
              <w:rPr>
                <w:rFonts w:ascii="Arial Narrow" w:hAnsi="Arial Narrow"/>
                <w:b/>
                <w:sz w:val="20"/>
                <w:szCs w:val="20"/>
              </w:rPr>
              <w:t>Leger et al. 2001</w:t>
            </w:r>
            <w:r w:rsidR="003C5E4A">
              <w:rPr>
                <w:rFonts w:ascii="Arial Narrow" w:hAnsi="Arial Narrow"/>
                <w:b/>
                <w:sz w:val="20"/>
                <w:szCs w:val="20"/>
              </w:rPr>
              <w:t xml:space="preserve"> </w:t>
            </w:r>
            <w:r w:rsidR="00DB568A" w:rsidRPr="00DA3C6E">
              <w:rPr>
                <w:rFonts w:ascii="Arial Narrow" w:hAnsi="Arial Narrow"/>
                <w:b/>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sz w:val="20"/>
                <w:szCs w:val="20"/>
              </w:rPr>
              <w:instrText xml:space="preserve"> ADDIN EN.CITE </w:instrText>
            </w:r>
            <w:r w:rsidR="00DB568A" w:rsidRPr="00DA3C6E">
              <w:rPr>
                <w:rFonts w:ascii="Arial Narrow" w:hAnsi="Arial Narrow"/>
                <w:b/>
                <w:sz w:val="20"/>
                <w:szCs w:val="20"/>
              </w:rPr>
              <w:fldChar w:fldCharType="begin">
                <w:fldData xml:space="preserve">PEVuZE5vdGU+PENpdGU+PEF1dGhvcj5MZWdlcjwvQXV0aG9yPjxZZWFyPjIwMDE8L1llYXI+PFJl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</w:fldData>
              </w:fldChar>
            </w:r>
            <w:r w:rsidR="00DB568A" w:rsidRPr="00DA3C6E">
              <w:rPr>
                <w:rFonts w:ascii="Arial Narrow" w:hAnsi="Arial Narrow"/>
                <w:b/>
                <w:sz w:val="20"/>
                <w:szCs w:val="20"/>
              </w:rPr>
              <w:instrText xml:space="preserve"> ADDIN EN.CITE.DATA </w:instrText>
            </w:r>
            <w:r w:rsidR="00DB568A" w:rsidRPr="00DA3C6E">
              <w:rPr>
                <w:rFonts w:ascii="Arial Narrow" w:hAnsi="Arial Narrow"/>
                <w:b/>
                <w:sz w:val="20"/>
                <w:szCs w:val="20"/>
              </w:rPr>
            </w:r>
            <w:r w:rsidR="00DB568A" w:rsidRPr="00DA3C6E">
              <w:rPr>
                <w:rFonts w:ascii="Arial Narrow" w:hAnsi="Arial Narrow"/>
                <w:b/>
                <w:sz w:val="20"/>
                <w:szCs w:val="20"/>
              </w:rPr>
              <w:fldChar w:fldCharType="end"/>
            </w:r>
            <w:r w:rsidR="00DB568A" w:rsidRPr="00DA3C6E">
              <w:rPr>
                <w:rFonts w:ascii="Arial Narrow" w:hAnsi="Arial Narrow"/>
                <w:b/>
                <w:sz w:val="20"/>
                <w:szCs w:val="20"/>
              </w:rPr>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7" w:tooltip="Leger, 2001 #39" w:history="1">
              <w:r w:rsidR="00C04BCE" w:rsidRPr="00DA3C6E">
                <w:rPr>
                  <w:rFonts w:ascii="Arial Narrow" w:hAnsi="Arial Narrow"/>
                  <w:b/>
                  <w:noProof/>
                  <w:sz w:val="20"/>
                  <w:szCs w:val="20"/>
                </w:rPr>
                <w:t>27</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p>
        </w:tc>
        <w:tc>
          <w:tcPr>
            <w:tcW w:w="2187" w:type="dxa"/>
          </w:tcPr>
          <w:p w14:paraId="5C6D67B5" w14:textId="257CB763" w:rsidR="000B06F3" w:rsidRPr="00DA3C6E" w:rsidRDefault="000B06F3" w:rsidP="00C04BCE">
            <w:pPr>
              <w:spacing w:after="0" w:line="240" w:lineRule="auto"/>
              <w:ind w:left="0"/>
              <w:rPr>
                <w:rFonts w:ascii="Arial Narrow" w:hAnsi="Arial Narrow"/>
                <w:b/>
                <w:sz w:val="20"/>
                <w:szCs w:val="20"/>
              </w:rPr>
            </w:pPr>
            <w:r w:rsidRPr="00DA3C6E">
              <w:rPr>
                <w:rFonts w:ascii="Arial Narrow" w:hAnsi="Arial Narrow"/>
                <w:b/>
                <w:sz w:val="20"/>
                <w:szCs w:val="20"/>
              </w:rPr>
              <w:t>Hahn et al. 2013</w:t>
            </w:r>
            <w:r w:rsidR="003C5E4A">
              <w:rPr>
                <w:rFonts w:ascii="Arial Narrow" w:hAnsi="Arial Narrow"/>
                <w:b/>
                <w:sz w:val="20"/>
                <w:szCs w:val="20"/>
              </w:rPr>
              <w:t xml:space="preserve"> </w:t>
            </w:r>
            <w:r w:rsidR="00DB568A" w:rsidRPr="00DA3C6E">
              <w:rPr>
                <w:rFonts w:ascii="Arial Narrow" w:hAnsi="Arial Narrow"/>
                <w:b/>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sz w:val="20"/>
                <w:szCs w:val="20"/>
              </w:rPr>
              <w:instrText xml:space="preserve"> ADDIN EN.CITE </w:instrText>
            </w:r>
            <w:r w:rsidR="00DB568A" w:rsidRPr="00DA3C6E">
              <w:rPr>
                <w:rFonts w:ascii="Arial Narrow" w:hAnsi="Arial Narrow"/>
                <w:b/>
                <w:sz w:val="20"/>
                <w:szCs w:val="20"/>
              </w:rPr>
              <w:fldChar w:fldCharType="begin">
                <w:fldData xml:space="preserve">PEVuZE5vdGU+PENpdGU+PEF1dGhvcj5IYWhuPC9BdXRob3I+PFllYXI+MjAxMzwvWWVhcj48UmVj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</w:fldData>
              </w:fldChar>
            </w:r>
            <w:r w:rsidR="00DB568A" w:rsidRPr="00DA3C6E">
              <w:rPr>
                <w:rFonts w:ascii="Arial Narrow" w:hAnsi="Arial Narrow"/>
                <w:b/>
                <w:sz w:val="20"/>
                <w:szCs w:val="20"/>
              </w:rPr>
              <w:instrText xml:space="preserve"> ADDIN EN.CITE.DATA </w:instrText>
            </w:r>
            <w:r w:rsidR="00DB568A" w:rsidRPr="00DA3C6E">
              <w:rPr>
                <w:rFonts w:ascii="Arial Narrow" w:hAnsi="Arial Narrow"/>
                <w:b/>
                <w:sz w:val="20"/>
                <w:szCs w:val="20"/>
              </w:rPr>
            </w:r>
            <w:r w:rsidR="00DB568A" w:rsidRPr="00DA3C6E">
              <w:rPr>
                <w:rFonts w:ascii="Arial Narrow" w:hAnsi="Arial Narrow"/>
                <w:b/>
                <w:sz w:val="20"/>
                <w:szCs w:val="20"/>
              </w:rPr>
              <w:fldChar w:fldCharType="end"/>
            </w:r>
            <w:r w:rsidR="00DB568A" w:rsidRPr="00DA3C6E">
              <w:rPr>
                <w:rFonts w:ascii="Arial Narrow" w:hAnsi="Arial Narrow"/>
                <w:b/>
                <w:sz w:val="20"/>
                <w:szCs w:val="20"/>
              </w:rPr>
            </w:r>
            <w:r w:rsidR="00DB568A" w:rsidRPr="00DA3C6E">
              <w:rPr>
                <w:rFonts w:ascii="Arial Narrow" w:hAnsi="Arial Narrow"/>
                <w:b/>
                <w:sz w:val="20"/>
                <w:szCs w:val="20"/>
              </w:rPr>
              <w:fldChar w:fldCharType="separate"/>
            </w:r>
            <w:r w:rsidR="00DB568A" w:rsidRPr="00DA3C6E">
              <w:rPr>
                <w:rFonts w:ascii="Arial Narrow" w:hAnsi="Arial Narrow"/>
                <w:b/>
                <w:noProof/>
                <w:sz w:val="20"/>
                <w:szCs w:val="20"/>
              </w:rPr>
              <w:t>(</w:t>
            </w:r>
            <w:hyperlink w:anchor="_ENREF_28" w:tooltip="Hahn, 2013 #26" w:history="1">
              <w:r w:rsidR="00C04BCE" w:rsidRPr="00DA3C6E">
                <w:rPr>
                  <w:rFonts w:ascii="Arial Narrow" w:hAnsi="Arial Narrow"/>
                  <w:b/>
                  <w:noProof/>
                  <w:sz w:val="20"/>
                  <w:szCs w:val="20"/>
                </w:rPr>
                <w:t>28</w:t>
              </w:r>
            </w:hyperlink>
            <w:r w:rsidR="00DB568A" w:rsidRPr="00DA3C6E">
              <w:rPr>
                <w:rFonts w:ascii="Arial Narrow" w:hAnsi="Arial Narrow"/>
                <w:b/>
                <w:noProof/>
                <w:sz w:val="20"/>
                <w:szCs w:val="20"/>
              </w:rPr>
              <w:t>)</w:t>
            </w:r>
            <w:r w:rsidR="00DB568A" w:rsidRPr="00DA3C6E">
              <w:rPr>
                <w:rFonts w:ascii="Arial Narrow" w:hAnsi="Arial Narrow"/>
                <w:b/>
                <w:sz w:val="20"/>
                <w:szCs w:val="20"/>
              </w:rPr>
              <w:fldChar w:fldCharType="end"/>
            </w:r>
          </w:p>
        </w:tc>
      </w:tr>
      <w:tr w:rsidR="000B06F3" w:rsidRPr="00DA3C6E" w14:paraId="5E85C0D2" w14:textId="77777777" w:rsidTr="00740643">
        <w:tc>
          <w:tcPr>
            <w:tcW w:w="2689" w:type="dxa"/>
          </w:tcPr>
          <w:p w14:paraId="16CF558F" w14:textId="77777777" w:rsidR="000B06F3" w:rsidRPr="00DA3C6E" w:rsidRDefault="000B06F3" w:rsidP="00740643">
            <w:pPr>
              <w:spacing w:after="0" w:line="240" w:lineRule="auto"/>
              <w:ind w:left="0"/>
              <w:rPr>
                <w:rFonts w:ascii="Arial Narrow" w:hAnsi="Arial Narrow"/>
                <w:b/>
                <w:sz w:val="20"/>
                <w:szCs w:val="20"/>
              </w:rPr>
            </w:pPr>
            <w:r w:rsidRPr="00DA3C6E">
              <w:rPr>
                <w:rFonts w:ascii="Arial Narrow" w:hAnsi="Arial Narrow"/>
                <w:b/>
                <w:sz w:val="20"/>
                <w:szCs w:val="20"/>
              </w:rPr>
              <w:t>Selection bias</w:t>
            </w:r>
          </w:p>
        </w:tc>
        <w:tc>
          <w:tcPr>
            <w:tcW w:w="2268" w:type="dxa"/>
          </w:tcPr>
          <w:p w14:paraId="2B12099F" w14:textId="77777777" w:rsidR="000B06F3" w:rsidRPr="00DA3C6E" w:rsidRDefault="000B06F3" w:rsidP="00740643">
            <w:pPr>
              <w:spacing w:after="0" w:line="240" w:lineRule="auto"/>
              <w:rPr>
                <w:rFonts w:ascii="Arial Narrow" w:hAnsi="Arial Narrow"/>
                <w:sz w:val="20"/>
                <w:szCs w:val="20"/>
              </w:rPr>
            </w:pPr>
          </w:p>
        </w:tc>
        <w:tc>
          <w:tcPr>
            <w:tcW w:w="2126" w:type="dxa"/>
          </w:tcPr>
          <w:p w14:paraId="6E07D4DA" w14:textId="77777777" w:rsidR="000B06F3" w:rsidRPr="00DA3C6E" w:rsidRDefault="000B06F3" w:rsidP="00740643">
            <w:pPr>
              <w:spacing w:after="0" w:line="240" w:lineRule="auto"/>
              <w:rPr>
                <w:rFonts w:ascii="Arial Narrow" w:hAnsi="Arial Narrow"/>
                <w:sz w:val="20"/>
                <w:szCs w:val="20"/>
              </w:rPr>
            </w:pPr>
          </w:p>
        </w:tc>
        <w:tc>
          <w:tcPr>
            <w:tcW w:w="2551" w:type="dxa"/>
          </w:tcPr>
          <w:p w14:paraId="3D7DA2F6" w14:textId="77777777" w:rsidR="000B06F3" w:rsidRPr="00DA3C6E" w:rsidRDefault="000B06F3" w:rsidP="00740643">
            <w:pPr>
              <w:spacing w:after="0" w:line="240" w:lineRule="auto"/>
              <w:rPr>
                <w:rFonts w:ascii="Arial Narrow" w:hAnsi="Arial Narrow"/>
                <w:sz w:val="20"/>
                <w:szCs w:val="20"/>
              </w:rPr>
            </w:pPr>
          </w:p>
        </w:tc>
        <w:tc>
          <w:tcPr>
            <w:tcW w:w="2127" w:type="dxa"/>
          </w:tcPr>
          <w:p w14:paraId="17E18346" w14:textId="77777777" w:rsidR="000B06F3" w:rsidRPr="00DA3C6E" w:rsidRDefault="000B06F3" w:rsidP="00740643">
            <w:pPr>
              <w:spacing w:after="0" w:line="240" w:lineRule="auto"/>
              <w:rPr>
                <w:rFonts w:ascii="Arial Narrow" w:hAnsi="Arial Narrow"/>
                <w:sz w:val="20"/>
                <w:szCs w:val="20"/>
              </w:rPr>
            </w:pPr>
          </w:p>
        </w:tc>
        <w:tc>
          <w:tcPr>
            <w:tcW w:w="2187" w:type="dxa"/>
          </w:tcPr>
          <w:p w14:paraId="4175C7FB" w14:textId="77777777" w:rsidR="000B06F3" w:rsidRPr="00DA3C6E" w:rsidRDefault="000B06F3" w:rsidP="00740643">
            <w:pPr>
              <w:spacing w:after="0" w:line="240" w:lineRule="auto"/>
              <w:rPr>
                <w:rFonts w:ascii="Arial Narrow" w:hAnsi="Arial Narrow"/>
                <w:sz w:val="20"/>
                <w:szCs w:val="20"/>
              </w:rPr>
            </w:pPr>
          </w:p>
        </w:tc>
      </w:tr>
      <w:tr w:rsidR="000B06F3" w:rsidRPr="00DA3C6E" w14:paraId="19F3B972" w14:textId="77777777" w:rsidTr="00740643">
        <w:tc>
          <w:tcPr>
            <w:tcW w:w="2689" w:type="dxa"/>
          </w:tcPr>
          <w:p w14:paraId="4C4333E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b/>
                <w:sz w:val="20"/>
                <w:szCs w:val="20"/>
              </w:rPr>
              <w:t>Random sequence generation -</w:t>
            </w:r>
            <w:r w:rsidRPr="00DA3C6E">
              <w:rPr>
                <w:rFonts w:ascii="Arial Narrow" w:hAnsi="Arial Narrow" w:cs="Arial"/>
                <w:b/>
                <w:snapToGrid w:val="0"/>
                <w:sz w:val="20"/>
                <w:szCs w:val="20"/>
              </w:rPr>
              <w:t xml:space="preserve"> </w:t>
            </w:r>
            <w:r w:rsidRPr="00DA3C6E">
              <w:rPr>
                <w:rFonts w:ascii="Arial Narrow" w:hAnsi="Arial Narrow"/>
                <w:sz w:val="20"/>
                <w:szCs w:val="20"/>
              </w:rPr>
              <w:t xml:space="preserve">biased allocation to interventions due to inadequate randomisation </w:t>
            </w:r>
          </w:p>
        </w:tc>
        <w:tc>
          <w:tcPr>
            <w:tcW w:w="2268" w:type="dxa"/>
          </w:tcPr>
          <w:p w14:paraId="492BB355"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Some concerns</w:t>
            </w:r>
          </w:p>
          <w:p w14:paraId="2C8BB279" w14:textId="77777777" w:rsidR="000B06F3" w:rsidRPr="00DA3C6E" w:rsidRDefault="000B06F3" w:rsidP="008A5F97">
            <w:pPr>
              <w:spacing w:after="0" w:line="240" w:lineRule="auto"/>
              <w:jc w:val="left"/>
              <w:rPr>
                <w:rFonts w:ascii="Arial Narrow" w:hAnsi="Arial Narrow"/>
                <w:sz w:val="20"/>
                <w:szCs w:val="20"/>
              </w:rPr>
            </w:pPr>
          </w:p>
          <w:p w14:paraId="064AA9B2"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Authors did not mention any form of randomisation</w:t>
            </w:r>
          </w:p>
        </w:tc>
        <w:tc>
          <w:tcPr>
            <w:tcW w:w="2126" w:type="dxa"/>
          </w:tcPr>
          <w:p w14:paraId="795CCE0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7859D85B" w14:textId="77777777" w:rsidR="000B06F3" w:rsidRPr="00DA3C6E" w:rsidRDefault="000B06F3" w:rsidP="008A5F97">
            <w:pPr>
              <w:spacing w:after="0" w:line="240" w:lineRule="auto"/>
              <w:jc w:val="left"/>
              <w:rPr>
                <w:rFonts w:ascii="Arial Narrow" w:hAnsi="Arial Narrow"/>
                <w:sz w:val="20"/>
                <w:szCs w:val="20"/>
              </w:rPr>
            </w:pPr>
          </w:p>
          <w:p w14:paraId="29CE233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Authors noted that patients were randomised but did not state the randomisation method</w:t>
            </w:r>
          </w:p>
        </w:tc>
        <w:tc>
          <w:tcPr>
            <w:tcW w:w="2551" w:type="dxa"/>
          </w:tcPr>
          <w:p w14:paraId="64295D60"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21F023C3" w14:textId="77777777" w:rsidR="000B06F3" w:rsidRPr="00DA3C6E" w:rsidRDefault="000B06F3" w:rsidP="008A5F97">
            <w:pPr>
              <w:spacing w:after="0" w:line="240" w:lineRule="auto"/>
              <w:jc w:val="left"/>
              <w:rPr>
                <w:rFonts w:ascii="Arial Narrow" w:hAnsi="Arial Narrow"/>
                <w:sz w:val="20"/>
                <w:szCs w:val="20"/>
              </w:rPr>
            </w:pPr>
          </w:p>
          <w:p w14:paraId="1498BB4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Treatment order was assigned to each patient individually using a random number generator.</w:t>
            </w:r>
          </w:p>
        </w:tc>
        <w:tc>
          <w:tcPr>
            <w:tcW w:w="2127" w:type="dxa"/>
          </w:tcPr>
          <w:p w14:paraId="425602B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Low </w:t>
            </w:r>
          </w:p>
          <w:p w14:paraId="78B2F17B" w14:textId="77777777" w:rsidR="000B06F3" w:rsidRPr="00DA3C6E" w:rsidRDefault="000B06F3" w:rsidP="008A5F97">
            <w:pPr>
              <w:spacing w:after="0" w:line="240" w:lineRule="auto"/>
              <w:jc w:val="left"/>
              <w:rPr>
                <w:rFonts w:ascii="Arial Narrow" w:hAnsi="Arial Narrow"/>
                <w:sz w:val="20"/>
                <w:szCs w:val="20"/>
              </w:rPr>
            </w:pPr>
          </w:p>
          <w:p w14:paraId="03E6F512"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The method of randomisation was not stated in the article even though authors noted that patients were randomised.</w:t>
            </w:r>
          </w:p>
        </w:tc>
        <w:tc>
          <w:tcPr>
            <w:tcW w:w="2187" w:type="dxa"/>
          </w:tcPr>
          <w:p w14:paraId="4E5470E8"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187C450F" w14:textId="77777777" w:rsidR="000B06F3" w:rsidRPr="00DA3C6E" w:rsidRDefault="000B06F3" w:rsidP="008A5F97">
            <w:pPr>
              <w:spacing w:after="0" w:line="240" w:lineRule="auto"/>
              <w:jc w:val="left"/>
              <w:rPr>
                <w:rFonts w:ascii="Arial Narrow" w:hAnsi="Arial Narrow"/>
                <w:sz w:val="20"/>
                <w:szCs w:val="20"/>
              </w:rPr>
            </w:pPr>
          </w:p>
          <w:p w14:paraId="7271FC9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Randomisation was carried out using a randomisation code by the sponsor.</w:t>
            </w:r>
          </w:p>
        </w:tc>
      </w:tr>
      <w:tr w:rsidR="000B06F3" w:rsidRPr="00DA3C6E" w14:paraId="1AADC5E5" w14:textId="77777777" w:rsidTr="00740643">
        <w:tc>
          <w:tcPr>
            <w:tcW w:w="2689" w:type="dxa"/>
          </w:tcPr>
          <w:p w14:paraId="361E11AC" w14:textId="77777777" w:rsidR="000B06F3" w:rsidRPr="00DA3C6E" w:rsidRDefault="000B06F3" w:rsidP="008A5F97">
            <w:pPr>
              <w:spacing w:after="0" w:line="240" w:lineRule="auto"/>
              <w:ind w:left="0"/>
              <w:jc w:val="left"/>
              <w:rPr>
                <w:rFonts w:ascii="Arial Narrow" w:hAnsi="Arial Narrow"/>
                <w:b/>
                <w:sz w:val="20"/>
                <w:szCs w:val="20"/>
              </w:rPr>
            </w:pPr>
            <w:r w:rsidRPr="00DA3C6E">
              <w:rPr>
                <w:rFonts w:ascii="Arial Narrow" w:hAnsi="Arial Narrow"/>
                <w:b/>
                <w:sz w:val="20"/>
                <w:szCs w:val="20"/>
              </w:rPr>
              <w:t xml:space="preserve">Allocation concealment – </w:t>
            </w:r>
          </w:p>
          <w:p w14:paraId="3A98C35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biased allocation to interventions due to inadequate concealment of allocations prior to assignment</w:t>
            </w:r>
          </w:p>
        </w:tc>
        <w:tc>
          <w:tcPr>
            <w:tcW w:w="2268" w:type="dxa"/>
          </w:tcPr>
          <w:p w14:paraId="118B6C0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Some concerns</w:t>
            </w:r>
          </w:p>
          <w:p w14:paraId="2CBC0696" w14:textId="77777777" w:rsidR="000B06F3" w:rsidRPr="00DA3C6E" w:rsidRDefault="000B06F3" w:rsidP="008A5F97">
            <w:pPr>
              <w:spacing w:after="0" w:line="240" w:lineRule="auto"/>
              <w:jc w:val="left"/>
              <w:rPr>
                <w:rFonts w:ascii="Arial Narrow" w:hAnsi="Arial Narrow"/>
                <w:sz w:val="20"/>
                <w:szCs w:val="20"/>
              </w:rPr>
            </w:pPr>
          </w:p>
          <w:p w14:paraId="44556B41"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Nurses who administered treatment were independent of the study, however, this information is insufficient to assess concealment as it remains unclear if nurses and other study personnel were blinded to treatment or not.</w:t>
            </w:r>
          </w:p>
        </w:tc>
        <w:tc>
          <w:tcPr>
            <w:tcW w:w="2126" w:type="dxa"/>
          </w:tcPr>
          <w:p w14:paraId="1C007063"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57E43C49" w14:textId="77777777" w:rsidR="000B06F3" w:rsidRPr="00DA3C6E" w:rsidRDefault="000B06F3" w:rsidP="008A5F97">
            <w:pPr>
              <w:spacing w:after="0" w:line="240" w:lineRule="auto"/>
              <w:jc w:val="left"/>
              <w:rPr>
                <w:rFonts w:ascii="Arial Narrow" w:hAnsi="Arial Narrow"/>
                <w:sz w:val="20"/>
                <w:szCs w:val="20"/>
              </w:rPr>
            </w:pPr>
          </w:p>
          <w:p w14:paraId="69E9B0C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Patients and physicians were blinded to the treatment</w:t>
            </w:r>
          </w:p>
        </w:tc>
        <w:tc>
          <w:tcPr>
            <w:tcW w:w="2551" w:type="dxa"/>
          </w:tcPr>
          <w:p w14:paraId="4530CB71"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Low </w:t>
            </w:r>
          </w:p>
          <w:p w14:paraId="7BF98A82" w14:textId="77777777" w:rsidR="000B06F3" w:rsidRPr="00DA3C6E" w:rsidRDefault="000B06F3" w:rsidP="008A5F97">
            <w:pPr>
              <w:spacing w:after="0" w:line="240" w:lineRule="auto"/>
              <w:jc w:val="left"/>
              <w:rPr>
                <w:rFonts w:ascii="Arial Narrow" w:hAnsi="Arial Narrow"/>
                <w:sz w:val="20"/>
                <w:szCs w:val="20"/>
              </w:rPr>
            </w:pPr>
          </w:p>
          <w:p w14:paraId="2F43A2FA"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Actual treatment protocol was blinded to neurologist, electromyographer and treating nurses</w:t>
            </w:r>
          </w:p>
        </w:tc>
        <w:tc>
          <w:tcPr>
            <w:tcW w:w="2127" w:type="dxa"/>
          </w:tcPr>
          <w:p w14:paraId="50D00D23"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5894DA05" w14:textId="77777777" w:rsidR="000B06F3" w:rsidRPr="00DA3C6E" w:rsidRDefault="000B06F3" w:rsidP="008A5F97">
            <w:pPr>
              <w:spacing w:after="0" w:line="240" w:lineRule="auto"/>
              <w:jc w:val="left"/>
              <w:rPr>
                <w:rFonts w:ascii="Arial Narrow" w:hAnsi="Arial Narrow"/>
                <w:sz w:val="20"/>
                <w:szCs w:val="20"/>
              </w:rPr>
            </w:pPr>
          </w:p>
          <w:p w14:paraId="617CD7A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Authors noted that study was double-blinded, although sufficient information was not presented on how and who was blinded.</w:t>
            </w:r>
          </w:p>
        </w:tc>
        <w:tc>
          <w:tcPr>
            <w:tcW w:w="2187" w:type="dxa"/>
          </w:tcPr>
          <w:p w14:paraId="0D69A90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2985AA4A" w14:textId="77777777" w:rsidR="000B06F3" w:rsidRPr="00DA3C6E" w:rsidRDefault="000B06F3" w:rsidP="008A5F97">
            <w:pPr>
              <w:spacing w:after="0" w:line="240" w:lineRule="auto"/>
              <w:jc w:val="left"/>
              <w:rPr>
                <w:rFonts w:ascii="Arial Narrow" w:hAnsi="Arial Narrow"/>
                <w:sz w:val="20"/>
                <w:szCs w:val="20"/>
              </w:rPr>
            </w:pPr>
          </w:p>
          <w:p w14:paraId="07E2965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All patients, investigators and the sponsor were blinded during the entire study.</w:t>
            </w:r>
          </w:p>
        </w:tc>
      </w:tr>
      <w:tr w:rsidR="000B06F3" w:rsidRPr="00DA3C6E" w14:paraId="25A485B2" w14:textId="77777777" w:rsidTr="00740643">
        <w:tc>
          <w:tcPr>
            <w:tcW w:w="2689" w:type="dxa"/>
          </w:tcPr>
          <w:p w14:paraId="178DB092" w14:textId="77777777" w:rsidR="000B06F3" w:rsidRPr="00DA3C6E" w:rsidRDefault="000B06F3" w:rsidP="008A5F97">
            <w:pPr>
              <w:spacing w:after="0" w:line="240" w:lineRule="auto"/>
              <w:ind w:left="0"/>
              <w:jc w:val="left"/>
              <w:rPr>
                <w:rFonts w:ascii="Arial Narrow" w:hAnsi="Arial Narrow"/>
                <w:b/>
                <w:sz w:val="20"/>
                <w:szCs w:val="20"/>
              </w:rPr>
            </w:pPr>
            <w:r w:rsidRPr="00DA3C6E">
              <w:rPr>
                <w:rFonts w:ascii="Arial Narrow" w:hAnsi="Arial Narrow"/>
                <w:b/>
                <w:sz w:val="20"/>
                <w:szCs w:val="20"/>
              </w:rPr>
              <w:t xml:space="preserve">Performance bias </w:t>
            </w:r>
          </w:p>
        </w:tc>
        <w:tc>
          <w:tcPr>
            <w:tcW w:w="2268" w:type="dxa"/>
          </w:tcPr>
          <w:p w14:paraId="31BB845E" w14:textId="77777777" w:rsidR="000B06F3" w:rsidRPr="00DA3C6E" w:rsidRDefault="000B06F3" w:rsidP="008A5F97">
            <w:pPr>
              <w:spacing w:after="0" w:line="240" w:lineRule="auto"/>
              <w:jc w:val="left"/>
              <w:rPr>
                <w:rFonts w:ascii="Arial Narrow" w:hAnsi="Arial Narrow"/>
                <w:sz w:val="20"/>
                <w:szCs w:val="20"/>
              </w:rPr>
            </w:pPr>
          </w:p>
        </w:tc>
        <w:tc>
          <w:tcPr>
            <w:tcW w:w="2126" w:type="dxa"/>
          </w:tcPr>
          <w:p w14:paraId="01D1CDE3" w14:textId="77777777" w:rsidR="000B06F3" w:rsidRPr="00DA3C6E" w:rsidRDefault="000B06F3" w:rsidP="008A5F97">
            <w:pPr>
              <w:spacing w:after="0" w:line="240" w:lineRule="auto"/>
              <w:jc w:val="left"/>
              <w:rPr>
                <w:rFonts w:ascii="Arial Narrow" w:hAnsi="Arial Narrow"/>
                <w:sz w:val="20"/>
                <w:szCs w:val="20"/>
              </w:rPr>
            </w:pPr>
          </w:p>
        </w:tc>
        <w:tc>
          <w:tcPr>
            <w:tcW w:w="2551" w:type="dxa"/>
          </w:tcPr>
          <w:p w14:paraId="68D438BB" w14:textId="77777777" w:rsidR="000B06F3" w:rsidRPr="00DA3C6E" w:rsidRDefault="000B06F3" w:rsidP="008A5F97">
            <w:pPr>
              <w:spacing w:after="0" w:line="240" w:lineRule="auto"/>
              <w:jc w:val="left"/>
              <w:rPr>
                <w:rFonts w:ascii="Arial Narrow" w:hAnsi="Arial Narrow"/>
                <w:sz w:val="20"/>
                <w:szCs w:val="20"/>
              </w:rPr>
            </w:pPr>
          </w:p>
        </w:tc>
        <w:tc>
          <w:tcPr>
            <w:tcW w:w="2127" w:type="dxa"/>
          </w:tcPr>
          <w:p w14:paraId="309151C7" w14:textId="77777777" w:rsidR="000B06F3" w:rsidRPr="00DA3C6E" w:rsidRDefault="000B06F3" w:rsidP="008A5F97">
            <w:pPr>
              <w:spacing w:after="0" w:line="240" w:lineRule="auto"/>
              <w:jc w:val="left"/>
              <w:rPr>
                <w:rFonts w:ascii="Arial Narrow" w:hAnsi="Arial Narrow"/>
                <w:sz w:val="20"/>
                <w:szCs w:val="20"/>
              </w:rPr>
            </w:pPr>
          </w:p>
        </w:tc>
        <w:tc>
          <w:tcPr>
            <w:tcW w:w="2187" w:type="dxa"/>
          </w:tcPr>
          <w:p w14:paraId="51FB02BA" w14:textId="77777777" w:rsidR="000B06F3" w:rsidRPr="00DA3C6E" w:rsidRDefault="000B06F3" w:rsidP="008A5F97">
            <w:pPr>
              <w:spacing w:after="0" w:line="240" w:lineRule="auto"/>
              <w:jc w:val="left"/>
              <w:rPr>
                <w:rFonts w:ascii="Arial Narrow" w:hAnsi="Arial Narrow"/>
                <w:sz w:val="20"/>
                <w:szCs w:val="20"/>
              </w:rPr>
            </w:pPr>
          </w:p>
        </w:tc>
      </w:tr>
      <w:tr w:rsidR="000B06F3" w:rsidRPr="00DA3C6E" w14:paraId="5CB464C3" w14:textId="77777777" w:rsidTr="008651E8">
        <w:tc>
          <w:tcPr>
            <w:tcW w:w="2689" w:type="dxa"/>
          </w:tcPr>
          <w:p w14:paraId="33A9B543"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b/>
                <w:sz w:val="20"/>
                <w:szCs w:val="20"/>
              </w:rPr>
              <w:t>Blinding of participants and personnel –</w:t>
            </w:r>
            <w:r w:rsidRPr="00DA3C6E">
              <w:rPr>
                <w:rFonts w:ascii="Arial Narrow" w:hAnsi="Arial Narrow"/>
                <w:sz w:val="20"/>
                <w:szCs w:val="20"/>
              </w:rPr>
              <w:t xml:space="preserve"> performance bias due to knowledge of the allocated interventions by participants and personnel during the study</w:t>
            </w:r>
          </w:p>
        </w:tc>
        <w:tc>
          <w:tcPr>
            <w:tcW w:w="2268" w:type="dxa"/>
          </w:tcPr>
          <w:p w14:paraId="109B9CA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Some concerns</w:t>
            </w:r>
          </w:p>
          <w:p w14:paraId="3CD4F620" w14:textId="77777777" w:rsidR="000B06F3" w:rsidRPr="00DA3C6E" w:rsidRDefault="000B06F3" w:rsidP="008A5F97">
            <w:pPr>
              <w:spacing w:after="0" w:line="240" w:lineRule="auto"/>
              <w:jc w:val="left"/>
              <w:rPr>
                <w:rFonts w:ascii="Arial Narrow" w:hAnsi="Arial Narrow"/>
                <w:sz w:val="20"/>
                <w:szCs w:val="20"/>
              </w:rPr>
            </w:pPr>
          </w:p>
          <w:p w14:paraId="50F30C7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Nurse who administered treatment was independent of the study but there is insufficient information to assess if participants and other personnel were blinded. </w:t>
            </w:r>
          </w:p>
        </w:tc>
        <w:tc>
          <w:tcPr>
            <w:tcW w:w="2126" w:type="dxa"/>
          </w:tcPr>
          <w:p w14:paraId="1731AE63"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67FBC32F" w14:textId="77777777" w:rsidR="000B06F3" w:rsidRPr="00DA3C6E" w:rsidRDefault="000B06F3" w:rsidP="008A5F97">
            <w:pPr>
              <w:spacing w:after="0" w:line="240" w:lineRule="auto"/>
              <w:jc w:val="left"/>
              <w:rPr>
                <w:rFonts w:ascii="Arial Narrow" w:hAnsi="Arial Narrow"/>
                <w:sz w:val="20"/>
                <w:szCs w:val="20"/>
              </w:rPr>
            </w:pPr>
          </w:p>
          <w:p w14:paraId="407BDD42"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Patients and physicians were blinded to the treatment</w:t>
            </w:r>
          </w:p>
        </w:tc>
        <w:tc>
          <w:tcPr>
            <w:tcW w:w="2551" w:type="dxa"/>
            <w:shd w:val="clear" w:color="auto" w:fill="auto"/>
          </w:tcPr>
          <w:p w14:paraId="6AE3F821"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46B2EAF2" w14:textId="77777777" w:rsidR="000B06F3" w:rsidRPr="00DA3C6E" w:rsidRDefault="000B06F3" w:rsidP="008A5F97">
            <w:pPr>
              <w:spacing w:after="0" w:line="240" w:lineRule="auto"/>
              <w:jc w:val="left"/>
              <w:rPr>
                <w:rFonts w:ascii="Arial Narrow" w:hAnsi="Arial Narrow"/>
                <w:sz w:val="20"/>
                <w:szCs w:val="20"/>
              </w:rPr>
            </w:pPr>
          </w:p>
          <w:p w14:paraId="58EC218D"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Study participants, neurologist, electromyographer and treating nurses were blinded to treatment. It should be noted that there could be a potential for unmasking of treatment order in some patients given the </w:t>
            </w:r>
            <w:r w:rsidRPr="00DA3C6E">
              <w:rPr>
                <w:rFonts w:ascii="Arial Narrow" w:hAnsi="Arial Narrow"/>
                <w:sz w:val="20"/>
                <w:szCs w:val="20"/>
              </w:rPr>
              <w:lastRenderedPageBreak/>
              <w:t>AE profile of  intravenous Ig the adverse effects, even though authors note that blinding code was broken at the end of the trial. In addition, the study protocol allowed for patients who remained unchanged or deteriorated to cross over into the second arm on day 28. Patients who improved on day 28 did not enter the second arm until the above measures returned back to the baseline levels. This could lead to unmasking.</w:t>
            </w:r>
          </w:p>
        </w:tc>
        <w:tc>
          <w:tcPr>
            <w:tcW w:w="2127" w:type="dxa"/>
          </w:tcPr>
          <w:p w14:paraId="75CFFDA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Low</w:t>
            </w:r>
          </w:p>
          <w:p w14:paraId="4743E5C9" w14:textId="77777777" w:rsidR="000B06F3" w:rsidRPr="00DA3C6E" w:rsidRDefault="000B06F3" w:rsidP="008A5F97">
            <w:pPr>
              <w:spacing w:after="0" w:line="240" w:lineRule="auto"/>
              <w:jc w:val="left"/>
              <w:rPr>
                <w:rFonts w:ascii="Arial Narrow" w:hAnsi="Arial Narrow"/>
                <w:sz w:val="20"/>
                <w:szCs w:val="20"/>
              </w:rPr>
            </w:pPr>
          </w:p>
          <w:p w14:paraId="12D32750"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Authors noted that study was double-blinded, although insufficient information was presented on how and who was blinded. However, it can be </w:t>
            </w:r>
            <w:r w:rsidRPr="00DA3C6E">
              <w:rPr>
                <w:rFonts w:ascii="Arial Narrow" w:hAnsi="Arial Narrow"/>
                <w:sz w:val="20"/>
                <w:szCs w:val="20"/>
              </w:rPr>
              <w:lastRenderedPageBreak/>
              <w:t>inferred from this statement in the paper ‘all patients had a double-blind clinical evaluation’, that evaluators and patients were blinded to the treatment. The potential for unmasking due to AEs was disregarded by the authors.</w:t>
            </w:r>
          </w:p>
        </w:tc>
        <w:tc>
          <w:tcPr>
            <w:tcW w:w="2187" w:type="dxa"/>
          </w:tcPr>
          <w:p w14:paraId="4997F2F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Low</w:t>
            </w:r>
          </w:p>
          <w:p w14:paraId="6551C653" w14:textId="77777777" w:rsidR="000B06F3" w:rsidRPr="00DA3C6E" w:rsidRDefault="000B06F3" w:rsidP="008A5F97">
            <w:pPr>
              <w:spacing w:after="0" w:line="240" w:lineRule="auto"/>
              <w:jc w:val="left"/>
              <w:rPr>
                <w:rFonts w:ascii="Arial Narrow" w:hAnsi="Arial Narrow"/>
                <w:sz w:val="20"/>
                <w:szCs w:val="20"/>
              </w:rPr>
            </w:pPr>
          </w:p>
          <w:p w14:paraId="0D324602"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Study personnel, sponsors and patients were blinded during the study period.</w:t>
            </w:r>
          </w:p>
        </w:tc>
      </w:tr>
      <w:tr w:rsidR="000B06F3" w:rsidRPr="00DA3C6E" w14:paraId="1F08275D" w14:textId="77777777" w:rsidTr="00740643">
        <w:tc>
          <w:tcPr>
            <w:tcW w:w="2689" w:type="dxa"/>
          </w:tcPr>
          <w:p w14:paraId="0F8A62D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Detection bias</w:t>
            </w:r>
          </w:p>
        </w:tc>
        <w:tc>
          <w:tcPr>
            <w:tcW w:w="2268" w:type="dxa"/>
          </w:tcPr>
          <w:p w14:paraId="4AFF597A" w14:textId="77777777" w:rsidR="000B06F3" w:rsidRPr="00DA3C6E" w:rsidRDefault="000B06F3" w:rsidP="008A5F97">
            <w:pPr>
              <w:spacing w:after="0" w:line="240" w:lineRule="auto"/>
              <w:jc w:val="left"/>
              <w:rPr>
                <w:rFonts w:ascii="Arial Narrow" w:hAnsi="Arial Narrow"/>
                <w:sz w:val="20"/>
                <w:szCs w:val="20"/>
              </w:rPr>
            </w:pPr>
          </w:p>
        </w:tc>
        <w:tc>
          <w:tcPr>
            <w:tcW w:w="2126" w:type="dxa"/>
          </w:tcPr>
          <w:p w14:paraId="41188911" w14:textId="77777777" w:rsidR="000B06F3" w:rsidRPr="00DA3C6E" w:rsidRDefault="000B06F3" w:rsidP="008A5F97">
            <w:pPr>
              <w:spacing w:after="0" w:line="240" w:lineRule="auto"/>
              <w:jc w:val="left"/>
              <w:rPr>
                <w:rFonts w:ascii="Arial Narrow" w:hAnsi="Arial Narrow"/>
                <w:sz w:val="20"/>
                <w:szCs w:val="20"/>
              </w:rPr>
            </w:pPr>
          </w:p>
        </w:tc>
        <w:tc>
          <w:tcPr>
            <w:tcW w:w="2551" w:type="dxa"/>
          </w:tcPr>
          <w:p w14:paraId="654F32A8" w14:textId="77777777" w:rsidR="000B06F3" w:rsidRPr="00DA3C6E" w:rsidRDefault="000B06F3" w:rsidP="008A5F97">
            <w:pPr>
              <w:spacing w:after="0" w:line="240" w:lineRule="auto"/>
              <w:jc w:val="left"/>
              <w:rPr>
                <w:rFonts w:ascii="Arial Narrow" w:hAnsi="Arial Narrow"/>
                <w:sz w:val="20"/>
                <w:szCs w:val="20"/>
              </w:rPr>
            </w:pPr>
          </w:p>
        </w:tc>
        <w:tc>
          <w:tcPr>
            <w:tcW w:w="2127" w:type="dxa"/>
          </w:tcPr>
          <w:p w14:paraId="2A573CEF" w14:textId="77777777" w:rsidR="000B06F3" w:rsidRPr="00DA3C6E" w:rsidRDefault="000B06F3" w:rsidP="008A5F97">
            <w:pPr>
              <w:spacing w:after="0" w:line="240" w:lineRule="auto"/>
              <w:jc w:val="left"/>
              <w:rPr>
                <w:rFonts w:ascii="Arial Narrow" w:hAnsi="Arial Narrow"/>
                <w:sz w:val="20"/>
                <w:szCs w:val="20"/>
              </w:rPr>
            </w:pPr>
          </w:p>
        </w:tc>
        <w:tc>
          <w:tcPr>
            <w:tcW w:w="2187" w:type="dxa"/>
          </w:tcPr>
          <w:p w14:paraId="6FC977DC" w14:textId="77777777" w:rsidR="000B06F3" w:rsidRPr="00DA3C6E" w:rsidRDefault="000B06F3" w:rsidP="008A5F97">
            <w:pPr>
              <w:spacing w:after="0" w:line="240" w:lineRule="auto"/>
              <w:jc w:val="left"/>
              <w:rPr>
                <w:rFonts w:ascii="Arial Narrow" w:hAnsi="Arial Narrow"/>
                <w:sz w:val="20"/>
                <w:szCs w:val="20"/>
              </w:rPr>
            </w:pPr>
          </w:p>
        </w:tc>
      </w:tr>
      <w:tr w:rsidR="000B06F3" w:rsidRPr="00DA3C6E" w14:paraId="0D0FA9DF" w14:textId="77777777" w:rsidTr="00740643">
        <w:tc>
          <w:tcPr>
            <w:tcW w:w="2689" w:type="dxa"/>
          </w:tcPr>
          <w:p w14:paraId="16DAD8C1"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b/>
                <w:sz w:val="20"/>
              </w:rPr>
              <w:t>Blinding of outcome assessment –</w:t>
            </w:r>
            <w:r w:rsidRPr="00DA3C6E">
              <w:rPr>
                <w:rFonts w:ascii="Arial Narrow" w:hAnsi="Arial Narrow"/>
                <w:sz w:val="20"/>
              </w:rPr>
              <w:t xml:space="preserve"> detection bias due to knowledge of the allocated  interventions by outcome assessors</w:t>
            </w:r>
          </w:p>
        </w:tc>
        <w:tc>
          <w:tcPr>
            <w:tcW w:w="2268" w:type="dxa"/>
          </w:tcPr>
          <w:p w14:paraId="64BA1FE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Some concerns</w:t>
            </w:r>
          </w:p>
          <w:p w14:paraId="5366DF2C" w14:textId="77777777" w:rsidR="000B06F3" w:rsidRPr="00DA3C6E" w:rsidRDefault="000B06F3" w:rsidP="008A5F97">
            <w:pPr>
              <w:spacing w:after="0" w:line="240" w:lineRule="auto"/>
              <w:jc w:val="left"/>
              <w:rPr>
                <w:rFonts w:ascii="Arial Narrow" w:hAnsi="Arial Narrow"/>
                <w:sz w:val="20"/>
                <w:szCs w:val="20"/>
              </w:rPr>
            </w:pPr>
          </w:p>
          <w:p w14:paraId="2C8C774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Study did not state if outcome assessors were aware or not of the treatment. </w:t>
            </w:r>
          </w:p>
        </w:tc>
        <w:tc>
          <w:tcPr>
            <w:tcW w:w="2126" w:type="dxa"/>
          </w:tcPr>
          <w:p w14:paraId="23C9700F"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01DCB3F0" w14:textId="77777777" w:rsidR="000B06F3" w:rsidRPr="00DA3C6E" w:rsidRDefault="000B06F3" w:rsidP="008A5F97">
            <w:pPr>
              <w:spacing w:after="0" w:line="240" w:lineRule="auto"/>
              <w:jc w:val="left"/>
              <w:rPr>
                <w:rFonts w:ascii="Arial Narrow" w:hAnsi="Arial Narrow"/>
                <w:sz w:val="20"/>
                <w:szCs w:val="20"/>
              </w:rPr>
            </w:pPr>
          </w:p>
          <w:p w14:paraId="0AEFB26B"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Assessors were blinded to the intervention</w:t>
            </w:r>
          </w:p>
        </w:tc>
        <w:tc>
          <w:tcPr>
            <w:tcW w:w="2551" w:type="dxa"/>
          </w:tcPr>
          <w:p w14:paraId="289C572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10C7C741" w14:textId="77777777" w:rsidR="000B06F3" w:rsidRPr="00DA3C6E" w:rsidRDefault="000B06F3" w:rsidP="008A5F97">
            <w:pPr>
              <w:spacing w:after="0" w:line="240" w:lineRule="auto"/>
              <w:jc w:val="left"/>
              <w:rPr>
                <w:rFonts w:ascii="Arial Narrow" w:hAnsi="Arial Narrow"/>
                <w:sz w:val="20"/>
                <w:szCs w:val="20"/>
              </w:rPr>
            </w:pPr>
          </w:p>
          <w:p w14:paraId="5B33C245"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Assessors were blinded to the intervention. The blinding code was broken only at the end of the trial.</w:t>
            </w:r>
          </w:p>
        </w:tc>
        <w:tc>
          <w:tcPr>
            <w:tcW w:w="2127" w:type="dxa"/>
          </w:tcPr>
          <w:p w14:paraId="6BB0B55B"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752A55F2" w14:textId="77777777" w:rsidR="000B06F3" w:rsidRPr="00DA3C6E" w:rsidRDefault="000B06F3" w:rsidP="008A5F97">
            <w:pPr>
              <w:spacing w:after="0" w:line="240" w:lineRule="auto"/>
              <w:jc w:val="left"/>
              <w:rPr>
                <w:rFonts w:ascii="Arial Narrow" w:hAnsi="Arial Narrow"/>
                <w:sz w:val="20"/>
                <w:szCs w:val="20"/>
              </w:rPr>
            </w:pPr>
          </w:p>
          <w:p w14:paraId="743028B6"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Outcome assessors were blinded to the intervention.</w:t>
            </w:r>
          </w:p>
        </w:tc>
        <w:tc>
          <w:tcPr>
            <w:tcW w:w="2187" w:type="dxa"/>
          </w:tcPr>
          <w:p w14:paraId="7696BB6F"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0FA19221" w14:textId="77777777" w:rsidR="000B06F3" w:rsidRPr="00DA3C6E" w:rsidRDefault="000B06F3" w:rsidP="008A5F97">
            <w:pPr>
              <w:spacing w:after="0" w:line="240" w:lineRule="auto"/>
              <w:jc w:val="left"/>
              <w:rPr>
                <w:rFonts w:ascii="Arial Narrow" w:hAnsi="Arial Narrow"/>
                <w:sz w:val="20"/>
                <w:szCs w:val="20"/>
              </w:rPr>
            </w:pPr>
          </w:p>
          <w:p w14:paraId="446FB8C1"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Outcome assessors were blinded to the intervention.</w:t>
            </w:r>
          </w:p>
        </w:tc>
      </w:tr>
      <w:tr w:rsidR="000B06F3" w:rsidRPr="00DA3C6E" w14:paraId="473FA8FA" w14:textId="77777777" w:rsidTr="00740643">
        <w:tc>
          <w:tcPr>
            <w:tcW w:w="2689" w:type="dxa"/>
          </w:tcPr>
          <w:p w14:paraId="2CF476C0" w14:textId="77777777" w:rsidR="000B06F3" w:rsidRPr="00DA3C6E" w:rsidRDefault="000B06F3" w:rsidP="008A5F97">
            <w:pPr>
              <w:spacing w:after="0" w:line="240" w:lineRule="auto"/>
              <w:ind w:left="0"/>
              <w:jc w:val="left"/>
              <w:rPr>
                <w:rFonts w:ascii="Arial Narrow" w:hAnsi="Arial Narrow"/>
                <w:b/>
                <w:sz w:val="20"/>
              </w:rPr>
            </w:pPr>
            <w:r w:rsidRPr="00DA3C6E">
              <w:rPr>
                <w:rFonts w:ascii="Arial Narrow" w:hAnsi="Arial Narrow"/>
                <w:b/>
                <w:sz w:val="20"/>
              </w:rPr>
              <w:t>Attrition bias</w:t>
            </w:r>
          </w:p>
        </w:tc>
        <w:tc>
          <w:tcPr>
            <w:tcW w:w="2268" w:type="dxa"/>
          </w:tcPr>
          <w:p w14:paraId="397C7A11" w14:textId="77777777" w:rsidR="000B06F3" w:rsidRPr="00DA3C6E" w:rsidRDefault="000B06F3" w:rsidP="008A5F97">
            <w:pPr>
              <w:spacing w:after="0" w:line="240" w:lineRule="auto"/>
              <w:jc w:val="left"/>
              <w:rPr>
                <w:rFonts w:ascii="Arial Narrow" w:hAnsi="Arial Narrow"/>
                <w:sz w:val="20"/>
                <w:szCs w:val="20"/>
              </w:rPr>
            </w:pPr>
          </w:p>
        </w:tc>
        <w:tc>
          <w:tcPr>
            <w:tcW w:w="2126" w:type="dxa"/>
          </w:tcPr>
          <w:p w14:paraId="7763C19A" w14:textId="77777777" w:rsidR="000B06F3" w:rsidRPr="00DA3C6E" w:rsidRDefault="000B06F3" w:rsidP="008A5F97">
            <w:pPr>
              <w:spacing w:after="0" w:line="240" w:lineRule="auto"/>
              <w:jc w:val="left"/>
              <w:rPr>
                <w:rFonts w:ascii="Arial Narrow" w:hAnsi="Arial Narrow"/>
                <w:sz w:val="20"/>
                <w:szCs w:val="20"/>
              </w:rPr>
            </w:pPr>
          </w:p>
        </w:tc>
        <w:tc>
          <w:tcPr>
            <w:tcW w:w="2551" w:type="dxa"/>
          </w:tcPr>
          <w:p w14:paraId="49073292" w14:textId="77777777" w:rsidR="000B06F3" w:rsidRPr="00DA3C6E" w:rsidRDefault="000B06F3" w:rsidP="008A5F97">
            <w:pPr>
              <w:spacing w:after="0" w:line="240" w:lineRule="auto"/>
              <w:jc w:val="left"/>
              <w:rPr>
                <w:rFonts w:ascii="Arial Narrow" w:hAnsi="Arial Narrow"/>
                <w:sz w:val="20"/>
                <w:szCs w:val="20"/>
              </w:rPr>
            </w:pPr>
          </w:p>
        </w:tc>
        <w:tc>
          <w:tcPr>
            <w:tcW w:w="2127" w:type="dxa"/>
          </w:tcPr>
          <w:p w14:paraId="342BEE2C" w14:textId="77777777" w:rsidR="000B06F3" w:rsidRPr="00DA3C6E" w:rsidRDefault="000B06F3" w:rsidP="008A5F97">
            <w:pPr>
              <w:spacing w:after="0" w:line="240" w:lineRule="auto"/>
              <w:jc w:val="left"/>
              <w:rPr>
                <w:rFonts w:ascii="Arial Narrow" w:hAnsi="Arial Narrow"/>
                <w:sz w:val="20"/>
                <w:szCs w:val="20"/>
              </w:rPr>
            </w:pPr>
          </w:p>
        </w:tc>
        <w:tc>
          <w:tcPr>
            <w:tcW w:w="2187" w:type="dxa"/>
          </w:tcPr>
          <w:p w14:paraId="145CCD60" w14:textId="77777777" w:rsidR="000B06F3" w:rsidRPr="00DA3C6E" w:rsidRDefault="000B06F3" w:rsidP="008A5F97">
            <w:pPr>
              <w:spacing w:after="0" w:line="240" w:lineRule="auto"/>
              <w:jc w:val="left"/>
              <w:rPr>
                <w:rFonts w:ascii="Arial Narrow" w:hAnsi="Arial Narrow"/>
                <w:sz w:val="20"/>
                <w:szCs w:val="20"/>
              </w:rPr>
            </w:pPr>
          </w:p>
        </w:tc>
      </w:tr>
      <w:tr w:rsidR="000B06F3" w:rsidRPr="00DA3C6E" w14:paraId="4DD985D5" w14:textId="77777777" w:rsidTr="00740643">
        <w:tc>
          <w:tcPr>
            <w:tcW w:w="2689" w:type="dxa"/>
          </w:tcPr>
          <w:p w14:paraId="70425523" w14:textId="77777777" w:rsidR="000B06F3" w:rsidRPr="00DA3C6E" w:rsidRDefault="000B06F3" w:rsidP="008A5F97">
            <w:pPr>
              <w:spacing w:after="0" w:line="240" w:lineRule="auto"/>
              <w:ind w:left="0"/>
              <w:jc w:val="left"/>
              <w:rPr>
                <w:rFonts w:ascii="Arial Narrow" w:hAnsi="Arial Narrow"/>
                <w:b/>
                <w:sz w:val="20"/>
              </w:rPr>
            </w:pPr>
            <w:r w:rsidRPr="00DA3C6E">
              <w:rPr>
                <w:rFonts w:ascii="Arial Narrow" w:hAnsi="Arial Narrow"/>
                <w:b/>
                <w:sz w:val="20"/>
              </w:rPr>
              <w:t>Incomplete outcome data –</w:t>
            </w:r>
            <w:r w:rsidRPr="00DA3C6E">
              <w:rPr>
                <w:rFonts w:ascii="Arial Narrow" w:hAnsi="Arial Narrow"/>
                <w:sz w:val="20"/>
              </w:rPr>
              <w:t xml:space="preserve"> attrition bias due to amount, nature or handling or incomplete outcome data.</w:t>
            </w:r>
          </w:p>
        </w:tc>
        <w:tc>
          <w:tcPr>
            <w:tcW w:w="2268" w:type="dxa"/>
          </w:tcPr>
          <w:p w14:paraId="3BC90325"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298A7DC8" w14:textId="77777777" w:rsidR="000B06F3" w:rsidRPr="00DA3C6E" w:rsidRDefault="000B06F3" w:rsidP="008A5F97">
            <w:pPr>
              <w:spacing w:after="0" w:line="240" w:lineRule="auto"/>
              <w:jc w:val="left"/>
              <w:rPr>
                <w:rFonts w:ascii="Arial Narrow" w:hAnsi="Arial Narrow"/>
                <w:sz w:val="20"/>
                <w:szCs w:val="20"/>
              </w:rPr>
            </w:pPr>
          </w:p>
          <w:p w14:paraId="4108253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Data was available for all study participants and all data were analysed.</w:t>
            </w:r>
          </w:p>
        </w:tc>
        <w:tc>
          <w:tcPr>
            <w:tcW w:w="2126" w:type="dxa"/>
          </w:tcPr>
          <w:p w14:paraId="70898F3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Low </w:t>
            </w:r>
          </w:p>
          <w:p w14:paraId="68482D0F" w14:textId="77777777" w:rsidR="000B06F3" w:rsidRPr="00DA3C6E" w:rsidRDefault="000B06F3" w:rsidP="008A5F97">
            <w:pPr>
              <w:spacing w:after="0" w:line="240" w:lineRule="auto"/>
              <w:jc w:val="left"/>
              <w:rPr>
                <w:rFonts w:ascii="Arial Narrow" w:hAnsi="Arial Narrow"/>
                <w:sz w:val="20"/>
                <w:szCs w:val="20"/>
              </w:rPr>
            </w:pPr>
          </w:p>
          <w:p w14:paraId="33F590DC"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Data was available for all study participants and all data were analysed.</w:t>
            </w:r>
          </w:p>
        </w:tc>
        <w:tc>
          <w:tcPr>
            <w:tcW w:w="2551" w:type="dxa"/>
          </w:tcPr>
          <w:p w14:paraId="6EC31DCA"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Low </w:t>
            </w:r>
          </w:p>
          <w:p w14:paraId="4E5AAE5E" w14:textId="77777777" w:rsidR="000B06F3" w:rsidRPr="00DA3C6E" w:rsidRDefault="000B06F3" w:rsidP="008A5F97">
            <w:pPr>
              <w:spacing w:after="0" w:line="240" w:lineRule="auto"/>
              <w:jc w:val="left"/>
              <w:rPr>
                <w:rFonts w:ascii="Arial Narrow" w:hAnsi="Arial Narrow"/>
                <w:sz w:val="20"/>
                <w:szCs w:val="20"/>
              </w:rPr>
            </w:pPr>
          </w:p>
          <w:p w14:paraId="07E019DA"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All patients completed both treatment arms; however, follow-up data was not available for 2 patients for the NDS outcome, 1 patient for grip strength, and 6 patients for electro-physiologic measures (this outcome is not considered for the evaluation hence assessment is done disregarding it). The reason for </w:t>
            </w:r>
            <w:r w:rsidRPr="00DA3C6E">
              <w:rPr>
                <w:rFonts w:ascii="Arial Narrow" w:hAnsi="Arial Narrow"/>
                <w:sz w:val="20"/>
                <w:szCs w:val="20"/>
              </w:rPr>
              <w:lastRenderedPageBreak/>
              <w:t>the incomplete follow-up data was that examining neurologists did not complete all measurements on a few occasions.</w:t>
            </w:r>
          </w:p>
        </w:tc>
        <w:tc>
          <w:tcPr>
            <w:tcW w:w="2127" w:type="dxa"/>
          </w:tcPr>
          <w:p w14:paraId="3B4C8189"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lastRenderedPageBreak/>
              <w:t>Low</w:t>
            </w:r>
          </w:p>
          <w:p w14:paraId="0112273C" w14:textId="77777777" w:rsidR="000B06F3" w:rsidRPr="00DA3C6E" w:rsidRDefault="000B06F3" w:rsidP="008A5F97">
            <w:pPr>
              <w:spacing w:after="0" w:line="240" w:lineRule="auto"/>
              <w:jc w:val="left"/>
              <w:rPr>
                <w:rFonts w:ascii="Arial Narrow" w:hAnsi="Arial Narrow"/>
                <w:sz w:val="20"/>
                <w:szCs w:val="20"/>
              </w:rPr>
            </w:pPr>
          </w:p>
          <w:p w14:paraId="3077E0B2"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One patient in the naïve group was lost to follow-up. This patient received  intravenous Ig treatment for the first treatment course and was lost to follow-up during the treatment course period, hence evaluation was not conducted.</w:t>
            </w:r>
          </w:p>
        </w:tc>
        <w:tc>
          <w:tcPr>
            <w:tcW w:w="2187" w:type="dxa"/>
          </w:tcPr>
          <w:p w14:paraId="01F3D37A"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0204A0E4" w14:textId="77777777" w:rsidR="000B06F3" w:rsidRPr="00DA3C6E" w:rsidRDefault="000B06F3" w:rsidP="008A5F97">
            <w:pPr>
              <w:spacing w:after="0" w:line="240" w:lineRule="auto"/>
              <w:jc w:val="left"/>
              <w:rPr>
                <w:rFonts w:ascii="Arial Narrow" w:hAnsi="Arial Narrow"/>
                <w:sz w:val="20"/>
                <w:szCs w:val="20"/>
              </w:rPr>
            </w:pPr>
          </w:p>
          <w:p w14:paraId="069CF116"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Two patients discontinued treatment; one was due to adverse events and the other due to relocation from study site. These patients were excluded from most of the analysis.</w:t>
            </w:r>
          </w:p>
        </w:tc>
      </w:tr>
      <w:tr w:rsidR="000B06F3" w:rsidRPr="00DA3C6E" w14:paraId="1498B0B7" w14:textId="77777777" w:rsidTr="00740643">
        <w:tc>
          <w:tcPr>
            <w:tcW w:w="2689" w:type="dxa"/>
          </w:tcPr>
          <w:p w14:paraId="2CF016B8" w14:textId="77777777" w:rsidR="000B06F3" w:rsidRPr="00DA3C6E" w:rsidRDefault="000B06F3" w:rsidP="008A5F97">
            <w:pPr>
              <w:spacing w:after="0" w:line="240" w:lineRule="auto"/>
              <w:ind w:left="0"/>
              <w:jc w:val="left"/>
              <w:rPr>
                <w:rFonts w:ascii="Arial Narrow" w:hAnsi="Arial Narrow"/>
                <w:b/>
                <w:sz w:val="20"/>
              </w:rPr>
            </w:pPr>
            <w:r w:rsidRPr="00DA3C6E">
              <w:rPr>
                <w:rFonts w:ascii="Arial Narrow" w:hAnsi="Arial Narrow"/>
                <w:b/>
                <w:sz w:val="20"/>
              </w:rPr>
              <w:t>Reporting Bias</w:t>
            </w:r>
          </w:p>
        </w:tc>
        <w:tc>
          <w:tcPr>
            <w:tcW w:w="2268" w:type="dxa"/>
          </w:tcPr>
          <w:p w14:paraId="11A46D29" w14:textId="77777777" w:rsidR="000B06F3" w:rsidRPr="00DA3C6E" w:rsidRDefault="000B06F3" w:rsidP="008A5F97">
            <w:pPr>
              <w:spacing w:after="0" w:line="240" w:lineRule="auto"/>
              <w:jc w:val="left"/>
              <w:rPr>
                <w:rFonts w:ascii="Arial Narrow" w:hAnsi="Arial Narrow"/>
                <w:sz w:val="20"/>
                <w:szCs w:val="20"/>
              </w:rPr>
            </w:pPr>
          </w:p>
        </w:tc>
        <w:tc>
          <w:tcPr>
            <w:tcW w:w="2126" w:type="dxa"/>
          </w:tcPr>
          <w:p w14:paraId="6BFC68FA" w14:textId="77777777" w:rsidR="000B06F3" w:rsidRPr="00DA3C6E" w:rsidRDefault="000B06F3" w:rsidP="008A5F97">
            <w:pPr>
              <w:spacing w:after="0" w:line="240" w:lineRule="auto"/>
              <w:jc w:val="left"/>
              <w:rPr>
                <w:rFonts w:ascii="Arial Narrow" w:hAnsi="Arial Narrow"/>
                <w:sz w:val="20"/>
                <w:szCs w:val="20"/>
              </w:rPr>
            </w:pPr>
          </w:p>
        </w:tc>
        <w:tc>
          <w:tcPr>
            <w:tcW w:w="2551" w:type="dxa"/>
          </w:tcPr>
          <w:p w14:paraId="4D5429AB" w14:textId="77777777" w:rsidR="000B06F3" w:rsidRPr="00DA3C6E" w:rsidRDefault="000B06F3" w:rsidP="008A5F97">
            <w:pPr>
              <w:spacing w:after="0" w:line="240" w:lineRule="auto"/>
              <w:jc w:val="left"/>
              <w:rPr>
                <w:rFonts w:ascii="Arial Narrow" w:hAnsi="Arial Narrow"/>
                <w:sz w:val="20"/>
                <w:szCs w:val="20"/>
              </w:rPr>
            </w:pPr>
          </w:p>
        </w:tc>
        <w:tc>
          <w:tcPr>
            <w:tcW w:w="2127" w:type="dxa"/>
          </w:tcPr>
          <w:p w14:paraId="30CF5FDC" w14:textId="77777777" w:rsidR="000B06F3" w:rsidRPr="00DA3C6E" w:rsidRDefault="000B06F3" w:rsidP="008A5F97">
            <w:pPr>
              <w:spacing w:after="0" w:line="240" w:lineRule="auto"/>
              <w:jc w:val="left"/>
              <w:rPr>
                <w:rFonts w:ascii="Arial Narrow" w:hAnsi="Arial Narrow"/>
                <w:sz w:val="20"/>
                <w:szCs w:val="20"/>
              </w:rPr>
            </w:pPr>
          </w:p>
        </w:tc>
        <w:tc>
          <w:tcPr>
            <w:tcW w:w="2187" w:type="dxa"/>
          </w:tcPr>
          <w:p w14:paraId="1E9D537D" w14:textId="77777777" w:rsidR="000B06F3" w:rsidRPr="00DA3C6E" w:rsidRDefault="000B06F3" w:rsidP="008A5F97">
            <w:pPr>
              <w:spacing w:after="0" w:line="240" w:lineRule="auto"/>
              <w:jc w:val="left"/>
              <w:rPr>
                <w:rFonts w:ascii="Arial Narrow" w:hAnsi="Arial Narrow"/>
                <w:sz w:val="20"/>
                <w:szCs w:val="20"/>
              </w:rPr>
            </w:pPr>
          </w:p>
        </w:tc>
      </w:tr>
      <w:tr w:rsidR="000B06F3" w:rsidRPr="00DA3C6E" w14:paraId="5BEDB6C8" w14:textId="77777777" w:rsidTr="00740643">
        <w:tc>
          <w:tcPr>
            <w:tcW w:w="2689" w:type="dxa"/>
          </w:tcPr>
          <w:p w14:paraId="40C008D7" w14:textId="77777777" w:rsidR="000B06F3" w:rsidRPr="00DA3C6E" w:rsidRDefault="000B06F3" w:rsidP="008A5F97">
            <w:pPr>
              <w:spacing w:after="0" w:line="240" w:lineRule="auto"/>
              <w:ind w:left="0"/>
              <w:jc w:val="left"/>
              <w:rPr>
                <w:rFonts w:ascii="Arial Narrow" w:hAnsi="Arial Narrow"/>
                <w:b/>
                <w:sz w:val="20"/>
              </w:rPr>
            </w:pPr>
            <w:r w:rsidRPr="00DA3C6E">
              <w:rPr>
                <w:rFonts w:ascii="Arial Narrow" w:hAnsi="Arial Narrow"/>
                <w:b/>
                <w:sz w:val="20"/>
              </w:rPr>
              <w:t xml:space="preserve">Selective reporting – </w:t>
            </w:r>
            <w:r w:rsidRPr="00DA3C6E">
              <w:rPr>
                <w:rFonts w:ascii="Arial Narrow" w:hAnsi="Arial Narrow"/>
                <w:sz w:val="20"/>
              </w:rPr>
              <w:t>reporting bias due to selective outcome reporting</w:t>
            </w:r>
          </w:p>
        </w:tc>
        <w:tc>
          <w:tcPr>
            <w:tcW w:w="2268" w:type="dxa"/>
          </w:tcPr>
          <w:p w14:paraId="221FE7F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 xml:space="preserve">Low </w:t>
            </w:r>
          </w:p>
          <w:p w14:paraId="3D12A9A0" w14:textId="77777777" w:rsidR="000B06F3" w:rsidRPr="00DA3C6E" w:rsidRDefault="000B06F3" w:rsidP="008A5F97">
            <w:pPr>
              <w:spacing w:after="0" w:line="240" w:lineRule="auto"/>
              <w:jc w:val="left"/>
              <w:rPr>
                <w:rFonts w:ascii="Arial Narrow" w:hAnsi="Arial Narrow"/>
                <w:sz w:val="20"/>
                <w:szCs w:val="20"/>
              </w:rPr>
            </w:pPr>
          </w:p>
          <w:p w14:paraId="10023020"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Results for all outcomes were reported</w:t>
            </w:r>
          </w:p>
        </w:tc>
        <w:tc>
          <w:tcPr>
            <w:tcW w:w="2126" w:type="dxa"/>
          </w:tcPr>
          <w:p w14:paraId="3EFCFCAA"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0A75D2B6" w14:textId="77777777" w:rsidR="000B06F3" w:rsidRPr="00DA3C6E" w:rsidRDefault="000B06F3" w:rsidP="008A5F97">
            <w:pPr>
              <w:spacing w:after="0" w:line="240" w:lineRule="auto"/>
              <w:jc w:val="left"/>
              <w:rPr>
                <w:rFonts w:ascii="Arial Narrow" w:hAnsi="Arial Narrow"/>
                <w:sz w:val="20"/>
                <w:szCs w:val="20"/>
              </w:rPr>
            </w:pPr>
          </w:p>
          <w:p w14:paraId="6521587F"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Results for all outcomes were reported</w:t>
            </w:r>
          </w:p>
        </w:tc>
        <w:tc>
          <w:tcPr>
            <w:tcW w:w="2551" w:type="dxa"/>
          </w:tcPr>
          <w:p w14:paraId="4B4CEBCF"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60FF3EB6" w14:textId="77777777" w:rsidR="000B06F3" w:rsidRPr="00DA3C6E" w:rsidRDefault="000B06F3" w:rsidP="008A5F97">
            <w:pPr>
              <w:spacing w:after="0" w:line="240" w:lineRule="auto"/>
              <w:jc w:val="left"/>
              <w:rPr>
                <w:rFonts w:ascii="Arial Narrow" w:hAnsi="Arial Narrow"/>
                <w:sz w:val="20"/>
                <w:szCs w:val="20"/>
              </w:rPr>
            </w:pPr>
          </w:p>
          <w:p w14:paraId="3B15B624"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Data for all outcomes were reported in the study.</w:t>
            </w:r>
          </w:p>
        </w:tc>
        <w:tc>
          <w:tcPr>
            <w:tcW w:w="2127" w:type="dxa"/>
          </w:tcPr>
          <w:p w14:paraId="4AF95DB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5B8E139E" w14:textId="77777777" w:rsidR="000B06F3" w:rsidRPr="00DA3C6E" w:rsidRDefault="000B06F3" w:rsidP="008A5F97">
            <w:pPr>
              <w:spacing w:after="0" w:line="240" w:lineRule="auto"/>
              <w:jc w:val="left"/>
              <w:rPr>
                <w:rFonts w:ascii="Arial Narrow" w:hAnsi="Arial Narrow"/>
                <w:sz w:val="20"/>
                <w:szCs w:val="20"/>
              </w:rPr>
            </w:pPr>
          </w:p>
          <w:p w14:paraId="74938D2E"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Data for all outcomes were reported in the study.</w:t>
            </w:r>
          </w:p>
        </w:tc>
        <w:tc>
          <w:tcPr>
            <w:tcW w:w="2187" w:type="dxa"/>
          </w:tcPr>
          <w:p w14:paraId="5B9C166B"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Low</w:t>
            </w:r>
          </w:p>
          <w:p w14:paraId="0E14F8B1" w14:textId="77777777" w:rsidR="000B06F3" w:rsidRPr="00DA3C6E" w:rsidRDefault="000B06F3" w:rsidP="008A5F97">
            <w:pPr>
              <w:spacing w:after="0" w:line="240" w:lineRule="auto"/>
              <w:jc w:val="left"/>
              <w:rPr>
                <w:rFonts w:ascii="Arial Narrow" w:hAnsi="Arial Narrow"/>
                <w:sz w:val="20"/>
                <w:szCs w:val="20"/>
              </w:rPr>
            </w:pPr>
          </w:p>
          <w:p w14:paraId="55954E67" w14:textId="77777777" w:rsidR="000B06F3" w:rsidRPr="00DA3C6E" w:rsidRDefault="000B06F3" w:rsidP="008A5F97">
            <w:pPr>
              <w:spacing w:after="0" w:line="240" w:lineRule="auto"/>
              <w:ind w:left="0"/>
              <w:jc w:val="left"/>
              <w:rPr>
                <w:rFonts w:ascii="Arial Narrow" w:hAnsi="Arial Narrow"/>
                <w:sz w:val="20"/>
                <w:szCs w:val="20"/>
              </w:rPr>
            </w:pPr>
            <w:r w:rsidRPr="00DA3C6E">
              <w:rPr>
                <w:rFonts w:ascii="Arial Narrow" w:hAnsi="Arial Narrow"/>
                <w:sz w:val="20"/>
                <w:szCs w:val="20"/>
              </w:rPr>
              <w:t>Data for all outcomes were reported in the study.</w:t>
            </w:r>
          </w:p>
        </w:tc>
      </w:tr>
    </w:tbl>
    <w:p w14:paraId="498A100A" w14:textId="77777777" w:rsidR="000B06F3" w:rsidRPr="00DA3C6E" w:rsidRDefault="000B06F3" w:rsidP="00740643">
      <w:pPr>
        <w:rPr>
          <w:rFonts w:ascii="Arial Narrow" w:hAnsi="Arial Narrow"/>
          <w:sz w:val="18"/>
          <w:lang w:eastAsia="en-US"/>
        </w:rPr>
      </w:pPr>
      <w:r w:rsidRPr="00DA3C6E">
        <w:rPr>
          <w:rFonts w:ascii="Arial Narrow" w:hAnsi="Arial Narrow"/>
          <w:sz w:val="18"/>
          <w:lang w:eastAsia="en-US"/>
        </w:rPr>
        <w:t>Abbreviations: AEs = adverse events; NDS = neurologic disability scale</w:t>
      </w:r>
    </w:p>
    <w:p w14:paraId="5096335D" w14:textId="77777777" w:rsidR="000B06F3" w:rsidRPr="00DA3C6E" w:rsidRDefault="000B06F3" w:rsidP="00740643">
      <w:pPr>
        <w:rPr>
          <w:lang w:eastAsia="en-US"/>
        </w:rPr>
      </w:pPr>
    </w:p>
    <w:p w14:paraId="2D3D478F" w14:textId="77777777" w:rsidR="000B06F3" w:rsidRPr="00DA3C6E" w:rsidRDefault="000B06F3" w:rsidP="00740643">
      <w:pPr>
        <w:rPr>
          <w:lang w:eastAsia="en-US"/>
        </w:rPr>
        <w:sectPr w:rsidR="000B06F3" w:rsidRPr="00DA3C6E" w:rsidSect="00D3526F">
          <w:pgSz w:w="16838" w:h="11906" w:orient="landscape"/>
          <w:pgMar w:top="1440" w:right="851" w:bottom="1440" w:left="851" w:header="720" w:footer="720" w:gutter="0"/>
          <w:paperSrc w:first="7" w:other="7"/>
          <w:cols w:space="720"/>
        </w:sectPr>
      </w:pPr>
    </w:p>
    <w:p w14:paraId="22EF0B73" w14:textId="017726AA" w:rsidR="000B06F3" w:rsidRPr="00DA3C6E" w:rsidRDefault="000B06F3" w:rsidP="00DF343F">
      <w:pPr>
        <w:pStyle w:val="Heading1"/>
      </w:pPr>
      <w:bookmarkStart w:id="413" w:name="_Toc37845797"/>
      <w:r w:rsidRPr="00DA3C6E">
        <w:lastRenderedPageBreak/>
        <w:t xml:space="preserve">Appendix </w:t>
      </w:r>
      <w:r w:rsidR="00515153">
        <w:fldChar w:fldCharType="begin"/>
      </w:r>
      <w:r w:rsidR="00515153">
        <w:instrText xml:space="preserve"> SEQ Appendix \* ALPHABETIC </w:instrText>
      </w:r>
      <w:r w:rsidR="00515153">
        <w:fldChar w:fldCharType="separate"/>
      </w:r>
      <w:r w:rsidR="00EA5DC1">
        <w:rPr>
          <w:noProof/>
        </w:rPr>
        <w:t>D</w:t>
      </w:r>
      <w:r w:rsidR="00515153">
        <w:rPr>
          <w:noProof/>
        </w:rPr>
        <w:fldChar w:fldCharType="end"/>
      </w:r>
      <w:r w:rsidRPr="00DA3C6E">
        <w:tab/>
        <w:t>Excluded Studies</w:t>
      </w:r>
      <w:bookmarkEnd w:id="413"/>
    </w:p>
    <w:p w14:paraId="4796EDBA" w14:textId="4B826925" w:rsidR="000B06F3" w:rsidRPr="00226182" w:rsidRDefault="000B06F3" w:rsidP="00226182">
      <w:pPr>
        <w:pStyle w:val="Caption"/>
      </w:pPr>
      <w:bookmarkStart w:id="414" w:name="_Toc31144666"/>
      <w:bookmarkStart w:id="415" w:name="_Toc37845857"/>
      <w:r w:rsidRPr="00226182">
        <w:t xml:space="preserve">Table </w:t>
      </w:r>
      <w:r w:rsidR="00515153">
        <w:fldChar w:fldCharType="begin"/>
      </w:r>
      <w:r w:rsidR="00515153">
        <w:instrText xml:space="preserve"> SEQ Table \* ARABIC </w:instrText>
      </w:r>
      <w:r w:rsidR="00515153">
        <w:fldChar w:fldCharType="separate"/>
      </w:r>
      <w:r w:rsidR="00EA5DC1">
        <w:rPr>
          <w:noProof/>
        </w:rPr>
        <w:t>54</w:t>
      </w:r>
      <w:r w:rsidR="00515153">
        <w:rPr>
          <w:noProof/>
        </w:rPr>
        <w:fldChar w:fldCharType="end"/>
      </w:r>
      <w:r w:rsidRPr="00226182">
        <w:t>. List of excluded studies RCTs</w:t>
      </w:r>
      <w:bookmarkEnd w:id="414"/>
      <w:bookmarkEnd w:id="415"/>
    </w:p>
    <w:tbl>
      <w:tblPr>
        <w:tblStyle w:val="TableGrid"/>
        <w:tblW w:w="5000" w:type="pct"/>
        <w:tblLook w:val="04A0" w:firstRow="1" w:lastRow="0" w:firstColumn="1" w:lastColumn="0" w:noHBand="0" w:noVBand="1"/>
        <w:tblCaption w:val="Table 54. List of excluded studies RCTs"/>
      </w:tblPr>
      <w:tblGrid>
        <w:gridCol w:w="1562"/>
        <w:gridCol w:w="5736"/>
        <w:gridCol w:w="1718"/>
      </w:tblGrid>
      <w:tr w:rsidR="000B06F3" w:rsidRPr="003C5E4A" w14:paraId="1EA31542" w14:textId="77777777" w:rsidTr="00D56F4F">
        <w:trPr>
          <w:trHeight w:val="178"/>
          <w:tblHeader/>
        </w:trPr>
        <w:tc>
          <w:tcPr>
            <w:tcW w:w="866" w:type="pct"/>
            <w:vAlign w:val="center"/>
          </w:tcPr>
          <w:p w14:paraId="042AE632" w14:textId="77777777" w:rsidR="000B06F3" w:rsidRPr="007810D6" w:rsidRDefault="000B06F3" w:rsidP="007810D6">
            <w:pPr>
              <w:spacing w:after="0" w:line="240" w:lineRule="auto"/>
              <w:ind w:left="0"/>
              <w:jc w:val="left"/>
              <w:rPr>
                <w:rFonts w:ascii="Arial Narrow" w:hAnsi="Arial Narrow"/>
                <w:b/>
                <w:sz w:val="20"/>
                <w:szCs w:val="20"/>
              </w:rPr>
            </w:pPr>
            <w:r w:rsidRPr="007810D6">
              <w:rPr>
                <w:rFonts w:ascii="Arial Narrow" w:hAnsi="Arial Narrow"/>
                <w:b/>
                <w:sz w:val="20"/>
                <w:szCs w:val="20"/>
              </w:rPr>
              <w:t xml:space="preserve">Study </w:t>
            </w:r>
          </w:p>
        </w:tc>
        <w:tc>
          <w:tcPr>
            <w:tcW w:w="3181" w:type="pct"/>
            <w:vAlign w:val="center"/>
          </w:tcPr>
          <w:p w14:paraId="7CCDB5AC" w14:textId="77777777" w:rsidR="000B06F3" w:rsidRPr="007810D6" w:rsidRDefault="000B06F3" w:rsidP="007810D6">
            <w:pPr>
              <w:spacing w:after="0" w:line="240" w:lineRule="auto"/>
              <w:ind w:left="0"/>
              <w:jc w:val="left"/>
              <w:rPr>
                <w:rFonts w:ascii="Arial Narrow" w:hAnsi="Arial Narrow"/>
                <w:b/>
                <w:sz w:val="20"/>
                <w:szCs w:val="20"/>
              </w:rPr>
            </w:pPr>
            <w:r w:rsidRPr="007810D6">
              <w:rPr>
                <w:rFonts w:ascii="Arial Narrow" w:hAnsi="Arial Narrow"/>
                <w:b/>
                <w:sz w:val="20"/>
                <w:szCs w:val="20"/>
              </w:rPr>
              <w:t xml:space="preserve">Title+citation </w:t>
            </w:r>
          </w:p>
        </w:tc>
        <w:tc>
          <w:tcPr>
            <w:tcW w:w="953" w:type="pct"/>
            <w:vAlign w:val="center"/>
          </w:tcPr>
          <w:p w14:paraId="7ABF7972" w14:textId="77777777" w:rsidR="000B06F3" w:rsidRPr="007810D6" w:rsidRDefault="000B06F3" w:rsidP="007810D6">
            <w:pPr>
              <w:spacing w:after="0" w:line="240" w:lineRule="auto"/>
              <w:ind w:left="0"/>
              <w:jc w:val="left"/>
              <w:rPr>
                <w:rFonts w:ascii="Arial Narrow" w:hAnsi="Arial Narrow"/>
                <w:b/>
                <w:sz w:val="20"/>
                <w:szCs w:val="20"/>
              </w:rPr>
            </w:pPr>
            <w:r w:rsidRPr="007810D6">
              <w:rPr>
                <w:rFonts w:ascii="Arial Narrow" w:hAnsi="Arial Narrow"/>
                <w:b/>
                <w:sz w:val="20"/>
                <w:szCs w:val="20"/>
              </w:rPr>
              <w:t xml:space="preserve">Reason for exclusion </w:t>
            </w:r>
          </w:p>
        </w:tc>
      </w:tr>
      <w:tr w:rsidR="000B06F3" w:rsidRPr="003C5E4A" w14:paraId="5FF9525D" w14:textId="77777777" w:rsidTr="003C5E4A">
        <w:trPr>
          <w:trHeight w:val="204"/>
        </w:trPr>
        <w:tc>
          <w:tcPr>
            <w:tcW w:w="866" w:type="pct"/>
            <w:vAlign w:val="center"/>
          </w:tcPr>
          <w:p w14:paraId="71734EC7"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Cochrane et al. 2009</w:t>
            </w:r>
          </w:p>
        </w:tc>
        <w:tc>
          <w:tcPr>
            <w:tcW w:w="3181" w:type="pct"/>
            <w:vAlign w:val="center"/>
          </w:tcPr>
          <w:p w14:paraId="6FA22545"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Cochrane T, Lee D, Gauthier M, Schiff R. Current patients versus future patients: Ethical design of a placebo-controlled RCT. European Journal of Neurology. 2009;16(S3):329.</w:t>
            </w:r>
          </w:p>
        </w:tc>
        <w:tc>
          <w:tcPr>
            <w:tcW w:w="953" w:type="pct"/>
            <w:vAlign w:val="center"/>
          </w:tcPr>
          <w:p w14:paraId="3A7CC75F"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Conference poster. </w:t>
            </w:r>
          </w:p>
        </w:tc>
      </w:tr>
      <w:tr w:rsidR="000B06F3" w:rsidRPr="003C5E4A" w14:paraId="6BB29D3E" w14:textId="77777777" w:rsidTr="003C5E4A">
        <w:trPr>
          <w:trHeight w:val="204"/>
        </w:trPr>
        <w:tc>
          <w:tcPr>
            <w:tcW w:w="866" w:type="pct"/>
            <w:vAlign w:val="center"/>
          </w:tcPr>
          <w:p w14:paraId="7AD9A53B"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NA.</w:t>
            </w:r>
          </w:p>
        </w:tc>
        <w:tc>
          <w:tcPr>
            <w:tcW w:w="3181" w:type="pct"/>
            <w:vAlign w:val="center"/>
          </w:tcPr>
          <w:p w14:paraId="0AA4B469"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Euctr DK. A Randomized, Double-Blind, Placebo Controlled, Cross-over Study of the Effectiveness of Immune Globulin Intravenous (Human), 10% (IGIV, 10%) for the Treatment of Multofocl Motor Neuropathy - IGIV, 10% MMN Trial. http://wwwwhoint/trialsearch/Trial2aspx?TrialID=EUCTR2009-013841-27-DK. 2009.</w:t>
            </w:r>
          </w:p>
        </w:tc>
        <w:tc>
          <w:tcPr>
            <w:tcW w:w="953" w:type="pct"/>
            <w:vAlign w:val="center"/>
          </w:tcPr>
          <w:p w14:paraId="6BA9C9E1"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Results unavailable from WHO website. </w:t>
            </w:r>
          </w:p>
        </w:tc>
      </w:tr>
      <w:tr w:rsidR="000B06F3" w:rsidRPr="003C5E4A" w14:paraId="20681342" w14:textId="77777777" w:rsidTr="003C5E4A">
        <w:trPr>
          <w:trHeight w:val="204"/>
        </w:trPr>
        <w:tc>
          <w:tcPr>
            <w:tcW w:w="866" w:type="pct"/>
            <w:vAlign w:val="center"/>
          </w:tcPr>
          <w:p w14:paraId="3E4751EE"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NA</w:t>
            </w:r>
          </w:p>
        </w:tc>
        <w:tc>
          <w:tcPr>
            <w:tcW w:w="3181" w:type="pct"/>
            <w:vAlign w:val="center"/>
          </w:tcPr>
          <w:p w14:paraId="511EDB6C"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Euctr ES. A European, randomised, double-blind, active comparator-controlled, cross-over, efficacy and safety study of a new 10% ready-to-use liquid human intravenous immunoglobulin (I10E) versus Kiovig® in patients with Multifocal Motor Neuropathy.</w:t>
            </w:r>
          </w:p>
        </w:tc>
        <w:tc>
          <w:tcPr>
            <w:tcW w:w="953" w:type="pct"/>
            <w:vAlign w:val="center"/>
          </w:tcPr>
          <w:p w14:paraId="27D48E69"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No results reported. </w:t>
            </w:r>
          </w:p>
        </w:tc>
      </w:tr>
      <w:tr w:rsidR="000B06F3" w:rsidRPr="003C5E4A" w14:paraId="113CFBAB" w14:textId="77777777" w:rsidTr="003C5E4A">
        <w:trPr>
          <w:trHeight w:val="204"/>
        </w:trPr>
        <w:tc>
          <w:tcPr>
            <w:tcW w:w="866" w:type="pct"/>
            <w:vAlign w:val="center"/>
          </w:tcPr>
          <w:p w14:paraId="53B79EE5"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Federico et al. 1999. </w:t>
            </w:r>
          </w:p>
        </w:tc>
        <w:tc>
          <w:tcPr>
            <w:tcW w:w="3181" w:type="pct"/>
            <w:vAlign w:val="center"/>
          </w:tcPr>
          <w:p w14:paraId="4657A1D0"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Federico P, Zochodne DW, Feasby TE. Intravenous immunoglobulin treatment in multifocal motor neuropathy with conduction block: a double-blind, placebo-controlled, cross-over study. Neurology. 1999;52(Suppl 2):49, Abstract no: A127.</w:t>
            </w:r>
          </w:p>
        </w:tc>
        <w:tc>
          <w:tcPr>
            <w:tcW w:w="953" w:type="pct"/>
            <w:vAlign w:val="center"/>
          </w:tcPr>
          <w:p w14:paraId="2AE7949C"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r w:rsidR="000B06F3" w:rsidRPr="003C5E4A" w14:paraId="1B89B493" w14:textId="77777777" w:rsidTr="003C5E4A">
        <w:trPr>
          <w:trHeight w:val="204"/>
        </w:trPr>
        <w:tc>
          <w:tcPr>
            <w:tcW w:w="866" w:type="pct"/>
            <w:vAlign w:val="center"/>
          </w:tcPr>
          <w:p w14:paraId="6B8F7E2C"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Hahn et al. 2012.</w:t>
            </w:r>
          </w:p>
        </w:tc>
        <w:tc>
          <w:tcPr>
            <w:tcW w:w="3181" w:type="pct"/>
            <w:vAlign w:val="center"/>
          </w:tcPr>
          <w:p w14:paraId="7AE860E1" w14:textId="746FB1E9"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Hahn AF, Beydoun SR, Lawson V, Oh M, Empson VG, Gelmont D. A phase III, randomized, placebo-controlled study of the efficacy and safety of 10% liquid intravenous immunoglobulin (intravenous Ig) for the treatment of multifocal motor neuropathy (MMN). Journal o</w:t>
            </w:r>
            <w:r w:rsidR="003C5E4A" w:rsidRPr="003C5E4A">
              <w:rPr>
                <w:rFonts w:ascii="Arial Narrow" w:hAnsi="Arial Narrow"/>
                <w:sz w:val="20"/>
                <w:szCs w:val="20"/>
              </w:rPr>
              <w:t>f the peripheral nervous system</w:t>
            </w:r>
            <w:r w:rsidRPr="003C5E4A">
              <w:rPr>
                <w:rFonts w:ascii="Arial Narrow" w:hAnsi="Arial Narrow"/>
                <w:sz w:val="20"/>
                <w:szCs w:val="20"/>
              </w:rPr>
              <w:t>: JPNS. 2012;</w:t>
            </w:r>
            <w:r w:rsidR="003C5E4A" w:rsidRPr="003C5E4A">
              <w:rPr>
                <w:rFonts w:ascii="Arial Narrow" w:hAnsi="Arial Narrow"/>
                <w:sz w:val="20"/>
                <w:szCs w:val="20"/>
              </w:rPr>
              <w:t xml:space="preserve"> </w:t>
            </w:r>
            <w:r w:rsidRPr="003C5E4A">
              <w:rPr>
                <w:rFonts w:ascii="Arial Narrow" w:hAnsi="Arial Narrow"/>
                <w:sz w:val="20"/>
                <w:szCs w:val="20"/>
              </w:rPr>
              <w:t>17(2):243</w:t>
            </w:r>
            <w:r w:rsidRPr="003C5E4A">
              <w:rPr>
                <w:rFonts w:ascii="Cambria Math" w:hAnsi="Cambria Math" w:cs="Cambria Math"/>
                <w:sz w:val="20"/>
                <w:szCs w:val="20"/>
              </w:rPr>
              <w:t>‐</w:t>
            </w:r>
            <w:r w:rsidRPr="003C5E4A">
              <w:rPr>
                <w:rFonts w:ascii="Arial Narrow" w:hAnsi="Arial Narrow"/>
                <w:sz w:val="20"/>
                <w:szCs w:val="20"/>
              </w:rPr>
              <w:t>4.</w:t>
            </w:r>
          </w:p>
        </w:tc>
        <w:tc>
          <w:tcPr>
            <w:tcW w:w="953" w:type="pct"/>
            <w:vAlign w:val="center"/>
          </w:tcPr>
          <w:p w14:paraId="3FD9A487"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r w:rsidR="000B06F3" w:rsidRPr="003C5E4A" w14:paraId="45ED5AC5" w14:textId="77777777" w:rsidTr="003C5E4A">
        <w:trPr>
          <w:trHeight w:val="204"/>
        </w:trPr>
        <w:tc>
          <w:tcPr>
            <w:tcW w:w="866" w:type="pct"/>
            <w:vAlign w:val="center"/>
          </w:tcPr>
          <w:p w14:paraId="0CE1239A"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et al. 2012.</w:t>
            </w:r>
          </w:p>
        </w:tc>
        <w:tc>
          <w:tcPr>
            <w:tcW w:w="3181" w:type="pct"/>
            <w:vAlign w:val="center"/>
          </w:tcPr>
          <w:p w14:paraId="341F8743"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C, Beydoun S, Schiff R, Oh M, Ngo L, Leibl H, et al. Efficacy, safety, and tolerability of intravenous gammaglobulin (IGIV, 10%) in a phase 3, randomized, placebo-controlled, cross-over trial for the treatment of multifocal motor neuropathy (MMN). Neurology. 2012;78(1 Meeting Abstract).</w:t>
            </w:r>
          </w:p>
        </w:tc>
        <w:tc>
          <w:tcPr>
            <w:tcW w:w="953" w:type="pct"/>
            <w:vAlign w:val="center"/>
          </w:tcPr>
          <w:p w14:paraId="3894F7A6"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r w:rsidR="000B06F3" w:rsidRPr="003C5E4A" w14:paraId="534AB304" w14:textId="77777777" w:rsidTr="003C5E4A">
        <w:trPr>
          <w:trHeight w:val="204"/>
        </w:trPr>
        <w:tc>
          <w:tcPr>
            <w:tcW w:w="866" w:type="pct"/>
            <w:vAlign w:val="center"/>
          </w:tcPr>
          <w:p w14:paraId="3DC00BA3"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et al. 2013.</w:t>
            </w:r>
          </w:p>
        </w:tc>
        <w:tc>
          <w:tcPr>
            <w:tcW w:w="3181" w:type="pct"/>
            <w:vAlign w:val="center"/>
          </w:tcPr>
          <w:p w14:paraId="0B8B3E6A"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CL, Beydoun SR, Lawson V, Oh M, Gelmont D, Empson VG. A phase iii, randomized, placebo-controlled study of the efficacy and safety of 10% liquid intravenous immunoglobulin (IGIV) for the treatment of multifocal motor neuropathy (MMN). PM and R. 2013;5(9 SUPPL. 1):S152.</w:t>
            </w:r>
          </w:p>
        </w:tc>
        <w:tc>
          <w:tcPr>
            <w:tcW w:w="953" w:type="pct"/>
            <w:vAlign w:val="center"/>
          </w:tcPr>
          <w:p w14:paraId="77E625F2"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r w:rsidR="000B06F3" w:rsidRPr="003C5E4A" w14:paraId="7BABBFCD" w14:textId="77777777" w:rsidTr="003C5E4A">
        <w:trPr>
          <w:trHeight w:val="204"/>
        </w:trPr>
        <w:tc>
          <w:tcPr>
            <w:tcW w:w="866" w:type="pct"/>
            <w:vAlign w:val="center"/>
          </w:tcPr>
          <w:p w14:paraId="73C29543"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et al. 2011.</w:t>
            </w:r>
          </w:p>
        </w:tc>
        <w:tc>
          <w:tcPr>
            <w:tcW w:w="3181" w:type="pct"/>
            <w:vAlign w:val="center"/>
          </w:tcPr>
          <w:p w14:paraId="0AE5325D"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Koski CL, Schiff R, Oh M, Lee D. A randomized placebo controlled phase III trial of intravenous immunoglobulin (Ig) for the treatment of multifocal motor neuropathy (MMN): Baseline patient characteristics. Journal of the Peripheral Nervous System. 2011;16(SUPPL. 3):S69.</w:t>
            </w:r>
          </w:p>
        </w:tc>
        <w:tc>
          <w:tcPr>
            <w:tcW w:w="953" w:type="pct"/>
            <w:vAlign w:val="center"/>
          </w:tcPr>
          <w:p w14:paraId="15C9D98D"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r w:rsidR="000B06F3" w:rsidRPr="003C5E4A" w14:paraId="123F7695" w14:textId="77777777" w:rsidTr="003C5E4A">
        <w:trPr>
          <w:trHeight w:val="204"/>
        </w:trPr>
        <w:tc>
          <w:tcPr>
            <w:tcW w:w="866" w:type="pct"/>
            <w:vAlign w:val="center"/>
          </w:tcPr>
          <w:p w14:paraId="06EA038D"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NA</w:t>
            </w:r>
          </w:p>
        </w:tc>
        <w:tc>
          <w:tcPr>
            <w:tcW w:w="3181" w:type="pct"/>
            <w:vAlign w:val="center"/>
          </w:tcPr>
          <w:p w14:paraId="5A96F73C"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Nct. Study of the Effectiveness of Intravenous Immune Globulin (10%) for the Treatment of Multifocal Motor Neuropathy. https://clinicaltrialsgov/show/NCT00666263. 2008.</w:t>
            </w:r>
          </w:p>
        </w:tc>
        <w:tc>
          <w:tcPr>
            <w:tcW w:w="953" w:type="pct"/>
            <w:vAlign w:val="center"/>
          </w:tcPr>
          <w:p w14:paraId="6C97AFC8"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Duplicate</w:t>
            </w:r>
          </w:p>
        </w:tc>
      </w:tr>
      <w:tr w:rsidR="000B06F3" w:rsidRPr="003C5E4A" w14:paraId="49D864B7" w14:textId="77777777" w:rsidTr="003C5E4A">
        <w:trPr>
          <w:trHeight w:val="204"/>
        </w:trPr>
        <w:tc>
          <w:tcPr>
            <w:tcW w:w="866" w:type="pct"/>
            <w:vAlign w:val="center"/>
          </w:tcPr>
          <w:p w14:paraId="27B4ED66"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Van den Berg et al. 1995. </w:t>
            </w:r>
          </w:p>
        </w:tc>
        <w:tc>
          <w:tcPr>
            <w:tcW w:w="3181" w:type="pct"/>
            <w:vAlign w:val="center"/>
          </w:tcPr>
          <w:p w14:paraId="63042F87"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Van den Berg LH, Franssen H, Oey PL, Wokke JHJ. The effect of intravenous immunoglobulin treatment in patients with multifocal motor neuropathy or lower motor neurone disease. Journal of neurology. 1995;242:149, Abstract no: 806.</w:t>
            </w:r>
          </w:p>
        </w:tc>
        <w:tc>
          <w:tcPr>
            <w:tcW w:w="953" w:type="pct"/>
            <w:vAlign w:val="center"/>
          </w:tcPr>
          <w:p w14:paraId="32A04734" w14:textId="77777777" w:rsidR="000B06F3" w:rsidRPr="003C5E4A" w:rsidRDefault="000B06F3" w:rsidP="007810D6">
            <w:pPr>
              <w:spacing w:after="0" w:line="240" w:lineRule="auto"/>
              <w:ind w:left="0"/>
              <w:jc w:val="left"/>
              <w:rPr>
                <w:rFonts w:ascii="Arial Narrow" w:hAnsi="Arial Narrow"/>
                <w:sz w:val="20"/>
                <w:szCs w:val="20"/>
              </w:rPr>
            </w:pPr>
            <w:r w:rsidRPr="003C5E4A">
              <w:rPr>
                <w:rFonts w:ascii="Arial Narrow" w:hAnsi="Arial Narrow"/>
                <w:sz w:val="20"/>
                <w:szCs w:val="20"/>
              </w:rPr>
              <w:t xml:space="preserve">Abstract only. </w:t>
            </w:r>
          </w:p>
        </w:tc>
      </w:tr>
    </w:tbl>
    <w:p w14:paraId="0D9C9D9F" w14:textId="77777777" w:rsidR="000B06F3" w:rsidRPr="00DA3C6E" w:rsidRDefault="000B06F3" w:rsidP="00BE60D2">
      <w:pPr>
        <w:pStyle w:val="Caption"/>
      </w:pPr>
    </w:p>
    <w:p w14:paraId="062A4DE2" w14:textId="0A926968" w:rsidR="000B06F3" w:rsidRPr="00226182" w:rsidRDefault="000B06F3" w:rsidP="00226182">
      <w:pPr>
        <w:pStyle w:val="Caption"/>
      </w:pPr>
      <w:bookmarkStart w:id="416" w:name="_Toc31144667"/>
      <w:bookmarkStart w:id="417" w:name="_Toc37845858"/>
      <w:r w:rsidRPr="00226182">
        <w:t xml:space="preserve">Table </w:t>
      </w:r>
      <w:r w:rsidR="00515153">
        <w:fldChar w:fldCharType="begin"/>
      </w:r>
      <w:r w:rsidR="00515153">
        <w:instrText xml:space="preserve"> SEQ Table \* ARABIC </w:instrText>
      </w:r>
      <w:r w:rsidR="00515153">
        <w:fldChar w:fldCharType="separate"/>
      </w:r>
      <w:r w:rsidR="00EA5DC1">
        <w:rPr>
          <w:noProof/>
        </w:rPr>
        <w:t>55</w:t>
      </w:r>
      <w:r w:rsidR="00515153">
        <w:rPr>
          <w:noProof/>
        </w:rPr>
        <w:fldChar w:fldCharType="end"/>
      </w:r>
      <w:r w:rsidRPr="00226182">
        <w:t>. List of single arm studies excluded studies</w:t>
      </w:r>
      <w:bookmarkEnd w:id="416"/>
      <w:bookmarkEnd w:id="417"/>
    </w:p>
    <w:tbl>
      <w:tblPr>
        <w:tblStyle w:val="TableGrid"/>
        <w:tblW w:w="9047" w:type="dxa"/>
        <w:tblLook w:val="04A0" w:firstRow="1" w:lastRow="0" w:firstColumn="1" w:lastColumn="0" w:noHBand="0" w:noVBand="1"/>
        <w:tblCaption w:val="Table 55. List of single arm studies excluded studies"/>
      </w:tblPr>
      <w:tblGrid>
        <w:gridCol w:w="1413"/>
        <w:gridCol w:w="4536"/>
        <w:gridCol w:w="3098"/>
      </w:tblGrid>
      <w:tr w:rsidR="000B06F3" w:rsidRPr="00DA3C6E" w14:paraId="64368119" w14:textId="77777777" w:rsidTr="00D56F4F">
        <w:trPr>
          <w:trHeight w:val="178"/>
          <w:tblHeader/>
        </w:trPr>
        <w:tc>
          <w:tcPr>
            <w:tcW w:w="1413" w:type="dxa"/>
            <w:vAlign w:val="center"/>
          </w:tcPr>
          <w:p w14:paraId="1FFA8ACE" w14:textId="77777777" w:rsidR="000B06F3" w:rsidRPr="007810D6" w:rsidRDefault="000B06F3" w:rsidP="007810D6">
            <w:pPr>
              <w:spacing w:after="0" w:line="240" w:lineRule="auto"/>
              <w:ind w:left="29"/>
              <w:rPr>
                <w:rFonts w:ascii="Arial Narrow" w:hAnsi="Arial Narrow"/>
                <w:b/>
                <w:sz w:val="20"/>
                <w:szCs w:val="20"/>
              </w:rPr>
            </w:pPr>
            <w:r w:rsidRPr="007810D6">
              <w:rPr>
                <w:rFonts w:ascii="Arial Narrow" w:hAnsi="Arial Narrow"/>
                <w:b/>
                <w:sz w:val="20"/>
                <w:szCs w:val="20"/>
              </w:rPr>
              <w:t xml:space="preserve">Study </w:t>
            </w:r>
          </w:p>
        </w:tc>
        <w:tc>
          <w:tcPr>
            <w:tcW w:w="4536" w:type="dxa"/>
            <w:vAlign w:val="center"/>
          </w:tcPr>
          <w:p w14:paraId="69ABC10C" w14:textId="77777777" w:rsidR="000B06F3" w:rsidRPr="007810D6" w:rsidRDefault="000B06F3" w:rsidP="007810D6">
            <w:pPr>
              <w:spacing w:after="0" w:line="240" w:lineRule="auto"/>
              <w:ind w:left="29"/>
              <w:rPr>
                <w:rFonts w:ascii="Arial Narrow" w:hAnsi="Arial Narrow"/>
                <w:b/>
                <w:sz w:val="20"/>
                <w:szCs w:val="20"/>
              </w:rPr>
            </w:pPr>
            <w:r w:rsidRPr="007810D6">
              <w:rPr>
                <w:rFonts w:ascii="Arial Narrow" w:hAnsi="Arial Narrow"/>
                <w:b/>
                <w:sz w:val="20"/>
                <w:szCs w:val="20"/>
              </w:rPr>
              <w:t xml:space="preserve">Title+citation </w:t>
            </w:r>
          </w:p>
        </w:tc>
        <w:tc>
          <w:tcPr>
            <w:tcW w:w="3098" w:type="dxa"/>
            <w:vAlign w:val="center"/>
          </w:tcPr>
          <w:p w14:paraId="7D19DCBF" w14:textId="77777777" w:rsidR="000B06F3" w:rsidRPr="007810D6" w:rsidRDefault="000B06F3" w:rsidP="007810D6">
            <w:pPr>
              <w:spacing w:after="0" w:line="240" w:lineRule="auto"/>
              <w:ind w:left="29"/>
              <w:rPr>
                <w:rFonts w:ascii="Arial Narrow" w:hAnsi="Arial Narrow"/>
                <w:b/>
                <w:sz w:val="20"/>
                <w:szCs w:val="20"/>
              </w:rPr>
            </w:pPr>
            <w:r w:rsidRPr="007810D6">
              <w:rPr>
                <w:rFonts w:ascii="Arial Narrow" w:hAnsi="Arial Narrow"/>
                <w:b/>
                <w:sz w:val="20"/>
                <w:szCs w:val="20"/>
              </w:rPr>
              <w:t xml:space="preserve">Reason for exclusion </w:t>
            </w:r>
          </w:p>
        </w:tc>
      </w:tr>
      <w:tr w:rsidR="000B06F3" w:rsidRPr="00DA3C6E" w14:paraId="2CBC8E85" w14:textId="77777777" w:rsidTr="00BE60D2">
        <w:trPr>
          <w:trHeight w:val="204"/>
        </w:trPr>
        <w:tc>
          <w:tcPr>
            <w:tcW w:w="1413" w:type="dxa"/>
            <w:vAlign w:val="center"/>
          </w:tcPr>
          <w:p w14:paraId="1A0383B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Boerio et al. 2010. </w:t>
            </w:r>
          </w:p>
        </w:tc>
        <w:tc>
          <w:tcPr>
            <w:tcW w:w="4536" w:type="dxa"/>
            <w:vAlign w:val="center"/>
          </w:tcPr>
          <w:p w14:paraId="13E0989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Boerio D, Creange A, Hogrel JY, Gueguen A, Bertrand D, Lefaucheur JP. Nerve excitability changes after intravenous immunoglobulin infusions in multifocal motor neuropathy and chronic inflammatory emyelinating neuropathy. J Neurol Sci. 2010;292(1-2):63-71.</w:t>
            </w:r>
          </w:p>
        </w:tc>
        <w:tc>
          <w:tcPr>
            <w:tcW w:w="3098" w:type="dxa"/>
            <w:vAlign w:val="center"/>
          </w:tcPr>
          <w:p w14:paraId="2A4B7B0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Aim was at looking diagnostic features of patients with CIDP and MMN (10 MMN and 10 CIDP patients)</w:t>
            </w:r>
          </w:p>
        </w:tc>
      </w:tr>
      <w:tr w:rsidR="000B06F3" w:rsidRPr="00DA3C6E" w14:paraId="42E0F79E" w14:textId="77777777" w:rsidTr="00BE60D2">
        <w:trPr>
          <w:trHeight w:val="195"/>
        </w:trPr>
        <w:tc>
          <w:tcPr>
            <w:tcW w:w="1413" w:type="dxa"/>
            <w:vAlign w:val="center"/>
          </w:tcPr>
          <w:p w14:paraId="58B4544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lastRenderedPageBreak/>
              <w:t>Cammarota et al. 2001</w:t>
            </w:r>
          </w:p>
        </w:tc>
        <w:tc>
          <w:tcPr>
            <w:tcW w:w="4536" w:type="dxa"/>
            <w:vAlign w:val="center"/>
          </w:tcPr>
          <w:p w14:paraId="1911874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Cammarota A, Nogues M, Rivero A, Garcia H. [Multifocal motor neuropathy. Immediate response to intravenous immunoglobulin]. Medicina (BAires). 2001;61(4):441-4.</w:t>
            </w:r>
          </w:p>
        </w:tc>
        <w:tc>
          <w:tcPr>
            <w:tcW w:w="3098" w:type="dxa"/>
            <w:vAlign w:val="center"/>
          </w:tcPr>
          <w:p w14:paraId="507F68B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Article in Spanish.</w:t>
            </w:r>
          </w:p>
        </w:tc>
      </w:tr>
      <w:tr w:rsidR="000B06F3" w:rsidRPr="00DA3C6E" w14:paraId="11B514D7" w14:textId="77777777" w:rsidTr="00BE60D2">
        <w:trPr>
          <w:trHeight w:val="195"/>
        </w:trPr>
        <w:tc>
          <w:tcPr>
            <w:tcW w:w="1413" w:type="dxa"/>
            <w:vAlign w:val="center"/>
          </w:tcPr>
          <w:p w14:paraId="4B8838A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Chaudhry et al. 2002</w:t>
            </w:r>
          </w:p>
        </w:tc>
        <w:tc>
          <w:tcPr>
            <w:tcW w:w="4536" w:type="dxa"/>
            <w:vAlign w:val="center"/>
          </w:tcPr>
          <w:p w14:paraId="43F2006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Chaudhry V, Escolar DM, Cornblath DR. Worsening of multifocal motor neuropathy during pregnancy. Neurology. 2002;59(1):139-41.</w:t>
            </w:r>
          </w:p>
        </w:tc>
        <w:tc>
          <w:tcPr>
            <w:tcW w:w="3098" w:type="dxa"/>
            <w:vAlign w:val="center"/>
          </w:tcPr>
          <w:p w14:paraId="3605A5C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Case series of three pregnant women with MMN. </w:t>
            </w:r>
          </w:p>
        </w:tc>
      </w:tr>
      <w:tr w:rsidR="000B06F3" w:rsidRPr="00DA3C6E" w14:paraId="743DB8FE" w14:textId="77777777" w:rsidTr="00BE60D2">
        <w:trPr>
          <w:trHeight w:val="195"/>
        </w:trPr>
        <w:tc>
          <w:tcPr>
            <w:tcW w:w="1413" w:type="dxa"/>
            <w:vAlign w:val="center"/>
          </w:tcPr>
          <w:p w14:paraId="6AED3E4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Cros et al. 2006</w:t>
            </w:r>
          </w:p>
        </w:tc>
        <w:tc>
          <w:tcPr>
            <w:tcW w:w="4536" w:type="dxa"/>
            <w:vAlign w:val="center"/>
          </w:tcPr>
          <w:p w14:paraId="2A7A9F7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Cros D, Drake K. Multifocal motor neuropathies with conduction block: Long-term follow-up of ten patients treated with intravenous Ig. Revue Neurologique. 2006;162(HS1):3S46-3S50.</w:t>
            </w:r>
          </w:p>
        </w:tc>
        <w:tc>
          <w:tcPr>
            <w:tcW w:w="3098" w:type="dxa"/>
            <w:vAlign w:val="center"/>
          </w:tcPr>
          <w:p w14:paraId="3D43FC9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Article in French. </w:t>
            </w:r>
          </w:p>
        </w:tc>
      </w:tr>
      <w:tr w:rsidR="000B06F3" w:rsidRPr="00DA3C6E" w14:paraId="6FAA4421" w14:textId="77777777" w:rsidTr="00BE60D2">
        <w:trPr>
          <w:trHeight w:val="195"/>
        </w:trPr>
        <w:tc>
          <w:tcPr>
            <w:tcW w:w="1413" w:type="dxa"/>
            <w:vAlign w:val="center"/>
          </w:tcPr>
          <w:p w14:paraId="7EEED27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Dalakas et al. 1994. </w:t>
            </w:r>
          </w:p>
        </w:tc>
        <w:tc>
          <w:tcPr>
            <w:tcW w:w="4536" w:type="dxa"/>
            <w:vAlign w:val="center"/>
          </w:tcPr>
          <w:p w14:paraId="2B0C481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Dalakas MC, Stein DP, Otero C, Sekul E, Cupler EJ, McCrosky S. Effect of high-dose intravenous immunoglobulin on amyotrophic lateral sclerosis and multifocal motor neuropathy. Archives of Neurology. 1994;51(9):861-4.</w:t>
            </w:r>
          </w:p>
        </w:tc>
        <w:tc>
          <w:tcPr>
            <w:tcW w:w="3098" w:type="dxa"/>
            <w:vAlign w:val="center"/>
          </w:tcPr>
          <w:p w14:paraId="11366AC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Mainly patients with ALS and only 1 patient with suspected MMN (likely to have been LMs)</w:t>
            </w:r>
          </w:p>
        </w:tc>
      </w:tr>
      <w:tr w:rsidR="000B06F3" w:rsidRPr="00DA3C6E" w14:paraId="420A9AD8" w14:textId="77777777" w:rsidTr="00BE60D2">
        <w:trPr>
          <w:trHeight w:val="195"/>
        </w:trPr>
        <w:tc>
          <w:tcPr>
            <w:tcW w:w="1413" w:type="dxa"/>
            <w:vAlign w:val="center"/>
          </w:tcPr>
          <w:p w14:paraId="720493E8"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Elliott el at. 1994.</w:t>
            </w:r>
          </w:p>
        </w:tc>
        <w:tc>
          <w:tcPr>
            <w:tcW w:w="4536" w:type="dxa"/>
            <w:vAlign w:val="center"/>
          </w:tcPr>
          <w:p w14:paraId="34AB171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Elliott JL, Pestronk A. Progression of multifocal motor neuropathy during apparently successful treatment with human immunoglobulin. Neurology. 1994;44(5):967-8.</w:t>
            </w:r>
          </w:p>
        </w:tc>
        <w:tc>
          <w:tcPr>
            <w:tcW w:w="3098" w:type="dxa"/>
            <w:vAlign w:val="center"/>
          </w:tcPr>
          <w:p w14:paraId="22A228F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Case report of 1 MMN patient who experienced an unusual presentation of the disease. </w:t>
            </w:r>
          </w:p>
        </w:tc>
      </w:tr>
      <w:tr w:rsidR="000B06F3" w:rsidRPr="00DA3C6E" w14:paraId="4DA52040" w14:textId="77777777" w:rsidTr="00BE60D2">
        <w:trPr>
          <w:trHeight w:val="195"/>
        </w:trPr>
        <w:tc>
          <w:tcPr>
            <w:tcW w:w="1413" w:type="dxa"/>
            <w:vAlign w:val="center"/>
          </w:tcPr>
          <w:p w14:paraId="2BE327C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Ellis et al. 1999</w:t>
            </w:r>
          </w:p>
        </w:tc>
        <w:tc>
          <w:tcPr>
            <w:tcW w:w="4536" w:type="dxa"/>
            <w:vAlign w:val="center"/>
          </w:tcPr>
          <w:p w14:paraId="44792EC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Ellis CM, Leary S, Payan J, Shaw C, Hu M, O'Brien M, et al. Use of human intravenous immunoglobulin in lower motor neuron syndromes. Journal of Neurology Neurosurgery and Psychiatry. 1999;67(1):15-9.</w:t>
            </w:r>
          </w:p>
        </w:tc>
        <w:tc>
          <w:tcPr>
            <w:tcW w:w="3098" w:type="dxa"/>
            <w:vAlign w:val="center"/>
          </w:tcPr>
          <w:p w14:paraId="7804079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10 patients presumably with MMN (clinical phenotype) without conduction block. Patients also had, ALS, SMA. </w:t>
            </w:r>
          </w:p>
        </w:tc>
      </w:tr>
      <w:tr w:rsidR="000B06F3" w:rsidRPr="00DA3C6E" w14:paraId="6AA4AFE7" w14:textId="77777777" w:rsidTr="00BE60D2">
        <w:trPr>
          <w:trHeight w:val="195"/>
        </w:trPr>
        <w:tc>
          <w:tcPr>
            <w:tcW w:w="1413" w:type="dxa"/>
            <w:vAlign w:val="center"/>
          </w:tcPr>
          <w:p w14:paraId="52D307CC"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et al. 2014</w:t>
            </w:r>
          </w:p>
        </w:tc>
        <w:tc>
          <w:tcPr>
            <w:tcW w:w="4536" w:type="dxa"/>
            <w:vAlign w:val="center"/>
          </w:tcPr>
          <w:p w14:paraId="04DF011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G, Ariatti A, Tondelli M, Benuzzi F, Stefani M, Miceli P, et al. Long-term prognosis and health-related quality of life (HRQol) in multifocal motor neuropathy (MMN). Journal of Neurology. 2014;261(SUPPL. 1):S96</w:t>
            </w:r>
          </w:p>
        </w:tc>
        <w:tc>
          <w:tcPr>
            <w:tcW w:w="3098" w:type="dxa"/>
            <w:vAlign w:val="center"/>
          </w:tcPr>
          <w:p w14:paraId="7A38A87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Conference paper. </w:t>
            </w:r>
          </w:p>
        </w:tc>
      </w:tr>
      <w:tr w:rsidR="000B06F3" w:rsidRPr="00DA3C6E" w14:paraId="266EEAE8" w14:textId="77777777" w:rsidTr="00BE60D2">
        <w:trPr>
          <w:trHeight w:val="195"/>
        </w:trPr>
        <w:tc>
          <w:tcPr>
            <w:tcW w:w="1413" w:type="dxa"/>
            <w:vAlign w:val="center"/>
          </w:tcPr>
          <w:p w14:paraId="4AFD31B8"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et al. 2012</w:t>
            </w:r>
          </w:p>
        </w:tc>
        <w:tc>
          <w:tcPr>
            <w:tcW w:w="4536" w:type="dxa"/>
            <w:vAlign w:val="center"/>
          </w:tcPr>
          <w:p w14:paraId="6E6942E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G, Girolami F. Acute-onset multifocal motor neuropathy (AMMN): how we meet the diagnosis. Int J Neurosci. 2012;122(8):413-22.</w:t>
            </w:r>
          </w:p>
        </w:tc>
        <w:tc>
          <w:tcPr>
            <w:tcW w:w="3098" w:type="dxa"/>
            <w:vAlign w:val="center"/>
          </w:tcPr>
          <w:p w14:paraId="5738505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Case study of an unusual presentation of the disease.</w:t>
            </w:r>
          </w:p>
        </w:tc>
      </w:tr>
      <w:tr w:rsidR="000B06F3" w:rsidRPr="00DA3C6E" w14:paraId="087C04B5" w14:textId="77777777" w:rsidTr="00BE60D2">
        <w:trPr>
          <w:trHeight w:val="195"/>
        </w:trPr>
        <w:tc>
          <w:tcPr>
            <w:tcW w:w="1413" w:type="dxa"/>
            <w:vAlign w:val="center"/>
          </w:tcPr>
          <w:p w14:paraId="08367CD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et al. 2012</w:t>
            </w:r>
          </w:p>
        </w:tc>
        <w:tc>
          <w:tcPr>
            <w:tcW w:w="4536" w:type="dxa"/>
            <w:vAlign w:val="center"/>
          </w:tcPr>
          <w:p w14:paraId="2D5FB3D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Galassi G, Girolami F, Ariatti A, Monelli M, Sola P. Fulminant multifocal motor neuropathy: a report of two cases. Int J Neurosci. 2012;122(7):395-400.</w:t>
            </w:r>
          </w:p>
        </w:tc>
        <w:tc>
          <w:tcPr>
            <w:tcW w:w="3098" w:type="dxa"/>
            <w:vAlign w:val="center"/>
          </w:tcPr>
          <w:p w14:paraId="4B8355B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Case study of an unusual presentation of the disease.</w:t>
            </w:r>
          </w:p>
        </w:tc>
      </w:tr>
      <w:tr w:rsidR="000B06F3" w:rsidRPr="00DA3C6E" w14:paraId="4E7DBA2B" w14:textId="77777777" w:rsidTr="00BE60D2">
        <w:trPr>
          <w:trHeight w:val="195"/>
        </w:trPr>
        <w:tc>
          <w:tcPr>
            <w:tcW w:w="1413" w:type="dxa"/>
            <w:vAlign w:val="center"/>
          </w:tcPr>
          <w:p w14:paraId="18CD423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Gallia et al. 2016</w:t>
            </w:r>
          </w:p>
        </w:tc>
        <w:tc>
          <w:tcPr>
            <w:tcW w:w="4536" w:type="dxa"/>
            <w:vAlign w:val="center"/>
          </w:tcPr>
          <w:p w14:paraId="1571DCC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Gallia F, Balducci C, Nobile-Orazio E. Efficacy and tolerability of different brands of intravenous immunoglobulin in the maintenance treatment of chronic immune-mediated neuropathies. Journal of the Peripheral Nervous System. 2016;21(2):82-4.</w:t>
            </w:r>
          </w:p>
        </w:tc>
        <w:tc>
          <w:tcPr>
            <w:tcW w:w="3098" w:type="dxa"/>
            <w:vAlign w:val="center"/>
          </w:tcPr>
          <w:p w14:paraId="4C2F528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Aim was to test response to different brands. </w:t>
            </w:r>
          </w:p>
        </w:tc>
      </w:tr>
      <w:tr w:rsidR="000B06F3" w:rsidRPr="00DA3C6E" w14:paraId="2727F866" w14:textId="77777777" w:rsidTr="00BE60D2">
        <w:trPr>
          <w:trHeight w:val="195"/>
        </w:trPr>
        <w:tc>
          <w:tcPr>
            <w:tcW w:w="1413" w:type="dxa"/>
            <w:vAlign w:val="center"/>
          </w:tcPr>
          <w:p w14:paraId="485BD52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Garg et al. 2016</w:t>
            </w:r>
          </w:p>
        </w:tc>
        <w:tc>
          <w:tcPr>
            <w:tcW w:w="4536" w:type="dxa"/>
            <w:vAlign w:val="center"/>
          </w:tcPr>
          <w:p w14:paraId="060CB7E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Garg N, Park SB, Howells J, Yiannikas C, Huynh W, Vucic S, et al. Differences in response to intravenous immunoglobulin in immune-mediated neuropathy: The importance of conduction block. Journal of the Peripheral Nervous System. 2016;21(3):175.</w:t>
            </w:r>
          </w:p>
        </w:tc>
        <w:tc>
          <w:tcPr>
            <w:tcW w:w="3098" w:type="dxa"/>
            <w:vAlign w:val="center"/>
          </w:tcPr>
          <w:p w14:paraId="30F7A2A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Aim of study was to assess conduction block after use of IVIg.</w:t>
            </w:r>
          </w:p>
        </w:tc>
      </w:tr>
      <w:tr w:rsidR="000B06F3" w:rsidRPr="00DA3C6E" w14:paraId="3804C79F" w14:textId="77777777" w:rsidTr="00BE60D2">
        <w:trPr>
          <w:trHeight w:val="195"/>
        </w:trPr>
        <w:tc>
          <w:tcPr>
            <w:tcW w:w="1413" w:type="dxa"/>
            <w:vAlign w:val="center"/>
          </w:tcPr>
          <w:p w14:paraId="4371341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Ghosh et al. 2005.</w:t>
            </w:r>
          </w:p>
        </w:tc>
        <w:tc>
          <w:tcPr>
            <w:tcW w:w="4536" w:type="dxa"/>
            <w:vAlign w:val="center"/>
          </w:tcPr>
          <w:p w14:paraId="68E7A0A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Ghosh A, Busby M, Kennett R, Mills K, Donaghy M. A practical definition of conduction block in intravenous Ig responsive multifocal motor neuropathy. Journal of Neurology, Neurosurgery and Psychiatry. 2005;76(9):1264-8.</w:t>
            </w:r>
          </w:p>
        </w:tc>
        <w:tc>
          <w:tcPr>
            <w:tcW w:w="3098" w:type="dxa"/>
            <w:vAlign w:val="center"/>
          </w:tcPr>
          <w:p w14:paraId="190A37A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Aim was to establish meaning of CB, not establish effectiveness of intravenous Ig.</w:t>
            </w:r>
          </w:p>
        </w:tc>
      </w:tr>
      <w:tr w:rsidR="000B06F3" w:rsidRPr="00DA3C6E" w14:paraId="44543530" w14:textId="77777777" w:rsidTr="00BE60D2">
        <w:trPr>
          <w:trHeight w:val="195"/>
        </w:trPr>
        <w:tc>
          <w:tcPr>
            <w:tcW w:w="1413" w:type="dxa"/>
            <w:vAlign w:val="center"/>
          </w:tcPr>
          <w:p w14:paraId="2A6AF81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Guimaraes-Costa et al. 2017</w:t>
            </w:r>
          </w:p>
        </w:tc>
        <w:tc>
          <w:tcPr>
            <w:tcW w:w="4536" w:type="dxa"/>
            <w:vAlign w:val="center"/>
          </w:tcPr>
          <w:p w14:paraId="64BBDE8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Guimaraes-Costa R, Muntean C, Iancu Ferfoglia R, Viala K, Maisonobe T, Musset L, et al. Multifocal motor neuropathy &gt;= 7 years off treatment: 8 Patients. Journal of the Peripheral Nervous System. 2017;22(Supplement 1):S21-S2.</w:t>
            </w:r>
          </w:p>
        </w:tc>
        <w:tc>
          <w:tcPr>
            <w:tcW w:w="3098" w:type="dxa"/>
            <w:vAlign w:val="center"/>
          </w:tcPr>
          <w:p w14:paraId="16548A8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Conference paper</w:t>
            </w:r>
          </w:p>
        </w:tc>
      </w:tr>
      <w:tr w:rsidR="000B06F3" w:rsidRPr="00DA3C6E" w14:paraId="41033D73" w14:textId="77777777" w:rsidTr="00BE60D2">
        <w:trPr>
          <w:trHeight w:val="195"/>
        </w:trPr>
        <w:tc>
          <w:tcPr>
            <w:tcW w:w="1413" w:type="dxa"/>
            <w:vAlign w:val="center"/>
          </w:tcPr>
          <w:p w14:paraId="6D8956D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Herraets et al. 2018.</w:t>
            </w:r>
          </w:p>
        </w:tc>
        <w:tc>
          <w:tcPr>
            <w:tcW w:w="4536" w:type="dxa"/>
            <w:vAlign w:val="center"/>
          </w:tcPr>
          <w:p w14:paraId="48D55F3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Herraets I, Goedee S, Telleman J, Van Asseldonk T, Van Der Pol L, Visser L, et al. Platform Session - Electromyography: Nerve ultrasound for the identification of treatment-responsive chronic neuropathies without nerve conduction abnormalities. Clinical Neurophysiology. 2018;129(Supplement 1):e223-e4.</w:t>
            </w:r>
          </w:p>
        </w:tc>
        <w:tc>
          <w:tcPr>
            <w:tcW w:w="3098" w:type="dxa"/>
            <w:vAlign w:val="center"/>
          </w:tcPr>
          <w:p w14:paraId="3CB32E4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Full text not found.</w:t>
            </w:r>
          </w:p>
        </w:tc>
      </w:tr>
      <w:tr w:rsidR="000B06F3" w:rsidRPr="00DA3C6E" w14:paraId="5745D94B" w14:textId="77777777" w:rsidTr="00BE60D2">
        <w:trPr>
          <w:trHeight w:val="195"/>
        </w:trPr>
        <w:tc>
          <w:tcPr>
            <w:tcW w:w="1413" w:type="dxa"/>
            <w:vAlign w:val="center"/>
          </w:tcPr>
          <w:p w14:paraId="34592E9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lastRenderedPageBreak/>
              <w:t xml:space="preserve">Higgoda et al. 2018. </w:t>
            </w:r>
          </w:p>
        </w:tc>
        <w:tc>
          <w:tcPr>
            <w:tcW w:w="4536" w:type="dxa"/>
            <w:vAlign w:val="center"/>
          </w:tcPr>
          <w:p w14:paraId="5C5CE0B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Higgoda R, Perera D, Thirumavalavan K. Multifocal motor neuropathy presenting as a post-infectious complication of dengue: a CASE report. BMC Infect Dis. 2018;18(1):415.</w:t>
            </w:r>
          </w:p>
        </w:tc>
        <w:tc>
          <w:tcPr>
            <w:tcW w:w="3098" w:type="dxa"/>
            <w:vAlign w:val="center"/>
          </w:tcPr>
          <w:p w14:paraId="7226D85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Outcomes reported in general terms in a case report where patient had suffered dengue infection. </w:t>
            </w:r>
          </w:p>
        </w:tc>
      </w:tr>
      <w:tr w:rsidR="000B06F3" w:rsidRPr="00DA3C6E" w14:paraId="1413253B" w14:textId="77777777" w:rsidTr="00BE60D2">
        <w:trPr>
          <w:trHeight w:val="195"/>
        </w:trPr>
        <w:tc>
          <w:tcPr>
            <w:tcW w:w="1413" w:type="dxa"/>
            <w:vAlign w:val="center"/>
          </w:tcPr>
          <w:p w14:paraId="2DADF6E0"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Hoang-Xuan et al. 1993. </w:t>
            </w:r>
          </w:p>
        </w:tc>
        <w:tc>
          <w:tcPr>
            <w:tcW w:w="4536" w:type="dxa"/>
            <w:vAlign w:val="center"/>
          </w:tcPr>
          <w:p w14:paraId="05E4C70C"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Hoang-Xuan K, Leger JM, Younes-Chennoufi AB, Saidi H, Bouche P, Baumann N, et al. Treatment of immune-mediated neuropathies with intravenous human immune globulin. Open study in 16 cases. Revue Neurologique. 1993;149(6-7):385-92.</w:t>
            </w:r>
          </w:p>
        </w:tc>
        <w:tc>
          <w:tcPr>
            <w:tcW w:w="3098" w:type="dxa"/>
            <w:vAlign w:val="center"/>
          </w:tcPr>
          <w:p w14:paraId="34B4B86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Full text not found. </w:t>
            </w:r>
          </w:p>
        </w:tc>
      </w:tr>
      <w:tr w:rsidR="000B06F3" w:rsidRPr="00DA3C6E" w14:paraId="0EE09A24" w14:textId="77777777" w:rsidTr="00BE60D2">
        <w:trPr>
          <w:trHeight w:val="195"/>
        </w:trPr>
        <w:tc>
          <w:tcPr>
            <w:tcW w:w="1413" w:type="dxa"/>
            <w:vAlign w:val="center"/>
          </w:tcPr>
          <w:p w14:paraId="3D880BC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Jusufovic et al. 2018.</w:t>
            </w:r>
          </w:p>
        </w:tc>
        <w:tc>
          <w:tcPr>
            <w:tcW w:w="4536" w:type="dxa"/>
            <w:vAlign w:val="center"/>
          </w:tcPr>
          <w:p w14:paraId="27394FE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Jusufovic E, Sinanovic O, Zukic S, Burina A, Dzinic Jusufovic Z, Sakic A. Multifocal Motor Neuropathy: Case Reports. Acta Clin Croat. 2018;57(3):581-7.</w:t>
            </w:r>
          </w:p>
        </w:tc>
        <w:tc>
          <w:tcPr>
            <w:tcW w:w="3098" w:type="dxa"/>
            <w:vAlign w:val="center"/>
          </w:tcPr>
          <w:p w14:paraId="5CBB0CA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Outcomes reported in general terms. </w:t>
            </w:r>
          </w:p>
        </w:tc>
      </w:tr>
      <w:tr w:rsidR="000B06F3" w:rsidRPr="00DA3C6E" w14:paraId="4B4FF237" w14:textId="77777777" w:rsidTr="00BE60D2">
        <w:trPr>
          <w:trHeight w:val="195"/>
        </w:trPr>
        <w:tc>
          <w:tcPr>
            <w:tcW w:w="1413" w:type="dxa"/>
            <w:vAlign w:val="center"/>
          </w:tcPr>
          <w:p w14:paraId="5986112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Kapoor et al. 2018</w:t>
            </w:r>
          </w:p>
        </w:tc>
        <w:tc>
          <w:tcPr>
            <w:tcW w:w="4536" w:type="dxa"/>
            <w:vAlign w:val="center"/>
          </w:tcPr>
          <w:p w14:paraId="074CAFE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Kapoor M, Carr A, Lunn M, Reilly MM. Comparison of clinical factors that impact disease activity in patients with inflammatory neuropathies. Neuromuscular Disorders. 2018;28(Supplement 1):S21-S2.</w:t>
            </w:r>
          </w:p>
        </w:tc>
        <w:tc>
          <w:tcPr>
            <w:tcW w:w="3098" w:type="dxa"/>
            <w:vAlign w:val="center"/>
          </w:tcPr>
          <w:p w14:paraId="240412B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Full text not found. </w:t>
            </w:r>
          </w:p>
        </w:tc>
      </w:tr>
      <w:tr w:rsidR="000B06F3" w:rsidRPr="00DA3C6E" w14:paraId="61944E49" w14:textId="77777777" w:rsidTr="00BE60D2">
        <w:trPr>
          <w:trHeight w:val="195"/>
        </w:trPr>
        <w:tc>
          <w:tcPr>
            <w:tcW w:w="1413" w:type="dxa"/>
            <w:vAlign w:val="center"/>
          </w:tcPr>
          <w:p w14:paraId="550C171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Kazuki et al. 2017. </w:t>
            </w:r>
          </w:p>
        </w:tc>
        <w:tc>
          <w:tcPr>
            <w:tcW w:w="4536" w:type="dxa"/>
            <w:vAlign w:val="center"/>
          </w:tcPr>
          <w:p w14:paraId="4BDF023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Kazuki W, Uchiyama T, Myojin H, Suzuki S, Wakatsuki R, Yamamoto D, et al. Clinical presentation of and maintenance treatment for chronic immune-mediated demyelinating neuropathy. Journal of the Neurological Sciences. 2017;381(Supplement 1):645-6.</w:t>
            </w:r>
          </w:p>
        </w:tc>
        <w:tc>
          <w:tcPr>
            <w:tcW w:w="3098" w:type="dxa"/>
            <w:vAlign w:val="center"/>
          </w:tcPr>
          <w:p w14:paraId="45657DB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Full text not found.</w:t>
            </w:r>
          </w:p>
        </w:tc>
      </w:tr>
      <w:tr w:rsidR="000B06F3" w:rsidRPr="00DA3C6E" w14:paraId="58DFF7CB" w14:textId="77777777" w:rsidTr="00BE60D2">
        <w:trPr>
          <w:trHeight w:val="195"/>
        </w:trPr>
        <w:tc>
          <w:tcPr>
            <w:tcW w:w="1413" w:type="dxa"/>
            <w:vAlign w:val="center"/>
          </w:tcPr>
          <w:p w14:paraId="118C35F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Larrode-Pellicer et al. 2005</w:t>
            </w:r>
          </w:p>
        </w:tc>
        <w:tc>
          <w:tcPr>
            <w:tcW w:w="4536" w:type="dxa"/>
            <w:vAlign w:val="center"/>
          </w:tcPr>
          <w:p w14:paraId="4AFE15D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Larrode-Pellicer P, Salgado-Alvarez de Sotomayor F, Iniguez-Martinez C, Santos S, Tejero-Juste C, Pascual-Millan LF. [Clinical, electrophysiological and immunological evaluation of the response to treatment with intravenous immunoglobulins in several immune-mediated neuropathies]. Rev Neurol. 2005;40(6):345-50.</w:t>
            </w:r>
          </w:p>
        </w:tc>
        <w:tc>
          <w:tcPr>
            <w:tcW w:w="3098" w:type="dxa"/>
            <w:vAlign w:val="center"/>
          </w:tcPr>
          <w:p w14:paraId="1099019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Article in French. </w:t>
            </w:r>
          </w:p>
        </w:tc>
      </w:tr>
      <w:tr w:rsidR="000B06F3" w:rsidRPr="00DA3C6E" w14:paraId="640DC2CE" w14:textId="77777777" w:rsidTr="00BE60D2">
        <w:trPr>
          <w:trHeight w:val="195"/>
        </w:trPr>
        <w:tc>
          <w:tcPr>
            <w:tcW w:w="1413" w:type="dxa"/>
            <w:vAlign w:val="center"/>
          </w:tcPr>
          <w:p w14:paraId="2332081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Lefaucheur etl al. 2003. </w:t>
            </w:r>
          </w:p>
        </w:tc>
        <w:tc>
          <w:tcPr>
            <w:tcW w:w="4536" w:type="dxa"/>
            <w:vAlign w:val="center"/>
          </w:tcPr>
          <w:p w14:paraId="516CBF3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Lefaucheur JP, Gregson NA, Gray I, von Raison F, Bertocchi M, Creange A. A variant of multifocal motor neuropathy with acute, generalised presentation and persistent conduction blocks. J Neurol Neurosurg Psychiatry. 2003;74(11):1555-61.</w:t>
            </w:r>
          </w:p>
        </w:tc>
        <w:tc>
          <w:tcPr>
            <w:tcW w:w="3098" w:type="dxa"/>
            <w:vAlign w:val="center"/>
          </w:tcPr>
          <w:p w14:paraId="53F11DB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Outcomes reported in general terms. </w:t>
            </w:r>
          </w:p>
        </w:tc>
      </w:tr>
      <w:tr w:rsidR="000B06F3" w:rsidRPr="00DA3C6E" w14:paraId="4E5DCFD6" w14:textId="77777777" w:rsidTr="00BE60D2">
        <w:trPr>
          <w:trHeight w:val="195"/>
        </w:trPr>
        <w:tc>
          <w:tcPr>
            <w:tcW w:w="1413" w:type="dxa"/>
            <w:vAlign w:val="center"/>
          </w:tcPr>
          <w:p w14:paraId="7EF7440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Lievens et al. 2009. </w:t>
            </w:r>
          </w:p>
        </w:tc>
        <w:tc>
          <w:tcPr>
            <w:tcW w:w="4536" w:type="dxa"/>
            <w:vAlign w:val="center"/>
          </w:tcPr>
          <w:p w14:paraId="6EFACA8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Lievens I, Fournier E, Viala K, Maisonobe T, Bouche P, Leger JM. Multifocal motor neuropathy: A retrospective study of sensory nerve conduction velocities in long-term follow-up of 21 patients. Revue Neurologique. 2009;165(3):243-8.</w:t>
            </w:r>
          </w:p>
        </w:tc>
        <w:tc>
          <w:tcPr>
            <w:tcW w:w="3098" w:type="dxa"/>
            <w:vAlign w:val="center"/>
          </w:tcPr>
          <w:p w14:paraId="2638067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Article in French. </w:t>
            </w:r>
          </w:p>
        </w:tc>
      </w:tr>
      <w:tr w:rsidR="000B06F3" w:rsidRPr="00DA3C6E" w14:paraId="35FFABD0" w14:textId="77777777" w:rsidTr="00BE60D2">
        <w:trPr>
          <w:trHeight w:val="195"/>
        </w:trPr>
        <w:tc>
          <w:tcPr>
            <w:tcW w:w="1413" w:type="dxa"/>
            <w:vAlign w:val="center"/>
          </w:tcPr>
          <w:p w14:paraId="7FFB2A3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Lin et al. 1995</w:t>
            </w:r>
          </w:p>
        </w:tc>
        <w:tc>
          <w:tcPr>
            <w:tcW w:w="4536" w:type="dxa"/>
            <w:vAlign w:val="center"/>
          </w:tcPr>
          <w:p w14:paraId="618E97C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Lin YY, Tsai CP, Ting YC, Lin KP, Liao KK, Kao KP, et al. Intravenous immunoglobulin infusion in multifocal demyelinating motor neuropathy: a case report. Zhonghua Yi Xue Za Zhi (Taipei). 1995;56(1):66-9.</w:t>
            </w:r>
          </w:p>
        </w:tc>
        <w:tc>
          <w:tcPr>
            <w:tcW w:w="3098" w:type="dxa"/>
            <w:vAlign w:val="center"/>
          </w:tcPr>
          <w:p w14:paraId="3660ADF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Full text not available, conference Abstract only. </w:t>
            </w:r>
          </w:p>
        </w:tc>
      </w:tr>
      <w:tr w:rsidR="000B06F3" w:rsidRPr="00DA3C6E" w14:paraId="3A5DA09E" w14:textId="77777777" w:rsidTr="00BE60D2">
        <w:trPr>
          <w:trHeight w:val="195"/>
        </w:trPr>
        <w:tc>
          <w:tcPr>
            <w:tcW w:w="1413" w:type="dxa"/>
            <w:vAlign w:val="center"/>
          </w:tcPr>
          <w:p w14:paraId="2C6F096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Mezaki et al. 1994</w:t>
            </w:r>
          </w:p>
        </w:tc>
        <w:tc>
          <w:tcPr>
            <w:tcW w:w="4536" w:type="dxa"/>
            <w:vAlign w:val="center"/>
          </w:tcPr>
          <w:p w14:paraId="3AC983A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Mezaki T, Kaji R, Akiguchi I, Kimura J. Intravenous immunoglobulin therapy in multifocal motor neuropathy. Clinical Neurology. 1994;34(1):22-6.</w:t>
            </w:r>
          </w:p>
        </w:tc>
        <w:tc>
          <w:tcPr>
            <w:tcW w:w="3098" w:type="dxa"/>
            <w:vAlign w:val="center"/>
          </w:tcPr>
          <w:p w14:paraId="5FCC441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Article in Japanese</w:t>
            </w:r>
          </w:p>
        </w:tc>
      </w:tr>
      <w:tr w:rsidR="000B06F3" w:rsidRPr="00DA3C6E" w14:paraId="6FBEC689" w14:textId="77777777" w:rsidTr="00BE60D2">
        <w:trPr>
          <w:trHeight w:val="195"/>
        </w:trPr>
        <w:tc>
          <w:tcPr>
            <w:tcW w:w="1413" w:type="dxa"/>
            <w:vAlign w:val="center"/>
          </w:tcPr>
          <w:p w14:paraId="34E79AF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Muntean et al. 2015</w:t>
            </w:r>
          </w:p>
        </w:tc>
        <w:tc>
          <w:tcPr>
            <w:tcW w:w="4536" w:type="dxa"/>
            <w:vAlign w:val="center"/>
          </w:tcPr>
          <w:p w14:paraId="3430360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Muntean C, Guimaraes-Costa R, Iancu Ferfoglia R, Viala K, Maisonobe T, Musset L, et al. Multifocal motor neuropathy &gt;= 5 years off treatment: 8 patients. Journal of the Peripheral Nervous System. 2015;20(2):196.</w:t>
            </w:r>
          </w:p>
        </w:tc>
        <w:tc>
          <w:tcPr>
            <w:tcW w:w="3098" w:type="dxa"/>
            <w:vAlign w:val="center"/>
          </w:tcPr>
          <w:p w14:paraId="38960EB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Full text not available, conference Abstract only. </w:t>
            </w:r>
          </w:p>
        </w:tc>
      </w:tr>
      <w:tr w:rsidR="000B06F3" w:rsidRPr="00DA3C6E" w14:paraId="69485AE9" w14:textId="77777777" w:rsidTr="00BE60D2">
        <w:trPr>
          <w:trHeight w:val="195"/>
        </w:trPr>
        <w:tc>
          <w:tcPr>
            <w:tcW w:w="1413" w:type="dxa"/>
            <w:vAlign w:val="center"/>
          </w:tcPr>
          <w:p w14:paraId="04D369F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Murata et al. 2010. </w:t>
            </w:r>
          </w:p>
        </w:tc>
        <w:tc>
          <w:tcPr>
            <w:tcW w:w="4536" w:type="dxa"/>
            <w:vAlign w:val="center"/>
          </w:tcPr>
          <w:p w14:paraId="3D95B7E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Murata Y, Okamoto T, Kondo Y, Chihara N, Furusawa Y, Murata M. [Monthly low-dose immunoglobulin infusion as a maintenance therapy for multifocal motor neuropathy may reduce allergic adverse effects: a case report]. Rinsho Shinkeigaku. 2010;50(8):561-5.</w:t>
            </w:r>
          </w:p>
        </w:tc>
        <w:tc>
          <w:tcPr>
            <w:tcW w:w="3098" w:type="dxa"/>
            <w:vAlign w:val="center"/>
          </w:tcPr>
          <w:p w14:paraId="33BCB3B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Article in Japanese. </w:t>
            </w:r>
          </w:p>
        </w:tc>
      </w:tr>
      <w:tr w:rsidR="000B06F3" w:rsidRPr="00DA3C6E" w14:paraId="6F795E49" w14:textId="77777777" w:rsidTr="00BE60D2">
        <w:trPr>
          <w:trHeight w:val="195"/>
        </w:trPr>
        <w:tc>
          <w:tcPr>
            <w:tcW w:w="1413" w:type="dxa"/>
            <w:vAlign w:val="center"/>
          </w:tcPr>
          <w:p w14:paraId="17D4832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Pruppers et al. 2015</w:t>
            </w:r>
          </w:p>
        </w:tc>
        <w:tc>
          <w:tcPr>
            <w:tcW w:w="4536" w:type="dxa"/>
            <w:vAlign w:val="center"/>
          </w:tcPr>
          <w:p w14:paraId="4EB80ED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Pruppers MH, Draak TH, Vanhoutte EK, Van der Pol WL, Gorson KC, Léger JM, et al. Outcome measures in MMN revisited: further improvement needed. Journal of the peripheral nervous system : JPNS. 2015;20(3):306</w:t>
            </w:r>
            <w:r w:rsidRPr="007810D6">
              <w:rPr>
                <w:rFonts w:ascii="Cambria Math" w:hAnsi="Cambria Math" w:cs="Cambria Math"/>
                <w:sz w:val="20"/>
                <w:szCs w:val="20"/>
              </w:rPr>
              <w:t>‐</w:t>
            </w:r>
            <w:r w:rsidRPr="007810D6">
              <w:rPr>
                <w:rFonts w:ascii="Arial Narrow" w:hAnsi="Arial Narrow"/>
                <w:sz w:val="20"/>
                <w:szCs w:val="20"/>
              </w:rPr>
              <w:t>18</w:t>
            </w:r>
          </w:p>
        </w:tc>
        <w:tc>
          <w:tcPr>
            <w:tcW w:w="3098" w:type="dxa"/>
            <w:vAlign w:val="center"/>
          </w:tcPr>
          <w:p w14:paraId="061F07C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Outcomes reported in general terms</w:t>
            </w:r>
          </w:p>
        </w:tc>
      </w:tr>
      <w:tr w:rsidR="000B06F3" w:rsidRPr="00DA3C6E" w14:paraId="06475196" w14:textId="77777777" w:rsidTr="00BE60D2">
        <w:trPr>
          <w:trHeight w:val="195"/>
        </w:trPr>
        <w:tc>
          <w:tcPr>
            <w:tcW w:w="1413" w:type="dxa"/>
            <w:vAlign w:val="center"/>
          </w:tcPr>
          <w:p w14:paraId="1E231B4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Seror et al 2002. </w:t>
            </w:r>
          </w:p>
        </w:tc>
        <w:tc>
          <w:tcPr>
            <w:tcW w:w="4536" w:type="dxa"/>
            <w:vAlign w:val="center"/>
          </w:tcPr>
          <w:p w14:paraId="43DAE0F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Seror P, Leger JM, Maisonobe T. Anterior interosseous nerve and multifocal motor neuropathy. Muscle and Nerve. 2002;26(6):841-4.</w:t>
            </w:r>
          </w:p>
        </w:tc>
        <w:tc>
          <w:tcPr>
            <w:tcW w:w="3098" w:type="dxa"/>
            <w:vAlign w:val="center"/>
          </w:tcPr>
          <w:p w14:paraId="3EF6347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Aim was purely diagnostic: evaluates association between nerve dysfunction and MMN</w:t>
            </w:r>
          </w:p>
        </w:tc>
      </w:tr>
      <w:tr w:rsidR="000B06F3" w:rsidRPr="00DA3C6E" w14:paraId="071335C4" w14:textId="77777777" w:rsidTr="00BE60D2">
        <w:trPr>
          <w:trHeight w:val="195"/>
        </w:trPr>
        <w:tc>
          <w:tcPr>
            <w:tcW w:w="1413" w:type="dxa"/>
            <w:vAlign w:val="center"/>
          </w:tcPr>
          <w:p w14:paraId="79119C3D"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lastRenderedPageBreak/>
              <w:t xml:space="preserve">Shiratori et al. 1996. </w:t>
            </w:r>
          </w:p>
        </w:tc>
        <w:tc>
          <w:tcPr>
            <w:tcW w:w="4536" w:type="dxa"/>
            <w:vAlign w:val="center"/>
          </w:tcPr>
          <w:p w14:paraId="33A3CB9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Shiratori M, Saitou K, Inukai A, Aoki S, Sobue G. [Long-term maintenance therapy of multifocal motor neuropathy by weekly administration of human immunoglobulin]. Rinsho Shinkeigaku. 1996;36(6):793-6.</w:t>
            </w:r>
          </w:p>
        </w:tc>
        <w:tc>
          <w:tcPr>
            <w:tcW w:w="3098" w:type="dxa"/>
            <w:vAlign w:val="center"/>
          </w:tcPr>
          <w:p w14:paraId="2DC559C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Article in Japanese. </w:t>
            </w:r>
          </w:p>
        </w:tc>
      </w:tr>
      <w:tr w:rsidR="000B06F3" w:rsidRPr="00DA3C6E" w14:paraId="2FA52A6D" w14:textId="77777777" w:rsidTr="00BE60D2">
        <w:trPr>
          <w:trHeight w:val="195"/>
        </w:trPr>
        <w:tc>
          <w:tcPr>
            <w:tcW w:w="1413" w:type="dxa"/>
            <w:vAlign w:val="center"/>
          </w:tcPr>
          <w:p w14:paraId="0702525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Sinkunaite et al 2018.</w:t>
            </w:r>
          </w:p>
        </w:tc>
        <w:tc>
          <w:tcPr>
            <w:tcW w:w="4536" w:type="dxa"/>
            <w:vAlign w:val="center"/>
          </w:tcPr>
          <w:p w14:paraId="7F1D4E3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Sinkunaite L, Burbaud P, Soulages A, Vergnet S, Duval F, Sole G, et al. Focal neurogenic muscle hypertrophy and fasciculations in multifocal motor neuropathy. Muscle Nerve. 2018;58(5):E36-E9.</w:t>
            </w:r>
          </w:p>
        </w:tc>
        <w:tc>
          <w:tcPr>
            <w:tcW w:w="3098" w:type="dxa"/>
            <w:vAlign w:val="center"/>
          </w:tcPr>
          <w:p w14:paraId="224E447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Unusual MMN presentation</w:t>
            </w:r>
          </w:p>
        </w:tc>
      </w:tr>
      <w:tr w:rsidR="000B06F3" w:rsidRPr="00DA3C6E" w14:paraId="197D4B61" w14:textId="77777777" w:rsidTr="00BE60D2">
        <w:trPr>
          <w:trHeight w:val="195"/>
        </w:trPr>
        <w:tc>
          <w:tcPr>
            <w:tcW w:w="1413" w:type="dxa"/>
            <w:vAlign w:val="center"/>
          </w:tcPr>
          <w:p w14:paraId="6E595CF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Stangel et al 2016 (a)</w:t>
            </w:r>
          </w:p>
        </w:tc>
        <w:tc>
          <w:tcPr>
            <w:tcW w:w="4536" w:type="dxa"/>
            <w:vAlign w:val="center"/>
          </w:tcPr>
          <w:p w14:paraId="7550EAAA"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Stangel, Gold, Baumann, Borte, Fashauer, Hensel, et al. Real-world data on the management of patients with multifocal motor neuropathy (MMN) or chronic inflammatory demyelinating polyneuropathy (CIDP) with immunoglobulins: Long-term data of the SIGNS study. Swiss Medical Weekly. 2016;146(Supplement 219):95S.</w:t>
            </w:r>
          </w:p>
        </w:tc>
        <w:tc>
          <w:tcPr>
            <w:tcW w:w="3098" w:type="dxa"/>
            <w:vAlign w:val="center"/>
          </w:tcPr>
          <w:p w14:paraId="3C4761BC"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Irrelevant outcomes reported. </w:t>
            </w:r>
          </w:p>
        </w:tc>
      </w:tr>
      <w:tr w:rsidR="000B06F3" w:rsidRPr="00DA3C6E" w14:paraId="6C9A9DCE" w14:textId="77777777" w:rsidTr="00BE60D2">
        <w:trPr>
          <w:trHeight w:val="195"/>
        </w:trPr>
        <w:tc>
          <w:tcPr>
            <w:tcW w:w="1413" w:type="dxa"/>
            <w:vAlign w:val="center"/>
          </w:tcPr>
          <w:p w14:paraId="76C19928"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Stangel et al 2016 (b)</w:t>
            </w:r>
          </w:p>
        </w:tc>
        <w:tc>
          <w:tcPr>
            <w:tcW w:w="4536" w:type="dxa"/>
            <w:vAlign w:val="center"/>
          </w:tcPr>
          <w:p w14:paraId="7C1D9A5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Stangel M, Gold R, Pittrow D, Baumann U, Borte M, Fasshauer M, et al. Treatment of patients with multifocal motor neuropathy with immunoglobulins in clinical practice: The SIGNS registry. Therapeutic Advances in Neurological Disorders. 2016;9(3):165-79.</w:t>
            </w:r>
          </w:p>
        </w:tc>
        <w:tc>
          <w:tcPr>
            <w:tcW w:w="3098" w:type="dxa"/>
            <w:vAlign w:val="center"/>
          </w:tcPr>
          <w:p w14:paraId="16B659AA"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Outdated version of Stangel et al 2016 (a). </w:t>
            </w:r>
          </w:p>
        </w:tc>
      </w:tr>
      <w:tr w:rsidR="000B06F3" w:rsidRPr="00DA3C6E" w14:paraId="5E21483F" w14:textId="77777777" w:rsidTr="00BE60D2">
        <w:trPr>
          <w:trHeight w:val="195"/>
        </w:trPr>
        <w:tc>
          <w:tcPr>
            <w:tcW w:w="1413" w:type="dxa"/>
            <w:vAlign w:val="center"/>
          </w:tcPr>
          <w:p w14:paraId="02A4D9E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Stern et al. 2006. </w:t>
            </w:r>
          </w:p>
        </w:tc>
        <w:tc>
          <w:tcPr>
            <w:tcW w:w="4536" w:type="dxa"/>
            <w:vAlign w:val="center"/>
          </w:tcPr>
          <w:p w14:paraId="094751E7"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Stern BV, Baehring JM, Kleopa KA, Hochberg FH. Multifocal motor neuropathy with conduction block associated with metastatic lymphoma of the nervous system. J Neurooncol. 2006;78(1):81-4.</w:t>
            </w:r>
          </w:p>
        </w:tc>
        <w:tc>
          <w:tcPr>
            <w:tcW w:w="3098" w:type="dxa"/>
            <w:vAlign w:val="center"/>
          </w:tcPr>
          <w:p w14:paraId="101DB12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Unusual MMN presentation</w:t>
            </w:r>
          </w:p>
        </w:tc>
      </w:tr>
      <w:tr w:rsidR="000B06F3" w:rsidRPr="00DA3C6E" w14:paraId="4AFDA295" w14:textId="77777777" w:rsidTr="00BE60D2">
        <w:trPr>
          <w:trHeight w:val="195"/>
        </w:trPr>
        <w:tc>
          <w:tcPr>
            <w:tcW w:w="1413" w:type="dxa"/>
            <w:vAlign w:val="center"/>
          </w:tcPr>
          <w:p w14:paraId="3DDD80DA"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Toscano et al. 2002</w:t>
            </w:r>
          </w:p>
        </w:tc>
        <w:tc>
          <w:tcPr>
            <w:tcW w:w="4536" w:type="dxa"/>
            <w:vAlign w:val="center"/>
          </w:tcPr>
          <w:p w14:paraId="75A4F2D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Toscano A, Rodolico C, Benvenga S, Girlanda P, Laura M, Mazzeo A, et al. Multifocal motor neuropathy and asymptomatic Hashimoto's thyroiditis: first report of an association. Neuromuscul Disord. 2002;12(6):566-8.</w:t>
            </w:r>
          </w:p>
        </w:tc>
        <w:tc>
          <w:tcPr>
            <w:tcW w:w="3098" w:type="dxa"/>
            <w:vAlign w:val="center"/>
          </w:tcPr>
          <w:p w14:paraId="54047B5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Based on one patients with unusual symptoms and disease profile for MMN. </w:t>
            </w:r>
          </w:p>
        </w:tc>
      </w:tr>
      <w:tr w:rsidR="000B06F3" w:rsidRPr="00DA3C6E" w14:paraId="38A627D5" w14:textId="77777777" w:rsidTr="00BE60D2">
        <w:trPr>
          <w:trHeight w:val="195"/>
        </w:trPr>
        <w:tc>
          <w:tcPr>
            <w:tcW w:w="1413" w:type="dxa"/>
            <w:vAlign w:val="center"/>
          </w:tcPr>
          <w:p w14:paraId="7F531B5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Van den Berg et al. 1997</w:t>
            </w:r>
          </w:p>
        </w:tc>
        <w:tc>
          <w:tcPr>
            <w:tcW w:w="4536" w:type="dxa"/>
            <w:vAlign w:val="center"/>
          </w:tcPr>
          <w:p w14:paraId="324E054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Van den Berg LH, Lokhorst H, Wokke JH. Pulsed high-dose dexamethasone is not effective in patients with multifocal motor neuropathy. Neurology. 1997;48(4):1135.</w:t>
            </w:r>
          </w:p>
        </w:tc>
        <w:tc>
          <w:tcPr>
            <w:tcW w:w="3098" w:type="dxa"/>
            <w:vAlign w:val="center"/>
          </w:tcPr>
          <w:p w14:paraId="762D085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Wrong intervention</w:t>
            </w:r>
            <w:r w:rsidR="000F7A2A" w:rsidRPr="007810D6">
              <w:rPr>
                <w:rFonts w:ascii="Arial Narrow" w:hAnsi="Arial Narrow"/>
                <w:sz w:val="20"/>
                <w:szCs w:val="20"/>
              </w:rPr>
              <w:t xml:space="preserve"> (</w:t>
            </w:r>
            <w:r w:rsidRPr="007810D6">
              <w:rPr>
                <w:rFonts w:ascii="Arial Narrow" w:hAnsi="Arial Narrow"/>
                <w:sz w:val="20"/>
                <w:szCs w:val="20"/>
              </w:rPr>
              <w:t>dexamethasone</w:t>
            </w:r>
            <w:r w:rsidR="000F7A2A" w:rsidRPr="007810D6">
              <w:rPr>
                <w:rFonts w:ascii="Arial Narrow" w:hAnsi="Arial Narrow"/>
                <w:sz w:val="20"/>
                <w:szCs w:val="20"/>
              </w:rPr>
              <w:t>).</w:t>
            </w:r>
          </w:p>
        </w:tc>
      </w:tr>
      <w:tr w:rsidR="000B06F3" w:rsidRPr="00DA3C6E" w14:paraId="587792BD" w14:textId="77777777" w:rsidTr="00BE60D2">
        <w:trPr>
          <w:trHeight w:val="195"/>
        </w:trPr>
        <w:tc>
          <w:tcPr>
            <w:tcW w:w="1413" w:type="dxa"/>
            <w:vAlign w:val="center"/>
          </w:tcPr>
          <w:p w14:paraId="5952E6A0"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Veltkamp et al. 2003. </w:t>
            </w:r>
          </w:p>
        </w:tc>
        <w:tc>
          <w:tcPr>
            <w:tcW w:w="4536" w:type="dxa"/>
            <w:vAlign w:val="center"/>
          </w:tcPr>
          <w:p w14:paraId="5C667691"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Veltkamp R, Krause M, Schranz C, Meinck HM. Progressive arm weakness and tonic hand spasm from multifocal motor neuropathy in the brachial plexus. Muscle Nerve. 2003;28(2):242-5.</w:t>
            </w:r>
          </w:p>
        </w:tc>
        <w:tc>
          <w:tcPr>
            <w:tcW w:w="3098" w:type="dxa"/>
            <w:vAlign w:val="center"/>
          </w:tcPr>
          <w:p w14:paraId="61DF8ED6"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Unusual MMN presentation</w:t>
            </w:r>
          </w:p>
        </w:tc>
      </w:tr>
      <w:tr w:rsidR="000B06F3" w:rsidRPr="00DA3C6E" w14:paraId="520E7395" w14:textId="77777777" w:rsidTr="00BE60D2">
        <w:trPr>
          <w:trHeight w:val="195"/>
        </w:trPr>
        <w:tc>
          <w:tcPr>
            <w:tcW w:w="1413" w:type="dxa"/>
            <w:vAlign w:val="center"/>
          </w:tcPr>
          <w:p w14:paraId="7E45452F"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Vucic et al. 2004. </w:t>
            </w:r>
          </w:p>
        </w:tc>
        <w:tc>
          <w:tcPr>
            <w:tcW w:w="4536" w:type="dxa"/>
            <w:vAlign w:val="center"/>
          </w:tcPr>
          <w:p w14:paraId="427C04D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Vucic S, Dawson K, Sun D, Cros D. Pure motor mononeuropathy with distal conduction block: an unusual presentation of multifocal motor neuropathy with conduction blocks. Clin Neurophysiol. 2004;115(10):2323-8.</w:t>
            </w:r>
          </w:p>
        </w:tc>
        <w:tc>
          <w:tcPr>
            <w:tcW w:w="3098" w:type="dxa"/>
            <w:vAlign w:val="center"/>
          </w:tcPr>
          <w:p w14:paraId="2AD1EA18"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Outcomes reported in general terms, and not relevant. </w:t>
            </w:r>
          </w:p>
        </w:tc>
      </w:tr>
      <w:tr w:rsidR="000B06F3" w:rsidRPr="00DA3C6E" w14:paraId="5A3C10A5" w14:textId="77777777" w:rsidTr="00BE60D2">
        <w:trPr>
          <w:trHeight w:val="195"/>
        </w:trPr>
        <w:tc>
          <w:tcPr>
            <w:tcW w:w="1413" w:type="dxa"/>
            <w:vAlign w:val="center"/>
          </w:tcPr>
          <w:p w14:paraId="0F75054E"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Wang et al. 2017.</w:t>
            </w:r>
          </w:p>
        </w:tc>
        <w:tc>
          <w:tcPr>
            <w:tcW w:w="4536" w:type="dxa"/>
            <w:vAlign w:val="center"/>
          </w:tcPr>
          <w:p w14:paraId="17594393"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Wang HF, Yang F, Cui F, Chen ZH, Ling L, Huang XS. [Analysis of the clinical and electrophysiological characteristics of multifocal motor neuropathy]. Zhonghua Nei Ke Za Zhi. 2017;56(11):842-5.</w:t>
            </w:r>
          </w:p>
        </w:tc>
        <w:tc>
          <w:tcPr>
            <w:tcW w:w="3098" w:type="dxa"/>
            <w:vAlign w:val="center"/>
          </w:tcPr>
          <w:p w14:paraId="568227C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Language not English</w:t>
            </w:r>
          </w:p>
        </w:tc>
      </w:tr>
      <w:tr w:rsidR="000B06F3" w:rsidRPr="00DA3C6E" w14:paraId="557A0EFC" w14:textId="77777777" w:rsidTr="00BE60D2">
        <w:trPr>
          <w:trHeight w:val="195"/>
        </w:trPr>
        <w:tc>
          <w:tcPr>
            <w:tcW w:w="1413" w:type="dxa"/>
            <w:vAlign w:val="center"/>
          </w:tcPr>
          <w:p w14:paraId="4D577B9B"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White et al. 1996.</w:t>
            </w:r>
          </w:p>
        </w:tc>
        <w:tc>
          <w:tcPr>
            <w:tcW w:w="4536" w:type="dxa"/>
            <w:vAlign w:val="center"/>
          </w:tcPr>
          <w:p w14:paraId="302DD834"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White JR, Sachs GM, Gilchrist JM. Multifocal motor neuropathy with conduction block and Campylobacter jejuni. Neurology. 1996;46(2):562-3.</w:t>
            </w:r>
          </w:p>
        </w:tc>
        <w:tc>
          <w:tcPr>
            <w:tcW w:w="3098" w:type="dxa"/>
            <w:vAlign w:val="center"/>
          </w:tcPr>
          <w:p w14:paraId="69CC162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Based on 1 patient with unusual course of MMN. Assessment of outcomes reported as overall change without quantitative assessment; no definition of response vs. no response. Quantitative assessment provided only as diagnostic measures. </w:t>
            </w:r>
          </w:p>
        </w:tc>
      </w:tr>
      <w:tr w:rsidR="000B06F3" w:rsidRPr="00DA3C6E" w14:paraId="535EE25C" w14:textId="77777777" w:rsidTr="00BE60D2">
        <w:trPr>
          <w:trHeight w:val="195"/>
        </w:trPr>
        <w:tc>
          <w:tcPr>
            <w:tcW w:w="1413" w:type="dxa"/>
            <w:vAlign w:val="center"/>
          </w:tcPr>
          <w:p w14:paraId="469DC452"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Wittstock et al. 2003. </w:t>
            </w:r>
          </w:p>
        </w:tc>
        <w:tc>
          <w:tcPr>
            <w:tcW w:w="4536" w:type="dxa"/>
            <w:vAlign w:val="center"/>
          </w:tcPr>
          <w:p w14:paraId="2D815169"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Wittstock M, Benecke R, Zettl UK. Therapy with intravenous immunoglobulins: Complications and side-effects. European Neurology. 2003;50(3):172-5.</w:t>
            </w:r>
          </w:p>
        </w:tc>
        <w:tc>
          <w:tcPr>
            <w:tcW w:w="3098" w:type="dxa"/>
            <w:vAlign w:val="center"/>
          </w:tcPr>
          <w:p w14:paraId="551CF7E5" w14:textId="77777777" w:rsidR="000B06F3" w:rsidRPr="007810D6" w:rsidRDefault="000B06F3" w:rsidP="007810D6">
            <w:pPr>
              <w:spacing w:after="0" w:line="240" w:lineRule="auto"/>
              <w:ind w:left="29"/>
              <w:rPr>
                <w:rFonts w:ascii="Arial Narrow" w:hAnsi="Arial Narrow"/>
                <w:sz w:val="20"/>
                <w:szCs w:val="20"/>
              </w:rPr>
            </w:pPr>
            <w:r w:rsidRPr="007810D6">
              <w:rPr>
                <w:rFonts w:ascii="Arial Narrow" w:hAnsi="Arial Narrow"/>
                <w:sz w:val="20"/>
                <w:szCs w:val="20"/>
              </w:rPr>
              <w:t xml:space="preserve">Outcomes reported in general terms, and not relevant. </w:t>
            </w:r>
          </w:p>
        </w:tc>
      </w:tr>
    </w:tbl>
    <w:p w14:paraId="07A8CC84" w14:textId="26B67C19" w:rsidR="000B06F3" w:rsidRPr="00226182" w:rsidRDefault="000B06F3" w:rsidP="00226182">
      <w:pPr>
        <w:rPr>
          <w:rFonts w:ascii="Arial Narrow" w:hAnsi="Arial Narrow"/>
          <w:sz w:val="18"/>
          <w:szCs w:val="18"/>
        </w:rPr>
      </w:pPr>
      <w:r w:rsidRPr="00226182">
        <w:rPr>
          <w:rFonts w:ascii="Arial Narrow" w:hAnsi="Arial Narrow"/>
          <w:sz w:val="18"/>
          <w:szCs w:val="18"/>
        </w:rPr>
        <w:t xml:space="preserve">Abbreviations: ALS = Amyotrophic Lateral Sclerosis; LMS = lower motor neuron syndrome; SMA=spinal muscular atrophy. </w:t>
      </w:r>
    </w:p>
    <w:p w14:paraId="71BA9FD1" w14:textId="77777777" w:rsidR="000B06F3" w:rsidRPr="00DA3C6E" w:rsidRDefault="000B06F3" w:rsidP="00DF343F">
      <w:pPr>
        <w:rPr>
          <w:rFonts w:eastAsiaTheme="minorHAnsi"/>
          <w:lang w:eastAsia="en-US"/>
        </w:rPr>
      </w:pPr>
      <w:r w:rsidRPr="00DA3C6E">
        <w:rPr>
          <w:rFonts w:eastAsiaTheme="minorHAnsi"/>
          <w:lang w:eastAsia="en-US"/>
        </w:rPr>
        <w:br w:type="page"/>
      </w:r>
    </w:p>
    <w:p w14:paraId="1F921A27" w14:textId="77777777" w:rsidR="000B06F3" w:rsidRPr="00DA3C6E" w:rsidRDefault="000B06F3" w:rsidP="0028153A">
      <w:pPr>
        <w:pStyle w:val="Heading1"/>
      </w:pPr>
      <w:bookmarkStart w:id="418" w:name="_Toc37845798"/>
      <w:r w:rsidRPr="00DA3C6E">
        <w:lastRenderedPageBreak/>
        <w:t>Appendix F</w:t>
      </w:r>
      <w:r w:rsidRPr="00DA3C6E">
        <w:tab/>
        <w:t>Effectiveness outcomes</w:t>
      </w:r>
      <w:bookmarkEnd w:id="418"/>
    </w:p>
    <w:p w14:paraId="4301FC25" w14:textId="77777777" w:rsidR="000B06F3" w:rsidRPr="00DA3C6E" w:rsidRDefault="00986227" w:rsidP="001207B3">
      <w:pPr>
        <w:pStyle w:val="Heading2"/>
      </w:pPr>
      <w:bookmarkStart w:id="419" w:name="_Toc37845799"/>
      <w:r w:rsidRPr="00DA3C6E">
        <w:t>Fixed effect m</w:t>
      </w:r>
      <w:r w:rsidR="000B06F3" w:rsidRPr="00DA3C6E">
        <w:t>odels</w:t>
      </w:r>
      <w:bookmarkEnd w:id="419"/>
      <w:r w:rsidR="000B06F3" w:rsidRPr="00DA3C6E">
        <w:t xml:space="preserve"> </w:t>
      </w:r>
    </w:p>
    <w:p w14:paraId="3E32F733" w14:textId="63F2472A" w:rsidR="000B06F3" w:rsidRPr="00DA3C6E" w:rsidRDefault="00DB0F0A" w:rsidP="001207B3">
      <w:pPr>
        <w:pStyle w:val="Caption"/>
      </w:pPr>
      <w:bookmarkStart w:id="420" w:name="_Toc37845877"/>
      <w:r w:rsidRPr="00DA3C6E">
        <w:t xml:space="preserve">Figure </w:t>
      </w:r>
      <w:r w:rsidR="00515153">
        <w:fldChar w:fldCharType="begin"/>
      </w:r>
      <w:r w:rsidR="00515153">
        <w:instrText xml:space="preserve"> SEQ Figure \* ARABIC </w:instrText>
      </w:r>
      <w:r w:rsidR="00515153">
        <w:fldChar w:fldCharType="separate"/>
      </w:r>
      <w:r w:rsidR="00EA5DC1">
        <w:rPr>
          <w:noProof/>
        </w:rPr>
        <w:t>17</w:t>
      </w:r>
      <w:r w:rsidR="00515153">
        <w:rPr>
          <w:noProof/>
        </w:rPr>
        <w:fldChar w:fldCharType="end"/>
      </w:r>
      <w:r w:rsidRPr="00DA3C6E">
        <w:t xml:space="preserve">. </w:t>
      </w:r>
      <w:r w:rsidR="000B06F3" w:rsidRPr="00DA3C6E">
        <w:t>Improvement in disability</w:t>
      </w:r>
      <w:r w:rsidRPr="00DA3C6E">
        <w:t xml:space="preserve"> using the fixed effect model</w:t>
      </w:r>
      <w:bookmarkEnd w:id="420"/>
    </w:p>
    <w:p w14:paraId="44423E9D" w14:textId="77777777" w:rsidR="000B06F3" w:rsidRPr="00DA3C6E" w:rsidRDefault="00986227" w:rsidP="00C60BE0">
      <w:r w:rsidRPr="00DA3C6E">
        <w:rPr>
          <w:noProof/>
        </w:rPr>
        <w:drawing>
          <wp:inline distT="0" distB="0" distL="0" distR="0" wp14:anchorId="4EB35FE0" wp14:editId="5EBF2BA8">
            <wp:extent cx="5731510" cy="1136650"/>
            <wp:effectExtent l="0" t="0" r="2540" b="6350"/>
            <wp:docPr id="32" name="Picture 32" title="Figure 17. Improvement in disability using the fixed effe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136650"/>
                    </a:xfrm>
                    <a:prstGeom prst="rect">
                      <a:avLst/>
                    </a:prstGeom>
                  </pic:spPr>
                </pic:pic>
              </a:graphicData>
            </a:graphic>
          </wp:inline>
        </w:drawing>
      </w:r>
    </w:p>
    <w:p w14:paraId="3C68D3C5" w14:textId="02A92322" w:rsidR="000B06F3" w:rsidRPr="00DA3C6E" w:rsidRDefault="00DB0F0A" w:rsidP="001207B3">
      <w:pPr>
        <w:pStyle w:val="Caption"/>
      </w:pPr>
      <w:bookmarkStart w:id="421" w:name="_Toc37845878"/>
      <w:r w:rsidRPr="00DA3C6E">
        <w:t xml:space="preserve">Figure </w:t>
      </w:r>
      <w:r w:rsidR="00515153">
        <w:fldChar w:fldCharType="begin"/>
      </w:r>
      <w:r w:rsidR="00515153">
        <w:instrText xml:space="preserve"> SEQ Figure \* ARABIC </w:instrText>
      </w:r>
      <w:r w:rsidR="00515153">
        <w:fldChar w:fldCharType="separate"/>
      </w:r>
      <w:r w:rsidR="00EA5DC1">
        <w:rPr>
          <w:noProof/>
        </w:rPr>
        <w:t>18</w:t>
      </w:r>
      <w:r w:rsidR="00515153">
        <w:rPr>
          <w:noProof/>
        </w:rPr>
        <w:fldChar w:fldCharType="end"/>
      </w:r>
      <w:r w:rsidRPr="00DA3C6E">
        <w:t xml:space="preserve">. </w:t>
      </w:r>
      <w:r w:rsidR="000B06F3" w:rsidRPr="00DA3C6E">
        <w:t>Mean change in disability</w:t>
      </w:r>
      <w:r w:rsidRPr="00DA3C6E">
        <w:t xml:space="preserve"> using the fixed effect model</w:t>
      </w:r>
      <w:bookmarkEnd w:id="421"/>
    </w:p>
    <w:p w14:paraId="1C90F207" w14:textId="77777777" w:rsidR="000B06F3" w:rsidRPr="00DA3C6E" w:rsidRDefault="00DB0F0A" w:rsidP="00E01AE1">
      <w:r w:rsidRPr="00DA3C6E">
        <w:rPr>
          <w:noProof/>
        </w:rPr>
        <w:drawing>
          <wp:inline distT="0" distB="0" distL="0" distR="0" wp14:anchorId="7A30CA1A" wp14:editId="3FE0210A">
            <wp:extent cx="5731510" cy="965200"/>
            <wp:effectExtent l="0" t="0" r="2540" b="6350"/>
            <wp:docPr id="33" name="Picture 33" title="Figure 18. Mean change in disability using the fixed effe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965200"/>
                    </a:xfrm>
                    <a:prstGeom prst="rect">
                      <a:avLst/>
                    </a:prstGeom>
                  </pic:spPr>
                </pic:pic>
              </a:graphicData>
            </a:graphic>
          </wp:inline>
        </w:drawing>
      </w:r>
    </w:p>
    <w:p w14:paraId="7FA1B8A0" w14:textId="0862C4EB" w:rsidR="000B06F3" w:rsidRPr="00DA3C6E" w:rsidRDefault="00DB0F0A" w:rsidP="001207B3">
      <w:pPr>
        <w:pStyle w:val="Caption"/>
      </w:pPr>
      <w:bookmarkStart w:id="422" w:name="_Toc37845879"/>
      <w:r w:rsidRPr="00DA3C6E">
        <w:t xml:space="preserve">Figure </w:t>
      </w:r>
      <w:r w:rsidR="00515153">
        <w:fldChar w:fldCharType="begin"/>
      </w:r>
      <w:r w:rsidR="00515153">
        <w:instrText xml:space="preserve"> SEQ Figure \* ARABIC </w:instrText>
      </w:r>
      <w:r w:rsidR="00515153">
        <w:fldChar w:fldCharType="separate"/>
      </w:r>
      <w:r w:rsidR="00EA5DC1">
        <w:rPr>
          <w:noProof/>
        </w:rPr>
        <w:t>19</w:t>
      </w:r>
      <w:r w:rsidR="00515153">
        <w:rPr>
          <w:noProof/>
        </w:rPr>
        <w:fldChar w:fldCharType="end"/>
      </w:r>
      <w:r w:rsidRPr="00DA3C6E">
        <w:t xml:space="preserve">. </w:t>
      </w:r>
      <w:r w:rsidR="000B06F3" w:rsidRPr="00DA3C6E">
        <w:t>Improvement in muscle strength/grip</w:t>
      </w:r>
      <w:r w:rsidRPr="00DA3C6E">
        <w:t xml:space="preserve"> using the fixed effect model.</w:t>
      </w:r>
      <w:bookmarkEnd w:id="422"/>
      <w:r w:rsidRPr="00DA3C6E">
        <w:t xml:space="preserve"> </w:t>
      </w:r>
    </w:p>
    <w:p w14:paraId="7A34DA44" w14:textId="77777777" w:rsidR="000B06F3" w:rsidRPr="00DA3C6E" w:rsidRDefault="00DB0F0A" w:rsidP="00E01AE1">
      <w:r w:rsidRPr="00DA3C6E">
        <w:rPr>
          <w:noProof/>
        </w:rPr>
        <w:drawing>
          <wp:inline distT="0" distB="0" distL="0" distR="0" wp14:anchorId="1E559604" wp14:editId="2C03CAE9">
            <wp:extent cx="5731510" cy="1353820"/>
            <wp:effectExtent l="0" t="0" r="2540" b="0"/>
            <wp:docPr id="34" name="Picture 34" title="Figure 19. Improvement in muscle strength/grip using the fixed effec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353820"/>
                    </a:xfrm>
                    <a:prstGeom prst="rect">
                      <a:avLst/>
                    </a:prstGeom>
                  </pic:spPr>
                </pic:pic>
              </a:graphicData>
            </a:graphic>
          </wp:inline>
        </w:drawing>
      </w:r>
    </w:p>
    <w:p w14:paraId="58A6648D" w14:textId="77777777" w:rsidR="00DB0F0A" w:rsidRPr="00DA3C6E" w:rsidRDefault="00DB0F0A">
      <w:pPr>
        <w:spacing w:after="0" w:line="240" w:lineRule="auto"/>
        <w:jc w:val="left"/>
        <w:rPr>
          <w:b/>
          <w:smallCaps/>
          <w:sz w:val="44"/>
        </w:rPr>
      </w:pPr>
      <w:r w:rsidRPr="00DA3C6E">
        <w:rPr>
          <w:b/>
          <w:smallCaps/>
          <w:sz w:val="44"/>
        </w:rPr>
        <w:br w:type="page"/>
      </w:r>
    </w:p>
    <w:p w14:paraId="026C6D30" w14:textId="77777777" w:rsidR="000B06F3" w:rsidRPr="00DA3C6E" w:rsidRDefault="000B06F3" w:rsidP="001207B3">
      <w:pPr>
        <w:pStyle w:val="Heading1"/>
      </w:pPr>
      <w:bookmarkStart w:id="423" w:name="_Toc37845800"/>
      <w:r w:rsidRPr="00DA3C6E">
        <w:lastRenderedPageBreak/>
        <w:t>Appendix G Economic analysis</w:t>
      </w:r>
      <w:bookmarkEnd w:id="423"/>
    </w:p>
    <w:p w14:paraId="14A57680" w14:textId="77777777" w:rsidR="000B06F3" w:rsidRPr="00DA3C6E" w:rsidRDefault="000B06F3" w:rsidP="00A0565C">
      <w:pPr>
        <w:pStyle w:val="Heading2"/>
      </w:pPr>
      <w:bookmarkStart w:id="424" w:name="_Toc37845801"/>
      <w:r w:rsidRPr="00DA3C6E">
        <w:rPr>
          <w:szCs w:val="28"/>
        </w:rPr>
        <w:t>I</w:t>
      </w:r>
      <w:r w:rsidRPr="00DA3C6E">
        <w:t>nputs to the economic evaluation (Base case analysis)</w:t>
      </w:r>
      <w:bookmarkEnd w:id="424"/>
    </w:p>
    <w:p w14:paraId="2ABFB87D" w14:textId="167E17AE" w:rsidR="000B06F3" w:rsidRPr="00DA3C6E" w:rsidRDefault="000B06F3" w:rsidP="00A0565C">
      <w:pPr>
        <w:pStyle w:val="Caption"/>
        <w:rPr>
          <w:rFonts w:eastAsiaTheme="minorHAnsi"/>
          <w:lang w:eastAsia="en-US"/>
        </w:rPr>
      </w:pPr>
      <w:bookmarkStart w:id="425" w:name="_Ref31207382"/>
      <w:bookmarkStart w:id="426" w:name="_Toc31144668"/>
      <w:bookmarkStart w:id="427" w:name="_Toc37845859"/>
      <w:r w:rsidRPr="00DA3C6E">
        <w:t xml:space="preserve">Table </w:t>
      </w:r>
      <w:r w:rsidR="00515153">
        <w:fldChar w:fldCharType="begin"/>
      </w:r>
      <w:r w:rsidR="00515153">
        <w:instrText xml:space="preserve"> SEQ Table \* ARABIC </w:instrText>
      </w:r>
      <w:r w:rsidR="00515153">
        <w:fldChar w:fldCharType="separate"/>
      </w:r>
      <w:r w:rsidR="00EA5DC1">
        <w:rPr>
          <w:noProof/>
        </w:rPr>
        <w:t>56</w:t>
      </w:r>
      <w:r w:rsidR="00515153">
        <w:rPr>
          <w:noProof/>
        </w:rPr>
        <w:fldChar w:fldCharType="end"/>
      </w:r>
      <w:bookmarkEnd w:id="425"/>
      <w:r w:rsidRPr="00DA3C6E">
        <w:t xml:space="preserve">. </w:t>
      </w:r>
      <w:r w:rsidRPr="00DA3C6E">
        <w:rPr>
          <w:rFonts w:eastAsiaTheme="minorHAnsi"/>
          <w:lang w:eastAsia="en-US"/>
        </w:rPr>
        <w:t>Estimated cost per health state</w:t>
      </w:r>
      <w:bookmarkEnd w:id="426"/>
      <w:bookmarkEnd w:id="427"/>
      <w:r w:rsidRPr="00DA3C6E">
        <w:rPr>
          <w:rFonts w:eastAsiaTheme="minorHAnsi"/>
          <w:lang w:eastAsia="en-US"/>
        </w:rPr>
        <w:t xml:space="preserve"> </w:t>
      </w:r>
    </w:p>
    <w:tbl>
      <w:tblPr>
        <w:tblStyle w:val="TableGrid"/>
        <w:tblW w:w="0" w:type="auto"/>
        <w:tblLayout w:type="fixed"/>
        <w:tblLook w:val="04A0" w:firstRow="1" w:lastRow="0" w:firstColumn="1" w:lastColumn="0" w:noHBand="0" w:noVBand="1"/>
        <w:tblCaption w:val="Table 56. Estimated cost per health state "/>
      </w:tblPr>
      <w:tblGrid>
        <w:gridCol w:w="2263"/>
        <w:gridCol w:w="1134"/>
        <w:gridCol w:w="1418"/>
        <w:gridCol w:w="992"/>
        <w:gridCol w:w="1134"/>
        <w:gridCol w:w="2075"/>
      </w:tblGrid>
      <w:tr w:rsidR="000B06F3" w:rsidRPr="00DA3C6E" w14:paraId="56AED5E4" w14:textId="77777777" w:rsidTr="00D56F4F">
        <w:trPr>
          <w:trHeight w:val="399"/>
          <w:tblHeader/>
        </w:trPr>
        <w:tc>
          <w:tcPr>
            <w:tcW w:w="2263" w:type="dxa"/>
            <w:vAlign w:val="center"/>
          </w:tcPr>
          <w:p w14:paraId="18154F6E"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Health states</w:t>
            </w:r>
          </w:p>
        </w:tc>
        <w:tc>
          <w:tcPr>
            <w:tcW w:w="1134" w:type="dxa"/>
            <w:vAlign w:val="center"/>
          </w:tcPr>
          <w:p w14:paraId="0494F566"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Frequency (%)</w:t>
            </w:r>
          </w:p>
        </w:tc>
        <w:tc>
          <w:tcPr>
            <w:tcW w:w="1418" w:type="dxa"/>
            <w:vAlign w:val="center"/>
          </w:tcPr>
          <w:p w14:paraId="6196F3A3"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Quantity (n) per cycle (6 m)</w:t>
            </w:r>
          </w:p>
        </w:tc>
        <w:tc>
          <w:tcPr>
            <w:tcW w:w="992" w:type="dxa"/>
            <w:vAlign w:val="center"/>
          </w:tcPr>
          <w:p w14:paraId="770DAD25"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Unit price ($)</w:t>
            </w:r>
          </w:p>
        </w:tc>
        <w:tc>
          <w:tcPr>
            <w:tcW w:w="1134" w:type="dxa"/>
            <w:vAlign w:val="center"/>
          </w:tcPr>
          <w:p w14:paraId="62B86B16"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Total cost ($)</w:t>
            </w:r>
          </w:p>
        </w:tc>
        <w:tc>
          <w:tcPr>
            <w:tcW w:w="2075" w:type="dxa"/>
            <w:vAlign w:val="center"/>
          </w:tcPr>
          <w:p w14:paraId="57F11491"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 xml:space="preserve">Source </w:t>
            </w:r>
          </w:p>
        </w:tc>
      </w:tr>
      <w:tr w:rsidR="000B06F3" w:rsidRPr="00DA3C6E" w14:paraId="05D18658" w14:textId="77777777" w:rsidTr="00A0565C">
        <w:trPr>
          <w:trHeight w:val="399"/>
        </w:trPr>
        <w:tc>
          <w:tcPr>
            <w:tcW w:w="9016" w:type="dxa"/>
            <w:gridSpan w:val="6"/>
            <w:vAlign w:val="center"/>
          </w:tcPr>
          <w:p w14:paraId="0C507628" w14:textId="77777777" w:rsidR="000B06F3" w:rsidRPr="00DA3C6E" w:rsidRDefault="000B06F3" w:rsidP="00190EAF">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Initial treatment</w:t>
            </w:r>
          </w:p>
        </w:tc>
      </w:tr>
      <w:tr w:rsidR="000B06F3" w:rsidRPr="00DA3C6E" w14:paraId="7FAB787C" w14:textId="77777777" w:rsidTr="00A0565C">
        <w:trPr>
          <w:trHeight w:val="399"/>
        </w:trPr>
        <w:tc>
          <w:tcPr>
            <w:tcW w:w="2263" w:type="dxa"/>
            <w:vAlign w:val="center"/>
          </w:tcPr>
          <w:p w14:paraId="521B9F1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Specialist consultation </w:t>
            </w:r>
          </w:p>
        </w:tc>
        <w:tc>
          <w:tcPr>
            <w:tcW w:w="1134" w:type="dxa"/>
            <w:vAlign w:val="center"/>
          </w:tcPr>
          <w:p w14:paraId="08B2BC8D" w14:textId="77777777" w:rsidR="000B06F3" w:rsidRPr="00DA3C6E" w:rsidRDefault="000F7A2A" w:rsidP="00134AF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BF8317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0B8F27B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1134" w:type="dxa"/>
            <w:vAlign w:val="center"/>
          </w:tcPr>
          <w:p w14:paraId="0DF407E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2075" w:type="dxa"/>
            <w:vAlign w:val="center"/>
          </w:tcPr>
          <w:p w14:paraId="65E0E48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6013, 6007, 6015, 6011</w:t>
            </w:r>
          </w:p>
        </w:tc>
      </w:tr>
      <w:tr w:rsidR="000B06F3" w:rsidRPr="00DA3C6E" w14:paraId="4A7C2A79" w14:textId="77777777" w:rsidTr="00A0565C">
        <w:trPr>
          <w:trHeight w:val="390"/>
        </w:trPr>
        <w:tc>
          <w:tcPr>
            <w:tcW w:w="2263" w:type="dxa"/>
            <w:vAlign w:val="center"/>
          </w:tcPr>
          <w:p w14:paraId="703A39C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Pathology </w:t>
            </w:r>
          </w:p>
        </w:tc>
        <w:tc>
          <w:tcPr>
            <w:tcW w:w="1134" w:type="dxa"/>
            <w:vAlign w:val="center"/>
          </w:tcPr>
          <w:p w14:paraId="04C6CC7A"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599F27A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49C2235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37D388D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2075" w:type="dxa"/>
            <w:vAlign w:val="center"/>
          </w:tcPr>
          <w:p w14:paraId="49367D9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0C14FF19" w14:textId="77777777" w:rsidTr="00A0565C">
        <w:trPr>
          <w:trHeight w:val="399"/>
        </w:trPr>
        <w:tc>
          <w:tcPr>
            <w:tcW w:w="2263" w:type="dxa"/>
            <w:vAlign w:val="center"/>
          </w:tcPr>
          <w:p w14:paraId="1876350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Diagnostics</w:t>
            </w:r>
          </w:p>
        </w:tc>
        <w:tc>
          <w:tcPr>
            <w:tcW w:w="1134" w:type="dxa"/>
            <w:vAlign w:val="center"/>
          </w:tcPr>
          <w:p w14:paraId="09DD3BEA"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075048D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0.5</w:t>
            </w:r>
          </w:p>
        </w:tc>
        <w:tc>
          <w:tcPr>
            <w:tcW w:w="992" w:type="dxa"/>
            <w:vAlign w:val="center"/>
          </w:tcPr>
          <w:p w14:paraId="2E0728D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$227.55</w:t>
            </w:r>
          </w:p>
        </w:tc>
        <w:tc>
          <w:tcPr>
            <w:tcW w:w="1134" w:type="dxa"/>
            <w:vAlign w:val="center"/>
          </w:tcPr>
          <w:p w14:paraId="63B7681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$113.78</w:t>
            </w:r>
          </w:p>
        </w:tc>
        <w:tc>
          <w:tcPr>
            <w:tcW w:w="2075" w:type="dxa"/>
            <w:vAlign w:val="center"/>
          </w:tcPr>
          <w:p w14:paraId="0E2066D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11018</w:t>
            </w:r>
          </w:p>
        </w:tc>
      </w:tr>
      <w:tr w:rsidR="000B06F3" w:rsidRPr="00DA3C6E" w14:paraId="158F7FB2" w14:textId="77777777" w:rsidTr="00A0565C">
        <w:trPr>
          <w:trHeight w:val="399"/>
        </w:trPr>
        <w:tc>
          <w:tcPr>
            <w:tcW w:w="2263" w:type="dxa"/>
            <w:vAlign w:val="center"/>
          </w:tcPr>
          <w:p w14:paraId="1C8B2B24" w14:textId="77777777" w:rsidR="000B06F3" w:rsidRPr="00DA3C6E" w:rsidRDefault="000F7A2A" w:rsidP="00134AF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Intravenous </w:t>
            </w:r>
            <w:r w:rsidR="000B06F3" w:rsidRPr="00DA3C6E">
              <w:rPr>
                <w:rFonts w:ascii="Arial Narrow" w:eastAsiaTheme="minorHAnsi" w:hAnsi="Arial Narrow"/>
                <w:sz w:val="20"/>
                <w:szCs w:val="20"/>
                <w:lang w:eastAsia="en-US"/>
              </w:rPr>
              <w:t>Ig</w:t>
            </w:r>
          </w:p>
        </w:tc>
        <w:tc>
          <w:tcPr>
            <w:tcW w:w="1134" w:type="dxa"/>
            <w:vAlign w:val="center"/>
          </w:tcPr>
          <w:p w14:paraId="2202BB61"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5DDB2DA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p>
        </w:tc>
        <w:tc>
          <w:tcPr>
            <w:tcW w:w="992" w:type="dxa"/>
            <w:vAlign w:val="center"/>
          </w:tcPr>
          <w:p w14:paraId="3C7399CA"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$2,306.72</w:t>
            </w:r>
          </w:p>
        </w:tc>
        <w:tc>
          <w:tcPr>
            <w:tcW w:w="1134" w:type="dxa"/>
            <w:vAlign w:val="center"/>
          </w:tcPr>
          <w:p w14:paraId="39DFBBB7"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$11,533.62</w:t>
            </w:r>
          </w:p>
        </w:tc>
        <w:tc>
          <w:tcPr>
            <w:tcW w:w="2075" w:type="dxa"/>
            <w:vAlign w:val="center"/>
          </w:tcPr>
          <w:p w14:paraId="5731337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Calculated based on HTA Condition Report 1 </w:t>
            </w:r>
          </w:p>
        </w:tc>
      </w:tr>
      <w:tr w:rsidR="000B06F3" w:rsidRPr="00DA3C6E" w14:paraId="73ED8121" w14:textId="77777777" w:rsidTr="00A0565C">
        <w:trPr>
          <w:trHeight w:val="399"/>
        </w:trPr>
        <w:tc>
          <w:tcPr>
            <w:tcW w:w="9016" w:type="dxa"/>
            <w:gridSpan w:val="6"/>
            <w:vAlign w:val="center"/>
          </w:tcPr>
          <w:p w14:paraId="3D229CFE"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 xml:space="preserve">Intravenous Ig administration </w:t>
            </w:r>
          </w:p>
        </w:tc>
      </w:tr>
      <w:tr w:rsidR="000B06F3" w:rsidRPr="00DA3C6E" w14:paraId="5F88AB7F" w14:textId="77777777" w:rsidTr="00A0565C">
        <w:trPr>
          <w:trHeight w:val="136"/>
        </w:trPr>
        <w:tc>
          <w:tcPr>
            <w:tcW w:w="2263" w:type="dxa"/>
            <w:vAlign w:val="center"/>
          </w:tcPr>
          <w:p w14:paraId="797FCC6A"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Public hospital (outpatient)</w:t>
            </w:r>
          </w:p>
        </w:tc>
        <w:tc>
          <w:tcPr>
            <w:tcW w:w="1134" w:type="dxa"/>
            <w:vAlign w:val="center"/>
          </w:tcPr>
          <w:p w14:paraId="36D2016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67</w:t>
            </w:r>
          </w:p>
        </w:tc>
        <w:tc>
          <w:tcPr>
            <w:tcW w:w="1418" w:type="dxa"/>
            <w:vAlign w:val="center"/>
          </w:tcPr>
          <w:p w14:paraId="318CD93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p>
        </w:tc>
        <w:tc>
          <w:tcPr>
            <w:tcW w:w="992" w:type="dxa"/>
            <w:vAlign w:val="center"/>
          </w:tcPr>
          <w:p w14:paraId="0375ABB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$461.00</w:t>
            </w:r>
          </w:p>
        </w:tc>
        <w:tc>
          <w:tcPr>
            <w:tcW w:w="1134" w:type="dxa"/>
            <w:vAlign w:val="center"/>
          </w:tcPr>
          <w:p w14:paraId="5449165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$1,544.35</w:t>
            </w:r>
          </w:p>
        </w:tc>
        <w:tc>
          <w:tcPr>
            <w:tcW w:w="2075" w:type="dxa"/>
            <w:vAlign w:val="center"/>
          </w:tcPr>
          <w:p w14:paraId="12EB14C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MSAC 1566, Table 73, p148</w:t>
            </w:r>
          </w:p>
        </w:tc>
      </w:tr>
      <w:tr w:rsidR="000B06F3" w:rsidRPr="00DA3C6E" w14:paraId="612FA0A1" w14:textId="77777777" w:rsidTr="00A0565C">
        <w:trPr>
          <w:trHeight w:val="136"/>
        </w:trPr>
        <w:tc>
          <w:tcPr>
            <w:tcW w:w="2263" w:type="dxa"/>
            <w:vAlign w:val="center"/>
          </w:tcPr>
          <w:p w14:paraId="1928107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Private hospital (outpatient)</w:t>
            </w:r>
          </w:p>
        </w:tc>
        <w:tc>
          <w:tcPr>
            <w:tcW w:w="1134" w:type="dxa"/>
            <w:vAlign w:val="center"/>
          </w:tcPr>
          <w:p w14:paraId="310D4DB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33</w:t>
            </w:r>
          </w:p>
        </w:tc>
        <w:tc>
          <w:tcPr>
            <w:tcW w:w="1418" w:type="dxa"/>
            <w:vAlign w:val="center"/>
          </w:tcPr>
          <w:p w14:paraId="666B8287"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p>
        </w:tc>
        <w:tc>
          <w:tcPr>
            <w:tcW w:w="992" w:type="dxa"/>
            <w:vAlign w:val="center"/>
          </w:tcPr>
          <w:p w14:paraId="457B6A7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$500.00</w:t>
            </w:r>
          </w:p>
        </w:tc>
        <w:tc>
          <w:tcPr>
            <w:tcW w:w="1134" w:type="dxa"/>
            <w:vAlign w:val="center"/>
          </w:tcPr>
          <w:p w14:paraId="2AAFD62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$825</w:t>
            </w:r>
          </w:p>
        </w:tc>
        <w:tc>
          <w:tcPr>
            <w:tcW w:w="2075" w:type="dxa"/>
            <w:vAlign w:val="center"/>
          </w:tcPr>
          <w:p w14:paraId="36B88E16" w14:textId="77777777" w:rsidR="000B06F3" w:rsidRPr="00DA3C6E" w:rsidRDefault="000B06F3" w:rsidP="00190EAF">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Assumption </w:t>
            </w:r>
          </w:p>
        </w:tc>
      </w:tr>
      <w:tr w:rsidR="000B06F3" w:rsidRPr="00DA3C6E" w14:paraId="3358CC88" w14:textId="77777777" w:rsidTr="00A0565C">
        <w:trPr>
          <w:trHeight w:val="136"/>
        </w:trPr>
        <w:tc>
          <w:tcPr>
            <w:tcW w:w="2263" w:type="dxa"/>
            <w:vAlign w:val="center"/>
          </w:tcPr>
          <w:p w14:paraId="7B323AF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Port-a-cath</w:t>
            </w:r>
          </w:p>
        </w:tc>
        <w:tc>
          <w:tcPr>
            <w:tcW w:w="1134" w:type="dxa"/>
            <w:vAlign w:val="center"/>
          </w:tcPr>
          <w:p w14:paraId="510E21C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r w:rsidR="000F7A2A" w:rsidRPr="00DA3C6E">
              <w:rPr>
                <w:rFonts w:ascii="Arial Narrow" w:eastAsiaTheme="minorHAnsi" w:hAnsi="Arial Narrow"/>
                <w:sz w:val="20"/>
                <w:szCs w:val="20"/>
                <w:lang w:eastAsia="en-US"/>
              </w:rPr>
              <w:t>0</w:t>
            </w:r>
          </w:p>
        </w:tc>
        <w:tc>
          <w:tcPr>
            <w:tcW w:w="1418" w:type="dxa"/>
            <w:vAlign w:val="center"/>
          </w:tcPr>
          <w:p w14:paraId="2633954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0.1</w:t>
            </w:r>
          </w:p>
        </w:tc>
        <w:tc>
          <w:tcPr>
            <w:tcW w:w="992" w:type="dxa"/>
            <w:vAlign w:val="center"/>
          </w:tcPr>
          <w:p w14:paraId="23F3B76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$276.75</w:t>
            </w:r>
          </w:p>
        </w:tc>
        <w:tc>
          <w:tcPr>
            <w:tcW w:w="1134" w:type="dxa"/>
            <w:vAlign w:val="center"/>
          </w:tcPr>
          <w:p w14:paraId="57CF39F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$27.68</w:t>
            </w:r>
          </w:p>
        </w:tc>
        <w:tc>
          <w:tcPr>
            <w:tcW w:w="2075" w:type="dxa"/>
            <w:vAlign w:val="center"/>
          </w:tcPr>
          <w:p w14:paraId="43EE986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34528</w:t>
            </w:r>
          </w:p>
        </w:tc>
      </w:tr>
      <w:tr w:rsidR="000B06F3" w:rsidRPr="00DA3C6E" w14:paraId="34670ADE" w14:textId="77777777" w:rsidTr="00A0565C">
        <w:trPr>
          <w:trHeight w:val="136"/>
        </w:trPr>
        <w:tc>
          <w:tcPr>
            <w:tcW w:w="2263" w:type="dxa"/>
            <w:vAlign w:val="center"/>
          </w:tcPr>
          <w:p w14:paraId="70AB4A9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Pre-medications (antihistamine for infusion reactions)</w:t>
            </w:r>
          </w:p>
        </w:tc>
        <w:tc>
          <w:tcPr>
            <w:tcW w:w="1134" w:type="dxa"/>
            <w:vAlign w:val="center"/>
          </w:tcPr>
          <w:p w14:paraId="76591369"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524AA8E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p>
        </w:tc>
        <w:tc>
          <w:tcPr>
            <w:tcW w:w="992" w:type="dxa"/>
            <w:vAlign w:val="center"/>
          </w:tcPr>
          <w:p w14:paraId="153E1583"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$35.07</w:t>
            </w:r>
          </w:p>
        </w:tc>
        <w:tc>
          <w:tcPr>
            <w:tcW w:w="1134" w:type="dxa"/>
            <w:vAlign w:val="center"/>
          </w:tcPr>
          <w:p w14:paraId="09CBFE8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$175.35</w:t>
            </w:r>
          </w:p>
        </w:tc>
        <w:tc>
          <w:tcPr>
            <w:tcW w:w="2075" w:type="dxa"/>
            <w:vAlign w:val="center"/>
          </w:tcPr>
          <w:p w14:paraId="71F08D3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PBS item 1948M</w:t>
            </w:r>
          </w:p>
        </w:tc>
      </w:tr>
      <w:tr w:rsidR="000B06F3" w:rsidRPr="00DA3C6E" w14:paraId="540753F2" w14:textId="77777777" w:rsidTr="00A0565C">
        <w:trPr>
          <w:trHeight w:val="136"/>
        </w:trPr>
        <w:tc>
          <w:tcPr>
            <w:tcW w:w="2263" w:type="dxa"/>
            <w:vAlign w:val="center"/>
          </w:tcPr>
          <w:p w14:paraId="7018B8F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Pathology during Ig infusion</w:t>
            </w:r>
          </w:p>
        </w:tc>
        <w:tc>
          <w:tcPr>
            <w:tcW w:w="1134" w:type="dxa"/>
            <w:vAlign w:val="center"/>
          </w:tcPr>
          <w:p w14:paraId="7F7DDA03" w14:textId="77777777" w:rsidR="000B06F3" w:rsidRPr="00DA3C6E" w:rsidRDefault="000F7A2A"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1A219B1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w:t>
            </w:r>
          </w:p>
        </w:tc>
        <w:tc>
          <w:tcPr>
            <w:tcW w:w="992" w:type="dxa"/>
            <w:vAlign w:val="center"/>
          </w:tcPr>
          <w:p w14:paraId="1648119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65D7528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$1,044.50</w:t>
            </w:r>
          </w:p>
        </w:tc>
        <w:tc>
          <w:tcPr>
            <w:tcW w:w="2075" w:type="dxa"/>
            <w:vAlign w:val="center"/>
          </w:tcPr>
          <w:p w14:paraId="1084DC6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4CEBBE0C" w14:textId="77777777" w:rsidTr="00A0565C">
        <w:trPr>
          <w:trHeight w:val="136"/>
        </w:trPr>
        <w:tc>
          <w:tcPr>
            <w:tcW w:w="2263" w:type="dxa"/>
            <w:vAlign w:val="center"/>
          </w:tcPr>
          <w:p w14:paraId="382C5B8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Physiotherapy</w:t>
            </w:r>
          </w:p>
        </w:tc>
        <w:tc>
          <w:tcPr>
            <w:tcW w:w="1134" w:type="dxa"/>
            <w:vAlign w:val="center"/>
          </w:tcPr>
          <w:p w14:paraId="18C04A79"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3F5C42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w:t>
            </w:r>
          </w:p>
        </w:tc>
        <w:tc>
          <w:tcPr>
            <w:tcW w:w="992" w:type="dxa"/>
            <w:vAlign w:val="center"/>
          </w:tcPr>
          <w:p w14:paraId="26739903"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$63.25</w:t>
            </w:r>
          </w:p>
        </w:tc>
        <w:tc>
          <w:tcPr>
            <w:tcW w:w="1134" w:type="dxa"/>
            <w:vAlign w:val="center"/>
          </w:tcPr>
          <w:p w14:paraId="3BC1D77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$253.00</w:t>
            </w:r>
          </w:p>
        </w:tc>
        <w:tc>
          <w:tcPr>
            <w:tcW w:w="2075" w:type="dxa"/>
            <w:vAlign w:val="center"/>
          </w:tcPr>
          <w:p w14:paraId="1672CB3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10960</w:t>
            </w:r>
          </w:p>
        </w:tc>
      </w:tr>
      <w:tr w:rsidR="000B06F3" w:rsidRPr="00DA3C6E" w14:paraId="71BB8D38" w14:textId="77777777" w:rsidTr="00A0565C">
        <w:trPr>
          <w:trHeight w:val="136"/>
        </w:trPr>
        <w:tc>
          <w:tcPr>
            <w:tcW w:w="2263" w:type="dxa"/>
            <w:vAlign w:val="center"/>
          </w:tcPr>
          <w:p w14:paraId="0AE6B8D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Rehabilitation</w:t>
            </w:r>
          </w:p>
        </w:tc>
        <w:tc>
          <w:tcPr>
            <w:tcW w:w="1134" w:type="dxa"/>
            <w:vAlign w:val="center"/>
          </w:tcPr>
          <w:p w14:paraId="504EBC58"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79C4F7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w:t>
            </w:r>
          </w:p>
        </w:tc>
        <w:tc>
          <w:tcPr>
            <w:tcW w:w="992" w:type="dxa"/>
            <w:vAlign w:val="center"/>
          </w:tcPr>
          <w:p w14:paraId="42A062D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$78.84</w:t>
            </w:r>
          </w:p>
        </w:tc>
        <w:tc>
          <w:tcPr>
            <w:tcW w:w="1134" w:type="dxa"/>
            <w:vAlign w:val="center"/>
          </w:tcPr>
          <w:p w14:paraId="1DFD96C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$315.36</w:t>
            </w:r>
          </w:p>
        </w:tc>
        <w:tc>
          <w:tcPr>
            <w:tcW w:w="2075" w:type="dxa"/>
            <w:vAlign w:val="center"/>
          </w:tcPr>
          <w:p w14:paraId="248DDF4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Average of MBS item: 385, 386, 387, 388 </w:t>
            </w:r>
          </w:p>
        </w:tc>
      </w:tr>
      <w:tr w:rsidR="000B06F3" w:rsidRPr="00DA3C6E" w14:paraId="1117A3DB" w14:textId="77777777" w:rsidTr="00A0565C">
        <w:trPr>
          <w:trHeight w:val="136"/>
        </w:trPr>
        <w:tc>
          <w:tcPr>
            <w:tcW w:w="9016" w:type="dxa"/>
            <w:gridSpan w:val="6"/>
            <w:vAlign w:val="center"/>
          </w:tcPr>
          <w:p w14:paraId="432582CC"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hAnsi="Arial Narrow"/>
                <w:b/>
                <w:sz w:val="20"/>
                <w:szCs w:val="20"/>
              </w:rPr>
              <w:t xml:space="preserve">Responder </w:t>
            </w:r>
          </w:p>
        </w:tc>
      </w:tr>
      <w:tr w:rsidR="000B06F3" w:rsidRPr="00DA3C6E" w14:paraId="2A264763" w14:textId="77777777" w:rsidTr="00A0565C">
        <w:trPr>
          <w:trHeight w:val="136"/>
        </w:trPr>
        <w:tc>
          <w:tcPr>
            <w:tcW w:w="2263" w:type="dxa"/>
            <w:vAlign w:val="center"/>
          </w:tcPr>
          <w:p w14:paraId="52F5B09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Consultation (specialist visit)</w:t>
            </w:r>
          </w:p>
        </w:tc>
        <w:tc>
          <w:tcPr>
            <w:tcW w:w="1134" w:type="dxa"/>
            <w:vAlign w:val="center"/>
          </w:tcPr>
          <w:p w14:paraId="3683AABB"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4398BAA"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5EB000C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1134" w:type="dxa"/>
            <w:vAlign w:val="center"/>
          </w:tcPr>
          <w:p w14:paraId="2119B9A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2075" w:type="dxa"/>
            <w:vAlign w:val="center"/>
          </w:tcPr>
          <w:p w14:paraId="72F4888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6013, 6007, 6015, 6011</w:t>
            </w:r>
          </w:p>
        </w:tc>
      </w:tr>
      <w:tr w:rsidR="000B06F3" w:rsidRPr="00DA3C6E" w14:paraId="508B72C9" w14:textId="77777777" w:rsidTr="00A0565C">
        <w:trPr>
          <w:trHeight w:val="136"/>
        </w:trPr>
        <w:tc>
          <w:tcPr>
            <w:tcW w:w="2263" w:type="dxa"/>
            <w:vAlign w:val="center"/>
          </w:tcPr>
          <w:p w14:paraId="198D583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Pathology</w:t>
            </w:r>
          </w:p>
        </w:tc>
        <w:tc>
          <w:tcPr>
            <w:tcW w:w="1134" w:type="dxa"/>
            <w:vAlign w:val="center"/>
          </w:tcPr>
          <w:p w14:paraId="5E7CFE41"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C32F52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49F2D3F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03B9C68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2075" w:type="dxa"/>
            <w:vAlign w:val="center"/>
          </w:tcPr>
          <w:p w14:paraId="0902EEA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274C2A53" w14:textId="77777777" w:rsidTr="00A0565C">
        <w:trPr>
          <w:trHeight w:val="136"/>
        </w:trPr>
        <w:tc>
          <w:tcPr>
            <w:tcW w:w="2263" w:type="dxa"/>
            <w:vAlign w:val="center"/>
          </w:tcPr>
          <w:p w14:paraId="10BF603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Diagnostic</w:t>
            </w:r>
          </w:p>
        </w:tc>
        <w:tc>
          <w:tcPr>
            <w:tcW w:w="1134" w:type="dxa"/>
            <w:vAlign w:val="center"/>
          </w:tcPr>
          <w:p w14:paraId="18DBC81F"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2991D6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0.5</w:t>
            </w:r>
          </w:p>
        </w:tc>
        <w:tc>
          <w:tcPr>
            <w:tcW w:w="992" w:type="dxa"/>
            <w:vAlign w:val="center"/>
          </w:tcPr>
          <w:p w14:paraId="070B12C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$227.55</w:t>
            </w:r>
          </w:p>
        </w:tc>
        <w:tc>
          <w:tcPr>
            <w:tcW w:w="1134" w:type="dxa"/>
            <w:vAlign w:val="center"/>
          </w:tcPr>
          <w:p w14:paraId="4EDD166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$113.78</w:t>
            </w:r>
          </w:p>
        </w:tc>
        <w:tc>
          <w:tcPr>
            <w:tcW w:w="2075" w:type="dxa"/>
            <w:vAlign w:val="center"/>
          </w:tcPr>
          <w:p w14:paraId="12B0E4F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11018</w:t>
            </w:r>
          </w:p>
        </w:tc>
      </w:tr>
      <w:tr w:rsidR="000B06F3" w:rsidRPr="00DA3C6E" w14:paraId="080D6D6E" w14:textId="77777777" w:rsidTr="00A0565C">
        <w:trPr>
          <w:trHeight w:val="136"/>
        </w:trPr>
        <w:tc>
          <w:tcPr>
            <w:tcW w:w="2263" w:type="dxa"/>
            <w:vAlign w:val="center"/>
          </w:tcPr>
          <w:p w14:paraId="30008925" w14:textId="77777777" w:rsidR="000B06F3" w:rsidRPr="00DA3C6E" w:rsidRDefault="000F7A2A" w:rsidP="00134AF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Intravenous </w:t>
            </w:r>
            <w:r w:rsidR="000B06F3" w:rsidRPr="00DA3C6E">
              <w:rPr>
                <w:rFonts w:ascii="Arial Narrow" w:eastAsiaTheme="minorHAnsi" w:hAnsi="Arial Narrow"/>
                <w:sz w:val="20"/>
                <w:szCs w:val="20"/>
                <w:lang w:eastAsia="en-US"/>
              </w:rPr>
              <w:t>Ig</w:t>
            </w:r>
          </w:p>
        </w:tc>
        <w:tc>
          <w:tcPr>
            <w:tcW w:w="1134" w:type="dxa"/>
            <w:vAlign w:val="center"/>
          </w:tcPr>
          <w:p w14:paraId="1F9A25DD"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7AB457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w:t>
            </w:r>
          </w:p>
        </w:tc>
        <w:tc>
          <w:tcPr>
            <w:tcW w:w="992" w:type="dxa"/>
            <w:vAlign w:val="center"/>
          </w:tcPr>
          <w:p w14:paraId="00947FD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$2,306.72</w:t>
            </w:r>
          </w:p>
        </w:tc>
        <w:tc>
          <w:tcPr>
            <w:tcW w:w="1134" w:type="dxa"/>
            <w:vAlign w:val="center"/>
          </w:tcPr>
          <w:p w14:paraId="5BF9D33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$16,147.07</w:t>
            </w:r>
          </w:p>
        </w:tc>
        <w:tc>
          <w:tcPr>
            <w:tcW w:w="2075" w:type="dxa"/>
            <w:vAlign w:val="center"/>
          </w:tcPr>
          <w:p w14:paraId="1A27E87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Calculated based on HTA Condition Report 1</w:t>
            </w:r>
          </w:p>
        </w:tc>
      </w:tr>
      <w:tr w:rsidR="000B06F3" w:rsidRPr="00DA3C6E" w14:paraId="595BFADB" w14:textId="77777777" w:rsidTr="00A0565C">
        <w:trPr>
          <w:trHeight w:val="136"/>
        </w:trPr>
        <w:tc>
          <w:tcPr>
            <w:tcW w:w="9016" w:type="dxa"/>
            <w:gridSpan w:val="6"/>
            <w:vAlign w:val="center"/>
          </w:tcPr>
          <w:p w14:paraId="062BCCC9"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 xml:space="preserve">Intravenous Ig administration </w:t>
            </w:r>
          </w:p>
        </w:tc>
      </w:tr>
      <w:tr w:rsidR="000F7A2A" w:rsidRPr="00DA3C6E" w14:paraId="04AE6324" w14:textId="77777777" w:rsidTr="00A0565C">
        <w:trPr>
          <w:trHeight w:val="136"/>
        </w:trPr>
        <w:tc>
          <w:tcPr>
            <w:tcW w:w="2263" w:type="dxa"/>
            <w:vAlign w:val="center"/>
          </w:tcPr>
          <w:p w14:paraId="38B39A78"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Public hospital (outpatient)</w:t>
            </w:r>
          </w:p>
        </w:tc>
        <w:tc>
          <w:tcPr>
            <w:tcW w:w="1134" w:type="dxa"/>
            <w:vAlign w:val="center"/>
          </w:tcPr>
          <w:p w14:paraId="5D39D18C"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67</w:t>
            </w:r>
          </w:p>
        </w:tc>
        <w:tc>
          <w:tcPr>
            <w:tcW w:w="1418" w:type="dxa"/>
            <w:vAlign w:val="center"/>
          </w:tcPr>
          <w:p w14:paraId="0E28CD8A"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w:t>
            </w:r>
          </w:p>
        </w:tc>
        <w:tc>
          <w:tcPr>
            <w:tcW w:w="992" w:type="dxa"/>
            <w:vAlign w:val="center"/>
          </w:tcPr>
          <w:p w14:paraId="4E61ED44"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$461.00</w:t>
            </w:r>
          </w:p>
        </w:tc>
        <w:tc>
          <w:tcPr>
            <w:tcW w:w="1134" w:type="dxa"/>
            <w:vAlign w:val="center"/>
          </w:tcPr>
          <w:p w14:paraId="1DD8242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$2,162.09</w:t>
            </w:r>
          </w:p>
        </w:tc>
        <w:tc>
          <w:tcPr>
            <w:tcW w:w="2075" w:type="dxa"/>
            <w:vAlign w:val="center"/>
          </w:tcPr>
          <w:p w14:paraId="07EF5C2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MSAC 1566, Table 73, p148</w:t>
            </w:r>
          </w:p>
        </w:tc>
      </w:tr>
      <w:tr w:rsidR="000F7A2A" w:rsidRPr="00DA3C6E" w14:paraId="4520053E" w14:textId="77777777" w:rsidTr="00A0565C">
        <w:trPr>
          <w:trHeight w:val="136"/>
        </w:trPr>
        <w:tc>
          <w:tcPr>
            <w:tcW w:w="2263" w:type="dxa"/>
            <w:vAlign w:val="center"/>
          </w:tcPr>
          <w:p w14:paraId="311E06F0"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Private hospital (outpatient)</w:t>
            </w:r>
          </w:p>
        </w:tc>
        <w:tc>
          <w:tcPr>
            <w:tcW w:w="1134" w:type="dxa"/>
            <w:vAlign w:val="center"/>
          </w:tcPr>
          <w:p w14:paraId="67FCFB21"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33</w:t>
            </w:r>
          </w:p>
        </w:tc>
        <w:tc>
          <w:tcPr>
            <w:tcW w:w="1418" w:type="dxa"/>
            <w:vAlign w:val="center"/>
          </w:tcPr>
          <w:p w14:paraId="6F3B07F0"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w:t>
            </w:r>
          </w:p>
        </w:tc>
        <w:tc>
          <w:tcPr>
            <w:tcW w:w="992" w:type="dxa"/>
            <w:vAlign w:val="center"/>
          </w:tcPr>
          <w:p w14:paraId="46AC720E"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$500.00</w:t>
            </w:r>
          </w:p>
        </w:tc>
        <w:tc>
          <w:tcPr>
            <w:tcW w:w="1134" w:type="dxa"/>
            <w:vAlign w:val="center"/>
          </w:tcPr>
          <w:p w14:paraId="60A06444"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$1,155.00</w:t>
            </w:r>
          </w:p>
        </w:tc>
        <w:tc>
          <w:tcPr>
            <w:tcW w:w="2075" w:type="dxa"/>
            <w:vAlign w:val="center"/>
          </w:tcPr>
          <w:p w14:paraId="04337519"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Assumption </w:t>
            </w:r>
          </w:p>
        </w:tc>
      </w:tr>
      <w:tr w:rsidR="000F7A2A" w:rsidRPr="00DA3C6E" w14:paraId="494C8A5C" w14:textId="77777777" w:rsidTr="00A0565C">
        <w:trPr>
          <w:trHeight w:val="136"/>
        </w:trPr>
        <w:tc>
          <w:tcPr>
            <w:tcW w:w="2263" w:type="dxa"/>
            <w:vAlign w:val="center"/>
          </w:tcPr>
          <w:p w14:paraId="7875E819"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Port-a-cath</w:t>
            </w:r>
          </w:p>
        </w:tc>
        <w:tc>
          <w:tcPr>
            <w:tcW w:w="1134" w:type="dxa"/>
            <w:vAlign w:val="center"/>
          </w:tcPr>
          <w:p w14:paraId="5E55F959"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50</w:t>
            </w:r>
          </w:p>
        </w:tc>
        <w:tc>
          <w:tcPr>
            <w:tcW w:w="1418" w:type="dxa"/>
            <w:vAlign w:val="center"/>
          </w:tcPr>
          <w:p w14:paraId="234BA55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0.1</w:t>
            </w:r>
          </w:p>
        </w:tc>
        <w:tc>
          <w:tcPr>
            <w:tcW w:w="992" w:type="dxa"/>
            <w:vAlign w:val="center"/>
          </w:tcPr>
          <w:p w14:paraId="28121A66"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$276.75</w:t>
            </w:r>
          </w:p>
        </w:tc>
        <w:tc>
          <w:tcPr>
            <w:tcW w:w="1134" w:type="dxa"/>
            <w:vAlign w:val="center"/>
          </w:tcPr>
          <w:p w14:paraId="598B8C3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$27.68</w:t>
            </w:r>
          </w:p>
        </w:tc>
        <w:tc>
          <w:tcPr>
            <w:tcW w:w="2075" w:type="dxa"/>
            <w:vAlign w:val="center"/>
          </w:tcPr>
          <w:p w14:paraId="598E75DD"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34528</w:t>
            </w:r>
          </w:p>
        </w:tc>
      </w:tr>
      <w:tr w:rsidR="000B06F3" w:rsidRPr="00DA3C6E" w14:paraId="16AC5959" w14:textId="77777777" w:rsidTr="00A0565C">
        <w:trPr>
          <w:trHeight w:val="136"/>
        </w:trPr>
        <w:tc>
          <w:tcPr>
            <w:tcW w:w="2263" w:type="dxa"/>
            <w:vAlign w:val="center"/>
          </w:tcPr>
          <w:p w14:paraId="1864B48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Prophylactic-medications (antihistamine for infusion reactions)</w:t>
            </w:r>
          </w:p>
        </w:tc>
        <w:tc>
          <w:tcPr>
            <w:tcW w:w="1134" w:type="dxa"/>
            <w:vAlign w:val="center"/>
          </w:tcPr>
          <w:p w14:paraId="6A6F69D9"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F3CA7D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w:t>
            </w:r>
          </w:p>
        </w:tc>
        <w:tc>
          <w:tcPr>
            <w:tcW w:w="992" w:type="dxa"/>
            <w:vAlign w:val="center"/>
          </w:tcPr>
          <w:p w14:paraId="650090B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$35.07</w:t>
            </w:r>
          </w:p>
        </w:tc>
        <w:tc>
          <w:tcPr>
            <w:tcW w:w="1134" w:type="dxa"/>
            <w:vAlign w:val="center"/>
          </w:tcPr>
          <w:p w14:paraId="61BBB41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$245.49</w:t>
            </w:r>
          </w:p>
        </w:tc>
        <w:tc>
          <w:tcPr>
            <w:tcW w:w="2075" w:type="dxa"/>
            <w:vAlign w:val="center"/>
          </w:tcPr>
          <w:p w14:paraId="78F97FE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PBS item 1948M</w:t>
            </w:r>
          </w:p>
        </w:tc>
      </w:tr>
      <w:tr w:rsidR="000B06F3" w:rsidRPr="00DA3C6E" w14:paraId="77D41A5D" w14:textId="77777777" w:rsidTr="00A0565C">
        <w:trPr>
          <w:trHeight w:val="136"/>
        </w:trPr>
        <w:tc>
          <w:tcPr>
            <w:tcW w:w="2263" w:type="dxa"/>
            <w:vAlign w:val="center"/>
          </w:tcPr>
          <w:p w14:paraId="6CEC6733"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Pathology during Ig infusion</w:t>
            </w:r>
          </w:p>
        </w:tc>
        <w:tc>
          <w:tcPr>
            <w:tcW w:w="1134" w:type="dxa"/>
            <w:vAlign w:val="center"/>
          </w:tcPr>
          <w:p w14:paraId="443FEE63"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63A9244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w:t>
            </w:r>
          </w:p>
        </w:tc>
        <w:tc>
          <w:tcPr>
            <w:tcW w:w="992" w:type="dxa"/>
            <w:vAlign w:val="center"/>
          </w:tcPr>
          <w:p w14:paraId="6AE2A41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13BE0BC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$1,462.30</w:t>
            </w:r>
          </w:p>
        </w:tc>
        <w:tc>
          <w:tcPr>
            <w:tcW w:w="2075" w:type="dxa"/>
            <w:vAlign w:val="center"/>
          </w:tcPr>
          <w:p w14:paraId="7CD7A4A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5F0E827B" w14:textId="77777777" w:rsidTr="00A0565C">
        <w:trPr>
          <w:trHeight w:val="136"/>
        </w:trPr>
        <w:tc>
          <w:tcPr>
            <w:tcW w:w="2263" w:type="dxa"/>
            <w:vAlign w:val="center"/>
          </w:tcPr>
          <w:p w14:paraId="1F046C7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Physiotherapy</w:t>
            </w:r>
          </w:p>
        </w:tc>
        <w:tc>
          <w:tcPr>
            <w:tcW w:w="1134" w:type="dxa"/>
            <w:vAlign w:val="center"/>
          </w:tcPr>
          <w:p w14:paraId="07C2668E"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7E50E1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395A13D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$63.25</w:t>
            </w:r>
          </w:p>
        </w:tc>
        <w:tc>
          <w:tcPr>
            <w:tcW w:w="1134" w:type="dxa"/>
            <w:vAlign w:val="center"/>
          </w:tcPr>
          <w:p w14:paraId="4FB7311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$379.50</w:t>
            </w:r>
          </w:p>
        </w:tc>
        <w:tc>
          <w:tcPr>
            <w:tcW w:w="2075" w:type="dxa"/>
            <w:vAlign w:val="center"/>
          </w:tcPr>
          <w:p w14:paraId="41E3E68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10960</w:t>
            </w:r>
          </w:p>
        </w:tc>
      </w:tr>
      <w:tr w:rsidR="000B06F3" w:rsidRPr="00DA3C6E" w14:paraId="1119AB20" w14:textId="77777777" w:rsidTr="00A0565C">
        <w:trPr>
          <w:trHeight w:val="136"/>
        </w:trPr>
        <w:tc>
          <w:tcPr>
            <w:tcW w:w="2263" w:type="dxa"/>
            <w:vAlign w:val="center"/>
          </w:tcPr>
          <w:p w14:paraId="4AB09B8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Rehabilitation</w:t>
            </w:r>
          </w:p>
        </w:tc>
        <w:tc>
          <w:tcPr>
            <w:tcW w:w="1134" w:type="dxa"/>
            <w:vAlign w:val="center"/>
          </w:tcPr>
          <w:p w14:paraId="744C3527"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AA01D9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5B9B1C0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$78.84</w:t>
            </w:r>
          </w:p>
        </w:tc>
        <w:tc>
          <w:tcPr>
            <w:tcW w:w="1134" w:type="dxa"/>
            <w:vAlign w:val="center"/>
          </w:tcPr>
          <w:p w14:paraId="688EA53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$473.04</w:t>
            </w:r>
          </w:p>
        </w:tc>
        <w:tc>
          <w:tcPr>
            <w:tcW w:w="2075" w:type="dxa"/>
            <w:vAlign w:val="center"/>
          </w:tcPr>
          <w:p w14:paraId="4364E7B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Average of MBS item: 385, 386, 387, 388 </w:t>
            </w:r>
          </w:p>
        </w:tc>
      </w:tr>
      <w:tr w:rsidR="000B06F3" w:rsidRPr="00DA3C6E" w14:paraId="015DFE15" w14:textId="77777777" w:rsidTr="00A0565C">
        <w:trPr>
          <w:trHeight w:val="136"/>
        </w:trPr>
        <w:tc>
          <w:tcPr>
            <w:tcW w:w="9016" w:type="dxa"/>
            <w:gridSpan w:val="6"/>
            <w:vAlign w:val="center"/>
          </w:tcPr>
          <w:p w14:paraId="20C6B016" w14:textId="77777777" w:rsidR="000B06F3" w:rsidRPr="00DA3C6E" w:rsidRDefault="000B06F3" w:rsidP="00190EAF">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lastRenderedPageBreak/>
              <w:t>Responder off treatment state (50% of patient with end of dose effect weaning)</w:t>
            </w:r>
          </w:p>
        </w:tc>
      </w:tr>
      <w:tr w:rsidR="000B06F3" w:rsidRPr="00DA3C6E" w14:paraId="4F92F480" w14:textId="77777777" w:rsidTr="00A0565C">
        <w:trPr>
          <w:trHeight w:val="136"/>
        </w:trPr>
        <w:tc>
          <w:tcPr>
            <w:tcW w:w="2263" w:type="dxa"/>
            <w:vAlign w:val="center"/>
          </w:tcPr>
          <w:p w14:paraId="0DE9270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Specialist consultation</w:t>
            </w:r>
          </w:p>
        </w:tc>
        <w:tc>
          <w:tcPr>
            <w:tcW w:w="1134" w:type="dxa"/>
            <w:vAlign w:val="center"/>
          </w:tcPr>
          <w:p w14:paraId="448BD2C6"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321CBF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029B60D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1134" w:type="dxa"/>
            <w:vAlign w:val="center"/>
          </w:tcPr>
          <w:p w14:paraId="1DDDAC0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2075" w:type="dxa"/>
            <w:vAlign w:val="center"/>
          </w:tcPr>
          <w:p w14:paraId="5C1C952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6013, 6007, 6015, 6011</w:t>
            </w:r>
          </w:p>
        </w:tc>
      </w:tr>
      <w:tr w:rsidR="000B06F3" w:rsidRPr="00DA3C6E" w14:paraId="13780B33" w14:textId="77777777" w:rsidTr="00A0565C">
        <w:trPr>
          <w:trHeight w:val="136"/>
        </w:trPr>
        <w:tc>
          <w:tcPr>
            <w:tcW w:w="2263" w:type="dxa"/>
            <w:vAlign w:val="center"/>
          </w:tcPr>
          <w:p w14:paraId="53BAAB97"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Pathology</w:t>
            </w:r>
          </w:p>
        </w:tc>
        <w:tc>
          <w:tcPr>
            <w:tcW w:w="1134" w:type="dxa"/>
            <w:vAlign w:val="center"/>
          </w:tcPr>
          <w:p w14:paraId="3B559892"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5DCAF54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4E306F4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3329990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2075" w:type="dxa"/>
            <w:vAlign w:val="center"/>
          </w:tcPr>
          <w:p w14:paraId="5DE0C87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176D9265" w14:textId="77777777" w:rsidTr="00A0565C">
        <w:trPr>
          <w:trHeight w:val="136"/>
        </w:trPr>
        <w:tc>
          <w:tcPr>
            <w:tcW w:w="2263" w:type="dxa"/>
            <w:vAlign w:val="center"/>
          </w:tcPr>
          <w:p w14:paraId="7F52684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Diagnostic</w:t>
            </w:r>
          </w:p>
        </w:tc>
        <w:tc>
          <w:tcPr>
            <w:tcW w:w="1134" w:type="dxa"/>
            <w:vAlign w:val="center"/>
          </w:tcPr>
          <w:p w14:paraId="1778952A"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07FF267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0.5</w:t>
            </w:r>
          </w:p>
        </w:tc>
        <w:tc>
          <w:tcPr>
            <w:tcW w:w="992" w:type="dxa"/>
            <w:vAlign w:val="center"/>
          </w:tcPr>
          <w:p w14:paraId="6273F55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$227.55</w:t>
            </w:r>
          </w:p>
        </w:tc>
        <w:tc>
          <w:tcPr>
            <w:tcW w:w="1134" w:type="dxa"/>
            <w:vAlign w:val="center"/>
          </w:tcPr>
          <w:p w14:paraId="15977DA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$113.78</w:t>
            </w:r>
          </w:p>
        </w:tc>
        <w:tc>
          <w:tcPr>
            <w:tcW w:w="2075" w:type="dxa"/>
            <w:vAlign w:val="center"/>
          </w:tcPr>
          <w:p w14:paraId="6FBBEC8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11018</w:t>
            </w:r>
          </w:p>
        </w:tc>
      </w:tr>
      <w:tr w:rsidR="000B06F3" w:rsidRPr="00DA3C6E" w14:paraId="3E6B743B" w14:textId="77777777" w:rsidTr="00A0565C">
        <w:trPr>
          <w:trHeight w:val="136"/>
        </w:trPr>
        <w:tc>
          <w:tcPr>
            <w:tcW w:w="2263" w:type="dxa"/>
            <w:vAlign w:val="center"/>
          </w:tcPr>
          <w:p w14:paraId="6195EBB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Intravenous Ig</w:t>
            </w:r>
          </w:p>
        </w:tc>
        <w:tc>
          <w:tcPr>
            <w:tcW w:w="1134" w:type="dxa"/>
            <w:vAlign w:val="center"/>
          </w:tcPr>
          <w:p w14:paraId="4F804F60"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087200C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w:t>
            </w:r>
          </w:p>
        </w:tc>
        <w:tc>
          <w:tcPr>
            <w:tcW w:w="992" w:type="dxa"/>
            <w:vAlign w:val="center"/>
          </w:tcPr>
          <w:p w14:paraId="189573A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$2,306.72</w:t>
            </w:r>
          </w:p>
        </w:tc>
        <w:tc>
          <w:tcPr>
            <w:tcW w:w="1134" w:type="dxa"/>
            <w:vAlign w:val="center"/>
          </w:tcPr>
          <w:p w14:paraId="38832DA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$8,0.73.54</w:t>
            </w:r>
          </w:p>
        </w:tc>
        <w:tc>
          <w:tcPr>
            <w:tcW w:w="2075" w:type="dxa"/>
            <w:vAlign w:val="center"/>
          </w:tcPr>
          <w:p w14:paraId="1B7A506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Calculated based on HTA Condition Report 1</w:t>
            </w:r>
          </w:p>
        </w:tc>
      </w:tr>
      <w:tr w:rsidR="000B06F3" w:rsidRPr="00DA3C6E" w14:paraId="0E464456" w14:textId="77777777" w:rsidTr="00A0565C">
        <w:trPr>
          <w:trHeight w:val="136"/>
        </w:trPr>
        <w:tc>
          <w:tcPr>
            <w:tcW w:w="9016" w:type="dxa"/>
            <w:gridSpan w:val="6"/>
            <w:vAlign w:val="center"/>
          </w:tcPr>
          <w:p w14:paraId="3B56DC17"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 xml:space="preserve">Intravenous Ig administration </w:t>
            </w:r>
          </w:p>
        </w:tc>
      </w:tr>
      <w:tr w:rsidR="000F7A2A" w:rsidRPr="00DA3C6E" w14:paraId="4BF5A50D" w14:textId="77777777" w:rsidTr="00A0565C">
        <w:trPr>
          <w:trHeight w:val="136"/>
        </w:trPr>
        <w:tc>
          <w:tcPr>
            <w:tcW w:w="2263" w:type="dxa"/>
            <w:vAlign w:val="center"/>
          </w:tcPr>
          <w:p w14:paraId="38B852E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Public hospital (outpatient)</w:t>
            </w:r>
          </w:p>
        </w:tc>
        <w:tc>
          <w:tcPr>
            <w:tcW w:w="1134" w:type="dxa"/>
            <w:vAlign w:val="center"/>
          </w:tcPr>
          <w:p w14:paraId="1250986C"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67</w:t>
            </w:r>
          </w:p>
        </w:tc>
        <w:tc>
          <w:tcPr>
            <w:tcW w:w="1418" w:type="dxa"/>
            <w:vAlign w:val="center"/>
          </w:tcPr>
          <w:p w14:paraId="38F4256D"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w:t>
            </w:r>
          </w:p>
        </w:tc>
        <w:tc>
          <w:tcPr>
            <w:tcW w:w="992" w:type="dxa"/>
            <w:vAlign w:val="center"/>
          </w:tcPr>
          <w:p w14:paraId="094C974D"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$461.00</w:t>
            </w:r>
          </w:p>
        </w:tc>
        <w:tc>
          <w:tcPr>
            <w:tcW w:w="1134" w:type="dxa"/>
            <w:vAlign w:val="center"/>
          </w:tcPr>
          <w:p w14:paraId="5A550A2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$1,081.05</w:t>
            </w:r>
          </w:p>
        </w:tc>
        <w:tc>
          <w:tcPr>
            <w:tcW w:w="2075" w:type="dxa"/>
            <w:vAlign w:val="center"/>
          </w:tcPr>
          <w:p w14:paraId="0B72BE27"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MSAC 1566, Table 73, p148</w:t>
            </w:r>
          </w:p>
        </w:tc>
      </w:tr>
      <w:tr w:rsidR="000F7A2A" w:rsidRPr="00DA3C6E" w14:paraId="0D62FE07" w14:textId="77777777" w:rsidTr="00A0565C">
        <w:trPr>
          <w:trHeight w:val="136"/>
        </w:trPr>
        <w:tc>
          <w:tcPr>
            <w:tcW w:w="2263" w:type="dxa"/>
            <w:vAlign w:val="center"/>
          </w:tcPr>
          <w:p w14:paraId="29C9B71F"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Private hospital (outpatient)</w:t>
            </w:r>
          </w:p>
        </w:tc>
        <w:tc>
          <w:tcPr>
            <w:tcW w:w="1134" w:type="dxa"/>
            <w:vAlign w:val="center"/>
          </w:tcPr>
          <w:p w14:paraId="3A82DA1B"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33</w:t>
            </w:r>
          </w:p>
        </w:tc>
        <w:tc>
          <w:tcPr>
            <w:tcW w:w="1418" w:type="dxa"/>
            <w:vAlign w:val="center"/>
          </w:tcPr>
          <w:p w14:paraId="48F62057"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w:t>
            </w:r>
          </w:p>
        </w:tc>
        <w:tc>
          <w:tcPr>
            <w:tcW w:w="992" w:type="dxa"/>
            <w:vAlign w:val="center"/>
          </w:tcPr>
          <w:p w14:paraId="25437DFA"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$500.00</w:t>
            </w:r>
          </w:p>
        </w:tc>
        <w:tc>
          <w:tcPr>
            <w:tcW w:w="1134" w:type="dxa"/>
            <w:vAlign w:val="center"/>
          </w:tcPr>
          <w:p w14:paraId="2944A787"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$577.50</w:t>
            </w:r>
          </w:p>
        </w:tc>
        <w:tc>
          <w:tcPr>
            <w:tcW w:w="2075" w:type="dxa"/>
            <w:vAlign w:val="center"/>
          </w:tcPr>
          <w:p w14:paraId="49DBB95D"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Assumption </w:t>
            </w:r>
          </w:p>
        </w:tc>
      </w:tr>
      <w:tr w:rsidR="000F7A2A" w:rsidRPr="00DA3C6E" w14:paraId="17250926" w14:textId="77777777" w:rsidTr="00A0565C">
        <w:trPr>
          <w:trHeight w:val="136"/>
        </w:trPr>
        <w:tc>
          <w:tcPr>
            <w:tcW w:w="2263" w:type="dxa"/>
            <w:vAlign w:val="center"/>
          </w:tcPr>
          <w:p w14:paraId="29B812D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Port-a-cath</w:t>
            </w:r>
          </w:p>
        </w:tc>
        <w:tc>
          <w:tcPr>
            <w:tcW w:w="1134" w:type="dxa"/>
            <w:vAlign w:val="center"/>
          </w:tcPr>
          <w:p w14:paraId="15B74960"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50</w:t>
            </w:r>
          </w:p>
        </w:tc>
        <w:tc>
          <w:tcPr>
            <w:tcW w:w="1418" w:type="dxa"/>
            <w:vAlign w:val="center"/>
          </w:tcPr>
          <w:p w14:paraId="3386B31B"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0.1</w:t>
            </w:r>
          </w:p>
        </w:tc>
        <w:tc>
          <w:tcPr>
            <w:tcW w:w="992" w:type="dxa"/>
            <w:vAlign w:val="center"/>
          </w:tcPr>
          <w:p w14:paraId="5191D45F"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$276.75</w:t>
            </w:r>
          </w:p>
        </w:tc>
        <w:tc>
          <w:tcPr>
            <w:tcW w:w="1134" w:type="dxa"/>
            <w:vAlign w:val="center"/>
          </w:tcPr>
          <w:p w14:paraId="628D17E0"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$27.68</w:t>
            </w:r>
          </w:p>
        </w:tc>
        <w:tc>
          <w:tcPr>
            <w:tcW w:w="2075" w:type="dxa"/>
            <w:vAlign w:val="center"/>
          </w:tcPr>
          <w:p w14:paraId="59D9E4A2"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34528</w:t>
            </w:r>
          </w:p>
        </w:tc>
      </w:tr>
      <w:tr w:rsidR="000B06F3" w:rsidRPr="00DA3C6E" w14:paraId="593C34EC" w14:textId="77777777" w:rsidTr="00A0565C">
        <w:trPr>
          <w:trHeight w:val="136"/>
        </w:trPr>
        <w:tc>
          <w:tcPr>
            <w:tcW w:w="2263" w:type="dxa"/>
            <w:vAlign w:val="center"/>
          </w:tcPr>
          <w:p w14:paraId="02DCB8A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Pre-medications (antihistamine for infusion reactions)</w:t>
            </w:r>
          </w:p>
        </w:tc>
        <w:tc>
          <w:tcPr>
            <w:tcW w:w="1134" w:type="dxa"/>
            <w:vAlign w:val="center"/>
          </w:tcPr>
          <w:p w14:paraId="68A544FF"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754D26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w:t>
            </w:r>
          </w:p>
        </w:tc>
        <w:tc>
          <w:tcPr>
            <w:tcW w:w="992" w:type="dxa"/>
            <w:vAlign w:val="center"/>
          </w:tcPr>
          <w:p w14:paraId="7C190CF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$35.07</w:t>
            </w:r>
          </w:p>
        </w:tc>
        <w:tc>
          <w:tcPr>
            <w:tcW w:w="1134" w:type="dxa"/>
            <w:vAlign w:val="center"/>
          </w:tcPr>
          <w:p w14:paraId="68124A9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$122.75</w:t>
            </w:r>
          </w:p>
        </w:tc>
        <w:tc>
          <w:tcPr>
            <w:tcW w:w="2075" w:type="dxa"/>
            <w:vAlign w:val="center"/>
          </w:tcPr>
          <w:p w14:paraId="20C5A44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PBS item 1948M</w:t>
            </w:r>
          </w:p>
        </w:tc>
      </w:tr>
      <w:tr w:rsidR="000B06F3" w:rsidRPr="00DA3C6E" w14:paraId="157214AF" w14:textId="77777777" w:rsidTr="00A0565C">
        <w:trPr>
          <w:trHeight w:val="136"/>
        </w:trPr>
        <w:tc>
          <w:tcPr>
            <w:tcW w:w="2263" w:type="dxa"/>
            <w:vAlign w:val="center"/>
          </w:tcPr>
          <w:p w14:paraId="75C7289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Pathology during Ig infusion</w:t>
            </w:r>
          </w:p>
        </w:tc>
        <w:tc>
          <w:tcPr>
            <w:tcW w:w="1134" w:type="dxa"/>
            <w:vAlign w:val="center"/>
          </w:tcPr>
          <w:p w14:paraId="746DD192"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340DB34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3.5</w:t>
            </w:r>
          </w:p>
        </w:tc>
        <w:tc>
          <w:tcPr>
            <w:tcW w:w="992" w:type="dxa"/>
            <w:vAlign w:val="center"/>
          </w:tcPr>
          <w:p w14:paraId="0CA320D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692F38C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$731.15</w:t>
            </w:r>
          </w:p>
        </w:tc>
        <w:tc>
          <w:tcPr>
            <w:tcW w:w="2075" w:type="dxa"/>
            <w:vAlign w:val="center"/>
          </w:tcPr>
          <w:p w14:paraId="53A253B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599F5B1A" w14:textId="77777777" w:rsidTr="00A0565C">
        <w:trPr>
          <w:trHeight w:val="136"/>
        </w:trPr>
        <w:tc>
          <w:tcPr>
            <w:tcW w:w="2263" w:type="dxa"/>
            <w:vAlign w:val="center"/>
          </w:tcPr>
          <w:p w14:paraId="54902D7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Physiotherapy </w:t>
            </w:r>
          </w:p>
        </w:tc>
        <w:tc>
          <w:tcPr>
            <w:tcW w:w="1134" w:type="dxa"/>
            <w:vAlign w:val="center"/>
          </w:tcPr>
          <w:p w14:paraId="3A2C979A"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5BC0CE54"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0EB84F2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$63.25</w:t>
            </w:r>
          </w:p>
        </w:tc>
        <w:tc>
          <w:tcPr>
            <w:tcW w:w="1134" w:type="dxa"/>
            <w:vAlign w:val="center"/>
          </w:tcPr>
          <w:p w14:paraId="4FC0339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$379.50</w:t>
            </w:r>
          </w:p>
        </w:tc>
        <w:tc>
          <w:tcPr>
            <w:tcW w:w="2075" w:type="dxa"/>
            <w:vAlign w:val="center"/>
          </w:tcPr>
          <w:p w14:paraId="1B885E8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10960</w:t>
            </w:r>
          </w:p>
        </w:tc>
      </w:tr>
      <w:tr w:rsidR="000B06F3" w:rsidRPr="00DA3C6E" w14:paraId="0E8034E2" w14:textId="77777777" w:rsidTr="00A0565C">
        <w:trPr>
          <w:trHeight w:val="136"/>
        </w:trPr>
        <w:tc>
          <w:tcPr>
            <w:tcW w:w="2263" w:type="dxa"/>
            <w:vAlign w:val="center"/>
          </w:tcPr>
          <w:p w14:paraId="5176CA2A"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 xml:space="preserve">Rehabilitation </w:t>
            </w:r>
          </w:p>
        </w:tc>
        <w:tc>
          <w:tcPr>
            <w:tcW w:w="1134" w:type="dxa"/>
            <w:vAlign w:val="center"/>
          </w:tcPr>
          <w:p w14:paraId="55367F4E"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6BEA93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7B6E0FD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$78.84</w:t>
            </w:r>
          </w:p>
        </w:tc>
        <w:tc>
          <w:tcPr>
            <w:tcW w:w="1134" w:type="dxa"/>
            <w:vAlign w:val="center"/>
          </w:tcPr>
          <w:p w14:paraId="4863D20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$473.04</w:t>
            </w:r>
          </w:p>
        </w:tc>
        <w:tc>
          <w:tcPr>
            <w:tcW w:w="2075" w:type="dxa"/>
            <w:vAlign w:val="center"/>
          </w:tcPr>
          <w:p w14:paraId="387C2AB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385, 386, 387, 388</w:t>
            </w:r>
          </w:p>
        </w:tc>
      </w:tr>
      <w:tr w:rsidR="000B06F3" w:rsidRPr="00DA3C6E" w14:paraId="3A3BB974" w14:textId="77777777" w:rsidTr="00A0565C">
        <w:trPr>
          <w:trHeight w:val="136"/>
        </w:trPr>
        <w:tc>
          <w:tcPr>
            <w:tcW w:w="9016" w:type="dxa"/>
            <w:gridSpan w:val="6"/>
            <w:vAlign w:val="center"/>
          </w:tcPr>
          <w:p w14:paraId="6779799F"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Patients who cease Ig treatment after initiation of weaning (50%)</w:t>
            </w:r>
          </w:p>
        </w:tc>
      </w:tr>
      <w:tr w:rsidR="000B06F3" w:rsidRPr="00DA3C6E" w14:paraId="55519ACD"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B06F3" w:rsidRPr="00DA3C6E" w14:paraId="4A7D1271" w14:textId="77777777" w:rsidTr="00A0565C">
              <w:trPr>
                <w:trHeight w:val="292"/>
              </w:trPr>
              <w:tc>
                <w:tcPr>
                  <w:tcW w:w="4923" w:type="dxa"/>
                  <w:tcBorders>
                    <w:top w:val="nil"/>
                    <w:left w:val="nil"/>
                    <w:bottom w:val="nil"/>
                    <w:right w:val="nil"/>
                  </w:tcBorders>
                  <w:shd w:val="clear" w:color="auto" w:fill="auto"/>
                  <w:noWrap/>
                  <w:vAlign w:val="bottom"/>
                  <w:hideMark/>
                </w:tcPr>
                <w:p w14:paraId="2046782D" w14:textId="77777777" w:rsidR="000B06F3" w:rsidRPr="00DA3C6E" w:rsidRDefault="000B06F3" w:rsidP="00FA72EB">
                  <w:pPr>
                    <w:spacing w:after="0" w:line="240" w:lineRule="auto"/>
                    <w:rPr>
                      <w:rFonts w:ascii="Arial Narrow" w:hAnsi="Arial Narrow" w:cs="Calibri"/>
                      <w:color w:val="000000"/>
                      <w:sz w:val="20"/>
                      <w:szCs w:val="20"/>
                    </w:rPr>
                  </w:pPr>
                  <w:r w:rsidRPr="00DA3C6E">
                    <w:rPr>
                      <w:rFonts w:ascii="Arial Narrow" w:hAnsi="Arial Narrow" w:cs="Calibri"/>
                      <w:color w:val="000000"/>
                      <w:sz w:val="20"/>
                      <w:szCs w:val="20"/>
                    </w:rPr>
                    <w:t>Consultation (specialist)</w:t>
                  </w:r>
                </w:p>
              </w:tc>
            </w:tr>
          </w:tbl>
          <w:p w14:paraId="3B394674" w14:textId="77777777" w:rsidR="000B06F3" w:rsidRPr="00DA3C6E" w:rsidRDefault="000B06F3" w:rsidP="00A0565C">
            <w:pPr>
              <w:spacing w:after="0" w:line="240" w:lineRule="auto"/>
              <w:jc w:val="left"/>
              <w:rPr>
                <w:rFonts w:ascii="Arial Narrow" w:eastAsiaTheme="minorHAnsi" w:hAnsi="Arial Narrow"/>
                <w:sz w:val="20"/>
                <w:szCs w:val="20"/>
                <w:lang w:eastAsia="en-US"/>
              </w:rPr>
            </w:pPr>
          </w:p>
        </w:tc>
        <w:tc>
          <w:tcPr>
            <w:tcW w:w="1134" w:type="dxa"/>
            <w:vAlign w:val="center"/>
          </w:tcPr>
          <w:p w14:paraId="1F509BF8"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27C4C0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257DF865"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1134" w:type="dxa"/>
            <w:vAlign w:val="center"/>
          </w:tcPr>
          <w:p w14:paraId="6CAF0FB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2075" w:type="dxa"/>
            <w:vAlign w:val="center"/>
          </w:tcPr>
          <w:p w14:paraId="12FB7F5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6013, 6007, 6015, 6011</w:t>
            </w:r>
          </w:p>
        </w:tc>
      </w:tr>
      <w:tr w:rsidR="000B06F3" w:rsidRPr="00DA3C6E" w14:paraId="5116C064" w14:textId="77777777" w:rsidTr="00A0565C">
        <w:trPr>
          <w:trHeight w:val="136"/>
        </w:trPr>
        <w:tc>
          <w:tcPr>
            <w:tcW w:w="2263" w:type="dxa"/>
            <w:vAlign w:val="center"/>
          </w:tcPr>
          <w:p w14:paraId="36AC9506"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hAnsi="Arial Narrow" w:cs="Calibri"/>
                <w:color w:val="000000"/>
                <w:sz w:val="20"/>
                <w:szCs w:val="20"/>
              </w:rPr>
              <w:t>Physiotherapy</w:t>
            </w:r>
          </w:p>
        </w:tc>
        <w:tc>
          <w:tcPr>
            <w:tcW w:w="1134" w:type="dxa"/>
            <w:vAlign w:val="center"/>
          </w:tcPr>
          <w:p w14:paraId="15DDC5E6"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7FDBD4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5C542E6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$63.25</w:t>
            </w:r>
          </w:p>
        </w:tc>
        <w:tc>
          <w:tcPr>
            <w:tcW w:w="1134" w:type="dxa"/>
            <w:vAlign w:val="center"/>
          </w:tcPr>
          <w:p w14:paraId="24841F6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$379.50</w:t>
            </w:r>
          </w:p>
        </w:tc>
        <w:tc>
          <w:tcPr>
            <w:tcW w:w="2075" w:type="dxa"/>
            <w:vAlign w:val="center"/>
          </w:tcPr>
          <w:p w14:paraId="7BB45B1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10960</w:t>
            </w:r>
          </w:p>
        </w:tc>
      </w:tr>
      <w:tr w:rsidR="000B06F3" w:rsidRPr="00DA3C6E" w14:paraId="6421FF2F" w14:textId="77777777" w:rsidTr="00A0565C">
        <w:trPr>
          <w:trHeight w:val="136"/>
        </w:trPr>
        <w:tc>
          <w:tcPr>
            <w:tcW w:w="2263" w:type="dxa"/>
            <w:vAlign w:val="center"/>
          </w:tcPr>
          <w:p w14:paraId="70DFAA1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hAnsi="Arial Narrow" w:cs="Calibri"/>
                <w:color w:val="000000"/>
                <w:sz w:val="20"/>
                <w:szCs w:val="20"/>
              </w:rPr>
              <w:t>Pathology</w:t>
            </w:r>
          </w:p>
        </w:tc>
        <w:tc>
          <w:tcPr>
            <w:tcW w:w="1134" w:type="dxa"/>
            <w:vAlign w:val="center"/>
          </w:tcPr>
          <w:p w14:paraId="4F8D5EE4"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7D7E3A8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6E991860"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0248FD1C"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$209.90</w:t>
            </w:r>
          </w:p>
        </w:tc>
        <w:tc>
          <w:tcPr>
            <w:tcW w:w="2075" w:type="dxa"/>
            <w:vAlign w:val="center"/>
          </w:tcPr>
          <w:p w14:paraId="4522D3B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B06F3" w:rsidRPr="00DA3C6E" w14:paraId="4B904491" w14:textId="77777777" w:rsidTr="00A0565C">
        <w:trPr>
          <w:trHeight w:val="136"/>
        </w:trPr>
        <w:tc>
          <w:tcPr>
            <w:tcW w:w="2263" w:type="dxa"/>
            <w:vAlign w:val="center"/>
          </w:tcPr>
          <w:p w14:paraId="074792C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hAnsi="Arial Narrow" w:cs="Calibri"/>
                <w:color w:val="000000"/>
                <w:sz w:val="20"/>
                <w:szCs w:val="20"/>
              </w:rPr>
              <w:t>Rehabilitation</w:t>
            </w:r>
          </w:p>
        </w:tc>
        <w:tc>
          <w:tcPr>
            <w:tcW w:w="1134" w:type="dxa"/>
            <w:vAlign w:val="center"/>
          </w:tcPr>
          <w:p w14:paraId="5FD6BAED"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BCDFFB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38D92093"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$78.84</w:t>
            </w:r>
          </w:p>
        </w:tc>
        <w:tc>
          <w:tcPr>
            <w:tcW w:w="1134" w:type="dxa"/>
            <w:vAlign w:val="center"/>
          </w:tcPr>
          <w:p w14:paraId="7CC3673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$473.04</w:t>
            </w:r>
          </w:p>
        </w:tc>
        <w:tc>
          <w:tcPr>
            <w:tcW w:w="2075" w:type="dxa"/>
            <w:vAlign w:val="center"/>
          </w:tcPr>
          <w:p w14:paraId="6F5C8612"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385, 386, 387, 388</w:t>
            </w:r>
          </w:p>
        </w:tc>
      </w:tr>
      <w:tr w:rsidR="000B06F3" w:rsidRPr="00DA3C6E" w14:paraId="38B6C501"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B06F3" w:rsidRPr="00DA3C6E" w14:paraId="2DF62109" w14:textId="77777777" w:rsidTr="00A0565C">
              <w:trPr>
                <w:trHeight w:val="292"/>
              </w:trPr>
              <w:tc>
                <w:tcPr>
                  <w:tcW w:w="4923" w:type="dxa"/>
                  <w:tcBorders>
                    <w:top w:val="nil"/>
                    <w:left w:val="nil"/>
                    <w:bottom w:val="nil"/>
                    <w:right w:val="nil"/>
                  </w:tcBorders>
                  <w:shd w:val="clear" w:color="auto" w:fill="auto"/>
                  <w:noWrap/>
                  <w:vAlign w:val="bottom"/>
                  <w:hideMark/>
                </w:tcPr>
                <w:p w14:paraId="78A35B65" w14:textId="77777777" w:rsidR="000B06F3" w:rsidRPr="00DA3C6E" w:rsidRDefault="000B06F3" w:rsidP="00A0565C">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 xml:space="preserve">Diagnostic </w:t>
                  </w:r>
                </w:p>
              </w:tc>
            </w:tr>
          </w:tbl>
          <w:p w14:paraId="565E2D1C" w14:textId="77777777" w:rsidR="000B06F3" w:rsidRPr="00DA3C6E" w:rsidRDefault="000B06F3" w:rsidP="00A0565C">
            <w:pPr>
              <w:spacing w:after="0" w:line="240" w:lineRule="auto"/>
              <w:jc w:val="left"/>
              <w:rPr>
                <w:rFonts w:ascii="Arial Narrow" w:eastAsiaTheme="minorHAnsi" w:hAnsi="Arial Narrow"/>
                <w:sz w:val="20"/>
                <w:szCs w:val="20"/>
                <w:lang w:eastAsia="en-US"/>
              </w:rPr>
            </w:pPr>
          </w:p>
        </w:tc>
        <w:tc>
          <w:tcPr>
            <w:tcW w:w="1134" w:type="dxa"/>
            <w:vAlign w:val="center"/>
          </w:tcPr>
          <w:p w14:paraId="75F57904" w14:textId="77777777" w:rsidR="000B06F3"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6530733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0.5</w:t>
            </w:r>
          </w:p>
        </w:tc>
        <w:tc>
          <w:tcPr>
            <w:tcW w:w="992" w:type="dxa"/>
            <w:vAlign w:val="center"/>
          </w:tcPr>
          <w:p w14:paraId="0EC1841D"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$227.55</w:t>
            </w:r>
          </w:p>
        </w:tc>
        <w:tc>
          <w:tcPr>
            <w:tcW w:w="1134" w:type="dxa"/>
            <w:vAlign w:val="center"/>
          </w:tcPr>
          <w:p w14:paraId="30F612A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$113.78</w:t>
            </w:r>
          </w:p>
        </w:tc>
        <w:tc>
          <w:tcPr>
            <w:tcW w:w="2075" w:type="dxa"/>
            <w:vAlign w:val="center"/>
          </w:tcPr>
          <w:p w14:paraId="6B37048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11018</w:t>
            </w:r>
          </w:p>
        </w:tc>
      </w:tr>
      <w:tr w:rsidR="000B06F3" w:rsidRPr="00DA3C6E" w14:paraId="4F82C0C5" w14:textId="77777777" w:rsidTr="00A0565C">
        <w:trPr>
          <w:trHeight w:val="136"/>
        </w:trPr>
        <w:tc>
          <w:tcPr>
            <w:tcW w:w="9016" w:type="dxa"/>
            <w:gridSpan w:val="6"/>
            <w:vAlign w:val="center"/>
          </w:tcPr>
          <w:p w14:paraId="56B0964C" w14:textId="77777777" w:rsidR="000B06F3" w:rsidRPr="00DA3C6E" w:rsidRDefault="000B06F3" w:rsidP="00A0565C">
            <w:pPr>
              <w:spacing w:after="0" w:line="240" w:lineRule="auto"/>
              <w:ind w:left="0"/>
              <w:jc w:val="left"/>
              <w:rPr>
                <w:rFonts w:ascii="Arial Narrow" w:eastAsiaTheme="minorHAnsi" w:hAnsi="Arial Narrow"/>
                <w:b/>
                <w:sz w:val="20"/>
                <w:szCs w:val="20"/>
                <w:lang w:eastAsia="en-US"/>
              </w:rPr>
            </w:pPr>
            <w:r w:rsidRPr="00DA3C6E">
              <w:rPr>
                <w:rFonts w:ascii="Arial Narrow" w:eastAsiaTheme="minorHAnsi" w:hAnsi="Arial Narrow"/>
                <w:b/>
                <w:sz w:val="20"/>
                <w:szCs w:val="20"/>
                <w:lang w:eastAsia="en-US"/>
              </w:rPr>
              <w:t>Best supportive care</w:t>
            </w:r>
          </w:p>
        </w:tc>
      </w:tr>
      <w:tr w:rsidR="000F7A2A" w:rsidRPr="00DA3C6E" w14:paraId="19CD1C7E"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F7A2A" w:rsidRPr="00DA3C6E" w14:paraId="7731FF67" w14:textId="77777777" w:rsidTr="00A0565C">
              <w:trPr>
                <w:trHeight w:val="292"/>
              </w:trPr>
              <w:tc>
                <w:tcPr>
                  <w:tcW w:w="4923" w:type="dxa"/>
                  <w:tcBorders>
                    <w:top w:val="nil"/>
                    <w:left w:val="nil"/>
                    <w:bottom w:val="nil"/>
                    <w:right w:val="nil"/>
                  </w:tcBorders>
                  <w:shd w:val="clear" w:color="auto" w:fill="auto"/>
                  <w:noWrap/>
                  <w:vAlign w:val="bottom"/>
                  <w:hideMark/>
                </w:tcPr>
                <w:p w14:paraId="662A1344" w14:textId="77777777" w:rsidR="000F7A2A" w:rsidRPr="00DA3C6E" w:rsidRDefault="000F7A2A" w:rsidP="000F7A2A">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 xml:space="preserve">Specialist consultation </w:t>
                  </w:r>
                </w:p>
              </w:tc>
            </w:tr>
          </w:tbl>
          <w:p w14:paraId="541FFB3E" w14:textId="77777777" w:rsidR="000F7A2A" w:rsidRPr="00DA3C6E" w:rsidRDefault="000F7A2A" w:rsidP="000F7A2A">
            <w:pPr>
              <w:spacing w:after="0" w:line="240" w:lineRule="auto"/>
              <w:jc w:val="left"/>
              <w:rPr>
                <w:rFonts w:ascii="Arial Narrow" w:eastAsiaTheme="minorHAnsi" w:hAnsi="Arial Narrow"/>
                <w:sz w:val="20"/>
                <w:szCs w:val="20"/>
                <w:lang w:eastAsia="en-US"/>
              </w:rPr>
            </w:pPr>
          </w:p>
        </w:tc>
        <w:tc>
          <w:tcPr>
            <w:tcW w:w="1134" w:type="dxa"/>
            <w:vAlign w:val="center"/>
          </w:tcPr>
          <w:p w14:paraId="69F657DB" w14:textId="77777777" w:rsidR="000F7A2A"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A9560B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3FAB7B5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$124.93</w:t>
            </w:r>
          </w:p>
        </w:tc>
        <w:tc>
          <w:tcPr>
            <w:tcW w:w="1134" w:type="dxa"/>
            <w:vAlign w:val="center"/>
          </w:tcPr>
          <w:p w14:paraId="30A7509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$123.93</w:t>
            </w:r>
          </w:p>
        </w:tc>
        <w:tc>
          <w:tcPr>
            <w:tcW w:w="2075" w:type="dxa"/>
            <w:vAlign w:val="center"/>
          </w:tcPr>
          <w:p w14:paraId="1DCB42C4"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6013, 6007, 6015, 6011</w:t>
            </w:r>
          </w:p>
        </w:tc>
      </w:tr>
      <w:tr w:rsidR="000F7A2A" w:rsidRPr="00DA3C6E" w14:paraId="60EB3DD1"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F7A2A" w:rsidRPr="00DA3C6E" w14:paraId="3A0B3E6C" w14:textId="77777777" w:rsidTr="00A0565C">
              <w:trPr>
                <w:trHeight w:val="292"/>
              </w:trPr>
              <w:tc>
                <w:tcPr>
                  <w:tcW w:w="4923" w:type="dxa"/>
                  <w:tcBorders>
                    <w:top w:val="nil"/>
                    <w:left w:val="nil"/>
                    <w:bottom w:val="nil"/>
                    <w:right w:val="nil"/>
                  </w:tcBorders>
                  <w:shd w:val="clear" w:color="auto" w:fill="auto"/>
                  <w:noWrap/>
                  <w:vAlign w:val="bottom"/>
                  <w:hideMark/>
                </w:tcPr>
                <w:p w14:paraId="6CCAC598" w14:textId="77777777" w:rsidR="000F7A2A" w:rsidRPr="00DA3C6E" w:rsidRDefault="000F7A2A" w:rsidP="000F7A2A">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Physiotherapy</w:t>
                  </w:r>
                </w:p>
              </w:tc>
            </w:tr>
          </w:tbl>
          <w:p w14:paraId="5C6685C8" w14:textId="77777777" w:rsidR="000F7A2A" w:rsidRPr="00DA3C6E" w:rsidRDefault="000F7A2A" w:rsidP="000F7A2A">
            <w:pPr>
              <w:spacing w:after="0" w:line="240" w:lineRule="auto"/>
              <w:jc w:val="left"/>
              <w:rPr>
                <w:rFonts w:ascii="Arial Narrow" w:eastAsiaTheme="minorHAnsi" w:hAnsi="Arial Narrow"/>
                <w:sz w:val="20"/>
                <w:szCs w:val="20"/>
                <w:lang w:eastAsia="en-US"/>
              </w:rPr>
            </w:pPr>
          </w:p>
        </w:tc>
        <w:tc>
          <w:tcPr>
            <w:tcW w:w="1134" w:type="dxa"/>
            <w:vAlign w:val="center"/>
          </w:tcPr>
          <w:p w14:paraId="64272D9C" w14:textId="77777777" w:rsidR="000F7A2A"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4E0D9F59"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7BA705D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$63.25</w:t>
            </w:r>
          </w:p>
        </w:tc>
        <w:tc>
          <w:tcPr>
            <w:tcW w:w="1134" w:type="dxa"/>
            <w:vAlign w:val="center"/>
          </w:tcPr>
          <w:p w14:paraId="51977074"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$379.50</w:t>
            </w:r>
          </w:p>
        </w:tc>
        <w:tc>
          <w:tcPr>
            <w:tcW w:w="2075" w:type="dxa"/>
            <w:vAlign w:val="center"/>
          </w:tcPr>
          <w:p w14:paraId="39C1F54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10960</w:t>
            </w:r>
          </w:p>
        </w:tc>
      </w:tr>
      <w:tr w:rsidR="000F7A2A" w:rsidRPr="00DA3C6E" w14:paraId="2A5FC2C0"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F7A2A" w:rsidRPr="00DA3C6E" w14:paraId="542AC8A5" w14:textId="77777777" w:rsidTr="00A0565C">
              <w:trPr>
                <w:trHeight w:val="292"/>
              </w:trPr>
              <w:tc>
                <w:tcPr>
                  <w:tcW w:w="4923" w:type="dxa"/>
                  <w:tcBorders>
                    <w:top w:val="nil"/>
                    <w:left w:val="nil"/>
                    <w:bottom w:val="nil"/>
                    <w:right w:val="nil"/>
                  </w:tcBorders>
                  <w:shd w:val="clear" w:color="auto" w:fill="auto"/>
                  <w:noWrap/>
                  <w:vAlign w:val="bottom"/>
                  <w:hideMark/>
                </w:tcPr>
                <w:p w14:paraId="3BAF6E64" w14:textId="77777777" w:rsidR="000F7A2A" w:rsidRPr="00DA3C6E" w:rsidRDefault="000F7A2A" w:rsidP="000F7A2A">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Pathology</w:t>
                  </w:r>
                </w:p>
              </w:tc>
            </w:tr>
          </w:tbl>
          <w:p w14:paraId="08604560" w14:textId="77777777" w:rsidR="000F7A2A" w:rsidRPr="00DA3C6E" w:rsidRDefault="000F7A2A" w:rsidP="000F7A2A">
            <w:pPr>
              <w:spacing w:after="0" w:line="240" w:lineRule="auto"/>
              <w:jc w:val="left"/>
              <w:rPr>
                <w:rFonts w:ascii="Arial Narrow" w:eastAsiaTheme="minorHAnsi" w:hAnsi="Arial Narrow"/>
                <w:sz w:val="20"/>
                <w:szCs w:val="20"/>
                <w:lang w:eastAsia="en-US"/>
              </w:rPr>
            </w:pPr>
          </w:p>
        </w:tc>
        <w:tc>
          <w:tcPr>
            <w:tcW w:w="1134" w:type="dxa"/>
            <w:vAlign w:val="center"/>
          </w:tcPr>
          <w:p w14:paraId="705228C6" w14:textId="77777777" w:rsidR="000F7A2A"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1AF316EA"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7AC2C088"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1134" w:type="dxa"/>
            <w:vAlign w:val="center"/>
          </w:tcPr>
          <w:p w14:paraId="1C61241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$208.90</w:t>
            </w:r>
          </w:p>
        </w:tc>
        <w:tc>
          <w:tcPr>
            <w:tcW w:w="2075" w:type="dxa"/>
            <w:vAlign w:val="center"/>
          </w:tcPr>
          <w:p w14:paraId="55B20B13"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65070, 71059, 701, 12527, 66500</w:t>
            </w:r>
          </w:p>
        </w:tc>
      </w:tr>
      <w:tr w:rsidR="000F7A2A" w:rsidRPr="00DA3C6E" w14:paraId="70C3893E"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F7A2A" w:rsidRPr="00DA3C6E" w14:paraId="5C62463C" w14:textId="77777777" w:rsidTr="00A0565C">
              <w:trPr>
                <w:trHeight w:val="292"/>
              </w:trPr>
              <w:tc>
                <w:tcPr>
                  <w:tcW w:w="4923" w:type="dxa"/>
                  <w:tcBorders>
                    <w:top w:val="nil"/>
                    <w:left w:val="nil"/>
                    <w:bottom w:val="nil"/>
                    <w:right w:val="nil"/>
                  </w:tcBorders>
                  <w:shd w:val="clear" w:color="auto" w:fill="auto"/>
                  <w:noWrap/>
                  <w:vAlign w:val="bottom"/>
                  <w:hideMark/>
                </w:tcPr>
                <w:p w14:paraId="36BF1A57" w14:textId="77777777" w:rsidR="000F7A2A" w:rsidRPr="00DA3C6E" w:rsidRDefault="000F7A2A" w:rsidP="000F7A2A">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 xml:space="preserve">Rehabilitation </w:t>
                  </w:r>
                </w:p>
              </w:tc>
            </w:tr>
          </w:tbl>
          <w:p w14:paraId="412D4257" w14:textId="77777777" w:rsidR="000F7A2A" w:rsidRPr="00DA3C6E" w:rsidRDefault="000F7A2A" w:rsidP="000F7A2A">
            <w:pPr>
              <w:spacing w:after="0" w:line="240" w:lineRule="auto"/>
              <w:jc w:val="left"/>
              <w:rPr>
                <w:rFonts w:ascii="Arial Narrow" w:eastAsiaTheme="minorHAnsi" w:hAnsi="Arial Narrow"/>
                <w:sz w:val="20"/>
                <w:szCs w:val="20"/>
                <w:lang w:eastAsia="en-US"/>
              </w:rPr>
            </w:pPr>
          </w:p>
        </w:tc>
        <w:tc>
          <w:tcPr>
            <w:tcW w:w="1134" w:type="dxa"/>
            <w:vAlign w:val="center"/>
          </w:tcPr>
          <w:p w14:paraId="0056D595" w14:textId="77777777" w:rsidR="000F7A2A"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1E4C5DAB"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6</w:t>
            </w:r>
          </w:p>
        </w:tc>
        <w:tc>
          <w:tcPr>
            <w:tcW w:w="992" w:type="dxa"/>
            <w:vAlign w:val="center"/>
          </w:tcPr>
          <w:p w14:paraId="72B226DC"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$78.84</w:t>
            </w:r>
          </w:p>
        </w:tc>
        <w:tc>
          <w:tcPr>
            <w:tcW w:w="1134" w:type="dxa"/>
            <w:vAlign w:val="center"/>
          </w:tcPr>
          <w:p w14:paraId="3789C7EC"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$473.04</w:t>
            </w:r>
          </w:p>
        </w:tc>
        <w:tc>
          <w:tcPr>
            <w:tcW w:w="2075" w:type="dxa"/>
            <w:vAlign w:val="center"/>
          </w:tcPr>
          <w:p w14:paraId="3BC78845"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MBS item: 385, 386, 387, 388</w:t>
            </w:r>
          </w:p>
        </w:tc>
      </w:tr>
      <w:tr w:rsidR="000F7A2A" w:rsidRPr="00DA3C6E" w14:paraId="4CFF7B85" w14:textId="77777777" w:rsidTr="00A0565C">
        <w:trPr>
          <w:trHeight w:val="136"/>
        </w:trPr>
        <w:tc>
          <w:tcPr>
            <w:tcW w:w="2263" w:type="dxa"/>
            <w:vAlign w:val="center"/>
          </w:tcPr>
          <w:tbl>
            <w:tblPr>
              <w:tblW w:w="4923" w:type="dxa"/>
              <w:tblLayout w:type="fixed"/>
              <w:tblLook w:val="04A0" w:firstRow="1" w:lastRow="0" w:firstColumn="1" w:lastColumn="0" w:noHBand="0" w:noVBand="1"/>
            </w:tblPr>
            <w:tblGrid>
              <w:gridCol w:w="4923"/>
            </w:tblGrid>
            <w:tr w:rsidR="000F7A2A" w:rsidRPr="00DA3C6E" w14:paraId="5CE66FF4" w14:textId="77777777" w:rsidTr="00A0565C">
              <w:trPr>
                <w:trHeight w:val="292"/>
              </w:trPr>
              <w:tc>
                <w:tcPr>
                  <w:tcW w:w="4923" w:type="dxa"/>
                  <w:tcBorders>
                    <w:top w:val="nil"/>
                    <w:left w:val="nil"/>
                    <w:bottom w:val="nil"/>
                    <w:right w:val="nil"/>
                  </w:tcBorders>
                  <w:shd w:val="clear" w:color="auto" w:fill="auto"/>
                  <w:noWrap/>
                  <w:vAlign w:val="bottom"/>
                  <w:hideMark/>
                </w:tcPr>
                <w:p w14:paraId="187508FC" w14:textId="77777777" w:rsidR="000F7A2A" w:rsidRPr="00DA3C6E" w:rsidRDefault="000F7A2A" w:rsidP="000F7A2A">
                  <w:pPr>
                    <w:spacing w:after="0" w:line="240" w:lineRule="auto"/>
                    <w:jc w:val="left"/>
                    <w:rPr>
                      <w:rFonts w:ascii="Arial Narrow" w:hAnsi="Arial Narrow" w:cs="Calibri"/>
                      <w:color w:val="000000"/>
                      <w:sz w:val="20"/>
                      <w:szCs w:val="20"/>
                    </w:rPr>
                  </w:pPr>
                  <w:r w:rsidRPr="00DA3C6E">
                    <w:rPr>
                      <w:rFonts w:ascii="Arial Narrow" w:hAnsi="Arial Narrow" w:cs="Calibri"/>
                      <w:color w:val="000000"/>
                      <w:sz w:val="20"/>
                      <w:szCs w:val="20"/>
                    </w:rPr>
                    <w:t xml:space="preserve">Diagnostic </w:t>
                  </w:r>
                </w:p>
              </w:tc>
            </w:tr>
          </w:tbl>
          <w:p w14:paraId="0F61DDA1" w14:textId="77777777" w:rsidR="000F7A2A" w:rsidRPr="00DA3C6E" w:rsidRDefault="000F7A2A" w:rsidP="000F7A2A">
            <w:pPr>
              <w:spacing w:after="0" w:line="240" w:lineRule="auto"/>
              <w:jc w:val="left"/>
              <w:rPr>
                <w:rFonts w:ascii="Arial Narrow" w:eastAsiaTheme="minorHAnsi" w:hAnsi="Arial Narrow"/>
                <w:sz w:val="20"/>
                <w:szCs w:val="20"/>
                <w:lang w:eastAsia="en-US"/>
              </w:rPr>
            </w:pPr>
          </w:p>
        </w:tc>
        <w:tc>
          <w:tcPr>
            <w:tcW w:w="1134" w:type="dxa"/>
            <w:vAlign w:val="center"/>
          </w:tcPr>
          <w:p w14:paraId="388011E0" w14:textId="77777777" w:rsidR="000F7A2A" w:rsidRPr="00DA3C6E" w:rsidRDefault="000F7A2A"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243A948B"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0.5</w:t>
            </w:r>
          </w:p>
        </w:tc>
        <w:tc>
          <w:tcPr>
            <w:tcW w:w="992" w:type="dxa"/>
            <w:vAlign w:val="center"/>
          </w:tcPr>
          <w:p w14:paraId="76616DFC"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$227.55</w:t>
            </w:r>
          </w:p>
        </w:tc>
        <w:tc>
          <w:tcPr>
            <w:tcW w:w="1134" w:type="dxa"/>
            <w:vAlign w:val="center"/>
          </w:tcPr>
          <w:p w14:paraId="12C5666B"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$113.78</w:t>
            </w:r>
          </w:p>
        </w:tc>
        <w:tc>
          <w:tcPr>
            <w:tcW w:w="2075" w:type="dxa"/>
            <w:vAlign w:val="center"/>
          </w:tcPr>
          <w:p w14:paraId="39F6D2BD" w14:textId="77777777" w:rsidR="000F7A2A" w:rsidRPr="00DA3C6E" w:rsidRDefault="000F7A2A" w:rsidP="000F7A2A">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11018</w:t>
            </w:r>
          </w:p>
        </w:tc>
      </w:tr>
      <w:tr w:rsidR="000B06F3" w:rsidRPr="00DA3C6E" w14:paraId="2AD2CE0D" w14:textId="77777777" w:rsidTr="00A0565C">
        <w:trPr>
          <w:trHeight w:val="136"/>
        </w:trPr>
        <w:tc>
          <w:tcPr>
            <w:tcW w:w="9016" w:type="dxa"/>
            <w:gridSpan w:val="6"/>
            <w:vAlign w:val="center"/>
          </w:tcPr>
          <w:p w14:paraId="00327583" w14:textId="77777777" w:rsidR="000B06F3" w:rsidRPr="00DA3C6E" w:rsidRDefault="000B06F3" w:rsidP="00190EAF">
            <w:pPr>
              <w:spacing w:after="0" w:line="240" w:lineRule="auto"/>
              <w:ind w:left="0"/>
              <w:jc w:val="left"/>
              <w:rPr>
                <w:rFonts w:ascii="Arial Narrow" w:eastAsiaTheme="minorHAnsi" w:hAnsi="Arial Narrow"/>
                <w:b/>
                <w:sz w:val="20"/>
                <w:szCs w:val="20"/>
                <w:lang w:eastAsia="en-US"/>
              </w:rPr>
            </w:pPr>
            <w:r w:rsidRPr="00DA3C6E">
              <w:rPr>
                <w:rFonts w:ascii="Arial Narrow" w:hAnsi="Arial Narrow" w:cs="Calibri"/>
                <w:b/>
                <w:color w:val="000000"/>
                <w:sz w:val="20"/>
                <w:szCs w:val="20"/>
              </w:rPr>
              <w:t>Adverse events: Pulmonary embolism (probability of incidence 4.5%)</w:t>
            </w:r>
          </w:p>
        </w:tc>
      </w:tr>
      <w:tr w:rsidR="000B06F3" w:rsidRPr="00DA3C6E" w14:paraId="293191CE" w14:textId="77777777" w:rsidTr="00A0565C">
        <w:trPr>
          <w:trHeight w:val="136"/>
        </w:trPr>
        <w:tc>
          <w:tcPr>
            <w:tcW w:w="2263" w:type="dxa"/>
            <w:vAlign w:val="center"/>
          </w:tcPr>
          <w:p w14:paraId="743789AF" w14:textId="77777777" w:rsidR="000B06F3" w:rsidRPr="00DA3C6E" w:rsidRDefault="000B06F3" w:rsidP="00A0565C">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 xml:space="preserve">Treatment including hospitalisation </w:t>
            </w:r>
          </w:p>
        </w:tc>
        <w:tc>
          <w:tcPr>
            <w:tcW w:w="1134" w:type="dxa"/>
            <w:vAlign w:val="center"/>
          </w:tcPr>
          <w:p w14:paraId="11A9F94F" w14:textId="77777777" w:rsidR="000B06F3" w:rsidRPr="00DA3C6E" w:rsidRDefault="00BA6431"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4.5</w:t>
            </w:r>
          </w:p>
        </w:tc>
        <w:tc>
          <w:tcPr>
            <w:tcW w:w="1418" w:type="dxa"/>
            <w:vAlign w:val="center"/>
          </w:tcPr>
          <w:p w14:paraId="40CE138E"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3CD10FD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$7,542.00</w:t>
            </w:r>
          </w:p>
        </w:tc>
        <w:tc>
          <w:tcPr>
            <w:tcW w:w="1134" w:type="dxa"/>
            <w:vAlign w:val="center"/>
          </w:tcPr>
          <w:p w14:paraId="3B59A278"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$7,542.00</w:t>
            </w:r>
          </w:p>
        </w:tc>
        <w:tc>
          <w:tcPr>
            <w:tcW w:w="2075" w:type="dxa"/>
            <w:vAlign w:val="center"/>
          </w:tcPr>
          <w:p w14:paraId="78BA96A1"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Average of AR DRG E61 A and E61 B</w:t>
            </w:r>
          </w:p>
        </w:tc>
      </w:tr>
      <w:tr w:rsidR="000B06F3" w:rsidRPr="00DA3C6E" w14:paraId="5649110B" w14:textId="77777777" w:rsidTr="00A0565C">
        <w:trPr>
          <w:trHeight w:val="136"/>
        </w:trPr>
        <w:tc>
          <w:tcPr>
            <w:tcW w:w="2263" w:type="dxa"/>
            <w:vAlign w:val="center"/>
          </w:tcPr>
          <w:p w14:paraId="6DB3544A" w14:textId="77777777" w:rsidR="000B06F3" w:rsidRPr="00DA3C6E" w:rsidRDefault="000B06F3" w:rsidP="00A0565C">
            <w:pPr>
              <w:spacing w:after="0" w:line="240" w:lineRule="auto"/>
              <w:ind w:left="0"/>
              <w:jc w:val="left"/>
              <w:rPr>
                <w:rFonts w:ascii="Arial Narrow" w:hAnsi="Arial Narrow" w:cs="Calibri"/>
                <w:color w:val="000000"/>
                <w:sz w:val="20"/>
                <w:szCs w:val="20"/>
              </w:rPr>
            </w:pPr>
            <w:r w:rsidRPr="00DA3C6E">
              <w:rPr>
                <w:rFonts w:ascii="Arial Narrow" w:hAnsi="Arial Narrow" w:cs="Calibri"/>
                <w:color w:val="000000"/>
                <w:sz w:val="20"/>
                <w:szCs w:val="20"/>
              </w:rPr>
              <w:t>Follow-up outpatient attendance</w:t>
            </w:r>
          </w:p>
        </w:tc>
        <w:tc>
          <w:tcPr>
            <w:tcW w:w="1134" w:type="dxa"/>
            <w:vAlign w:val="center"/>
          </w:tcPr>
          <w:p w14:paraId="13B58D87" w14:textId="77777777" w:rsidR="000B06F3" w:rsidRPr="00DA3C6E" w:rsidRDefault="00BA6431" w:rsidP="00FA72EB">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100</w:t>
            </w:r>
          </w:p>
        </w:tc>
        <w:tc>
          <w:tcPr>
            <w:tcW w:w="1418" w:type="dxa"/>
            <w:vAlign w:val="center"/>
          </w:tcPr>
          <w:p w14:paraId="37032439"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1</w:t>
            </w:r>
          </w:p>
        </w:tc>
        <w:tc>
          <w:tcPr>
            <w:tcW w:w="992" w:type="dxa"/>
            <w:vAlign w:val="center"/>
          </w:tcPr>
          <w:p w14:paraId="0E9170AF"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$77.90</w:t>
            </w:r>
          </w:p>
        </w:tc>
        <w:tc>
          <w:tcPr>
            <w:tcW w:w="1134" w:type="dxa"/>
            <w:vAlign w:val="center"/>
          </w:tcPr>
          <w:p w14:paraId="7C9C921B"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$77.90</w:t>
            </w:r>
          </w:p>
        </w:tc>
        <w:tc>
          <w:tcPr>
            <w:tcW w:w="2075" w:type="dxa"/>
            <w:vAlign w:val="center"/>
          </w:tcPr>
          <w:p w14:paraId="1D9E2047" w14:textId="77777777" w:rsidR="000B06F3" w:rsidRPr="00DA3C6E" w:rsidRDefault="000B06F3" w:rsidP="00A0565C">
            <w:pPr>
              <w:spacing w:after="0" w:line="240" w:lineRule="auto"/>
              <w:ind w:left="0"/>
              <w:jc w:val="left"/>
              <w:rPr>
                <w:rFonts w:ascii="Arial Narrow" w:eastAsiaTheme="minorHAnsi" w:hAnsi="Arial Narrow"/>
                <w:sz w:val="20"/>
                <w:szCs w:val="20"/>
                <w:lang w:eastAsia="en-US"/>
              </w:rPr>
            </w:pPr>
            <w:r w:rsidRPr="00DA3C6E">
              <w:rPr>
                <w:rFonts w:ascii="Arial Narrow" w:eastAsiaTheme="minorHAnsi" w:hAnsi="Arial Narrow"/>
                <w:sz w:val="20"/>
                <w:szCs w:val="20"/>
                <w:lang w:eastAsia="en-US"/>
              </w:rPr>
              <w:t>MBS item 116; MSAC 1565, Table 48, p120</w:t>
            </w:r>
          </w:p>
        </w:tc>
      </w:tr>
    </w:tbl>
    <w:p w14:paraId="4C1FB740" w14:textId="77777777" w:rsidR="000B06F3" w:rsidRPr="00DA3C6E" w:rsidRDefault="000B06F3" w:rsidP="000E1893">
      <w:pPr>
        <w:spacing w:after="0" w:line="240" w:lineRule="auto"/>
        <w:rPr>
          <w:rFonts w:ascii="Arial Narrow" w:eastAsiaTheme="minorHAnsi" w:hAnsi="Arial Narrow"/>
          <w:sz w:val="18"/>
          <w:szCs w:val="18"/>
          <w:lang w:eastAsia="en-US"/>
        </w:rPr>
      </w:pPr>
      <w:r w:rsidRPr="00DA3C6E">
        <w:rPr>
          <w:rFonts w:ascii="Arial Narrow" w:eastAsiaTheme="minorHAnsi" w:hAnsi="Arial Narrow"/>
          <w:sz w:val="18"/>
          <w:szCs w:val="18"/>
          <w:lang w:eastAsia="en-US"/>
        </w:rPr>
        <w:t>Abbreviations: AR DRG= Australian refined diagnosis related group; HTA= health technology assessment; immunoglobulin; Ig= immunoglobulin; MBS = Medicare Benefit Schedule; PBS= Pharmaceutical Benefits Scheme; MSAC= Medical Services Advisory Committee.</w:t>
      </w:r>
    </w:p>
    <w:p w14:paraId="77C5ED6F" w14:textId="77777777" w:rsidR="000B06F3" w:rsidRPr="00DA3C6E" w:rsidRDefault="000B06F3" w:rsidP="00A0565C">
      <w:pPr>
        <w:spacing w:line="240" w:lineRule="auto"/>
        <w:rPr>
          <w:rFonts w:ascii="Arial Narrow" w:eastAsiaTheme="minorHAnsi" w:hAnsi="Arial Narrow"/>
          <w:sz w:val="18"/>
          <w:szCs w:val="18"/>
          <w:lang w:eastAsia="en-US"/>
        </w:rPr>
      </w:pPr>
      <w:r w:rsidRPr="00DA3C6E">
        <w:rPr>
          <w:rFonts w:ascii="Arial Narrow" w:eastAsiaTheme="minorHAnsi" w:hAnsi="Arial Narrow"/>
          <w:sz w:val="18"/>
          <w:szCs w:val="18"/>
          <w:lang w:eastAsia="en-US"/>
        </w:rPr>
        <w:t>Note:</w:t>
      </w:r>
      <w:r w:rsidRPr="00DA3C6E">
        <w:rPr>
          <w:rFonts w:ascii="Arial Narrow" w:eastAsiaTheme="minorHAnsi" w:hAnsi="Arial Narrow"/>
          <w:sz w:val="18"/>
          <w:szCs w:val="18"/>
          <w:vertAlign w:val="superscript"/>
          <w:lang w:eastAsia="en-US"/>
        </w:rPr>
        <w:t>a</w:t>
      </w:r>
      <w:r w:rsidRPr="00DA3C6E">
        <w:rPr>
          <w:rFonts w:ascii="Arial Narrow" w:hAnsi="Arial Narrow"/>
          <w:sz w:val="18"/>
          <w:szCs w:val="18"/>
        </w:rPr>
        <w:t xml:space="preserve"> In hospital use of </w:t>
      </w:r>
      <w:r w:rsidRPr="00DA3C6E">
        <w:rPr>
          <w:rFonts w:ascii="Arial Narrow" w:eastAsiaTheme="minorHAnsi" w:hAnsi="Arial Narrow"/>
          <w:sz w:val="18"/>
          <w:szCs w:val="18"/>
          <w:lang w:eastAsia="en-US"/>
        </w:rPr>
        <w:t xml:space="preserve">promethazine hydrochloride 50 mg/2 mL injection </w:t>
      </w:r>
    </w:p>
    <w:p w14:paraId="7F32BDB2" w14:textId="77777777" w:rsidR="00101A38" w:rsidRPr="00DA3C6E" w:rsidRDefault="00101A38" w:rsidP="00101A38">
      <w:pPr>
        <w:pStyle w:val="Heading2"/>
        <w:rPr>
          <w:rFonts w:eastAsiaTheme="minorHAnsi"/>
          <w:lang w:eastAsia="en-US"/>
        </w:rPr>
      </w:pPr>
      <w:bookmarkStart w:id="428" w:name="_Toc37845802"/>
      <w:r w:rsidRPr="00DA3C6E">
        <w:rPr>
          <w:rFonts w:eastAsiaTheme="minorHAnsi"/>
          <w:lang w:eastAsia="en-US"/>
        </w:rPr>
        <w:lastRenderedPageBreak/>
        <w:t>Markov traces: Lifetime time horizon</w:t>
      </w:r>
      <w:bookmarkEnd w:id="428"/>
    </w:p>
    <w:p w14:paraId="58A457F7" w14:textId="21E94649" w:rsidR="00101A38" w:rsidRPr="00DA3C6E" w:rsidRDefault="00101A38" w:rsidP="00101A38">
      <w:pPr>
        <w:pStyle w:val="Caption"/>
        <w:keepNext/>
        <w:keepLines/>
      </w:pPr>
      <w:bookmarkStart w:id="429" w:name="_Ref33646008"/>
      <w:bookmarkStart w:id="430" w:name="_Toc37845880"/>
      <w:r w:rsidRPr="00DA3C6E">
        <w:t xml:space="preserve">Figure </w:t>
      </w:r>
      <w:r w:rsidR="00515153">
        <w:fldChar w:fldCharType="begin"/>
      </w:r>
      <w:r w:rsidR="00515153">
        <w:instrText xml:space="preserve"> SEQ Figure \* ARABIC </w:instrText>
      </w:r>
      <w:r w:rsidR="00515153">
        <w:fldChar w:fldCharType="separate"/>
      </w:r>
      <w:r w:rsidR="00EA5DC1">
        <w:rPr>
          <w:noProof/>
        </w:rPr>
        <w:t>20</w:t>
      </w:r>
      <w:r w:rsidR="00515153">
        <w:rPr>
          <w:noProof/>
        </w:rPr>
        <w:fldChar w:fldCharType="end"/>
      </w:r>
      <w:bookmarkEnd w:id="429"/>
      <w:r w:rsidRPr="00DA3C6E">
        <w:t>. Markov traces for life time horizon: intravenous Ig arm.</w:t>
      </w:r>
      <w:bookmarkEnd w:id="430"/>
      <w:r w:rsidRPr="00DA3C6E">
        <w:t xml:space="preserve"> </w:t>
      </w:r>
    </w:p>
    <w:p w14:paraId="33CF73C6" w14:textId="77777777" w:rsidR="00101A38" w:rsidRPr="00DA3C6E" w:rsidRDefault="00101A38" w:rsidP="00101A38">
      <w:pPr>
        <w:spacing w:after="0"/>
      </w:pPr>
      <w:r w:rsidRPr="00DA3C6E">
        <w:rPr>
          <w:noProof/>
        </w:rPr>
        <w:drawing>
          <wp:inline distT="0" distB="0" distL="0" distR="0" wp14:anchorId="55CA60C6" wp14:editId="7593A0BF">
            <wp:extent cx="6059170" cy="3212243"/>
            <wp:effectExtent l="0" t="0" r="0" b="7620"/>
            <wp:docPr id="18" name="Picture 18" title="Figure 20. Markov traces for life time horizon: intravenous Ig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9526" cy="3223034"/>
                    </a:xfrm>
                    <a:prstGeom prst="rect">
                      <a:avLst/>
                    </a:prstGeom>
                    <a:noFill/>
                  </pic:spPr>
                </pic:pic>
              </a:graphicData>
            </a:graphic>
          </wp:inline>
        </w:drawing>
      </w:r>
    </w:p>
    <w:p w14:paraId="389952FD" w14:textId="77777777" w:rsidR="00101A38" w:rsidRPr="00DA3C6E" w:rsidRDefault="00101A38" w:rsidP="00101A38">
      <w:pPr>
        <w:pStyle w:val="Tablenotes0"/>
        <w:spacing w:after="240"/>
      </w:pPr>
      <w:r w:rsidRPr="00DA3C6E">
        <w:t>Abbreviations: Ig = immunoglobulin; MMN = multifocal motor neuropathy</w:t>
      </w:r>
    </w:p>
    <w:p w14:paraId="6D118880" w14:textId="7E98E211" w:rsidR="00101A38" w:rsidRPr="00DA3C6E" w:rsidRDefault="00101A38" w:rsidP="00101A38">
      <w:pPr>
        <w:pStyle w:val="Caption"/>
        <w:keepNext/>
        <w:keepLines/>
      </w:pPr>
      <w:bookmarkStart w:id="431" w:name="_Ref33646012"/>
      <w:bookmarkStart w:id="432" w:name="_Toc37845881"/>
      <w:r w:rsidRPr="00DA3C6E">
        <w:t xml:space="preserve">Figure </w:t>
      </w:r>
      <w:r w:rsidR="00515153">
        <w:fldChar w:fldCharType="begin"/>
      </w:r>
      <w:r w:rsidR="00515153">
        <w:instrText xml:space="preserve"> SEQ Figure \* ARABIC </w:instrText>
      </w:r>
      <w:r w:rsidR="00515153">
        <w:fldChar w:fldCharType="separate"/>
      </w:r>
      <w:r w:rsidR="00EA5DC1">
        <w:rPr>
          <w:noProof/>
        </w:rPr>
        <w:t>21</w:t>
      </w:r>
      <w:r w:rsidR="00515153">
        <w:rPr>
          <w:noProof/>
        </w:rPr>
        <w:fldChar w:fldCharType="end"/>
      </w:r>
      <w:bookmarkEnd w:id="431"/>
      <w:r w:rsidRPr="00DA3C6E">
        <w:t>. Markov traces for life time horizon: No Ig with BSC arm.</w:t>
      </w:r>
      <w:bookmarkEnd w:id="432"/>
    </w:p>
    <w:p w14:paraId="54AE9979" w14:textId="77777777" w:rsidR="00101A38" w:rsidRPr="00DA3C6E" w:rsidRDefault="00101A38" w:rsidP="00101A38">
      <w:pPr>
        <w:spacing w:after="0"/>
      </w:pPr>
      <w:r w:rsidRPr="00DA3C6E">
        <w:rPr>
          <w:noProof/>
        </w:rPr>
        <w:drawing>
          <wp:inline distT="0" distB="0" distL="0" distR="0" wp14:anchorId="31984047" wp14:editId="048FD46C">
            <wp:extent cx="6059170" cy="2841799"/>
            <wp:effectExtent l="0" t="0" r="0" b="0"/>
            <wp:docPr id="20" name="Picture 20" title="Figure 21. Markov traces for life time horizon: No Ig with BS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3688" cy="2857988"/>
                    </a:xfrm>
                    <a:prstGeom prst="rect">
                      <a:avLst/>
                    </a:prstGeom>
                    <a:noFill/>
                  </pic:spPr>
                </pic:pic>
              </a:graphicData>
            </a:graphic>
          </wp:inline>
        </w:drawing>
      </w:r>
    </w:p>
    <w:p w14:paraId="12C95530" w14:textId="6686F3E6" w:rsidR="00F4512B" w:rsidRPr="00DA3C6E" w:rsidRDefault="00101A38" w:rsidP="00226182">
      <w:pPr>
        <w:pStyle w:val="Tablenotes0"/>
        <w:spacing w:after="240"/>
      </w:pPr>
      <w:r w:rsidRPr="00DA3C6E">
        <w:t>Abbreviations: Ig = immunoglobulin; MMN = multifocal motor neuropathy</w:t>
      </w:r>
    </w:p>
    <w:p w14:paraId="5DC10602" w14:textId="77777777" w:rsidR="007810D6" w:rsidRDefault="007810D6">
      <w:pPr>
        <w:spacing w:after="0" w:line="240" w:lineRule="auto"/>
        <w:jc w:val="left"/>
        <w:rPr>
          <w:rFonts w:ascii="Arial Narrow" w:hAnsi="Arial Narrow"/>
          <w:b/>
          <w:bCs/>
          <w:sz w:val="20"/>
        </w:rPr>
      </w:pPr>
      <w:bookmarkStart w:id="433" w:name="_Ref34140380"/>
      <w:r>
        <w:br w:type="page"/>
      </w:r>
    </w:p>
    <w:p w14:paraId="50D5C58A" w14:textId="592CE51A" w:rsidR="00F4512B" w:rsidRPr="00DA3C6E" w:rsidRDefault="00F4512B" w:rsidP="00FA72EB">
      <w:pPr>
        <w:pStyle w:val="Caption"/>
      </w:pPr>
      <w:bookmarkStart w:id="434" w:name="_Toc37845860"/>
      <w:r w:rsidRPr="00DA3C6E">
        <w:lastRenderedPageBreak/>
        <w:t xml:space="preserve">Table </w:t>
      </w:r>
      <w:r w:rsidR="00515153">
        <w:fldChar w:fldCharType="begin"/>
      </w:r>
      <w:r w:rsidR="00515153">
        <w:instrText xml:space="preserve"> SEQ Table </w:instrText>
      </w:r>
      <w:r w:rsidR="00515153">
        <w:instrText xml:space="preserve">\* ARABIC </w:instrText>
      </w:r>
      <w:r w:rsidR="00515153">
        <w:fldChar w:fldCharType="separate"/>
      </w:r>
      <w:r w:rsidR="00EA5DC1">
        <w:rPr>
          <w:noProof/>
        </w:rPr>
        <w:t>57</w:t>
      </w:r>
      <w:r w:rsidR="00515153">
        <w:rPr>
          <w:noProof/>
        </w:rPr>
        <w:fldChar w:fldCharType="end"/>
      </w:r>
      <w:bookmarkEnd w:id="433"/>
      <w:r w:rsidRPr="00DA3C6E">
        <w:t>. Summary of all sensitivity analysis.</w:t>
      </w:r>
      <w:bookmarkEnd w:id="434"/>
      <w:r w:rsidRPr="00DA3C6E">
        <w:t xml:space="preserve"> </w:t>
      </w:r>
    </w:p>
    <w:tbl>
      <w:tblPr>
        <w:tblStyle w:val="TableGrid"/>
        <w:tblW w:w="5000" w:type="pct"/>
        <w:tblLayout w:type="fixed"/>
        <w:tblLook w:val="04A0" w:firstRow="1" w:lastRow="0" w:firstColumn="1" w:lastColumn="0" w:noHBand="0" w:noVBand="1"/>
        <w:tblCaption w:val="Table 57. Summary of all sensitivity analysis. "/>
      </w:tblPr>
      <w:tblGrid>
        <w:gridCol w:w="2842"/>
        <w:gridCol w:w="1071"/>
        <w:gridCol w:w="903"/>
        <w:gridCol w:w="1248"/>
        <w:gridCol w:w="1421"/>
        <w:gridCol w:w="1531"/>
      </w:tblGrid>
      <w:tr w:rsidR="009F34E9" w:rsidRPr="005208EF" w14:paraId="4A7CC7A1" w14:textId="77777777" w:rsidTr="00CF0FFE">
        <w:trPr>
          <w:trHeight w:val="335"/>
          <w:tblHeader/>
        </w:trPr>
        <w:tc>
          <w:tcPr>
            <w:tcW w:w="1576" w:type="pct"/>
            <w:vMerge w:val="restart"/>
            <w:noWrap/>
            <w:vAlign w:val="center"/>
            <w:hideMark/>
          </w:tcPr>
          <w:p w14:paraId="62479C3E" w14:textId="77777777" w:rsidR="009F34E9" w:rsidRPr="005208EF" w:rsidRDefault="009F34E9" w:rsidP="00D91A32">
            <w:pPr>
              <w:spacing w:after="0" w:line="240" w:lineRule="auto"/>
              <w:ind w:left="0"/>
              <w:jc w:val="left"/>
              <w:rPr>
                <w:rFonts w:ascii="Arial Narrow" w:hAnsi="Arial Narrow"/>
                <w:b/>
                <w:bCs/>
                <w:sz w:val="20"/>
                <w:szCs w:val="20"/>
              </w:rPr>
            </w:pPr>
            <w:r w:rsidRPr="005208EF">
              <w:rPr>
                <w:rFonts w:ascii="Arial Narrow" w:hAnsi="Arial Narrow"/>
                <w:b/>
                <w:bCs/>
                <w:sz w:val="20"/>
                <w:szCs w:val="20"/>
              </w:rPr>
              <w:t>Variable Description</w:t>
            </w:r>
          </w:p>
        </w:tc>
        <w:tc>
          <w:tcPr>
            <w:tcW w:w="1095" w:type="pct"/>
            <w:gridSpan w:val="2"/>
            <w:noWrap/>
            <w:hideMark/>
          </w:tcPr>
          <w:p w14:paraId="7041F4B3"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 xml:space="preserve">SA </w:t>
            </w:r>
          </w:p>
        </w:tc>
        <w:tc>
          <w:tcPr>
            <w:tcW w:w="1480" w:type="pct"/>
            <w:gridSpan w:val="2"/>
          </w:tcPr>
          <w:p w14:paraId="2D5572BC"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 xml:space="preserve"> ICER ($/QALY)</w:t>
            </w:r>
          </w:p>
        </w:tc>
        <w:tc>
          <w:tcPr>
            <w:tcW w:w="849" w:type="pct"/>
            <w:vAlign w:val="center"/>
          </w:tcPr>
          <w:p w14:paraId="421F6BF1" w14:textId="77777777" w:rsidR="009F34E9" w:rsidRPr="005208EF" w:rsidRDefault="009F34E9" w:rsidP="00D91A32">
            <w:pPr>
              <w:spacing w:after="0" w:line="240" w:lineRule="auto"/>
              <w:ind w:left="0"/>
              <w:jc w:val="left"/>
              <w:rPr>
                <w:rFonts w:ascii="Arial Narrow" w:hAnsi="Arial Narrow"/>
                <w:b/>
                <w:bCs/>
                <w:sz w:val="20"/>
                <w:szCs w:val="20"/>
              </w:rPr>
            </w:pPr>
            <w:r w:rsidRPr="005208EF">
              <w:rPr>
                <w:rFonts w:ascii="Arial Narrow" w:hAnsi="Arial Narrow"/>
                <w:b/>
                <w:bCs/>
                <w:sz w:val="20"/>
                <w:szCs w:val="20"/>
              </w:rPr>
              <w:t>Impact</w:t>
            </w:r>
          </w:p>
        </w:tc>
      </w:tr>
      <w:tr w:rsidR="009F34E9" w:rsidRPr="005208EF" w14:paraId="6F496DA0" w14:textId="77777777" w:rsidTr="00CF0FFE">
        <w:trPr>
          <w:trHeight w:val="335"/>
          <w:tblHeader/>
        </w:trPr>
        <w:tc>
          <w:tcPr>
            <w:tcW w:w="1576" w:type="pct"/>
            <w:vMerge/>
            <w:noWrap/>
            <w:vAlign w:val="center"/>
          </w:tcPr>
          <w:p w14:paraId="3003457A" w14:textId="77777777" w:rsidR="009F34E9" w:rsidRPr="005208EF" w:rsidRDefault="009F34E9" w:rsidP="00D91A32">
            <w:pPr>
              <w:spacing w:after="0" w:line="240" w:lineRule="auto"/>
              <w:jc w:val="left"/>
              <w:rPr>
                <w:rFonts w:ascii="Arial Narrow" w:hAnsi="Arial Narrow"/>
                <w:b/>
                <w:bCs/>
                <w:sz w:val="20"/>
                <w:szCs w:val="20"/>
              </w:rPr>
            </w:pPr>
          </w:p>
        </w:tc>
        <w:tc>
          <w:tcPr>
            <w:tcW w:w="594" w:type="pct"/>
            <w:noWrap/>
          </w:tcPr>
          <w:p w14:paraId="088D38EF"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Low</w:t>
            </w:r>
          </w:p>
        </w:tc>
        <w:tc>
          <w:tcPr>
            <w:tcW w:w="501" w:type="pct"/>
            <w:noWrap/>
          </w:tcPr>
          <w:p w14:paraId="2CCDD39C"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High</w:t>
            </w:r>
          </w:p>
        </w:tc>
        <w:tc>
          <w:tcPr>
            <w:tcW w:w="692" w:type="pct"/>
          </w:tcPr>
          <w:p w14:paraId="6F3BD6A5"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 xml:space="preserve">Low </w:t>
            </w:r>
          </w:p>
        </w:tc>
        <w:tc>
          <w:tcPr>
            <w:tcW w:w="788" w:type="pct"/>
          </w:tcPr>
          <w:p w14:paraId="65A66303" w14:textId="77777777" w:rsidR="009F34E9" w:rsidRPr="005208EF" w:rsidRDefault="009F34E9" w:rsidP="00D91A32">
            <w:pPr>
              <w:spacing w:after="0" w:line="240" w:lineRule="auto"/>
              <w:ind w:left="0"/>
              <w:rPr>
                <w:rFonts w:ascii="Arial Narrow" w:hAnsi="Arial Narrow"/>
                <w:b/>
                <w:bCs/>
                <w:sz w:val="20"/>
                <w:szCs w:val="20"/>
              </w:rPr>
            </w:pPr>
            <w:r w:rsidRPr="005208EF">
              <w:rPr>
                <w:rFonts w:ascii="Arial Narrow" w:hAnsi="Arial Narrow"/>
                <w:b/>
                <w:bCs/>
                <w:sz w:val="20"/>
                <w:szCs w:val="20"/>
              </w:rPr>
              <w:t xml:space="preserve">High </w:t>
            </w:r>
          </w:p>
        </w:tc>
        <w:tc>
          <w:tcPr>
            <w:tcW w:w="849" w:type="pct"/>
            <w:vAlign w:val="center"/>
          </w:tcPr>
          <w:p w14:paraId="3B3159A9" w14:textId="77777777" w:rsidR="009F34E9" w:rsidRPr="005208EF" w:rsidRDefault="009F34E9" w:rsidP="00D91A32">
            <w:pPr>
              <w:spacing w:after="0" w:line="240" w:lineRule="auto"/>
              <w:jc w:val="left"/>
              <w:rPr>
                <w:rFonts w:ascii="Arial Narrow" w:hAnsi="Arial Narrow"/>
                <w:b/>
                <w:bCs/>
                <w:sz w:val="20"/>
                <w:szCs w:val="20"/>
              </w:rPr>
            </w:pPr>
          </w:p>
        </w:tc>
      </w:tr>
      <w:tr w:rsidR="009F34E9" w:rsidRPr="005208EF" w14:paraId="4C8E7160" w14:textId="77777777" w:rsidTr="00D91A32">
        <w:trPr>
          <w:trHeight w:val="335"/>
        </w:trPr>
        <w:tc>
          <w:tcPr>
            <w:tcW w:w="1576" w:type="pct"/>
            <w:noWrap/>
            <w:vAlign w:val="center"/>
          </w:tcPr>
          <w:p w14:paraId="6EFF8D08" w14:textId="77777777" w:rsidR="009F34E9" w:rsidRPr="005208EF" w:rsidRDefault="009F34E9" w:rsidP="00D91A32">
            <w:pPr>
              <w:spacing w:after="0" w:line="240" w:lineRule="auto"/>
              <w:ind w:left="0"/>
              <w:jc w:val="left"/>
              <w:rPr>
                <w:rFonts w:ascii="Arial Narrow" w:hAnsi="Arial Narrow"/>
                <w:b/>
                <w:bCs/>
                <w:sz w:val="20"/>
                <w:szCs w:val="20"/>
              </w:rPr>
            </w:pPr>
            <w:r w:rsidRPr="005208EF">
              <w:rPr>
                <w:rFonts w:ascii="Arial Narrow" w:hAnsi="Arial Narrow"/>
                <w:b/>
                <w:bCs/>
                <w:sz w:val="20"/>
                <w:szCs w:val="20"/>
              </w:rPr>
              <w:t>Base case</w:t>
            </w:r>
          </w:p>
        </w:tc>
        <w:tc>
          <w:tcPr>
            <w:tcW w:w="1095" w:type="pct"/>
            <w:gridSpan w:val="2"/>
            <w:noWrap/>
            <w:vAlign w:val="center"/>
          </w:tcPr>
          <w:p w14:paraId="5CD25A20" w14:textId="77777777" w:rsidR="009F34E9" w:rsidRPr="005208EF" w:rsidRDefault="009F34E9" w:rsidP="00D91A32">
            <w:pPr>
              <w:spacing w:after="0" w:line="240" w:lineRule="auto"/>
              <w:rPr>
                <w:rFonts w:ascii="Arial Narrow" w:hAnsi="Arial Narrow"/>
                <w:b/>
                <w:bCs/>
                <w:sz w:val="20"/>
                <w:szCs w:val="20"/>
              </w:rPr>
            </w:pPr>
            <w:r w:rsidRPr="005208EF">
              <w:rPr>
                <w:rFonts w:ascii="Arial Narrow" w:hAnsi="Arial Narrow"/>
                <w:b/>
                <w:bCs/>
                <w:sz w:val="20"/>
                <w:szCs w:val="20"/>
              </w:rPr>
              <w:t>NA</w:t>
            </w:r>
          </w:p>
        </w:tc>
        <w:tc>
          <w:tcPr>
            <w:tcW w:w="1480" w:type="pct"/>
            <w:gridSpan w:val="2"/>
            <w:vAlign w:val="center"/>
          </w:tcPr>
          <w:p w14:paraId="0CD85EF6" w14:textId="77777777" w:rsidR="009F34E9" w:rsidRPr="005208EF" w:rsidRDefault="009F34E9" w:rsidP="00D91A32">
            <w:pPr>
              <w:spacing w:after="0" w:line="240" w:lineRule="auto"/>
              <w:rPr>
                <w:rFonts w:ascii="Arial Narrow" w:hAnsi="Arial Narrow"/>
                <w:b/>
                <w:bCs/>
                <w:sz w:val="20"/>
                <w:szCs w:val="20"/>
              </w:rPr>
            </w:pPr>
            <w:r w:rsidRPr="005208EF">
              <w:rPr>
                <w:rFonts w:ascii="Arial Narrow" w:hAnsi="Arial Narrow"/>
                <w:b/>
                <w:bCs/>
                <w:sz w:val="20"/>
                <w:szCs w:val="20"/>
              </w:rPr>
              <w:t>158,776</w:t>
            </w:r>
          </w:p>
        </w:tc>
        <w:tc>
          <w:tcPr>
            <w:tcW w:w="849" w:type="pct"/>
            <w:vAlign w:val="center"/>
          </w:tcPr>
          <w:p w14:paraId="63BFB4F8" w14:textId="77777777" w:rsidR="009F34E9" w:rsidRPr="005208EF" w:rsidRDefault="009F34E9" w:rsidP="00D91A32">
            <w:pPr>
              <w:spacing w:after="0" w:line="240" w:lineRule="auto"/>
              <w:ind w:left="0"/>
              <w:jc w:val="left"/>
              <w:rPr>
                <w:rFonts w:ascii="Arial Narrow" w:hAnsi="Arial Narrow"/>
                <w:b/>
                <w:bCs/>
                <w:sz w:val="20"/>
                <w:szCs w:val="20"/>
              </w:rPr>
            </w:pPr>
            <w:r w:rsidRPr="005208EF">
              <w:rPr>
                <w:rFonts w:ascii="Arial Narrow" w:hAnsi="Arial Narrow"/>
                <w:b/>
                <w:bCs/>
                <w:sz w:val="20"/>
                <w:szCs w:val="20"/>
              </w:rPr>
              <w:t>NA</w:t>
            </w:r>
          </w:p>
        </w:tc>
      </w:tr>
      <w:tr w:rsidR="009F34E9" w:rsidRPr="005208EF" w14:paraId="43E89153" w14:textId="77777777" w:rsidTr="00D91A32">
        <w:trPr>
          <w:trHeight w:val="335"/>
        </w:trPr>
        <w:tc>
          <w:tcPr>
            <w:tcW w:w="1576" w:type="pct"/>
            <w:noWrap/>
            <w:vAlign w:val="center"/>
            <w:hideMark/>
          </w:tcPr>
          <w:p w14:paraId="0FA03D34"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Utility of BSC</w:t>
            </w:r>
          </w:p>
        </w:tc>
        <w:tc>
          <w:tcPr>
            <w:tcW w:w="594" w:type="pct"/>
            <w:noWrap/>
            <w:vAlign w:val="center"/>
            <w:hideMark/>
          </w:tcPr>
          <w:p w14:paraId="1158B8C1"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0.27</w:t>
            </w:r>
          </w:p>
        </w:tc>
        <w:tc>
          <w:tcPr>
            <w:tcW w:w="501" w:type="pct"/>
            <w:noWrap/>
            <w:vAlign w:val="center"/>
            <w:hideMark/>
          </w:tcPr>
          <w:p w14:paraId="13B474D2"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0.33</w:t>
            </w:r>
          </w:p>
        </w:tc>
        <w:tc>
          <w:tcPr>
            <w:tcW w:w="692" w:type="pct"/>
            <w:vAlign w:val="center"/>
          </w:tcPr>
          <w:p w14:paraId="0CF25251"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209,740 </w:t>
            </w:r>
          </w:p>
        </w:tc>
        <w:tc>
          <w:tcPr>
            <w:tcW w:w="788" w:type="pct"/>
            <w:vAlign w:val="center"/>
          </w:tcPr>
          <w:p w14:paraId="474C9F7A"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653,441 </w:t>
            </w:r>
          </w:p>
        </w:tc>
        <w:tc>
          <w:tcPr>
            <w:tcW w:w="849" w:type="pct"/>
            <w:vAlign w:val="center"/>
          </w:tcPr>
          <w:p w14:paraId="618EF20C"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High</w:t>
            </w:r>
          </w:p>
        </w:tc>
      </w:tr>
      <w:tr w:rsidR="009F34E9" w:rsidRPr="005208EF" w14:paraId="5AF1C04E" w14:textId="77777777" w:rsidTr="00D91A32">
        <w:trPr>
          <w:trHeight w:val="335"/>
        </w:trPr>
        <w:tc>
          <w:tcPr>
            <w:tcW w:w="1576" w:type="pct"/>
            <w:noWrap/>
            <w:vAlign w:val="center"/>
            <w:hideMark/>
          </w:tcPr>
          <w:p w14:paraId="4C1BE442"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Utility of ‘Responder’</w:t>
            </w:r>
          </w:p>
        </w:tc>
        <w:tc>
          <w:tcPr>
            <w:tcW w:w="594" w:type="pct"/>
            <w:noWrap/>
            <w:vAlign w:val="center"/>
            <w:hideMark/>
          </w:tcPr>
          <w:p w14:paraId="6510A046"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0.33</w:t>
            </w:r>
          </w:p>
        </w:tc>
        <w:tc>
          <w:tcPr>
            <w:tcW w:w="501" w:type="pct"/>
            <w:noWrap/>
            <w:vAlign w:val="center"/>
            <w:hideMark/>
          </w:tcPr>
          <w:p w14:paraId="49E197A3"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0.39</w:t>
            </w:r>
          </w:p>
        </w:tc>
        <w:tc>
          <w:tcPr>
            <w:tcW w:w="692" w:type="pct"/>
            <w:vAlign w:val="center"/>
          </w:tcPr>
          <w:p w14:paraId="6E832BDE"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211,388 </w:t>
            </w:r>
          </w:p>
        </w:tc>
        <w:tc>
          <w:tcPr>
            <w:tcW w:w="788" w:type="pct"/>
            <w:vAlign w:val="center"/>
          </w:tcPr>
          <w:p w14:paraId="3936D3D1"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637,945 </w:t>
            </w:r>
          </w:p>
        </w:tc>
        <w:tc>
          <w:tcPr>
            <w:tcW w:w="849" w:type="pct"/>
            <w:vAlign w:val="center"/>
          </w:tcPr>
          <w:p w14:paraId="0768CF9F"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High</w:t>
            </w:r>
          </w:p>
        </w:tc>
      </w:tr>
      <w:tr w:rsidR="009F34E9" w:rsidRPr="005208EF" w14:paraId="0BB2FE2F" w14:textId="77777777" w:rsidTr="00D91A32">
        <w:trPr>
          <w:trHeight w:val="335"/>
        </w:trPr>
        <w:tc>
          <w:tcPr>
            <w:tcW w:w="1576" w:type="pct"/>
            <w:noWrap/>
            <w:vAlign w:val="center"/>
            <w:hideMark/>
          </w:tcPr>
          <w:p w14:paraId="076B5D5C"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Cost of Ig per gram</w:t>
            </w:r>
          </w:p>
        </w:tc>
        <w:tc>
          <w:tcPr>
            <w:tcW w:w="594" w:type="pct"/>
            <w:noWrap/>
            <w:vAlign w:val="center"/>
            <w:hideMark/>
          </w:tcPr>
          <w:p w14:paraId="3CE950EA"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$44.94</w:t>
            </w:r>
          </w:p>
        </w:tc>
        <w:tc>
          <w:tcPr>
            <w:tcW w:w="501" w:type="pct"/>
            <w:noWrap/>
            <w:vAlign w:val="center"/>
            <w:hideMark/>
          </w:tcPr>
          <w:p w14:paraId="5DD1E737"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$140.18</w:t>
            </w:r>
          </w:p>
        </w:tc>
        <w:tc>
          <w:tcPr>
            <w:tcW w:w="692" w:type="pct"/>
            <w:vAlign w:val="center"/>
          </w:tcPr>
          <w:p w14:paraId="58A00A63"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257,765 </w:t>
            </w:r>
          </w:p>
        </w:tc>
        <w:tc>
          <w:tcPr>
            <w:tcW w:w="788" w:type="pct"/>
            <w:vAlign w:val="center"/>
          </w:tcPr>
          <w:p w14:paraId="0EBB56E7"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625,839 </w:t>
            </w:r>
          </w:p>
        </w:tc>
        <w:tc>
          <w:tcPr>
            <w:tcW w:w="849" w:type="pct"/>
            <w:vAlign w:val="center"/>
          </w:tcPr>
          <w:p w14:paraId="440194B7"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High</w:t>
            </w:r>
          </w:p>
        </w:tc>
      </w:tr>
      <w:tr w:rsidR="009F34E9" w:rsidRPr="005208EF" w14:paraId="6184BDF5" w14:textId="77777777" w:rsidTr="00D91A32">
        <w:trPr>
          <w:trHeight w:val="335"/>
        </w:trPr>
        <w:tc>
          <w:tcPr>
            <w:tcW w:w="1576" w:type="pct"/>
            <w:noWrap/>
            <w:vAlign w:val="center"/>
            <w:hideMark/>
          </w:tcPr>
          <w:p w14:paraId="6CCE1269"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 xml:space="preserve">Transition probability from ‘Responder’ to ‘Responder off- treatment (i.e. probability of weaning) intravenous Ig arm. </w:t>
            </w:r>
          </w:p>
        </w:tc>
        <w:tc>
          <w:tcPr>
            <w:tcW w:w="594" w:type="pct"/>
            <w:noWrap/>
            <w:vAlign w:val="center"/>
            <w:hideMark/>
          </w:tcPr>
          <w:p w14:paraId="38A52EF8"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0.00</w:t>
            </w:r>
          </w:p>
        </w:tc>
        <w:tc>
          <w:tcPr>
            <w:tcW w:w="501" w:type="pct"/>
            <w:noWrap/>
            <w:vAlign w:val="center"/>
            <w:hideMark/>
          </w:tcPr>
          <w:p w14:paraId="3407BE6E"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0.25</w:t>
            </w:r>
          </w:p>
        </w:tc>
        <w:tc>
          <w:tcPr>
            <w:tcW w:w="692" w:type="pct"/>
            <w:vAlign w:val="center"/>
          </w:tcPr>
          <w:p w14:paraId="28214FBD"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290,746 </w:t>
            </w:r>
          </w:p>
        </w:tc>
        <w:tc>
          <w:tcPr>
            <w:tcW w:w="788" w:type="pct"/>
            <w:vAlign w:val="center"/>
          </w:tcPr>
          <w:p w14:paraId="20FCCDF8"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327,375 </w:t>
            </w:r>
          </w:p>
        </w:tc>
        <w:tc>
          <w:tcPr>
            <w:tcW w:w="849" w:type="pct"/>
            <w:vAlign w:val="center"/>
          </w:tcPr>
          <w:p w14:paraId="1D766170"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 xml:space="preserve">Medium </w:t>
            </w:r>
          </w:p>
        </w:tc>
      </w:tr>
      <w:tr w:rsidR="009F34E9" w:rsidRPr="005208EF" w14:paraId="61E84EAB" w14:textId="77777777" w:rsidTr="00D91A32">
        <w:trPr>
          <w:trHeight w:val="335"/>
        </w:trPr>
        <w:tc>
          <w:tcPr>
            <w:tcW w:w="1576" w:type="pct"/>
            <w:noWrap/>
            <w:vAlign w:val="center"/>
            <w:hideMark/>
          </w:tcPr>
          <w:p w14:paraId="3C7849A7"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 xml:space="preserve">Transition probability of ‘Responder off-treatment to ‘Initial treatment’ (probability of relapsing). </w:t>
            </w:r>
          </w:p>
        </w:tc>
        <w:tc>
          <w:tcPr>
            <w:tcW w:w="594" w:type="pct"/>
            <w:noWrap/>
            <w:vAlign w:val="center"/>
            <w:hideMark/>
          </w:tcPr>
          <w:p w14:paraId="6DAE69DA"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w:t>
            </w:r>
          </w:p>
        </w:tc>
        <w:tc>
          <w:tcPr>
            <w:tcW w:w="501" w:type="pct"/>
            <w:noWrap/>
            <w:vAlign w:val="center"/>
            <w:hideMark/>
          </w:tcPr>
          <w:p w14:paraId="571FB665"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0.7</w:t>
            </w:r>
          </w:p>
        </w:tc>
        <w:tc>
          <w:tcPr>
            <w:tcW w:w="692" w:type="pct"/>
            <w:vAlign w:val="center"/>
          </w:tcPr>
          <w:p w14:paraId="76A53799"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306,535 </w:t>
            </w:r>
          </w:p>
        </w:tc>
        <w:tc>
          <w:tcPr>
            <w:tcW w:w="788" w:type="pct"/>
            <w:vAlign w:val="center"/>
          </w:tcPr>
          <w:p w14:paraId="3B52F2E6"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323,091 </w:t>
            </w:r>
          </w:p>
        </w:tc>
        <w:tc>
          <w:tcPr>
            <w:tcW w:w="849" w:type="pct"/>
            <w:vAlign w:val="center"/>
          </w:tcPr>
          <w:p w14:paraId="783D4761"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Medium</w:t>
            </w:r>
          </w:p>
        </w:tc>
      </w:tr>
      <w:tr w:rsidR="009F34E9" w:rsidRPr="005208EF" w14:paraId="480356DA" w14:textId="77777777" w:rsidTr="00D91A32">
        <w:trPr>
          <w:trHeight w:val="335"/>
        </w:trPr>
        <w:tc>
          <w:tcPr>
            <w:tcW w:w="1576" w:type="pct"/>
            <w:noWrap/>
            <w:vAlign w:val="center"/>
            <w:hideMark/>
          </w:tcPr>
          <w:p w14:paraId="281EEED5"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 xml:space="preserve">Transition probability from ‘Initial treatment’ to ‘Responder’. </w:t>
            </w:r>
          </w:p>
        </w:tc>
        <w:tc>
          <w:tcPr>
            <w:tcW w:w="594" w:type="pct"/>
            <w:noWrap/>
            <w:vAlign w:val="center"/>
            <w:hideMark/>
          </w:tcPr>
          <w:p w14:paraId="45BD2CC2"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0.389</w:t>
            </w:r>
          </w:p>
        </w:tc>
        <w:tc>
          <w:tcPr>
            <w:tcW w:w="501" w:type="pct"/>
            <w:noWrap/>
            <w:vAlign w:val="center"/>
            <w:hideMark/>
          </w:tcPr>
          <w:p w14:paraId="056ADDFB"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0.929</w:t>
            </w:r>
          </w:p>
        </w:tc>
        <w:tc>
          <w:tcPr>
            <w:tcW w:w="692" w:type="pct"/>
            <w:vAlign w:val="center"/>
          </w:tcPr>
          <w:p w14:paraId="6FD28EF1"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331,544 </w:t>
            </w:r>
          </w:p>
        </w:tc>
        <w:tc>
          <w:tcPr>
            <w:tcW w:w="788" w:type="pct"/>
            <w:vAlign w:val="center"/>
          </w:tcPr>
          <w:p w14:paraId="7BC2AC8F"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315,361</w:t>
            </w:r>
          </w:p>
        </w:tc>
        <w:tc>
          <w:tcPr>
            <w:tcW w:w="849" w:type="pct"/>
            <w:vAlign w:val="center"/>
          </w:tcPr>
          <w:p w14:paraId="7662D146"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Low</w:t>
            </w:r>
          </w:p>
        </w:tc>
      </w:tr>
      <w:tr w:rsidR="009F34E9" w:rsidRPr="005208EF" w14:paraId="260A5727" w14:textId="77777777" w:rsidTr="00D91A32">
        <w:trPr>
          <w:trHeight w:val="335"/>
        </w:trPr>
        <w:tc>
          <w:tcPr>
            <w:tcW w:w="1576" w:type="pct"/>
            <w:noWrap/>
            <w:vAlign w:val="center"/>
            <w:hideMark/>
          </w:tcPr>
          <w:p w14:paraId="4327BCBE"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 xml:space="preserve">Transition probability from ‘Responder’ to ‘BSC (probability of discontinuation due to AEs). </w:t>
            </w:r>
          </w:p>
        </w:tc>
        <w:tc>
          <w:tcPr>
            <w:tcW w:w="594" w:type="pct"/>
            <w:noWrap/>
            <w:vAlign w:val="center"/>
            <w:hideMark/>
          </w:tcPr>
          <w:p w14:paraId="66808CCD"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0.095</w:t>
            </w:r>
          </w:p>
        </w:tc>
        <w:tc>
          <w:tcPr>
            <w:tcW w:w="501" w:type="pct"/>
            <w:noWrap/>
            <w:vAlign w:val="center"/>
            <w:hideMark/>
          </w:tcPr>
          <w:p w14:paraId="6CA6951F"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0.113</w:t>
            </w:r>
          </w:p>
        </w:tc>
        <w:tc>
          <w:tcPr>
            <w:tcW w:w="692" w:type="pct"/>
            <w:vAlign w:val="center"/>
          </w:tcPr>
          <w:p w14:paraId="4DB3C1BE"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329,662 </w:t>
            </w:r>
          </w:p>
        </w:tc>
        <w:tc>
          <w:tcPr>
            <w:tcW w:w="788" w:type="pct"/>
            <w:vAlign w:val="center"/>
          </w:tcPr>
          <w:p w14:paraId="041C7D0E"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332,372 </w:t>
            </w:r>
          </w:p>
        </w:tc>
        <w:tc>
          <w:tcPr>
            <w:tcW w:w="849" w:type="pct"/>
            <w:vAlign w:val="center"/>
          </w:tcPr>
          <w:p w14:paraId="53F62C32"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Low</w:t>
            </w:r>
          </w:p>
        </w:tc>
      </w:tr>
      <w:tr w:rsidR="009F34E9" w:rsidRPr="005208EF" w14:paraId="05F56A6A" w14:textId="77777777" w:rsidTr="00D91A32">
        <w:trPr>
          <w:trHeight w:val="335"/>
        </w:trPr>
        <w:tc>
          <w:tcPr>
            <w:tcW w:w="1576" w:type="pct"/>
            <w:noWrap/>
            <w:vAlign w:val="center"/>
            <w:hideMark/>
          </w:tcPr>
          <w:p w14:paraId="75BE369A"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Utility of ‘Initial treatment’</w:t>
            </w:r>
          </w:p>
        </w:tc>
        <w:tc>
          <w:tcPr>
            <w:tcW w:w="594" w:type="pct"/>
            <w:noWrap/>
            <w:vAlign w:val="center"/>
            <w:hideMark/>
          </w:tcPr>
          <w:p w14:paraId="1D419E12"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0.27</w:t>
            </w:r>
          </w:p>
        </w:tc>
        <w:tc>
          <w:tcPr>
            <w:tcW w:w="501" w:type="pct"/>
            <w:noWrap/>
            <w:vAlign w:val="center"/>
            <w:hideMark/>
          </w:tcPr>
          <w:p w14:paraId="7959D035"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0.33</w:t>
            </w:r>
          </w:p>
        </w:tc>
        <w:tc>
          <w:tcPr>
            <w:tcW w:w="692" w:type="pct"/>
            <w:vAlign w:val="center"/>
          </w:tcPr>
          <w:p w14:paraId="05957FE3"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313,847 </w:t>
            </w:r>
          </w:p>
        </w:tc>
        <w:tc>
          <w:tcPr>
            <w:tcW w:w="788" w:type="pct"/>
            <w:vAlign w:val="center"/>
          </w:tcPr>
          <w:p w14:paraId="5357DA0A"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321,346 </w:t>
            </w:r>
          </w:p>
        </w:tc>
        <w:tc>
          <w:tcPr>
            <w:tcW w:w="849" w:type="pct"/>
            <w:vAlign w:val="center"/>
          </w:tcPr>
          <w:p w14:paraId="6C54A2C6"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Low</w:t>
            </w:r>
          </w:p>
        </w:tc>
      </w:tr>
      <w:tr w:rsidR="009F34E9" w:rsidRPr="00DA3C6E" w14:paraId="1CE57ECE" w14:textId="77777777" w:rsidTr="00D91A32">
        <w:trPr>
          <w:trHeight w:val="335"/>
        </w:trPr>
        <w:tc>
          <w:tcPr>
            <w:tcW w:w="1576" w:type="pct"/>
            <w:noWrap/>
            <w:vAlign w:val="center"/>
            <w:hideMark/>
          </w:tcPr>
          <w:p w14:paraId="330007F3" w14:textId="77777777" w:rsidR="009F34E9" w:rsidRPr="005208EF"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Transition probability from ‘Initial treatment to ‘Responder’ in the no intravenous Ig with BSC arm.</w:t>
            </w:r>
          </w:p>
        </w:tc>
        <w:tc>
          <w:tcPr>
            <w:tcW w:w="594" w:type="pct"/>
            <w:noWrap/>
            <w:vAlign w:val="center"/>
            <w:hideMark/>
          </w:tcPr>
          <w:p w14:paraId="233DCBE6"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0.111</w:t>
            </w:r>
          </w:p>
        </w:tc>
        <w:tc>
          <w:tcPr>
            <w:tcW w:w="501" w:type="pct"/>
            <w:noWrap/>
            <w:vAlign w:val="center"/>
            <w:hideMark/>
          </w:tcPr>
          <w:p w14:paraId="14C3E922"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0.69</w:t>
            </w:r>
          </w:p>
        </w:tc>
        <w:tc>
          <w:tcPr>
            <w:tcW w:w="692" w:type="pct"/>
            <w:vAlign w:val="center"/>
          </w:tcPr>
          <w:p w14:paraId="3AD38821"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 xml:space="preserve">317,552 </w:t>
            </w:r>
          </w:p>
        </w:tc>
        <w:tc>
          <w:tcPr>
            <w:tcW w:w="788" w:type="pct"/>
            <w:vAlign w:val="center"/>
          </w:tcPr>
          <w:p w14:paraId="601A3E77" w14:textId="77777777" w:rsidR="009F34E9" w:rsidRPr="005208EF" w:rsidRDefault="009F34E9" w:rsidP="00D91A32">
            <w:pPr>
              <w:spacing w:after="0" w:line="240" w:lineRule="auto"/>
              <w:ind w:left="0"/>
              <w:jc w:val="center"/>
              <w:rPr>
                <w:rFonts w:ascii="Arial Narrow" w:hAnsi="Arial Narrow"/>
                <w:sz w:val="20"/>
                <w:szCs w:val="20"/>
              </w:rPr>
            </w:pPr>
            <w:r w:rsidRPr="005208EF">
              <w:rPr>
                <w:rFonts w:ascii="Arial Narrow" w:hAnsi="Arial Narrow"/>
                <w:sz w:val="20"/>
                <w:szCs w:val="20"/>
              </w:rPr>
              <w:t>317,552</w:t>
            </w:r>
          </w:p>
        </w:tc>
        <w:tc>
          <w:tcPr>
            <w:tcW w:w="849" w:type="pct"/>
            <w:vAlign w:val="center"/>
          </w:tcPr>
          <w:p w14:paraId="69DB4B52" w14:textId="77777777" w:rsidR="009F34E9" w:rsidRPr="00DA3C6E" w:rsidRDefault="009F34E9" w:rsidP="00D91A32">
            <w:pPr>
              <w:spacing w:after="0" w:line="240" w:lineRule="auto"/>
              <w:ind w:left="0"/>
              <w:jc w:val="left"/>
              <w:rPr>
                <w:rFonts w:ascii="Arial Narrow" w:hAnsi="Arial Narrow"/>
                <w:sz w:val="20"/>
                <w:szCs w:val="20"/>
              </w:rPr>
            </w:pPr>
            <w:r w:rsidRPr="005208EF">
              <w:rPr>
                <w:rFonts w:ascii="Arial Narrow" w:hAnsi="Arial Narrow"/>
                <w:sz w:val="20"/>
                <w:szCs w:val="20"/>
              </w:rPr>
              <w:t>Null</w:t>
            </w:r>
          </w:p>
        </w:tc>
      </w:tr>
    </w:tbl>
    <w:p w14:paraId="0E8B86EF" w14:textId="09A10A8F" w:rsidR="007810D6" w:rsidRPr="00DA3C6E" w:rsidRDefault="007810D6" w:rsidP="00FA72EB">
      <w:pPr>
        <w:pStyle w:val="Tablenotes0"/>
        <w:spacing w:after="240"/>
      </w:pPr>
      <w:r>
        <w:t xml:space="preserve">Abbreviations: AEs = adverse events; BSC = best supportive care; ICER = incremental cost effectiveness ratio; Ig = immunoglobulin; NA = not applicable; QALY = quality adjusted life year. </w:t>
      </w:r>
    </w:p>
    <w:p w14:paraId="0D7FB261" w14:textId="77777777" w:rsidR="00D778BE" w:rsidRPr="00DA3C6E" w:rsidRDefault="00D778BE" w:rsidP="00DF343F">
      <w:pPr>
        <w:pStyle w:val="Heading1"/>
      </w:pPr>
      <w:bookmarkStart w:id="435" w:name="_Toc379118117"/>
      <w:bookmarkStart w:id="436" w:name="_Toc381796514"/>
      <w:bookmarkStart w:id="437" w:name="_Toc25216069"/>
      <w:bookmarkStart w:id="438" w:name="_Toc37845803"/>
      <w:bookmarkEnd w:id="391"/>
      <w:bookmarkEnd w:id="392"/>
      <w:bookmarkEnd w:id="393"/>
      <w:r w:rsidRPr="00DA3C6E">
        <w:lastRenderedPageBreak/>
        <w:t>References</w:t>
      </w:r>
      <w:bookmarkEnd w:id="435"/>
      <w:bookmarkEnd w:id="436"/>
      <w:bookmarkEnd w:id="437"/>
      <w:bookmarkEnd w:id="438"/>
      <w:r w:rsidRPr="00DA3C6E">
        <w:t xml:space="preserve"> </w:t>
      </w:r>
    </w:p>
    <w:bookmarkEnd w:id="221"/>
    <w:p w14:paraId="7BD2A267" w14:textId="77777777" w:rsidR="00C04BCE" w:rsidRPr="00C04BCE" w:rsidRDefault="00DB568A" w:rsidP="00C04BCE">
      <w:pPr>
        <w:pStyle w:val="EndNoteBibliography"/>
        <w:spacing w:after="0"/>
      </w:pPr>
      <w:r w:rsidRPr="00DA3C6E">
        <w:fldChar w:fldCharType="begin"/>
      </w:r>
      <w:r w:rsidRPr="00DA3C6E">
        <w:instrText xml:space="preserve"> ADDIN EN.REFLIST </w:instrText>
      </w:r>
      <w:r w:rsidRPr="00DA3C6E">
        <w:fldChar w:fldCharType="separate"/>
      </w:r>
      <w:bookmarkStart w:id="439" w:name="_ENREF_1"/>
      <w:r w:rsidR="00C04BCE" w:rsidRPr="00C04BCE">
        <w:t>1.</w:t>
      </w:r>
      <w:r w:rsidR="00C04BCE" w:rsidRPr="00C04BCE">
        <w:tab/>
        <w:t>Umapathi T, Hughes RA, Nobile-Orazio E, Leger JM. Immunosuppressant and immunomodulatory treatments for multifocal motor neuropathy. Cochrane Database Syst Rev. 2015(3):CD003217.</w:t>
      </w:r>
      <w:bookmarkEnd w:id="439"/>
    </w:p>
    <w:p w14:paraId="54D2E11C" w14:textId="77777777" w:rsidR="00C04BCE" w:rsidRPr="00C04BCE" w:rsidRDefault="00C04BCE" w:rsidP="00C04BCE">
      <w:pPr>
        <w:pStyle w:val="EndNoteBibliography"/>
        <w:spacing w:after="0"/>
      </w:pPr>
      <w:bookmarkStart w:id="440" w:name="_ENREF_2"/>
      <w:r w:rsidRPr="00C04BCE">
        <w:t>2.</w:t>
      </w:r>
      <w:r w:rsidRPr="00C04BCE">
        <w:tab/>
        <w:t>Lawson VH, Arnold WD. Multifocal motor neuropathy: a review of pathogenesis, diagnosis, and treatment. Neuropsychiatric disease and treatment. 2014;10:567-76.</w:t>
      </w:r>
      <w:bookmarkEnd w:id="440"/>
    </w:p>
    <w:p w14:paraId="21E13C50" w14:textId="77777777" w:rsidR="00C04BCE" w:rsidRPr="00C04BCE" w:rsidRDefault="00C04BCE" w:rsidP="00C04BCE">
      <w:pPr>
        <w:pStyle w:val="EndNoteBibliography"/>
        <w:spacing w:after="0"/>
      </w:pPr>
      <w:bookmarkStart w:id="441" w:name="_ENREF_3"/>
      <w:r w:rsidRPr="00C04BCE">
        <w:t>3.</w:t>
      </w:r>
      <w:r w:rsidRPr="00C04BCE">
        <w:tab/>
        <w:t>BloodSTAR. Current Ig use in Australia: Multifocal motor neuropathy. 2018:7.</w:t>
      </w:r>
      <w:bookmarkEnd w:id="441"/>
    </w:p>
    <w:p w14:paraId="62C21D85" w14:textId="77777777" w:rsidR="00C04BCE" w:rsidRPr="00C04BCE" w:rsidRDefault="00C04BCE" w:rsidP="00C04BCE">
      <w:pPr>
        <w:pStyle w:val="EndNoteBibliography"/>
        <w:spacing w:after="0"/>
      </w:pPr>
      <w:bookmarkStart w:id="442" w:name="_ENREF_4"/>
      <w:r w:rsidRPr="00C04BCE">
        <w:t>4.</w:t>
      </w:r>
      <w:r w:rsidRPr="00C04BCE">
        <w:tab/>
        <w:t>Al-Zuhairy A, Sindrup SH, Andersen H, Jakobsen J. A population-based and cross-sectional study of the long-term prognosis in multifocal motor neuropathy. J Peripher Nerv Syst. 2019;24(1):64-71.</w:t>
      </w:r>
      <w:bookmarkEnd w:id="442"/>
    </w:p>
    <w:p w14:paraId="4F60D7A7" w14:textId="77777777" w:rsidR="00C04BCE" w:rsidRPr="00C04BCE" w:rsidRDefault="00C04BCE" w:rsidP="00C04BCE">
      <w:pPr>
        <w:pStyle w:val="EndNoteBibliography"/>
        <w:spacing w:after="0"/>
      </w:pPr>
      <w:bookmarkStart w:id="443" w:name="_ENREF_5"/>
      <w:r w:rsidRPr="00C04BCE">
        <w:t>5.</w:t>
      </w:r>
      <w:r w:rsidRPr="00C04BCE">
        <w:tab/>
        <w:t>Taylor BV, Wright RA, Harper CM, Dyck PJ. Natural history of 46 patients with multifocal motor neuropathy with conduction block. Muscle &amp; Nerve. 2000;23(6):900-8.</w:t>
      </w:r>
      <w:bookmarkEnd w:id="443"/>
    </w:p>
    <w:p w14:paraId="55505495" w14:textId="77777777" w:rsidR="00C04BCE" w:rsidRPr="00C04BCE" w:rsidRDefault="00C04BCE" w:rsidP="00C04BCE">
      <w:pPr>
        <w:pStyle w:val="EndNoteBibliography"/>
        <w:spacing w:after="0"/>
      </w:pPr>
      <w:bookmarkStart w:id="444" w:name="_ENREF_6"/>
      <w:r w:rsidRPr="00C04BCE">
        <w:t>6.</w:t>
      </w:r>
      <w:r w:rsidRPr="00C04BCE">
        <w:tab/>
        <w:t>Norris F, Shepherd R, Denys E, U K, Mukai E, Elias L, et al. Onset, natural history and outcome in idiopathic adult motor neuron disease. Journal of the Neurological Sciences. 1993;118(1):48-55.</w:t>
      </w:r>
      <w:bookmarkEnd w:id="444"/>
    </w:p>
    <w:p w14:paraId="245FB202" w14:textId="77777777" w:rsidR="00C04BCE" w:rsidRPr="00C04BCE" w:rsidRDefault="00C04BCE" w:rsidP="00C04BCE">
      <w:pPr>
        <w:pStyle w:val="EndNoteBibliography"/>
        <w:spacing w:after="0"/>
      </w:pPr>
      <w:bookmarkStart w:id="445" w:name="_ENREF_7"/>
      <w:r w:rsidRPr="00C04BCE">
        <w:t>7.</w:t>
      </w:r>
      <w:r w:rsidRPr="00C04BCE">
        <w:tab/>
        <w:t>Harbo T, Andersen H, Hess A, Hansen K, Sindrup SH, Jakobsen J. Subcutaneous versus intravenous immunoglobulin in multifocal motor neuropathy: A randomized, single-blinded cross-over trial. European Journal of Neurology. 2009;16(5):631-8.</w:t>
      </w:r>
      <w:bookmarkEnd w:id="445"/>
    </w:p>
    <w:p w14:paraId="5A4045B1" w14:textId="77777777" w:rsidR="00C04BCE" w:rsidRPr="00C04BCE" w:rsidRDefault="00C04BCE" w:rsidP="00C04BCE">
      <w:pPr>
        <w:pStyle w:val="EndNoteBibliography"/>
        <w:spacing w:after="0"/>
      </w:pPr>
      <w:bookmarkStart w:id="446" w:name="_ENREF_8"/>
      <w:r w:rsidRPr="00C04BCE">
        <w:t>8.</w:t>
      </w:r>
      <w:r w:rsidRPr="00C04BCE">
        <w:tab/>
        <w:t>NHS. Updated Commissioning Guidance for the use of therapeutic immunoglobulin (Ig) in immunology, haematology, neurology and infectious diseases in England December 2018. England: NHS; 2018.  Contract No.: V1.0 Dec 2018.</w:t>
      </w:r>
      <w:bookmarkEnd w:id="446"/>
    </w:p>
    <w:p w14:paraId="1DD023AE" w14:textId="77777777" w:rsidR="00C04BCE" w:rsidRPr="00C04BCE" w:rsidRDefault="00C04BCE" w:rsidP="00C04BCE">
      <w:pPr>
        <w:pStyle w:val="EndNoteBibliography"/>
        <w:spacing w:after="0"/>
      </w:pPr>
      <w:bookmarkStart w:id="447" w:name="_ENREF_9"/>
      <w:r w:rsidRPr="00C04BCE">
        <w:t>9.</w:t>
      </w:r>
      <w:r w:rsidRPr="00C04BCE">
        <w:tab/>
        <w:t>NBA. Updated phase 2 HTA conditions report. Canberra: NBA; 2019.</w:t>
      </w:r>
      <w:bookmarkEnd w:id="447"/>
    </w:p>
    <w:p w14:paraId="0831A062" w14:textId="77777777" w:rsidR="00C04BCE" w:rsidRPr="00C04BCE" w:rsidRDefault="00C04BCE" w:rsidP="00C04BCE">
      <w:pPr>
        <w:pStyle w:val="EndNoteBibliography"/>
        <w:spacing w:after="0"/>
      </w:pPr>
      <w:bookmarkStart w:id="448" w:name="_ENREF_10"/>
      <w:r w:rsidRPr="00C04BCE">
        <w:t>10.</w:t>
      </w:r>
      <w:r w:rsidRPr="00C04BCE">
        <w:tab/>
        <w:t>National Blood Authority. National Report on the Issue and Use of Immunoglobulin (Ig) Annual Report 2015-16. Canberra, Authority NB.</w:t>
      </w:r>
      <w:bookmarkEnd w:id="448"/>
    </w:p>
    <w:p w14:paraId="796C09AC" w14:textId="77777777" w:rsidR="00C04BCE" w:rsidRPr="00C04BCE" w:rsidRDefault="00C04BCE" w:rsidP="00C04BCE">
      <w:pPr>
        <w:pStyle w:val="EndNoteBibliography"/>
        <w:spacing w:after="0"/>
      </w:pPr>
      <w:bookmarkStart w:id="449" w:name="_ENREF_11"/>
      <w:r w:rsidRPr="00C04BCE">
        <w:t>11.</w:t>
      </w:r>
      <w:r w:rsidRPr="00C04BCE">
        <w:tab/>
        <w:t>BloodSTAR. Multifocal motor neuropathy (MMN). 2018.  Contract No.: Version 3.0.</w:t>
      </w:r>
      <w:bookmarkEnd w:id="449"/>
    </w:p>
    <w:p w14:paraId="69861A3D" w14:textId="77777777" w:rsidR="00C04BCE" w:rsidRPr="00C04BCE" w:rsidRDefault="00C04BCE" w:rsidP="00C04BCE">
      <w:pPr>
        <w:pStyle w:val="EndNoteBibliography"/>
        <w:spacing w:after="0"/>
      </w:pPr>
      <w:bookmarkStart w:id="450" w:name="_ENREF_12"/>
      <w:r w:rsidRPr="00C04BCE">
        <w:t>12.</w:t>
      </w:r>
      <w:r w:rsidRPr="00C04BCE">
        <w:tab/>
        <w:t>Miyashiro A, Matsui N, Shimatani Y, Nodera H, Izumi Y, Kuwabara S, et al. Are multifocal motor neuropathy patients underdiagnosed? An epidemiological survey in Japan. Muscle &amp; Nerve. 2014;49(3):357-61.</w:t>
      </w:r>
      <w:bookmarkEnd w:id="450"/>
    </w:p>
    <w:p w14:paraId="0DED016D" w14:textId="77777777" w:rsidR="00C04BCE" w:rsidRPr="00C04BCE" w:rsidRDefault="00C04BCE" w:rsidP="00C04BCE">
      <w:pPr>
        <w:pStyle w:val="EndNoteBibliography"/>
        <w:spacing w:after="0"/>
      </w:pPr>
      <w:bookmarkStart w:id="451" w:name="_ENREF_13"/>
      <w:r w:rsidRPr="00C04BCE">
        <w:t>13.</w:t>
      </w:r>
      <w:r w:rsidRPr="00C04BCE">
        <w:tab/>
        <w:t>Nobile-Orazio E. Multifocal motor neuropathy. Journal of neuroimmunology. 2001;115(1-2):4-18.</w:t>
      </w:r>
      <w:bookmarkEnd w:id="451"/>
    </w:p>
    <w:p w14:paraId="6B68BCB6" w14:textId="77777777" w:rsidR="00C04BCE" w:rsidRPr="00C04BCE" w:rsidRDefault="00C04BCE" w:rsidP="00C04BCE">
      <w:pPr>
        <w:pStyle w:val="EndNoteBibliography"/>
        <w:spacing w:after="0"/>
      </w:pPr>
      <w:bookmarkStart w:id="452" w:name="_ENREF_14"/>
      <w:r w:rsidRPr="00C04BCE">
        <w:t>14.</w:t>
      </w:r>
      <w:r w:rsidRPr="00C04BCE">
        <w:tab/>
        <w:t>Cats EA, Van Der Pol WL, Piepers S, Franssen H, Jacobs BC, Van Den Berg-Vos RM, et al. Correlates of outcome and response to IVIg in 88 patients with multifocal motor neuropathy. Neurology. 2010;75(9):818-25.</w:t>
      </w:r>
      <w:bookmarkEnd w:id="452"/>
    </w:p>
    <w:p w14:paraId="309D3D46" w14:textId="77777777" w:rsidR="00C04BCE" w:rsidRPr="00C04BCE" w:rsidRDefault="00C04BCE" w:rsidP="00C04BCE">
      <w:pPr>
        <w:pStyle w:val="EndNoteBibliography"/>
        <w:spacing w:after="0"/>
      </w:pPr>
      <w:bookmarkStart w:id="453" w:name="_ENREF_15"/>
      <w:r w:rsidRPr="00C04BCE">
        <w:t>15.</w:t>
      </w:r>
      <w:r w:rsidRPr="00C04BCE">
        <w:tab/>
        <w:t>Ishigaki H, Hiraide T, Miyagi Y, Hayashi T, Matsubayashi T, Shimoda A, et al. Childhood-Onset Multifocal Motor Neuropathy With Immunoglobulin M Antibodies to Gangliosides GM1 and GM2: A Case Report and Review of the Literature. Pediatr Neurol. 2016;62:51-7.</w:t>
      </w:r>
      <w:bookmarkEnd w:id="453"/>
    </w:p>
    <w:p w14:paraId="562FA3CB" w14:textId="77777777" w:rsidR="00C04BCE" w:rsidRPr="00C04BCE" w:rsidRDefault="00C04BCE" w:rsidP="00C04BCE">
      <w:pPr>
        <w:pStyle w:val="EndNoteBibliography"/>
        <w:spacing w:after="0"/>
      </w:pPr>
      <w:bookmarkStart w:id="454" w:name="_ENREF_16"/>
      <w:r w:rsidRPr="00C04BCE">
        <w:t>16.</w:t>
      </w:r>
      <w:r w:rsidRPr="00C04BCE">
        <w:tab/>
        <w:t>Van Den Berg-Vos RM, Franssen H, Wokke JHJ, Van Es HW, Van Den Berg LH. Multifocal motor neuropathy: Diagnostic criteria that predict the response to immunoglobulin treatment. Annals of Neurology. 2000;48(6):919-26.</w:t>
      </w:r>
      <w:bookmarkEnd w:id="454"/>
    </w:p>
    <w:p w14:paraId="6459BE6E" w14:textId="77777777" w:rsidR="00C04BCE" w:rsidRPr="00C04BCE" w:rsidRDefault="00C04BCE" w:rsidP="00C04BCE">
      <w:pPr>
        <w:pStyle w:val="EndNoteBibliography"/>
        <w:spacing w:after="0"/>
      </w:pPr>
      <w:bookmarkStart w:id="455" w:name="_ENREF_17"/>
      <w:r w:rsidRPr="00C04BCE">
        <w:t>17.</w:t>
      </w:r>
      <w:r w:rsidRPr="00C04BCE">
        <w:tab/>
        <w:t>ABS. Quarterly Population Estimates (ERP), by State/Territory, Sex and Age. In: Statistics ABo, editor. Canberra2018.</w:t>
      </w:r>
      <w:bookmarkEnd w:id="455"/>
    </w:p>
    <w:p w14:paraId="2261B523" w14:textId="77777777" w:rsidR="00C04BCE" w:rsidRPr="00C04BCE" w:rsidRDefault="00C04BCE" w:rsidP="00C04BCE">
      <w:pPr>
        <w:pStyle w:val="EndNoteBibliography"/>
        <w:spacing w:after="0"/>
      </w:pPr>
      <w:bookmarkStart w:id="456" w:name="_ENREF_18"/>
      <w:r w:rsidRPr="00C04BCE">
        <w:t>18.</w:t>
      </w:r>
      <w:r w:rsidRPr="00C04BCE">
        <w:tab/>
        <w:t>Joint Task Force of the EFNS and PNS. European Federation of Neurological Societies/Peripheral Nerve Society Guideline on management of multifocal motor neuropathy. Report of a Joint Task Force of the European Federation of Neurological Societies and the Peripheral Nerve Society – first revision. Journal of the Peripheral Nervous System. 2010;15(4):295-301.</w:t>
      </w:r>
      <w:bookmarkEnd w:id="456"/>
    </w:p>
    <w:p w14:paraId="2A4F2ECB" w14:textId="77777777" w:rsidR="00C04BCE" w:rsidRPr="00C04BCE" w:rsidRDefault="00C04BCE" w:rsidP="00C04BCE">
      <w:pPr>
        <w:pStyle w:val="EndNoteBibliography"/>
        <w:spacing w:after="0"/>
      </w:pPr>
      <w:bookmarkStart w:id="457" w:name="_ENREF_19"/>
      <w:r w:rsidRPr="00C04BCE">
        <w:t>19.</w:t>
      </w:r>
      <w:r w:rsidRPr="00C04BCE">
        <w:tab/>
        <w:t xml:space="preserve">Leger JM, Viala K, Cancalon F, Maisonobe T, Gruwez B, Waegemans T, et al. Intravenous immunoglobulin as short- and long-term therapy of multifocal motor neuropathy: A </w:t>
      </w:r>
      <w:r w:rsidRPr="00C04BCE">
        <w:lastRenderedPageBreak/>
        <w:t>retrospective study of response to IVIg and of its predictive criteria in 40 patients. Journal of Neurology, Neurosurgery and Psychiatry. 2008;79(1):93-6.</w:t>
      </w:r>
      <w:bookmarkEnd w:id="457"/>
    </w:p>
    <w:p w14:paraId="1BD6F7C8" w14:textId="77777777" w:rsidR="00C04BCE" w:rsidRPr="00C04BCE" w:rsidRDefault="00C04BCE" w:rsidP="00C04BCE">
      <w:pPr>
        <w:pStyle w:val="EndNoteBibliography"/>
        <w:spacing w:after="0"/>
      </w:pPr>
      <w:bookmarkStart w:id="458" w:name="_ENREF_20"/>
      <w:r w:rsidRPr="00C04BCE">
        <w:t>20.</w:t>
      </w:r>
      <w:r w:rsidRPr="00C04BCE">
        <w:tab/>
        <w:t>Pestronk A, Cornblath DR, Ilyas AA, Baba H, Quarles RH, Griffin JW, et al. A treatable multifocal motor neuropathy with antibodies to GM1 ganglioside. Ann Neurol. 1988;24(1):73-8.</w:t>
      </w:r>
      <w:bookmarkEnd w:id="458"/>
    </w:p>
    <w:p w14:paraId="731C903B" w14:textId="77777777" w:rsidR="00C04BCE" w:rsidRPr="00C04BCE" w:rsidRDefault="00C04BCE" w:rsidP="00C04BCE">
      <w:pPr>
        <w:pStyle w:val="EndNoteBibliography"/>
        <w:spacing w:after="0"/>
      </w:pPr>
      <w:bookmarkStart w:id="459" w:name="_ENREF_21"/>
      <w:r w:rsidRPr="00C04BCE">
        <w:t>21.</w:t>
      </w:r>
      <w:r w:rsidRPr="00C04BCE">
        <w:tab/>
        <w:t>Feldman EL, Bromberg MB, Albers JW, Pestronk A. Immunosuppressive treatment in multifocal motor neuropathy. Annals of Neurology. 1991;30(3):397-401.</w:t>
      </w:r>
      <w:bookmarkEnd w:id="459"/>
    </w:p>
    <w:p w14:paraId="14EFAA3E" w14:textId="77777777" w:rsidR="00C04BCE" w:rsidRPr="00C04BCE" w:rsidRDefault="00C04BCE" w:rsidP="00C04BCE">
      <w:pPr>
        <w:pStyle w:val="EndNoteBibliography"/>
        <w:spacing w:after="0"/>
      </w:pPr>
      <w:bookmarkStart w:id="460" w:name="_ENREF_22"/>
      <w:r w:rsidRPr="00C04BCE">
        <w:t>22.</w:t>
      </w:r>
      <w:r w:rsidRPr="00C04BCE">
        <w:tab/>
        <w:t>Chaudhry V, Corse AM, Cornblath DR, Kuncl RW, Drachman DB, Freimer ML, et al. Multifocal motor neuropathy: response to human immune globulin. Ann Neurol. 1993;33(3):237-42.</w:t>
      </w:r>
      <w:bookmarkEnd w:id="460"/>
    </w:p>
    <w:p w14:paraId="1424654D" w14:textId="77777777" w:rsidR="00C04BCE" w:rsidRPr="00C04BCE" w:rsidRDefault="00C04BCE" w:rsidP="00C04BCE">
      <w:pPr>
        <w:pStyle w:val="EndNoteBibliography"/>
        <w:spacing w:after="0"/>
      </w:pPr>
      <w:bookmarkStart w:id="461" w:name="_ENREF_23"/>
      <w:r w:rsidRPr="00C04BCE">
        <w:t>23.</w:t>
      </w:r>
      <w:r w:rsidRPr="00C04BCE">
        <w:tab/>
        <w:t>Krarup C, Stewart JD, Sumner AJ, Pestronk A, Lipton SA. A syndrome of asymmetric limb weakness with motor conduction block. Neurology. 1990;40(1):118.</w:t>
      </w:r>
      <w:bookmarkEnd w:id="461"/>
    </w:p>
    <w:p w14:paraId="3F27093C" w14:textId="77777777" w:rsidR="00C04BCE" w:rsidRPr="00C04BCE" w:rsidRDefault="00C04BCE" w:rsidP="00C04BCE">
      <w:pPr>
        <w:pStyle w:val="EndNoteBibliography"/>
        <w:spacing w:after="0"/>
      </w:pPr>
      <w:bookmarkStart w:id="462" w:name="_ENREF_24"/>
      <w:r w:rsidRPr="00C04BCE">
        <w:t>24.</w:t>
      </w:r>
      <w:r w:rsidRPr="00C04BCE">
        <w:tab/>
        <w:t>Azulay JP, Blin O, Pouget J, Boucraut J, Bille-Turc F, Carles G, et al. Intravenous immunoglobulin treatment in patients with motor neuron syndromes associated with anti-GM1 antibodies: a double-blind, placebo-controlled study. Neurology. 1994;44(3 Pt 1):429-32.</w:t>
      </w:r>
      <w:bookmarkEnd w:id="462"/>
    </w:p>
    <w:p w14:paraId="01A74C1E" w14:textId="77777777" w:rsidR="00C04BCE" w:rsidRPr="00C04BCE" w:rsidRDefault="00C04BCE" w:rsidP="00C04BCE">
      <w:pPr>
        <w:pStyle w:val="EndNoteBibliography"/>
        <w:spacing w:after="0"/>
      </w:pPr>
      <w:bookmarkStart w:id="463" w:name="_ENREF_25"/>
      <w:r w:rsidRPr="00C04BCE">
        <w:t>25.</w:t>
      </w:r>
      <w:r w:rsidRPr="00C04BCE">
        <w:tab/>
        <w:t>Van den Berg LH, Kerkhoff H, Oey PL, Franssen H, Mollee I, Vermeulen M, et al. Treatment of multifocal motor neuropathy with high dose intravenous immunoglobulins: a double blind, placebo controlled study. J Neurol Neurosurg Psychiatry. 1995;59(3):248-52.</w:t>
      </w:r>
      <w:bookmarkEnd w:id="463"/>
    </w:p>
    <w:p w14:paraId="43249208" w14:textId="77777777" w:rsidR="00C04BCE" w:rsidRPr="00C04BCE" w:rsidRDefault="00C04BCE" w:rsidP="00C04BCE">
      <w:pPr>
        <w:pStyle w:val="EndNoteBibliography"/>
        <w:spacing w:after="0"/>
      </w:pPr>
      <w:bookmarkStart w:id="464" w:name="_ENREF_26"/>
      <w:r w:rsidRPr="00C04BCE">
        <w:t>26.</w:t>
      </w:r>
      <w:r w:rsidRPr="00C04BCE">
        <w:tab/>
        <w:t>Federico P, Zochodne DW, Hahn AF, Brown WF, Feasby TE. Multifocal motor neuropathy improved by IVIg: Randomized double-blind, placebo-controlled study. Neurology. 2000;55(9):1256-62.</w:t>
      </w:r>
      <w:bookmarkEnd w:id="464"/>
    </w:p>
    <w:p w14:paraId="172CB9F9" w14:textId="77777777" w:rsidR="00C04BCE" w:rsidRPr="00C04BCE" w:rsidRDefault="00C04BCE" w:rsidP="00C04BCE">
      <w:pPr>
        <w:pStyle w:val="EndNoteBibliography"/>
        <w:spacing w:after="0"/>
      </w:pPr>
      <w:bookmarkStart w:id="465" w:name="_ENREF_27"/>
      <w:r w:rsidRPr="00C04BCE">
        <w:t>27.</w:t>
      </w:r>
      <w:r w:rsidRPr="00C04BCE">
        <w:tab/>
        <w:t>Leger JM, Chassande B, Musset L, Meininger V, Bouche P, Baumann N. Intravenous immunoglobulin therapy in multifocal motor neuropathy: A double-blind, placebo-controlled study. Brain. 2001;124(1):145-53.</w:t>
      </w:r>
      <w:bookmarkEnd w:id="465"/>
    </w:p>
    <w:p w14:paraId="2AE3E7EE" w14:textId="77777777" w:rsidR="00C04BCE" w:rsidRPr="00C04BCE" w:rsidRDefault="00C04BCE" w:rsidP="00C04BCE">
      <w:pPr>
        <w:pStyle w:val="EndNoteBibliography"/>
        <w:spacing w:after="0"/>
      </w:pPr>
      <w:bookmarkStart w:id="466" w:name="_ENREF_28"/>
      <w:r w:rsidRPr="00C04BCE">
        <w:t>28.</w:t>
      </w:r>
      <w:r w:rsidRPr="00C04BCE">
        <w:tab/>
        <w:t>Hahn AF, Beydoun SR, Lawson V, Oh M, Empson VG, Leibl H, et al. A controlled trial of intravenous immunoglobulin in multifocal motor neuropathy. Journal of the Peripheral Nervous System. 2013;18(4):321-30.</w:t>
      </w:r>
      <w:bookmarkEnd w:id="466"/>
    </w:p>
    <w:p w14:paraId="7B0AE418" w14:textId="77777777" w:rsidR="00C04BCE" w:rsidRPr="00C04BCE" w:rsidRDefault="00C04BCE" w:rsidP="00C04BCE">
      <w:pPr>
        <w:pStyle w:val="EndNoteBibliography"/>
        <w:spacing w:after="0"/>
      </w:pPr>
      <w:bookmarkStart w:id="467" w:name="_ENREF_29"/>
      <w:r w:rsidRPr="00C04BCE">
        <w:t>29.</w:t>
      </w:r>
      <w:r w:rsidRPr="00C04BCE">
        <w:tab/>
        <w:t>Van Den Berg LH, Franssen H, Wokke JHJ. The long-term effect of intravenous immunoglobulin treatment in multifocal motor neuropathy. Brain. 1998;121(3):421-8.</w:t>
      </w:r>
      <w:bookmarkEnd w:id="467"/>
    </w:p>
    <w:p w14:paraId="647A6AAB" w14:textId="77777777" w:rsidR="00C04BCE" w:rsidRPr="00C04BCE" w:rsidRDefault="00C04BCE" w:rsidP="00C04BCE">
      <w:pPr>
        <w:pStyle w:val="EndNoteBibliography"/>
        <w:spacing w:after="0"/>
      </w:pPr>
      <w:bookmarkStart w:id="468" w:name="_ENREF_30"/>
      <w:r w:rsidRPr="00C04BCE">
        <w:t>30.</w:t>
      </w:r>
      <w:r w:rsidRPr="00C04BCE">
        <w:tab/>
        <w:t>Van den Berg-Vos RM, Franssen H, Wokke JH, Van den Berg LH. Multifocal motor neuropathy: long-term clinical and electrophysiological assessment of intravenous immunoglobulin maintenance treatment. Brain. 2002;125(Pt 8):1875-86.</w:t>
      </w:r>
      <w:bookmarkEnd w:id="468"/>
    </w:p>
    <w:p w14:paraId="289320A7" w14:textId="77777777" w:rsidR="00C04BCE" w:rsidRPr="00C04BCE" w:rsidRDefault="00C04BCE" w:rsidP="00C04BCE">
      <w:pPr>
        <w:pStyle w:val="EndNoteBibliography"/>
        <w:spacing w:after="0"/>
      </w:pPr>
      <w:bookmarkStart w:id="469" w:name="_ENREF_31"/>
      <w:r w:rsidRPr="00C04BCE">
        <w:t>31.</w:t>
      </w:r>
      <w:r w:rsidRPr="00C04BCE">
        <w:tab/>
        <w:t>Vucic S, Black KR, Chong PS, Cros D. Multifocal motor neuropathy: decrease in conduction blocks and reinnervation with long-term IVIg. Neurology. 2004;63(7):1264-9.</w:t>
      </w:r>
      <w:bookmarkEnd w:id="469"/>
    </w:p>
    <w:p w14:paraId="6C2B0FEE" w14:textId="77777777" w:rsidR="00C04BCE" w:rsidRPr="00C04BCE" w:rsidRDefault="00C04BCE" w:rsidP="00C04BCE">
      <w:pPr>
        <w:pStyle w:val="EndNoteBibliography"/>
        <w:spacing w:after="0"/>
      </w:pPr>
      <w:bookmarkStart w:id="470" w:name="_ENREF_32"/>
      <w:r w:rsidRPr="00C04BCE">
        <w:t>32.</w:t>
      </w:r>
      <w:r w:rsidRPr="00C04BCE">
        <w:tab/>
        <w:t>Kuwabara S, Misawa S, Mori M, Iwai Y, Ochi K, Suzuki H, et al. Intravenous immunoglobulin for maintenance treatment of multifocal motor neuropathy: A multi-center, open-label, 52-week phase 3 trial. J Peripher Nerv Syst. 2018;23(2):115-9.</w:t>
      </w:r>
      <w:bookmarkEnd w:id="470"/>
    </w:p>
    <w:p w14:paraId="1B7F30B3" w14:textId="77777777" w:rsidR="00C04BCE" w:rsidRPr="00C04BCE" w:rsidRDefault="00C04BCE" w:rsidP="00C04BCE">
      <w:pPr>
        <w:pStyle w:val="EndNoteBibliography"/>
        <w:spacing w:after="0"/>
      </w:pPr>
      <w:bookmarkStart w:id="471" w:name="_ENREF_33"/>
      <w:r w:rsidRPr="00C04BCE">
        <w:t>33.</w:t>
      </w:r>
      <w:r w:rsidRPr="00C04BCE">
        <w:tab/>
        <w:t>Terenghi F, Cappellari A, Bersano A, Carpo M, Barbieri S, Nobile-Orazio E. How long is IVIg effective in multifocal motor neuropathy? Neurology. 2004;62(4):666-8.</w:t>
      </w:r>
      <w:bookmarkEnd w:id="471"/>
    </w:p>
    <w:p w14:paraId="552FD653" w14:textId="77777777" w:rsidR="00C04BCE" w:rsidRPr="00C04BCE" w:rsidRDefault="00C04BCE" w:rsidP="00C04BCE">
      <w:pPr>
        <w:pStyle w:val="EndNoteBibliography"/>
        <w:spacing w:after="0"/>
      </w:pPr>
      <w:bookmarkStart w:id="472" w:name="_ENREF_34"/>
      <w:r w:rsidRPr="00C04BCE">
        <w:t>34.</w:t>
      </w:r>
      <w:r w:rsidRPr="00C04BCE">
        <w:tab/>
        <w:t>Chia PK, Hung SKY, Hiew FL. Clinical and functional change in multifocal motor neuropathy treated with IVIg. Journal of Clinical Neuroscience. 2019.</w:t>
      </w:r>
      <w:bookmarkEnd w:id="472"/>
    </w:p>
    <w:p w14:paraId="4E5CE179" w14:textId="77777777" w:rsidR="00C04BCE" w:rsidRPr="00C04BCE" w:rsidRDefault="00C04BCE" w:rsidP="00C04BCE">
      <w:pPr>
        <w:pStyle w:val="EndNoteBibliography"/>
        <w:spacing w:after="0"/>
      </w:pPr>
      <w:bookmarkStart w:id="473" w:name="_ENREF_35"/>
      <w:r w:rsidRPr="00C04BCE">
        <w:t>35.</w:t>
      </w:r>
      <w:r w:rsidRPr="00C04BCE">
        <w:tab/>
        <w:t>Van den Berg LH, Franssen H, Oey PL, Wokke JHJ. The effect of intravenous immunoglobulin treatment in patients with multifocal motor neuropathy or lower motor neurone disease. Journal of neurology. 1995;242:149, Abstract no: 806.</w:t>
      </w:r>
      <w:bookmarkEnd w:id="473"/>
    </w:p>
    <w:p w14:paraId="5F2594DA" w14:textId="77777777" w:rsidR="00C04BCE" w:rsidRPr="00C04BCE" w:rsidRDefault="00C04BCE" w:rsidP="00C04BCE">
      <w:pPr>
        <w:pStyle w:val="EndNoteBibliography"/>
        <w:spacing w:after="0"/>
      </w:pPr>
      <w:bookmarkStart w:id="474" w:name="_ENREF_36"/>
      <w:r w:rsidRPr="00C04BCE">
        <w:t>36.</w:t>
      </w:r>
      <w:r w:rsidRPr="00C04BCE">
        <w:tab/>
        <w:t>Nobile-Orazio E, Meucci N, Barbieri S, Carpo M, Scarlato G. High-dose intravenous immunoglobulin therapy in multifocal motor neuropathy. Neurology. 1993;43(3 Pt 1):537-44.</w:t>
      </w:r>
      <w:bookmarkEnd w:id="474"/>
    </w:p>
    <w:p w14:paraId="1ECC6565" w14:textId="77777777" w:rsidR="00C04BCE" w:rsidRPr="00C04BCE" w:rsidRDefault="00C04BCE" w:rsidP="00C04BCE">
      <w:pPr>
        <w:pStyle w:val="EndNoteBibliography"/>
        <w:spacing w:after="0"/>
      </w:pPr>
      <w:bookmarkStart w:id="475" w:name="_ENREF_37"/>
      <w:r w:rsidRPr="00C04BCE">
        <w:t>37.</w:t>
      </w:r>
      <w:r w:rsidRPr="00C04BCE">
        <w:tab/>
        <w:t>Jaspert A, Claus D, Grehl H, Neundorfer B. Multifocal motor neuropathy: Clinical and electrophysiological findings. Journal of Neurology. 1996;243(10):684-92.</w:t>
      </w:r>
      <w:bookmarkEnd w:id="475"/>
    </w:p>
    <w:p w14:paraId="69D35671" w14:textId="77777777" w:rsidR="00C04BCE" w:rsidRPr="00C04BCE" w:rsidRDefault="00C04BCE" w:rsidP="00C04BCE">
      <w:pPr>
        <w:pStyle w:val="EndNoteBibliography"/>
        <w:spacing w:after="0"/>
      </w:pPr>
      <w:bookmarkStart w:id="476" w:name="_ENREF_38"/>
      <w:r w:rsidRPr="00C04BCE">
        <w:t>38.</w:t>
      </w:r>
      <w:r w:rsidRPr="00C04BCE">
        <w:tab/>
        <w:t>Azulay JP, Rihet P, Pouget J, Cador F, Blin O, Boucraut J, et al. Long term follow up of multifocal motor neuropathy with conduction block under treatment. Journal of Neurology Neurosurgery and Psychiatry. 1997;62(4):391-4.</w:t>
      </w:r>
      <w:bookmarkEnd w:id="476"/>
    </w:p>
    <w:p w14:paraId="0CE12E00" w14:textId="77777777" w:rsidR="00C04BCE" w:rsidRPr="00C04BCE" w:rsidRDefault="00C04BCE" w:rsidP="00C04BCE">
      <w:pPr>
        <w:pStyle w:val="EndNoteBibliography"/>
        <w:spacing w:after="0"/>
      </w:pPr>
      <w:bookmarkStart w:id="477" w:name="_ENREF_39"/>
      <w:r w:rsidRPr="00C04BCE">
        <w:lastRenderedPageBreak/>
        <w:t>39.</w:t>
      </w:r>
      <w:r w:rsidRPr="00C04BCE">
        <w:tab/>
        <w:t>Grehl H, Jaspert A, Claus D, Neundorfer B. Long-term therapy with high-dose intravenous immunoglobulins (IVIG) in inflammatory neuropathies. European Journal of Neurology. 1997;4(3):266-73.</w:t>
      </w:r>
      <w:bookmarkEnd w:id="477"/>
    </w:p>
    <w:p w14:paraId="7D64F242" w14:textId="77777777" w:rsidR="00C04BCE" w:rsidRPr="00C04BCE" w:rsidRDefault="00C04BCE" w:rsidP="00C04BCE">
      <w:pPr>
        <w:pStyle w:val="EndNoteBibliography"/>
        <w:spacing w:after="0"/>
      </w:pPr>
      <w:bookmarkStart w:id="478" w:name="_ENREF_40"/>
      <w:r w:rsidRPr="00C04BCE">
        <w:t>40.</w:t>
      </w:r>
      <w:r w:rsidRPr="00C04BCE">
        <w:tab/>
        <w:t>Baumann A, Hess CW, Sturzenegger M. IVIg dose increase in multifocal motor neuropathy: a prospective six month follow-up. Journal of neurology. 2009;256(4):608-14.</w:t>
      </w:r>
      <w:bookmarkEnd w:id="478"/>
    </w:p>
    <w:p w14:paraId="20CB2752" w14:textId="77777777" w:rsidR="00C04BCE" w:rsidRPr="00C04BCE" w:rsidRDefault="00C04BCE" w:rsidP="00C04BCE">
      <w:pPr>
        <w:pStyle w:val="EndNoteBibliography"/>
        <w:spacing w:after="0"/>
      </w:pPr>
      <w:bookmarkStart w:id="479" w:name="_ENREF_41"/>
      <w:r w:rsidRPr="00C04BCE">
        <w:t>41.</w:t>
      </w:r>
      <w:r w:rsidRPr="00C04BCE">
        <w:tab/>
        <w:t>Nobile-Orazio E, Cocito D, Briani C, Plasmati R, Schenone A, Gallia F, et al. High-dose Ig VENA is well tolerated and efficacious in patients with multifocal motor neuropathy. Neurological Sciences. 2017;38(5):899-902.</w:t>
      </w:r>
      <w:bookmarkEnd w:id="479"/>
    </w:p>
    <w:p w14:paraId="2AABD4DF" w14:textId="77777777" w:rsidR="00C04BCE" w:rsidRPr="00C04BCE" w:rsidRDefault="00C04BCE" w:rsidP="00C04BCE">
      <w:pPr>
        <w:pStyle w:val="EndNoteBibliography"/>
        <w:spacing w:after="0"/>
      </w:pPr>
      <w:bookmarkStart w:id="480" w:name="_ENREF_42"/>
      <w:r w:rsidRPr="00C04BCE">
        <w:t>42.</w:t>
      </w:r>
      <w:r w:rsidRPr="00C04BCE">
        <w:tab/>
        <w:t>Not A, Theaudin-Saliou M, Cauquil C, Masnou P, Denier C, Sarov M, et al. Tolerance and safety of long-term intravenous immunoglobulin administration. Journal of the Peripheral Nervous System. 2012;17(2):263-4.</w:t>
      </w:r>
      <w:bookmarkEnd w:id="480"/>
    </w:p>
    <w:p w14:paraId="7691CA1B" w14:textId="77777777" w:rsidR="00C04BCE" w:rsidRPr="00C04BCE" w:rsidRDefault="00C04BCE" w:rsidP="00C04BCE">
      <w:pPr>
        <w:pStyle w:val="EndNoteBibliography"/>
        <w:spacing w:after="0"/>
      </w:pPr>
      <w:bookmarkStart w:id="481" w:name="_ENREF_43"/>
      <w:r w:rsidRPr="00C04BCE">
        <w:t>43.</w:t>
      </w:r>
      <w:r w:rsidRPr="00C04BCE">
        <w:tab/>
        <w:t>Rizk A, Gorson KC, Kenney L, Weinstein R. Transfusion-related acute lung injury after the infusion of IVIG. Transfusion. 2001;41(2):264-8.</w:t>
      </w:r>
      <w:bookmarkEnd w:id="481"/>
    </w:p>
    <w:p w14:paraId="680221DF" w14:textId="77777777" w:rsidR="00C04BCE" w:rsidRPr="00C04BCE" w:rsidRDefault="00C04BCE" w:rsidP="00C04BCE">
      <w:pPr>
        <w:pStyle w:val="EndNoteBibliography"/>
        <w:spacing w:after="0"/>
      </w:pPr>
      <w:bookmarkStart w:id="482" w:name="_ENREF_44"/>
      <w:r w:rsidRPr="00C04BCE">
        <w:t>44.</w:t>
      </w:r>
      <w:r w:rsidRPr="00C04BCE">
        <w:tab/>
        <w:t>Abbas A, Rajabally YA. Complications of Immunoglobulin Therapy and Implications for Treatment of Inflammatory Neuropathy: A Review. Current drug safety. 2019;14(1):3-13.</w:t>
      </w:r>
      <w:bookmarkEnd w:id="482"/>
    </w:p>
    <w:p w14:paraId="13B60EDB" w14:textId="77777777" w:rsidR="00C04BCE" w:rsidRPr="00C04BCE" w:rsidRDefault="00C04BCE" w:rsidP="00C04BCE">
      <w:pPr>
        <w:pStyle w:val="EndNoteBibliography"/>
        <w:spacing w:after="0"/>
      </w:pPr>
      <w:bookmarkStart w:id="483" w:name="_ENREF_45"/>
      <w:r w:rsidRPr="00C04BCE">
        <w:t>45.</w:t>
      </w:r>
      <w:r w:rsidRPr="00C04BCE">
        <w:tab/>
        <w:t>Higgins JPT, Thompson SG, Deeks JJ, Altman DG. Measuring inconsistency in meta-analyses. BMJ. 2003;327(7414):557-60.</w:t>
      </w:r>
      <w:bookmarkEnd w:id="483"/>
    </w:p>
    <w:p w14:paraId="7F4CF9E1" w14:textId="77777777" w:rsidR="00C04BCE" w:rsidRPr="00C04BCE" w:rsidRDefault="00C04BCE" w:rsidP="00C04BCE">
      <w:pPr>
        <w:pStyle w:val="EndNoteBibliography"/>
        <w:spacing w:after="0"/>
      </w:pPr>
      <w:bookmarkStart w:id="484" w:name="_ENREF_46"/>
      <w:r w:rsidRPr="00C04BCE">
        <w:t>46.</w:t>
      </w:r>
      <w:r w:rsidRPr="00C04BCE">
        <w:tab/>
        <w:t>Rajabally YA, Cavanna AE. Health-related quality of life in chronic inflammatory neuropathies: A systematic review. Journal of the Neurological Sciences. 2015;348(1-2):18-23.</w:t>
      </w:r>
      <w:bookmarkEnd w:id="484"/>
    </w:p>
    <w:p w14:paraId="7644E5FD" w14:textId="77777777" w:rsidR="00C04BCE" w:rsidRPr="00C04BCE" w:rsidRDefault="00C04BCE" w:rsidP="00C04BCE">
      <w:pPr>
        <w:pStyle w:val="EndNoteBibliography"/>
        <w:spacing w:after="0"/>
      </w:pPr>
      <w:bookmarkStart w:id="485" w:name="_ENREF_47"/>
      <w:r w:rsidRPr="00C04BCE">
        <w:t>47.</w:t>
      </w:r>
      <w:r w:rsidRPr="00C04BCE">
        <w:tab/>
        <w:t>Katz JS, Barohn RJ, Kojan S, Wolfe GI, Nations SP, Saperstein DS, et al. Axonal multifocal motor neuropathy without conduction block or other features of demyelination. Neurology. 2002;58(4):615-20.</w:t>
      </w:r>
      <w:bookmarkEnd w:id="485"/>
    </w:p>
    <w:p w14:paraId="6F3090CF" w14:textId="77777777" w:rsidR="00C04BCE" w:rsidRPr="00C04BCE" w:rsidRDefault="00C04BCE" w:rsidP="00C04BCE">
      <w:pPr>
        <w:pStyle w:val="EndNoteBibliography"/>
        <w:spacing w:after="0"/>
      </w:pPr>
      <w:bookmarkStart w:id="486" w:name="_ENREF_48"/>
      <w:r w:rsidRPr="00C04BCE">
        <w:t>48.</w:t>
      </w:r>
      <w:r w:rsidRPr="00C04BCE">
        <w:tab/>
        <w:t>Padua L, Aprile I, Caliandro P, Padua R, Mazza S, Tonali P. Intravenous immunoglobulin treatment in autoimmune neurological disorders: pilot study on early effects on patients' quality of life. J Peripher Nerv Syst. 2004;9(1):3-6.</w:t>
      </w:r>
      <w:bookmarkEnd w:id="486"/>
    </w:p>
    <w:p w14:paraId="7F20F7B3" w14:textId="77777777" w:rsidR="00C04BCE" w:rsidRPr="00C04BCE" w:rsidRDefault="00C04BCE" w:rsidP="00C04BCE">
      <w:pPr>
        <w:pStyle w:val="EndNoteBibliography"/>
        <w:spacing w:after="0"/>
      </w:pPr>
      <w:bookmarkStart w:id="487" w:name="_ENREF_49"/>
      <w:r w:rsidRPr="00C04BCE">
        <w:t>49.</w:t>
      </w:r>
      <w:r w:rsidRPr="00C04BCE">
        <w:tab/>
        <w:t>Padua L, Sabatelli M, Evoli A, Pazzaglia C, Tonali P. Intravenous immunoglobulin treatment in autoimmune neurological disorders--effects on quality of life. Human immunology. 2005;66(4):417-21.</w:t>
      </w:r>
      <w:bookmarkEnd w:id="487"/>
    </w:p>
    <w:p w14:paraId="32C79580" w14:textId="77777777" w:rsidR="00C04BCE" w:rsidRPr="00C04BCE" w:rsidRDefault="00C04BCE" w:rsidP="00C04BCE">
      <w:pPr>
        <w:pStyle w:val="EndNoteBibliography"/>
        <w:spacing w:after="0"/>
      </w:pPr>
      <w:bookmarkStart w:id="488" w:name="_ENREF_50"/>
      <w:r w:rsidRPr="00C04BCE">
        <w:t>50.</w:t>
      </w:r>
      <w:r w:rsidRPr="00C04BCE">
        <w:tab/>
        <w:t>Eftimov F, Vermeulen M, De Haan RJ, Van Den Berg LH, Van Schaik IN. Subcutaneous immunoglobulin therapy for multifocal motor neuropathy. Journal of the Peripheral Nervous System. 2009;14(2):93-100.</w:t>
      </w:r>
      <w:bookmarkEnd w:id="488"/>
    </w:p>
    <w:p w14:paraId="6BB19354" w14:textId="77777777" w:rsidR="00C04BCE" w:rsidRPr="00C04BCE" w:rsidRDefault="00C04BCE" w:rsidP="00C04BCE">
      <w:pPr>
        <w:pStyle w:val="EndNoteBibliography"/>
        <w:spacing w:after="0"/>
      </w:pPr>
      <w:bookmarkStart w:id="489" w:name="_ENREF_51"/>
      <w:r w:rsidRPr="00C04BCE">
        <w:t>51.</w:t>
      </w:r>
      <w:r w:rsidRPr="00C04BCE">
        <w:tab/>
        <w:t>Misbah SA, Baumann A, Fazio R, Dacci P, Schmidt DS, Burton J, et al. A smooth transition protocol for patients with multifocal motor neuropathy going from intravenous to subcutaneous immunoglobulin therapy: An open-label proof-of-concept study. Journal of the Peripheral Nervous System. 2011;16(2):92-7.</w:t>
      </w:r>
      <w:bookmarkEnd w:id="489"/>
    </w:p>
    <w:p w14:paraId="57897BD2" w14:textId="77777777" w:rsidR="00C04BCE" w:rsidRPr="00C04BCE" w:rsidRDefault="00C04BCE" w:rsidP="00C04BCE">
      <w:pPr>
        <w:pStyle w:val="EndNoteBibliography"/>
        <w:spacing w:after="0"/>
      </w:pPr>
      <w:bookmarkStart w:id="490" w:name="_ENREF_52"/>
      <w:r w:rsidRPr="00C04BCE">
        <w:t>52.</w:t>
      </w:r>
      <w:r w:rsidRPr="00C04BCE">
        <w:tab/>
        <w:t>Braine ME, Woodall A. A comparison between intravenous and subcutmaneous immunogobulin. British journal of nursing (Mark Allen Publishing). 2012;21(8):S21-7.</w:t>
      </w:r>
      <w:bookmarkEnd w:id="490"/>
    </w:p>
    <w:p w14:paraId="0D4EE9B7" w14:textId="77777777" w:rsidR="00C04BCE" w:rsidRPr="00C04BCE" w:rsidRDefault="00C04BCE" w:rsidP="00C04BCE">
      <w:pPr>
        <w:pStyle w:val="EndNoteBibliography"/>
        <w:spacing w:after="0"/>
      </w:pPr>
      <w:bookmarkStart w:id="491" w:name="_ENREF_53"/>
      <w:r w:rsidRPr="00C04BCE">
        <w:t>53.</w:t>
      </w:r>
      <w:r w:rsidRPr="00C04BCE">
        <w:tab/>
        <w:t>Mahdi-Rogers M, McCrone P, Hughes RA. Economic costs and quality of life in chronic inflammatory neuropathies in southeast England. Eur J Neurol. 2014;21(1):34-9.</w:t>
      </w:r>
      <w:bookmarkEnd w:id="491"/>
    </w:p>
    <w:p w14:paraId="5BCE9DCF" w14:textId="77777777" w:rsidR="00C04BCE" w:rsidRPr="00C04BCE" w:rsidRDefault="00C04BCE" w:rsidP="00C04BCE">
      <w:pPr>
        <w:pStyle w:val="EndNoteBibliography"/>
        <w:spacing w:after="0"/>
      </w:pPr>
      <w:bookmarkStart w:id="492" w:name="_ENREF_54"/>
      <w:r w:rsidRPr="00C04BCE">
        <w:t>54.</w:t>
      </w:r>
      <w:r w:rsidRPr="00C04BCE">
        <w:tab/>
        <w:t>Bozovic I, Peric S, Basta I, Kacar A, Nikolic A, Belanovic B, et al. Quality of life in patients with multifocal motor neuropathy from Serbia. Journal of the Neurological Sciences. 2019;399:151-4.</w:t>
      </w:r>
      <w:bookmarkEnd w:id="492"/>
    </w:p>
    <w:p w14:paraId="53A69563" w14:textId="77777777" w:rsidR="00C04BCE" w:rsidRPr="00C04BCE" w:rsidRDefault="00C04BCE" w:rsidP="00C04BCE">
      <w:pPr>
        <w:pStyle w:val="EndNoteBibliography"/>
        <w:spacing w:after="0"/>
      </w:pPr>
      <w:bookmarkStart w:id="493" w:name="_ENREF_55"/>
      <w:r w:rsidRPr="00C04BCE">
        <w:t>55.</w:t>
      </w:r>
      <w:r w:rsidRPr="00C04BCE">
        <w:tab/>
        <w:t>Delmont E, Azulay JP, Giorgi R, Attarian S, Verschueren A, Uzenot D, et al. Multifocal motor neuropathy with and without conduction block: A single entity? Neurology. 2006;67(4):592-6.</w:t>
      </w:r>
      <w:bookmarkEnd w:id="493"/>
    </w:p>
    <w:p w14:paraId="645C67E1" w14:textId="77777777" w:rsidR="00C04BCE" w:rsidRPr="00C04BCE" w:rsidRDefault="00C04BCE" w:rsidP="00C04BCE">
      <w:pPr>
        <w:pStyle w:val="EndNoteBibliography"/>
        <w:spacing w:after="0"/>
      </w:pPr>
      <w:bookmarkStart w:id="494" w:name="_ENREF_56"/>
      <w:r w:rsidRPr="00C04BCE">
        <w:t>56.</w:t>
      </w:r>
      <w:r w:rsidRPr="00C04BCE">
        <w:tab/>
        <w:t>Slee M, Selvan A, Donaghy M. Multifocal motor neuropathy: The diagnostic spectrum and response to treatment. Neurology. 2007;69(17):1680-7.</w:t>
      </w:r>
      <w:bookmarkEnd w:id="494"/>
    </w:p>
    <w:p w14:paraId="293EB4D9" w14:textId="77777777" w:rsidR="00C04BCE" w:rsidRPr="00C04BCE" w:rsidRDefault="00C04BCE" w:rsidP="00C04BCE">
      <w:pPr>
        <w:pStyle w:val="EndNoteBibliography"/>
        <w:spacing w:after="0"/>
      </w:pPr>
      <w:bookmarkStart w:id="495" w:name="_ENREF_57"/>
      <w:r w:rsidRPr="00C04BCE">
        <w:t>57.</w:t>
      </w:r>
      <w:r w:rsidRPr="00C04BCE">
        <w:tab/>
        <w:t>Kind P, Hardman G, Macran S. UK Population Norms for EQ-5D. York: University of York; 1999.</w:t>
      </w:r>
      <w:bookmarkEnd w:id="495"/>
    </w:p>
    <w:p w14:paraId="43745FB0" w14:textId="77777777" w:rsidR="00C04BCE" w:rsidRPr="00C04BCE" w:rsidRDefault="00C04BCE" w:rsidP="00C04BCE">
      <w:pPr>
        <w:pStyle w:val="EndNoteBibliography"/>
        <w:spacing w:after="0"/>
      </w:pPr>
      <w:bookmarkStart w:id="496" w:name="_ENREF_58"/>
      <w:r w:rsidRPr="00C04BCE">
        <w:lastRenderedPageBreak/>
        <w:t>58.</w:t>
      </w:r>
      <w:r w:rsidRPr="00C04BCE">
        <w:tab/>
        <w:t>Kobelt G, Berg J, Lindgren P, Kerrigan J, Russell N, Nixon R. Costs and quality of life of multiple sclerosis in the United Kingdom. The European journal of health economics : HEPAC : health economics in prevention and care. 2006;7 Suppl 2:S96-104.</w:t>
      </w:r>
      <w:bookmarkEnd w:id="496"/>
    </w:p>
    <w:p w14:paraId="5192A7FA" w14:textId="77777777" w:rsidR="00C04BCE" w:rsidRPr="00C04BCE" w:rsidRDefault="00C04BCE" w:rsidP="00C04BCE">
      <w:pPr>
        <w:pStyle w:val="EndNoteBibliography"/>
        <w:spacing w:after="0"/>
      </w:pPr>
      <w:bookmarkStart w:id="497" w:name="_ENREF_59"/>
      <w:r w:rsidRPr="00C04BCE">
        <w:t>59.</w:t>
      </w:r>
      <w:r w:rsidRPr="00C04BCE">
        <w:tab/>
        <w:t>Schrag A, Jahanshahi M, Quinn N. How does Parkinson's disease affect quality of life? A comparison with quality of life in the general population. Movement disorders : official journal of the Movement Disorder Society. 2000;15(6):1112-8.</w:t>
      </w:r>
      <w:bookmarkEnd w:id="497"/>
    </w:p>
    <w:p w14:paraId="4B1F6BD4" w14:textId="77777777" w:rsidR="00C04BCE" w:rsidRPr="00C04BCE" w:rsidRDefault="00C04BCE" w:rsidP="00C04BCE">
      <w:pPr>
        <w:pStyle w:val="EndNoteBibliography"/>
        <w:spacing w:after="0"/>
      </w:pPr>
      <w:bookmarkStart w:id="498" w:name="_ENREF_60"/>
      <w:r w:rsidRPr="00C04BCE">
        <w:t>60.</w:t>
      </w:r>
      <w:r w:rsidRPr="00C04BCE">
        <w:tab/>
        <w:t>McCrone P, Chisholm D, Knapp M, Hughes R, Comi G, Dalakas MC, et al. Cost-utility analysis of intravenous immunoglobulin and prednisolone for chronic inflammatory demyelinating polyradiculoneuropathy. Eur J Neurol. 2003;10(6):687-94.</w:t>
      </w:r>
      <w:bookmarkEnd w:id="498"/>
    </w:p>
    <w:p w14:paraId="47251F72" w14:textId="77777777" w:rsidR="00C04BCE" w:rsidRPr="00C04BCE" w:rsidRDefault="00C04BCE" w:rsidP="00C04BCE">
      <w:pPr>
        <w:pStyle w:val="EndNoteBibliography"/>
        <w:spacing w:after="0"/>
      </w:pPr>
      <w:bookmarkStart w:id="499" w:name="_ENREF_61"/>
      <w:r w:rsidRPr="00C04BCE">
        <w:t>61.</w:t>
      </w:r>
      <w:r w:rsidRPr="00C04BCE">
        <w:tab/>
        <w:t>Blackhouse G, Gaebel K, Xie F, Campbell K, Assasi N, Tarride JE, et al. Cost-utility of Intravenous Immunoglobulin (IVIG) compared with corticosteroids for the treatment of Chronic Inflammatory Demyelinating Polyneuropathy (CIDP) in Canada. Cost effectiveness and resource allocation : C/E. 2010;8:14.</w:t>
      </w:r>
      <w:bookmarkEnd w:id="499"/>
    </w:p>
    <w:p w14:paraId="08990713" w14:textId="77777777" w:rsidR="00C04BCE" w:rsidRPr="00C04BCE" w:rsidRDefault="00C04BCE" w:rsidP="00C04BCE">
      <w:pPr>
        <w:pStyle w:val="EndNoteBibliography"/>
        <w:spacing w:after="0"/>
      </w:pPr>
      <w:bookmarkStart w:id="500" w:name="_ENREF_62"/>
      <w:r w:rsidRPr="00C04BCE">
        <w:t>62.</w:t>
      </w:r>
      <w:r w:rsidRPr="00C04BCE">
        <w:tab/>
        <w:t>Bamrungsawad N, Upakdee N, Pratoomsoot C, Sruamsiri R, Dilokthornsakul P, Dechanont S, et al. Economic Evaluation of Intravenous Immunoglobulin plus Corticosteroids for the Treatment of Steroid-Resistant Chronic Inflammatory Demyelinating Polyradiculoneuropathy in Thailand. Clinical drug investigation. 2016;36(7):557-66.</w:t>
      </w:r>
      <w:bookmarkEnd w:id="500"/>
    </w:p>
    <w:p w14:paraId="53BC7849" w14:textId="77777777" w:rsidR="00C04BCE" w:rsidRPr="00C04BCE" w:rsidRDefault="00C04BCE" w:rsidP="00C04BCE">
      <w:pPr>
        <w:pStyle w:val="EndNoteBibliography"/>
        <w:spacing w:after="0"/>
      </w:pPr>
      <w:bookmarkStart w:id="501" w:name="_ENREF_63"/>
      <w:r w:rsidRPr="00C04BCE">
        <w:t>63.</w:t>
      </w:r>
      <w:r w:rsidRPr="00C04BCE">
        <w:tab/>
        <w:t>Gaebel K, Blackhouse G, Campbell K, Robertson D, Xie F, Assasi N, et al. Intravenous Immunoglobulin for Chronic Inflammatory Demyelinating Polyneuropathy: Clinical- and Cost-Effectiveness Analyses. Ottawa: Canadian Agency for Drugs and Technologies in Health; 2009.</w:t>
      </w:r>
      <w:bookmarkEnd w:id="501"/>
    </w:p>
    <w:p w14:paraId="334005C0" w14:textId="77777777" w:rsidR="00C04BCE" w:rsidRPr="00C04BCE" w:rsidRDefault="00C04BCE" w:rsidP="00C04BCE">
      <w:pPr>
        <w:pStyle w:val="EndNoteBibliography"/>
        <w:spacing w:after="0"/>
      </w:pPr>
      <w:bookmarkStart w:id="502" w:name="_ENREF_64"/>
      <w:r w:rsidRPr="00C04BCE">
        <w:t>64.</w:t>
      </w:r>
      <w:r w:rsidRPr="00C04BCE">
        <w:tab/>
        <w:t>Life Tables, States, Territories and Australia, 2016-2018 In: ABS, editor. 3302.0.55.001 ed. Canberra2016-2018.</w:t>
      </w:r>
      <w:bookmarkEnd w:id="502"/>
    </w:p>
    <w:p w14:paraId="55AE5993" w14:textId="77777777" w:rsidR="00C04BCE" w:rsidRPr="00C04BCE" w:rsidRDefault="00C04BCE" w:rsidP="00C04BCE">
      <w:pPr>
        <w:pStyle w:val="EndNoteBibliography"/>
        <w:spacing w:after="0"/>
      </w:pPr>
      <w:bookmarkStart w:id="503" w:name="_ENREF_65"/>
      <w:r w:rsidRPr="00C04BCE">
        <w:t>65.</w:t>
      </w:r>
      <w:r w:rsidRPr="00C04BCE">
        <w:tab/>
        <w:t>Guy H, Laskier V, Fisher M, Neuman WR, Bucior I, Deitelzweig S, et al. Cost-Effectiveness of Betrixaban Compared with Enoxaparin for Venous Thromboembolism Prophylaxis in Nonsurgical Patients with Acute Medical Illness in the United States. PharmacoEconomics. 2019;37(5):701-14.</w:t>
      </w:r>
      <w:bookmarkEnd w:id="503"/>
    </w:p>
    <w:p w14:paraId="4308844B" w14:textId="77777777" w:rsidR="00C04BCE" w:rsidRPr="00C04BCE" w:rsidRDefault="00C04BCE" w:rsidP="00C04BCE">
      <w:pPr>
        <w:pStyle w:val="EndNoteBibliography"/>
        <w:spacing w:after="0"/>
      </w:pPr>
      <w:bookmarkStart w:id="504" w:name="_ENREF_66"/>
      <w:r w:rsidRPr="00C04BCE">
        <w:t>66.</w:t>
      </w:r>
      <w:r w:rsidRPr="00C04BCE">
        <w:tab/>
        <w:t>Department of Health. Technical Guidelines for preparing assessment reports for the Medical Services Advisory Committee – Medical Service Type: Therapeutic (Version 2.0). In: Health Do, editor. Canberra2016.</w:t>
      </w:r>
      <w:bookmarkEnd w:id="504"/>
    </w:p>
    <w:p w14:paraId="6BA93052" w14:textId="77777777" w:rsidR="00C04BCE" w:rsidRPr="00C04BCE" w:rsidRDefault="00C04BCE" w:rsidP="00C04BCE">
      <w:pPr>
        <w:pStyle w:val="EndNoteBibliography"/>
        <w:spacing w:after="0"/>
      </w:pPr>
      <w:bookmarkStart w:id="505" w:name="_ENREF_67"/>
      <w:r w:rsidRPr="00C04BCE">
        <w:t>67.</w:t>
      </w:r>
      <w:r w:rsidRPr="00C04BCE">
        <w:tab/>
        <w:t>Milverton J, Schubert C, Ellery B, Morona J, Parsons J. Immunoglobulin for myasthenia gravis. Canberra, ACT: Commonwealth of Australia; 2019.</w:t>
      </w:r>
      <w:bookmarkEnd w:id="505"/>
    </w:p>
    <w:p w14:paraId="065E3572" w14:textId="77777777" w:rsidR="00C04BCE" w:rsidRPr="00C04BCE" w:rsidRDefault="00C04BCE" w:rsidP="00C04BCE">
      <w:pPr>
        <w:pStyle w:val="EndNoteBibliography"/>
        <w:spacing w:after="0"/>
      </w:pPr>
      <w:bookmarkStart w:id="506" w:name="_ENREF_68"/>
      <w:r w:rsidRPr="00C04BCE">
        <w:t>68.</w:t>
      </w:r>
      <w:r w:rsidRPr="00C04BCE">
        <w:tab/>
        <w:t>Leger JM, Younes-Chennoufi AB, Chassande B, Davila G, Bouche P, Baumann N, et al. Human immunoglobulin treatment of multifocal motor neuropathy and polyneuropathy associated with monoclonal gammopathy. Journal of Neurology Neurosurgery and Psychiatry. 1994;57(SUPPL.):46-9.</w:t>
      </w:r>
      <w:bookmarkEnd w:id="506"/>
    </w:p>
    <w:p w14:paraId="44170B45" w14:textId="77777777" w:rsidR="00C04BCE" w:rsidRPr="00C04BCE" w:rsidRDefault="00C04BCE" w:rsidP="00C04BCE">
      <w:pPr>
        <w:pStyle w:val="EndNoteBibliography"/>
        <w:spacing w:after="0"/>
      </w:pPr>
      <w:bookmarkStart w:id="507" w:name="_ENREF_69"/>
      <w:r w:rsidRPr="00C04BCE">
        <w:t>69.</w:t>
      </w:r>
      <w:r w:rsidRPr="00C04BCE">
        <w:tab/>
        <w:t>Comi G, Amadio S, Galardi G, Fazio R, Nemni R. Clinical and neurophysiological assessment of immunoglobulin therapy in five patients with multifocal motor neuropathy. Journal of Neurology Neurosurgery and Psychiatry. 1994;57(SUPPL.):35-7.</w:t>
      </w:r>
      <w:bookmarkEnd w:id="507"/>
    </w:p>
    <w:p w14:paraId="4B1EF6BD" w14:textId="77777777" w:rsidR="00C04BCE" w:rsidRPr="00C04BCE" w:rsidRDefault="00C04BCE" w:rsidP="00C04BCE">
      <w:pPr>
        <w:pStyle w:val="EndNoteBibliography"/>
        <w:spacing w:after="0"/>
      </w:pPr>
      <w:bookmarkStart w:id="508" w:name="_ENREF_70"/>
      <w:r w:rsidRPr="00C04BCE">
        <w:t>70.</w:t>
      </w:r>
      <w:r w:rsidRPr="00C04BCE">
        <w:tab/>
        <w:t>Van den Berg LH, Franssen H, Wokke JH. Improvement of multifocal motor neuropathy during long-term weekly treatment with human immunoglobulin. Neurology. 1995;45(5):987-8.</w:t>
      </w:r>
      <w:bookmarkEnd w:id="508"/>
    </w:p>
    <w:p w14:paraId="4B579E01" w14:textId="77777777" w:rsidR="00C04BCE" w:rsidRPr="00C04BCE" w:rsidRDefault="00C04BCE" w:rsidP="00C04BCE">
      <w:pPr>
        <w:pStyle w:val="EndNoteBibliography"/>
        <w:spacing w:after="0"/>
      </w:pPr>
      <w:bookmarkStart w:id="509" w:name="_ENREF_71"/>
      <w:r w:rsidRPr="00C04BCE">
        <w:t>71.</w:t>
      </w:r>
      <w:r w:rsidRPr="00C04BCE">
        <w:tab/>
        <w:t>Nobile-Orazio E, Cappellari A, Meucci N, Carpo M, Terenghi F, Bersano A, et al. Multifocal motor neuropathy: clinical and immunological features and response to IVIg in relation to the presence and degree of motor conduction block. Journal of neurology, neurosurgery, and psychiatry. 2002;72(6):761-6.</w:t>
      </w:r>
      <w:bookmarkEnd w:id="509"/>
    </w:p>
    <w:p w14:paraId="37E4811E" w14:textId="77777777" w:rsidR="00C04BCE" w:rsidRPr="00C04BCE" w:rsidRDefault="00C04BCE" w:rsidP="00C04BCE">
      <w:pPr>
        <w:pStyle w:val="EndNoteBibliography"/>
        <w:spacing w:after="0"/>
      </w:pPr>
      <w:bookmarkStart w:id="510" w:name="_ENREF_72"/>
      <w:r w:rsidRPr="00C04BCE">
        <w:t>72.</w:t>
      </w:r>
      <w:r w:rsidRPr="00C04BCE">
        <w:tab/>
        <w:t>Van den Berg-Vos RM, Franssen H, Visser J, de Visser M, de Haan RJ, Wokke JH, et al. Disease severity in multifocal motor neuropathy and its association with the response to immunoglobulin treatment. J Neurol. 2002;249(3):330-6.</w:t>
      </w:r>
      <w:bookmarkEnd w:id="510"/>
    </w:p>
    <w:p w14:paraId="01BA313F" w14:textId="77777777" w:rsidR="00C04BCE" w:rsidRPr="00C04BCE" w:rsidRDefault="00C04BCE" w:rsidP="00C04BCE">
      <w:pPr>
        <w:pStyle w:val="EndNoteBibliography"/>
        <w:spacing w:after="0"/>
      </w:pPr>
      <w:bookmarkStart w:id="511" w:name="_ENREF_73"/>
      <w:r w:rsidRPr="00C04BCE">
        <w:t>73.</w:t>
      </w:r>
      <w:r w:rsidRPr="00C04BCE">
        <w:tab/>
        <w:t>Vlam L, Van Den Berg LH, Cats EA, Piepers S, Van Der Pol WL. Immune pathogenesis and treatment of multifocal motor neuropathy. Journal of Clinical Immunology. 2013;33(SUPPL.1):S38-S42.</w:t>
      </w:r>
      <w:bookmarkEnd w:id="511"/>
    </w:p>
    <w:p w14:paraId="0EC09BC4" w14:textId="77777777" w:rsidR="00C04BCE" w:rsidRPr="00C04BCE" w:rsidRDefault="00C04BCE" w:rsidP="00C04BCE">
      <w:pPr>
        <w:pStyle w:val="EndNoteBibliography"/>
        <w:spacing w:after="0"/>
      </w:pPr>
      <w:bookmarkStart w:id="512" w:name="_ENREF_74"/>
      <w:r w:rsidRPr="00C04BCE">
        <w:lastRenderedPageBreak/>
        <w:t>74.</w:t>
      </w:r>
      <w:r w:rsidRPr="00C04BCE">
        <w:tab/>
        <w:t>Goedee S, Herraets I, Visser L, Telleman J, Van Asseldonk T, Franssen H, et al. Nerve ultrasound for the identification of treatment-responsive chronic neuropathies without nerve conduction abnormalities. Journal of the Peripheral Nervous System. 2018;23(4):275-6.</w:t>
      </w:r>
      <w:bookmarkEnd w:id="512"/>
    </w:p>
    <w:p w14:paraId="3AD3E30D" w14:textId="77777777" w:rsidR="00C04BCE" w:rsidRPr="00C04BCE" w:rsidRDefault="00C04BCE" w:rsidP="00C04BCE">
      <w:pPr>
        <w:pStyle w:val="EndNoteBibliography"/>
        <w:spacing w:after="0"/>
      </w:pPr>
      <w:bookmarkStart w:id="513" w:name="_ENREF_75"/>
      <w:r w:rsidRPr="00C04BCE">
        <w:t>75.</w:t>
      </w:r>
      <w:r w:rsidRPr="00C04BCE">
        <w:tab/>
        <w:t>van Swieten JC, Koudstaal PJ, Visser MC, Schouten HJ, van Gijn J. Interobserver agreement for the assessment of handicap in stroke patients. Stroke. 1988;19(5):604-7.</w:t>
      </w:r>
      <w:bookmarkEnd w:id="513"/>
    </w:p>
    <w:p w14:paraId="1E62959D" w14:textId="77777777" w:rsidR="00C04BCE" w:rsidRPr="00C04BCE" w:rsidRDefault="00C04BCE" w:rsidP="00C04BCE">
      <w:pPr>
        <w:pStyle w:val="EndNoteBibliography"/>
        <w:spacing w:after="0"/>
      </w:pPr>
      <w:bookmarkStart w:id="514" w:name="_ENREF_76"/>
      <w:r w:rsidRPr="00C04BCE">
        <w:t>76.</w:t>
      </w:r>
      <w:r w:rsidRPr="00C04BCE">
        <w:tab/>
        <w:t>Kleyweg RP, van der Meche FG, Schmitz PI. Interobserver agreement in the assessment of muscle strength and functional abilities in Guillain-Barre syndrome. Muscle Nerve. 1991;14(11):1103-9.</w:t>
      </w:r>
      <w:bookmarkEnd w:id="514"/>
    </w:p>
    <w:p w14:paraId="48AAC52F" w14:textId="77777777" w:rsidR="00C04BCE" w:rsidRPr="00C04BCE" w:rsidRDefault="00C04BCE" w:rsidP="00C04BCE">
      <w:pPr>
        <w:pStyle w:val="EndNoteBibliography"/>
        <w:spacing w:after="0"/>
      </w:pPr>
      <w:bookmarkStart w:id="515" w:name="_ENREF_77"/>
      <w:r w:rsidRPr="00C04BCE">
        <w:t>77.</w:t>
      </w:r>
      <w:r w:rsidRPr="00C04BCE">
        <w:tab/>
        <w:t>Dyck P, O'Brien P, Oviatt K, Dinapoli R, Daube J, Bartleson Jea. Prednisone improves chronic inflammatory demyelinating polyradiculoneuropathy more than no treatment. Annals of Neurology. 1982;11(2):136-41.</w:t>
      </w:r>
      <w:bookmarkEnd w:id="515"/>
    </w:p>
    <w:p w14:paraId="2BF4EBBE" w14:textId="77777777" w:rsidR="00C04BCE" w:rsidRPr="00C04BCE" w:rsidRDefault="00C04BCE" w:rsidP="00C04BCE">
      <w:pPr>
        <w:pStyle w:val="EndNoteBibliography"/>
      </w:pPr>
      <w:bookmarkStart w:id="516" w:name="_ENREF_78"/>
      <w:r w:rsidRPr="00C04BCE">
        <w:t>78.</w:t>
      </w:r>
      <w:r w:rsidRPr="00C04BCE">
        <w:tab/>
        <w:t>Sharrack B, Hughes RA. The Guy's Neurological Disability Scale (GNDS): a new disability measure for multiple sclerosis. Multiple sclerosis (Houndmills, Basingstoke, England). 1999;5(4):223-33.</w:t>
      </w:r>
      <w:bookmarkEnd w:id="516"/>
    </w:p>
    <w:p w14:paraId="6D00FDE7" w14:textId="01F8417C" w:rsidR="0093426A" w:rsidRPr="008C652F" w:rsidRDefault="00DB568A" w:rsidP="00DD08A9">
      <w:r w:rsidRPr="00DA3C6E">
        <w:fldChar w:fldCharType="end"/>
      </w:r>
    </w:p>
    <w:sectPr w:rsidR="0093426A" w:rsidRPr="008C652F" w:rsidSect="0080059D">
      <w:headerReference w:type="even" r:id="rId46"/>
      <w:headerReference w:type="default" r:id="rId47"/>
      <w:footerReference w:type="even" r:id="rId48"/>
      <w:headerReference w:type="first" r:id="rId49"/>
      <w:pgSz w:w="11906" w:h="16838"/>
      <w:pgMar w:top="1440" w:right="1440" w:bottom="1440" w:left="1440" w:header="720" w:footer="720" w:gutter="0"/>
      <w:paperSrc w:first="7" w:other="7"/>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0E9A79" w16cid:durableId="224013E1"/>
  <w16cid:commentId w16cid:paraId="6848F835" w16cid:durableId="224013E2"/>
  <w16cid:commentId w16cid:paraId="52670ACE" w16cid:durableId="224013E3"/>
  <w16cid:commentId w16cid:paraId="56165CD9" w16cid:durableId="224013E4"/>
  <w16cid:commentId w16cid:paraId="32F4CCC5" w16cid:durableId="224013E5"/>
  <w16cid:commentId w16cid:paraId="74607688" w16cid:durableId="224013E6"/>
  <w16cid:commentId w16cid:paraId="33B03EDC" w16cid:durableId="224013E7"/>
  <w16cid:commentId w16cid:paraId="0B6856B7" w16cid:durableId="224013E8"/>
  <w16cid:commentId w16cid:paraId="3CD36753" w16cid:durableId="224013E9"/>
  <w16cid:commentId w16cid:paraId="152FA183" w16cid:durableId="224013EA"/>
  <w16cid:commentId w16cid:paraId="5F53E792" w16cid:durableId="224013EB"/>
  <w16cid:commentId w16cid:paraId="30E7A2BB" w16cid:durableId="224013EC"/>
  <w16cid:commentId w16cid:paraId="415ABFD8" w16cid:durableId="224013ED"/>
  <w16cid:commentId w16cid:paraId="517E8820" w16cid:durableId="224013EE"/>
  <w16cid:commentId w16cid:paraId="7E39187A" w16cid:durableId="224013EF"/>
  <w16cid:commentId w16cid:paraId="6F6CECE4" w16cid:durableId="224013F0"/>
  <w16cid:commentId w16cid:paraId="40C8C84F" w16cid:durableId="224013F1"/>
  <w16cid:commentId w16cid:paraId="71B964AD" w16cid:durableId="224013F2"/>
  <w16cid:commentId w16cid:paraId="705822DA" w16cid:durableId="224013F3"/>
  <w16cid:commentId w16cid:paraId="003DF584" w16cid:durableId="224013F4"/>
  <w16cid:commentId w16cid:paraId="03504704" w16cid:durableId="224013F5"/>
  <w16cid:commentId w16cid:paraId="39C113E2" w16cid:durableId="224013F6"/>
  <w16cid:commentId w16cid:paraId="3F249E1E" w16cid:durableId="224013F7"/>
  <w16cid:commentId w16cid:paraId="7AD2CDA5" w16cid:durableId="224013F8"/>
  <w16cid:commentId w16cid:paraId="0428309A" w16cid:durableId="224013F9"/>
  <w16cid:commentId w16cid:paraId="14DD2897" w16cid:durableId="224013FA"/>
  <w16cid:commentId w16cid:paraId="036AD584" w16cid:durableId="224013FB"/>
  <w16cid:commentId w16cid:paraId="348DE652" w16cid:durableId="224013FC"/>
  <w16cid:commentId w16cid:paraId="42C9A890" w16cid:durableId="224013FD"/>
  <w16cid:commentId w16cid:paraId="4D546ECF" w16cid:durableId="224013FE"/>
  <w16cid:commentId w16cid:paraId="3B2BD484" w16cid:durableId="224013FF"/>
  <w16cid:commentId w16cid:paraId="1B849336" w16cid:durableId="22401400"/>
  <w16cid:commentId w16cid:paraId="48104E7E" w16cid:durableId="22401401"/>
  <w16cid:commentId w16cid:paraId="34A00361" w16cid:durableId="22401402"/>
  <w16cid:commentId w16cid:paraId="79AE5E47" w16cid:durableId="22401403"/>
  <w16cid:commentId w16cid:paraId="3163B2EB" w16cid:durableId="22401404"/>
  <w16cid:commentId w16cid:paraId="58D3B537" w16cid:durableId="22401405"/>
  <w16cid:commentId w16cid:paraId="4CDBE2A2" w16cid:durableId="22401406"/>
  <w16cid:commentId w16cid:paraId="2A925105" w16cid:durableId="22401407"/>
  <w16cid:commentId w16cid:paraId="4A3B036F" w16cid:durableId="22401408"/>
  <w16cid:commentId w16cid:paraId="54FF9243" w16cid:durableId="22401409"/>
  <w16cid:commentId w16cid:paraId="6B9B057B" w16cid:durableId="2240140A"/>
  <w16cid:commentId w16cid:paraId="352E242A" w16cid:durableId="2240140B"/>
  <w16cid:commentId w16cid:paraId="462E2910" w16cid:durableId="2240140C"/>
  <w16cid:commentId w16cid:paraId="73EA216D" w16cid:durableId="2240140D"/>
  <w16cid:commentId w16cid:paraId="781151E6" w16cid:durableId="2240140E"/>
  <w16cid:commentId w16cid:paraId="66CC3EFB" w16cid:durableId="2240140F"/>
  <w16cid:commentId w16cid:paraId="44991FA4" w16cid:durableId="22401410"/>
  <w16cid:commentId w16cid:paraId="415FA51A" w16cid:durableId="22401411"/>
  <w16cid:commentId w16cid:paraId="0D4DBE13" w16cid:durableId="22401412"/>
  <w16cid:commentId w16cid:paraId="7A819A64" w16cid:durableId="22401413"/>
  <w16cid:commentId w16cid:paraId="590CF712" w16cid:durableId="22401414"/>
  <w16cid:commentId w16cid:paraId="616F5A68" w16cid:durableId="22401415"/>
  <w16cid:commentId w16cid:paraId="07EC4511" w16cid:durableId="22401416"/>
  <w16cid:commentId w16cid:paraId="0E224544" w16cid:durableId="22401417"/>
  <w16cid:commentId w16cid:paraId="53C7FBFF" w16cid:durableId="22401418"/>
  <w16cid:commentId w16cid:paraId="3A1B4B9D" w16cid:durableId="22401419"/>
  <w16cid:commentId w16cid:paraId="4430A80B" w16cid:durableId="2240141A"/>
  <w16cid:commentId w16cid:paraId="19AB77F4" w16cid:durableId="2240141B"/>
  <w16cid:commentId w16cid:paraId="622589D4" w16cid:durableId="2240141C"/>
  <w16cid:commentId w16cid:paraId="12D24C57" w16cid:durableId="22403EB6"/>
  <w16cid:commentId w16cid:paraId="1192F42F" w16cid:durableId="2240141E"/>
  <w16cid:commentId w16cid:paraId="4DAE75F5" w16cid:durableId="2240141F"/>
  <w16cid:commentId w16cid:paraId="38F00B66" w16cid:durableId="22401420"/>
  <w16cid:commentId w16cid:paraId="6BF22843" w16cid:durableId="22401421"/>
  <w16cid:commentId w16cid:paraId="43FF74DF" w16cid:durableId="22401422"/>
  <w16cid:commentId w16cid:paraId="5E35132B" w16cid:durableId="22403FEA"/>
  <w16cid:commentId w16cid:paraId="757309E8" w16cid:durableId="22401425"/>
  <w16cid:commentId w16cid:paraId="59500942" w16cid:durableId="22401426"/>
  <w16cid:commentId w16cid:paraId="6E800C1B" w16cid:durableId="22401427"/>
  <w16cid:commentId w16cid:paraId="415D4D90" w16cid:durableId="22401428"/>
  <w16cid:commentId w16cid:paraId="33755A91" w16cid:durableId="22401429"/>
  <w16cid:commentId w16cid:paraId="38202A91" w16cid:durableId="2240142A"/>
  <w16cid:commentId w16cid:paraId="450DD7DD" w16cid:durableId="2240142B"/>
  <w16cid:commentId w16cid:paraId="3F1F154C" w16cid:durableId="2240142C"/>
  <w16cid:commentId w16cid:paraId="2680E08C" w16cid:durableId="2240142D"/>
  <w16cid:commentId w16cid:paraId="39332FD4" w16cid:durableId="2240142E"/>
  <w16cid:commentId w16cid:paraId="7BBEB11A" w16cid:durableId="2240142F"/>
  <w16cid:commentId w16cid:paraId="5D9D3186" w16cid:durableId="22401430"/>
  <w16cid:commentId w16cid:paraId="7281BDEA" w16cid:durableId="22401431"/>
  <w16cid:commentId w16cid:paraId="765FAAD9" w16cid:durableId="22401432"/>
  <w16cid:commentId w16cid:paraId="4F2A35F3" w16cid:durableId="22401433"/>
  <w16cid:commentId w16cid:paraId="21649381" w16cid:durableId="22401434"/>
  <w16cid:commentId w16cid:paraId="2A7B88BE" w16cid:durableId="22401435"/>
  <w16cid:commentId w16cid:paraId="6039A26F" w16cid:durableId="22401436"/>
  <w16cid:commentId w16cid:paraId="1E196C1F" w16cid:durableId="22401437"/>
  <w16cid:commentId w16cid:paraId="7AF285D4" w16cid:durableId="22401438"/>
  <w16cid:commentId w16cid:paraId="45050C2D" w16cid:durableId="22401439"/>
  <w16cid:commentId w16cid:paraId="6DB1056B" w16cid:durableId="2240143A"/>
  <w16cid:commentId w16cid:paraId="3B29C95D" w16cid:durableId="2240143B"/>
  <w16cid:commentId w16cid:paraId="4D1ED96A" w16cid:durableId="2240143C"/>
  <w16cid:commentId w16cid:paraId="33878F2D" w16cid:durableId="2240143D"/>
  <w16cid:commentId w16cid:paraId="728C78C0" w16cid:durableId="224014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60332" w14:textId="77777777" w:rsidR="00D91A32" w:rsidRDefault="00D91A32" w:rsidP="00A23645">
      <w:r>
        <w:separator/>
      </w:r>
    </w:p>
  </w:endnote>
  <w:endnote w:type="continuationSeparator" w:id="0">
    <w:p w14:paraId="5C51BBEB" w14:textId="77777777" w:rsidR="00D91A32" w:rsidRDefault="00D91A32"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521BT-Roman">
    <w:panose1 w:val="00000000000000000000"/>
    <w:charset w:val="4D"/>
    <w:family w:val="roman"/>
    <w:notTrueType/>
    <w:pitch w:val="default"/>
    <w:sig w:usb0="00000003" w:usb1="00000000" w:usb2="00000000" w:usb3="00000000" w:csb0="00000001"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NddtkvWarnockPro-Regular">
    <w:panose1 w:val="00000000000000000000"/>
    <w:charset w:val="00"/>
    <w:family w:val="auto"/>
    <w:notTrueType/>
    <w:pitch w:val="default"/>
    <w:sig w:usb0="00000003" w:usb1="00000000" w:usb2="00000000" w:usb3="00000000" w:csb0="00000001" w:csb1="00000000"/>
  </w:font>
  <w:font w:name="KdrrqvMyriadPro-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9F01" w14:textId="77777777" w:rsidR="00515153" w:rsidRDefault="00515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rPr>
      <w:id w:val="-253369630"/>
      <w:docPartObj>
        <w:docPartGallery w:val="Page Numbers (Bottom of Page)"/>
        <w:docPartUnique/>
      </w:docPartObj>
    </w:sdtPr>
    <w:sdtEndPr>
      <w:rPr>
        <w:noProof/>
      </w:rPr>
    </w:sdtEndPr>
    <w:sdtContent>
      <w:p w14:paraId="634E596E" w14:textId="46E46A5C" w:rsidR="00D91A32" w:rsidRDefault="00D91A32" w:rsidP="006E6F9D">
        <w:pPr>
          <w:pStyle w:val="Footer"/>
          <w:tabs>
            <w:tab w:val="left" w:pos="432"/>
            <w:tab w:val="right" w:pos="9026"/>
          </w:tabs>
          <w:jc w:val="left"/>
        </w:pPr>
        <w:r w:rsidRPr="002A4CF8">
          <w:rPr>
            <w:b w:val="0"/>
          </w:rPr>
          <w:t>Immunoglobulin</w:t>
        </w:r>
        <w:r w:rsidRPr="002A4CF8">
          <w:rPr>
            <w:b w:val="0"/>
            <w:bCs/>
            <w:szCs w:val="20"/>
          </w:rPr>
          <w:t xml:space="preserve"> for the treatment of multifocal motor neuropathy – MSAC CA 1590</w:t>
        </w:r>
        <w:r w:rsidRPr="002A4CF8">
          <w:rPr>
            <w:b w:val="0"/>
          </w:rPr>
          <w:tab/>
        </w:r>
        <w:r w:rsidRPr="002A4CF8">
          <w:rPr>
            <w:b w:val="0"/>
          </w:rPr>
          <w:fldChar w:fldCharType="begin"/>
        </w:r>
        <w:r w:rsidRPr="002A4CF8">
          <w:rPr>
            <w:b w:val="0"/>
          </w:rPr>
          <w:instrText xml:space="preserve"> PAGE   \* MERGEFORMAT </w:instrText>
        </w:r>
        <w:r w:rsidRPr="002A4CF8">
          <w:rPr>
            <w:b w:val="0"/>
          </w:rPr>
          <w:fldChar w:fldCharType="separate"/>
        </w:r>
        <w:r w:rsidR="00515153">
          <w:rPr>
            <w:b w:val="0"/>
            <w:noProof/>
          </w:rPr>
          <w:t>ii</w:t>
        </w:r>
        <w:r w:rsidRPr="002A4CF8">
          <w:rPr>
            <w:b w:val="0"/>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F415" w14:textId="77777777" w:rsidR="00515153" w:rsidRDefault="005151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F159" w14:textId="6DAD82A7" w:rsidR="00D91A32" w:rsidRPr="00F568FA" w:rsidRDefault="00D91A32"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168</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C27BA" w14:textId="77777777" w:rsidR="00D91A32" w:rsidRDefault="00D91A32">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97AB7" w14:textId="77777777" w:rsidR="00D91A32" w:rsidRDefault="00D91A32" w:rsidP="00A23645">
      <w:r>
        <w:separator/>
      </w:r>
    </w:p>
  </w:footnote>
  <w:footnote w:type="continuationSeparator" w:id="0">
    <w:p w14:paraId="53CCBD4D" w14:textId="77777777" w:rsidR="00D91A32" w:rsidRDefault="00D91A32" w:rsidP="00A23645">
      <w:r>
        <w:continuationSeparator/>
      </w:r>
    </w:p>
  </w:footnote>
  <w:footnote w:id="1">
    <w:p w14:paraId="4CEDAE1E" w14:textId="77777777" w:rsidR="00D91A32" w:rsidRDefault="00D91A32" w:rsidP="00C836F2">
      <w:pPr>
        <w:pStyle w:val="FootnoteText"/>
      </w:pPr>
      <w:r>
        <w:rPr>
          <w:rStyle w:val="FootnoteReference"/>
        </w:rPr>
        <w:footnoteRef/>
      </w:r>
      <w:r>
        <w:t xml:space="preserve"> Relapsed patients are MMN patients who relapse within six months of commencement of a trial off Ig therapy. These patients access intravenous Ig therapy under the second indication. It should also be noted that MMN patients who relapse after six months of commencement of a trial off Ig therapy are also able to access intravenous Ig therapy after reassessment by a neurologist but under the first indication (Ig Review Reference Group).</w:t>
      </w:r>
    </w:p>
  </w:footnote>
  <w:footnote w:id="2">
    <w:p w14:paraId="553D903C" w14:textId="77777777" w:rsidR="00D91A32" w:rsidRDefault="00D91A32" w:rsidP="008769F9">
      <w:pPr>
        <w:pStyle w:val="FootnoteText"/>
      </w:pPr>
      <w:r>
        <w:rPr>
          <w:rStyle w:val="FootnoteReference"/>
        </w:rPr>
        <w:footnoteRef/>
      </w:r>
      <w:r>
        <w:t xml:space="preserve"> CSL Behring (Australia) Pty Ltd in their response to the Department of Health Targeted Consultation Survey on MSAC Ig Referral 1590 MMN noted that cyclophosphamide for the treatment of MMN is currently limited to subsequent lines of therapy or in refractory cases due to its toxicity.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A536A" w14:textId="77777777" w:rsidR="00515153" w:rsidRDefault="005151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D95D9" w14:textId="77777777" w:rsidR="00D91A32" w:rsidRDefault="00515153">
    <w:pPr>
      <w:pStyle w:val="Header"/>
    </w:pPr>
    <w:r>
      <w:rPr>
        <w:noProof/>
      </w:rPr>
      <w:pict w14:anchorId="7FCBE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alt="" style="position:absolute;left:0;text-align:left;margin-left:0;margin-top:0;width:412.2pt;height:247.3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F6A04" w14:textId="77777777" w:rsidR="00D91A32" w:rsidRDefault="00D91A32"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F0CFB" w14:textId="77777777" w:rsidR="00D91A32" w:rsidRDefault="00D91A32" w:rsidP="00B426FF">
    <w:pPr>
      <w:pStyle w:val="Header"/>
      <w:tabs>
        <w:tab w:val="clear" w:pos="8306"/>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C3A78" w14:textId="77777777" w:rsidR="00D91A32" w:rsidRDefault="00D91A32" w:rsidP="00A236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9D3F" w14:textId="77777777" w:rsidR="00D91A32" w:rsidRDefault="00D91A32" w:rsidP="00B426FF">
    <w:pPr>
      <w:pStyle w:val="Header"/>
      <w:tabs>
        <w:tab w:val="clear" w:pos="8306"/>
        <w:tab w:val="right" w:pos="8931"/>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23DB2" w14:textId="77777777" w:rsidR="00D91A32" w:rsidRDefault="00D91A32"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0B771" w14:textId="77777777" w:rsidR="00D91A32" w:rsidRDefault="00D91A32" w:rsidP="00B426FF">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4B5F5" w14:textId="77777777" w:rsidR="00D91A32" w:rsidRDefault="00515153">
    <w:pPr>
      <w:pStyle w:val="Header"/>
    </w:pPr>
    <w:r>
      <w:rPr>
        <w:noProof/>
      </w:rPr>
      <w:pict w14:anchorId="1B7C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alt="" style="position:absolute;left:0;text-align:left;margin-left:0;margin-top:0;width:412.2pt;height:247.3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CBB33" w14:textId="77777777" w:rsidR="00D91A32" w:rsidRDefault="00D91A32" w:rsidP="00006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259"/>
    <w:multiLevelType w:val="hybridMultilevel"/>
    <w:tmpl w:val="3B5C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E25FE"/>
    <w:multiLevelType w:val="hybridMultilevel"/>
    <w:tmpl w:val="922E80C6"/>
    <w:lvl w:ilvl="0" w:tplc="5628D742">
      <w:start w:val="2019"/>
      <w:numFmt w:val="bullet"/>
      <w:lvlText w:val="-"/>
      <w:lvlJc w:val="left"/>
      <w:pPr>
        <w:ind w:left="720" w:hanging="360"/>
      </w:pPr>
      <w:rPr>
        <w:rFonts w:ascii="Arial Narrow" w:eastAsia="Times New Roman" w:hAnsi="Arial Narrow"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C73D8"/>
    <w:multiLevelType w:val="hybridMultilevel"/>
    <w:tmpl w:val="EBD8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71844"/>
    <w:multiLevelType w:val="hybridMultilevel"/>
    <w:tmpl w:val="5EAC6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F2D4C"/>
    <w:multiLevelType w:val="hybridMultilevel"/>
    <w:tmpl w:val="F6C80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37018"/>
    <w:multiLevelType w:val="hybridMultilevel"/>
    <w:tmpl w:val="33A0D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4E3CD9"/>
    <w:multiLevelType w:val="hybridMultilevel"/>
    <w:tmpl w:val="71D0A4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9560EA"/>
    <w:multiLevelType w:val="hybridMultilevel"/>
    <w:tmpl w:val="67E09B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034E06"/>
    <w:multiLevelType w:val="hybridMultilevel"/>
    <w:tmpl w:val="F9723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064F3D"/>
    <w:multiLevelType w:val="hybridMultilevel"/>
    <w:tmpl w:val="394C8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11" w15:restartNumberingAfterBreak="0">
    <w:nsid w:val="13902783"/>
    <w:multiLevelType w:val="hybridMultilevel"/>
    <w:tmpl w:val="829E8B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9F666F"/>
    <w:multiLevelType w:val="hybridMultilevel"/>
    <w:tmpl w:val="A83A5D08"/>
    <w:lvl w:ilvl="0" w:tplc="9F1C83E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663554"/>
    <w:multiLevelType w:val="hybridMultilevel"/>
    <w:tmpl w:val="4F5C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B607F6"/>
    <w:multiLevelType w:val="hybridMultilevel"/>
    <w:tmpl w:val="49DE4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7"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8" w15:restartNumberingAfterBreak="0">
    <w:nsid w:val="245A5729"/>
    <w:multiLevelType w:val="hybridMultilevel"/>
    <w:tmpl w:val="0502A03E"/>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19" w15:restartNumberingAfterBreak="0">
    <w:nsid w:val="27C14DF0"/>
    <w:multiLevelType w:val="hybridMultilevel"/>
    <w:tmpl w:val="57CED8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C85AF4"/>
    <w:multiLevelType w:val="hybridMultilevel"/>
    <w:tmpl w:val="FE60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F23324"/>
    <w:multiLevelType w:val="hybridMultilevel"/>
    <w:tmpl w:val="6F687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484347"/>
    <w:multiLevelType w:val="hybridMultilevel"/>
    <w:tmpl w:val="76BEE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470BFC"/>
    <w:multiLevelType w:val="hybridMultilevel"/>
    <w:tmpl w:val="6256E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7F3E87"/>
    <w:multiLevelType w:val="hybridMultilevel"/>
    <w:tmpl w:val="200CD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CC30D6"/>
    <w:multiLevelType w:val="hybridMultilevel"/>
    <w:tmpl w:val="71D0A4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F446E8E"/>
    <w:multiLevelType w:val="hybridMultilevel"/>
    <w:tmpl w:val="FDA44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9A5A34"/>
    <w:multiLevelType w:val="hybridMultilevel"/>
    <w:tmpl w:val="A720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8921A2"/>
    <w:multiLevelType w:val="hybridMultilevel"/>
    <w:tmpl w:val="BEF2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30E15542"/>
    <w:multiLevelType w:val="hybridMultilevel"/>
    <w:tmpl w:val="31144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50152E"/>
    <w:multiLevelType w:val="hybridMultilevel"/>
    <w:tmpl w:val="5E960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9A79C3"/>
    <w:multiLevelType w:val="hybridMultilevel"/>
    <w:tmpl w:val="F2EAC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A922B8"/>
    <w:multiLevelType w:val="hybridMultilevel"/>
    <w:tmpl w:val="6A5248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152CD0"/>
    <w:multiLevelType w:val="hybridMultilevel"/>
    <w:tmpl w:val="7330907E"/>
    <w:lvl w:ilvl="0" w:tplc="C040F30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7A20E3D"/>
    <w:multiLevelType w:val="hybridMultilevel"/>
    <w:tmpl w:val="D6D67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391911"/>
    <w:multiLevelType w:val="hybridMultilevel"/>
    <w:tmpl w:val="E65CE842"/>
    <w:lvl w:ilvl="0" w:tplc="9EACD76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792CD4"/>
    <w:multiLevelType w:val="multilevel"/>
    <w:tmpl w:val="FEE071C8"/>
    <w:numStyleLink w:val="ESSectionheading-numbered"/>
  </w:abstractNum>
  <w:abstractNum w:abstractNumId="37" w15:restartNumberingAfterBreak="0">
    <w:nsid w:val="3D19351E"/>
    <w:multiLevelType w:val="hybridMultilevel"/>
    <w:tmpl w:val="169CA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702ECA"/>
    <w:multiLevelType w:val="hybridMultilevel"/>
    <w:tmpl w:val="74F0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77474F"/>
    <w:multiLevelType w:val="hybridMultilevel"/>
    <w:tmpl w:val="36D4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2D45CE"/>
    <w:multiLevelType w:val="hybridMultilevel"/>
    <w:tmpl w:val="8A324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386399A"/>
    <w:multiLevelType w:val="hybridMultilevel"/>
    <w:tmpl w:val="24A2A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BB20B7"/>
    <w:multiLevelType w:val="hybridMultilevel"/>
    <w:tmpl w:val="3CAABE90"/>
    <w:lvl w:ilvl="0" w:tplc="0C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455C2E94"/>
    <w:multiLevelType w:val="hybridMultilevel"/>
    <w:tmpl w:val="6E008770"/>
    <w:lvl w:ilvl="0" w:tplc="5090261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6F029D"/>
    <w:multiLevelType w:val="hybridMultilevel"/>
    <w:tmpl w:val="E94ED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B56766"/>
    <w:multiLevelType w:val="hybridMultilevel"/>
    <w:tmpl w:val="E0A0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AF5BAA"/>
    <w:multiLevelType w:val="hybridMultilevel"/>
    <w:tmpl w:val="7DC0C546"/>
    <w:lvl w:ilvl="0" w:tplc="0C090001">
      <w:start w:val="1"/>
      <w:numFmt w:val="bullet"/>
      <w:lvlText w:val=""/>
      <w:lvlJc w:val="left"/>
      <w:pPr>
        <w:ind w:left="901" w:hanging="360"/>
      </w:pPr>
      <w:rPr>
        <w:rFonts w:ascii="Symbol" w:hAnsi="Symbol" w:hint="default"/>
      </w:rPr>
    </w:lvl>
    <w:lvl w:ilvl="1" w:tplc="0C090003" w:tentative="1">
      <w:start w:val="1"/>
      <w:numFmt w:val="bullet"/>
      <w:lvlText w:val="o"/>
      <w:lvlJc w:val="left"/>
      <w:pPr>
        <w:ind w:left="1621" w:hanging="360"/>
      </w:pPr>
      <w:rPr>
        <w:rFonts w:ascii="Courier New" w:hAnsi="Courier New" w:cs="Courier New" w:hint="default"/>
      </w:rPr>
    </w:lvl>
    <w:lvl w:ilvl="2" w:tplc="0C090005" w:tentative="1">
      <w:start w:val="1"/>
      <w:numFmt w:val="bullet"/>
      <w:lvlText w:val=""/>
      <w:lvlJc w:val="left"/>
      <w:pPr>
        <w:ind w:left="2341" w:hanging="360"/>
      </w:pPr>
      <w:rPr>
        <w:rFonts w:ascii="Wingdings" w:hAnsi="Wingdings" w:hint="default"/>
      </w:rPr>
    </w:lvl>
    <w:lvl w:ilvl="3" w:tplc="0C090001" w:tentative="1">
      <w:start w:val="1"/>
      <w:numFmt w:val="bullet"/>
      <w:lvlText w:val=""/>
      <w:lvlJc w:val="left"/>
      <w:pPr>
        <w:ind w:left="3061" w:hanging="360"/>
      </w:pPr>
      <w:rPr>
        <w:rFonts w:ascii="Symbol" w:hAnsi="Symbol" w:hint="default"/>
      </w:rPr>
    </w:lvl>
    <w:lvl w:ilvl="4" w:tplc="0C090003" w:tentative="1">
      <w:start w:val="1"/>
      <w:numFmt w:val="bullet"/>
      <w:lvlText w:val="o"/>
      <w:lvlJc w:val="left"/>
      <w:pPr>
        <w:ind w:left="3781" w:hanging="360"/>
      </w:pPr>
      <w:rPr>
        <w:rFonts w:ascii="Courier New" w:hAnsi="Courier New" w:cs="Courier New" w:hint="default"/>
      </w:rPr>
    </w:lvl>
    <w:lvl w:ilvl="5" w:tplc="0C090005" w:tentative="1">
      <w:start w:val="1"/>
      <w:numFmt w:val="bullet"/>
      <w:lvlText w:val=""/>
      <w:lvlJc w:val="left"/>
      <w:pPr>
        <w:ind w:left="4501" w:hanging="360"/>
      </w:pPr>
      <w:rPr>
        <w:rFonts w:ascii="Wingdings" w:hAnsi="Wingdings" w:hint="default"/>
      </w:rPr>
    </w:lvl>
    <w:lvl w:ilvl="6" w:tplc="0C090001" w:tentative="1">
      <w:start w:val="1"/>
      <w:numFmt w:val="bullet"/>
      <w:lvlText w:val=""/>
      <w:lvlJc w:val="left"/>
      <w:pPr>
        <w:ind w:left="5221" w:hanging="360"/>
      </w:pPr>
      <w:rPr>
        <w:rFonts w:ascii="Symbol" w:hAnsi="Symbol" w:hint="default"/>
      </w:rPr>
    </w:lvl>
    <w:lvl w:ilvl="7" w:tplc="0C090003" w:tentative="1">
      <w:start w:val="1"/>
      <w:numFmt w:val="bullet"/>
      <w:lvlText w:val="o"/>
      <w:lvlJc w:val="left"/>
      <w:pPr>
        <w:ind w:left="5941" w:hanging="360"/>
      </w:pPr>
      <w:rPr>
        <w:rFonts w:ascii="Courier New" w:hAnsi="Courier New" w:cs="Courier New" w:hint="default"/>
      </w:rPr>
    </w:lvl>
    <w:lvl w:ilvl="8" w:tplc="0C090005" w:tentative="1">
      <w:start w:val="1"/>
      <w:numFmt w:val="bullet"/>
      <w:lvlText w:val=""/>
      <w:lvlJc w:val="left"/>
      <w:pPr>
        <w:ind w:left="6661" w:hanging="360"/>
      </w:pPr>
      <w:rPr>
        <w:rFonts w:ascii="Wingdings" w:hAnsi="Wingdings" w:hint="default"/>
      </w:rPr>
    </w:lvl>
  </w:abstractNum>
  <w:abstractNum w:abstractNumId="47" w15:restartNumberingAfterBreak="0">
    <w:nsid w:val="473A3060"/>
    <w:multiLevelType w:val="hybridMultilevel"/>
    <w:tmpl w:val="FD84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0C0AE0"/>
    <w:multiLevelType w:val="hybridMultilevel"/>
    <w:tmpl w:val="EDA2ECE0"/>
    <w:lvl w:ilvl="0" w:tplc="3FA88A7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4C3B33DA"/>
    <w:multiLevelType w:val="hybridMultilevel"/>
    <w:tmpl w:val="DE805DF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E4331CD"/>
    <w:multiLevelType w:val="hybridMultilevel"/>
    <w:tmpl w:val="87123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9247DB"/>
    <w:multiLevelType w:val="hybridMultilevel"/>
    <w:tmpl w:val="79EA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0C97E6D"/>
    <w:multiLevelType w:val="hybridMultilevel"/>
    <w:tmpl w:val="C81C6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5141037C"/>
    <w:multiLevelType w:val="hybridMultilevel"/>
    <w:tmpl w:val="D64E2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51593E"/>
    <w:multiLevelType w:val="hybridMultilevel"/>
    <w:tmpl w:val="E7880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0B1424"/>
    <w:multiLevelType w:val="hybridMultilevel"/>
    <w:tmpl w:val="C122E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35356E5"/>
    <w:multiLevelType w:val="hybridMultilevel"/>
    <w:tmpl w:val="D2220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891D8A"/>
    <w:multiLevelType w:val="multilevel"/>
    <w:tmpl w:val="FEE071C8"/>
    <w:numStyleLink w:val="ESSectionheading-numbered"/>
  </w:abstractNum>
  <w:abstractNum w:abstractNumId="58" w15:restartNumberingAfterBreak="0">
    <w:nsid w:val="59A855F3"/>
    <w:multiLevelType w:val="hybridMultilevel"/>
    <w:tmpl w:val="45C8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29683D"/>
    <w:multiLevelType w:val="hybridMultilevel"/>
    <w:tmpl w:val="54441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61" w15:restartNumberingAfterBreak="0">
    <w:nsid w:val="60667FA4"/>
    <w:multiLevelType w:val="hybridMultilevel"/>
    <w:tmpl w:val="29063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63" w15:restartNumberingAfterBreak="0">
    <w:nsid w:val="622A2CBE"/>
    <w:multiLevelType w:val="hybridMultilevel"/>
    <w:tmpl w:val="82B28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876DC3"/>
    <w:multiLevelType w:val="hybridMultilevel"/>
    <w:tmpl w:val="45A8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66" w15:restartNumberingAfterBreak="0">
    <w:nsid w:val="65C34221"/>
    <w:multiLevelType w:val="hybridMultilevel"/>
    <w:tmpl w:val="C9322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626156B"/>
    <w:multiLevelType w:val="hybridMultilevel"/>
    <w:tmpl w:val="5344C00E"/>
    <w:lvl w:ilvl="0" w:tplc="885CC8C2">
      <w:start w:val="1"/>
      <w:numFmt w:val="decimal"/>
      <w:lvlText w:val="%1."/>
      <w:lvlJc w:val="left"/>
      <w:pPr>
        <w:ind w:left="408"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6870A3D"/>
    <w:multiLevelType w:val="hybridMultilevel"/>
    <w:tmpl w:val="E3421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330E3E"/>
    <w:multiLevelType w:val="hybridMultilevel"/>
    <w:tmpl w:val="4ADE86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99B3738"/>
    <w:multiLevelType w:val="hybridMultilevel"/>
    <w:tmpl w:val="D9007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72" w15:restartNumberingAfterBreak="0">
    <w:nsid w:val="6EB143FB"/>
    <w:multiLevelType w:val="hybridMultilevel"/>
    <w:tmpl w:val="71646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29B7AEE"/>
    <w:multiLevelType w:val="hybridMultilevel"/>
    <w:tmpl w:val="7A429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9D25CE"/>
    <w:multiLevelType w:val="hybridMultilevel"/>
    <w:tmpl w:val="C66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63D42F2"/>
    <w:multiLevelType w:val="hybridMultilevel"/>
    <w:tmpl w:val="F7A29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6E909D8"/>
    <w:multiLevelType w:val="hybridMultilevel"/>
    <w:tmpl w:val="B8DEA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1F3D2F"/>
    <w:multiLevelType w:val="hybridMultilevel"/>
    <w:tmpl w:val="EE80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79DF218B"/>
    <w:multiLevelType w:val="hybridMultilevel"/>
    <w:tmpl w:val="5986EB5E"/>
    <w:lvl w:ilvl="0" w:tplc="6D36474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A0156BC"/>
    <w:multiLevelType w:val="hybridMultilevel"/>
    <w:tmpl w:val="7AAA5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CD318E"/>
    <w:multiLevelType w:val="hybridMultilevel"/>
    <w:tmpl w:val="AD3E9DE4"/>
    <w:lvl w:ilvl="0" w:tplc="0C090001">
      <w:start w:val="1"/>
      <w:numFmt w:val="bullet"/>
      <w:lvlText w:val=""/>
      <w:lvlJc w:val="left"/>
      <w:pPr>
        <w:ind w:left="767" w:hanging="360"/>
      </w:pPr>
      <w:rPr>
        <w:rFonts w:ascii="Symbol" w:hAnsi="Symbol" w:hint="default"/>
      </w:rPr>
    </w:lvl>
    <w:lvl w:ilvl="1" w:tplc="9AC2AEFA">
      <w:numFmt w:val="bullet"/>
      <w:lvlText w:val="•"/>
      <w:lvlJc w:val="left"/>
      <w:pPr>
        <w:ind w:left="1697" w:hanging="570"/>
      </w:pPr>
      <w:rPr>
        <w:rFonts w:ascii="Calibri" w:eastAsia="Times New Roman" w:hAnsi="Calibri" w:cs="Calibri"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82"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3" w15:restartNumberingAfterBreak="0">
    <w:nsid w:val="7E1C5DB5"/>
    <w:multiLevelType w:val="hybridMultilevel"/>
    <w:tmpl w:val="76E23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60"/>
  </w:num>
  <w:num w:numId="2">
    <w:abstractNumId w:val="10"/>
  </w:num>
  <w:num w:numId="3">
    <w:abstractNumId w:val="84"/>
  </w:num>
  <w:num w:numId="4">
    <w:abstractNumId w:val="65"/>
  </w:num>
  <w:num w:numId="5">
    <w:abstractNumId w:val="17"/>
  </w:num>
  <w:num w:numId="6">
    <w:abstractNumId w:val="82"/>
  </w:num>
  <w:num w:numId="7">
    <w:abstractNumId w:val="16"/>
  </w:num>
  <w:num w:numId="8">
    <w:abstractNumId w:val="71"/>
  </w:num>
  <w:num w:numId="9">
    <w:abstractNumId w:val="36"/>
  </w:num>
  <w:num w:numId="10">
    <w:abstractNumId w:val="14"/>
  </w:num>
  <w:num w:numId="11">
    <w:abstractNumId w:val="54"/>
  </w:num>
  <w:num w:numId="12">
    <w:abstractNumId w:val="63"/>
  </w:num>
  <w:num w:numId="13">
    <w:abstractNumId w:val="9"/>
  </w:num>
  <w:num w:numId="14">
    <w:abstractNumId w:val="53"/>
  </w:num>
  <w:num w:numId="15">
    <w:abstractNumId w:val="38"/>
  </w:num>
  <w:num w:numId="16">
    <w:abstractNumId w:val="30"/>
  </w:num>
  <w:num w:numId="17">
    <w:abstractNumId w:val="77"/>
  </w:num>
  <w:num w:numId="18">
    <w:abstractNumId w:val="45"/>
  </w:num>
  <w:num w:numId="19">
    <w:abstractNumId w:val="48"/>
  </w:num>
  <w:num w:numId="20">
    <w:abstractNumId w:val="67"/>
  </w:num>
  <w:num w:numId="21">
    <w:abstractNumId w:val="66"/>
  </w:num>
  <w:num w:numId="22">
    <w:abstractNumId w:val="3"/>
  </w:num>
  <w:num w:numId="23">
    <w:abstractNumId w:val="55"/>
  </w:num>
  <w:num w:numId="24">
    <w:abstractNumId w:val="23"/>
  </w:num>
  <w:num w:numId="25">
    <w:abstractNumId w:val="4"/>
  </w:num>
  <w:num w:numId="26">
    <w:abstractNumId w:val="47"/>
  </w:num>
  <w:num w:numId="27">
    <w:abstractNumId w:val="8"/>
  </w:num>
  <w:num w:numId="28">
    <w:abstractNumId w:val="70"/>
  </w:num>
  <w:num w:numId="29">
    <w:abstractNumId w:val="69"/>
  </w:num>
  <w:num w:numId="30">
    <w:abstractNumId w:val="1"/>
  </w:num>
  <w:num w:numId="31">
    <w:abstractNumId w:val="22"/>
  </w:num>
  <w:num w:numId="32">
    <w:abstractNumId w:val="81"/>
  </w:num>
  <w:num w:numId="33">
    <w:abstractNumId w:val="11"/>
  </w:num>
  <w:num w:numId="34">
    <w:abstractNumId w:val="18"/>
  </w:num>
  <w:num w:numId="35">
    <w:abstractNumId w:val="46"/>
  </w:num>
  <w:num w:numId="36">
    <w:abstractNumId w:val="64"/>
  </w:num>
  <w:num w:numId="37">
    <w:abstractNumId w:val="61"/>
  </w:num>
  <w:num w:numId="38">
    <w:abstractNumId w:val="27"/>
  </w:num>
  <w:num w:numId="39">
    <w:abstractNumId w:val="31"/>
  </w:num>
  <w:num w:numId="40">
    <w:abstractNumId w:val="83"/>
  </w:num>
  <w:num w:numId="41">
    <w:abstractNumId w:val="80"/>
  </w:num>
  <w:num w:numId="42">
    <w:abstractNumId w:val="34"/>
  </w:num>
  <w:num w:numId="43">
    <w:abstractNumId w:val="21"/>
  </w:num>
  <w:num w:numId="44">
    <w:abstractNumId w:val="68"/>
  </w:num>
  <w:num w:numId="45">
    <w:abstractNumId w:val="29"/>
  </w:num>
  <w:num w:numId="46">
    <w:abstractNumId w:val="24"/>
  </w:num>
  <w:num w:numId="47">
    <w:abstractNumId w:val="20"/>
  </w:num>
  <w:num w:numId="48">
    <w:abstractNumId w:val="56"/>
  </w:num>
  <w:num w:numId="49">
    <w:abstractNumId w:val="74"/>
  </w:num>
  <w:num w:numId="50">
    <w:abstractNumId w:val="62"/>
  </w:num>
  <w:num w:numId="51">
    <w:abstractNumId w:val="13"/>
  </w:num>
  <w:num w:numId="52">
    <w:abstractNumId w:val="59"/>
  </w:num>
  <w:num w:numId="53">
    <w:abstractNumId w:val="25"/>
  </w:num>
  <w:num w:numId="54">
    <w:abstractNumId w:val="6"/>
  </w:num>
  <w:num w:numId="55">
    <w:abstractNumId w:val="37"/>
  </w:num>
  <w:num w:numId="56">
    <w:abstractNumId w:val="72"/>
  </w:num>
  <w:num w:numId="57">
    <w:abstractNumId w:val="75"/>
  </w:num>
  <w:num w:numId="58">
    <w:abstractNumId w:val="26"/>
  </w:num>
  <w:num w:numId="59">
    <w:abstractNumId w:val="40"/>
  </w:num>
  <w:num w:numId="60">
    <w:abstractNumId w:val="5"/>
  </w:num>
  <w:num w:numId="61">
    <w:abstractNumId w:val="57"/>
  </w:num>
  <w:num w:numId="62">
    <w:abstractNumId w:val="2"/>
  </w:num>
  <w:num w:numId="63">
    <w:abstractNumId w:val="19"/>
  </w:num>
  <w:num w:numId="64">
    <w:abstractNumId w:val="41"/>
  </w:num>
  <w:num w:numId="65">
    <w:abstractNumId w:val="50"/>
  </w:num>
  <w:num w:numId="66">
    <w:abstractNumId w:val="51"/>
  </w:num>
  <w:num w:numId="67">
    <w:abstractNumId w:val="32"/>
  </w:num>
  <w:num w:numId="68">
    <w:abstractNumId w:val="42"/>
    <w:lvlOverride w:ilvl="0">
      <w:startOverride w:val="1"/>
    </w:lvlOverride>
    <w:lvlOverride w:ilvl="1"/>
    <w:lvlOverride w:ilvl="2"/>
    <w:lvlOverride w:ilvl="3"/>
    <w:lvlOverride w:ilvl="4"/>
    <w:lvlOverride w:ilvl="5"/>
    <w:lvlOverride w:ilvl="6"/>
    <w:lvlOverride w:ilvl="7"/>
    <w:lvlOverride w:ilvl="8"/>
  </w:num>
  <w:num w:numId="69">
    <w:abstractNumId w:val="73"/>
  </w:num>
  <w:num w:numId="70">
    <w:abstractNumId w:val="7"/>
  </w:num>
  <w:num w:numId="71">
    <w:abstractNumId w:val="44"/>
  </w:num>
  <w:num w:numId="72">
    <w:abstractNumId w:val="35"/>
  </w:num>
  <w:num w:numId="73">
    <w:abstractNumId w:val="28"/>
  </w:num>
  <w:num w:numId="74">
    <w:abstractNumId w:val="15"/>
  </w:num>
  <w:num w:numId="75">
    <w:abstractNumId w:val="78"/>
  </w:num>
  <w:num w:numId="76">
    <w:abstractNumId w:val="76"/>
  </w:num>
  <w:num w:numId="77">
    <w:abstractNumId w:val="43"/>
  </w:num>
  <w:num w:numId="78">
    <w:abstractNumId w:val="39"/>
  </w:num>
  <w:num w:numId="79">
    <w:abstractNumId w:val="12"/>
  </w:num>
  <w:num w:numId="80">
    <w:abstractNumId w:val="58"/>
  </w:num>
  <w:num w:numId="81">
    <w:abstractNumId w:val="49"/>
  </w:num>
  <w:num w:numId="82">
    <w:abstractNumId w:val="79"/>
  </w:num>
  <w:num w:numId="83">
    <w:abstractNumId w:val="33"/>
  </w:num>
  <w:num w:numId="84">
    <w:abstractNumId w:val="52"/>
  </w:num>
  <w:num w:numId="85">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oNotDisplayPageBoundaries/>
  <w:embedSystemFonts/>
  <w:activeWritingStyle w:appName="MSWord" w:lang="es-CL"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s-CL"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s-CL" w:vendorID="64" w:dllVersion="131078" w:nlCheck="1" w:checkStyle="0"/>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992p2ztn5fez9e2wvnpw2xstd20f9w2dezz&quot;&gt;MSAC 1590 reference lis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5&lt;/item&gt;&lt;item&gt;76&lt;/item&gt;&lt;item&gt;77&lt;/item&gt;&lt;item&gt;78&lt;/item&gt;&lt;item&gt;79&lt;/item&gt;&lt;item&gt;80&lt;/item&gt;&lt;item&gt;81&lt;/item&gt;&lt;item&gt;82&lt;/item&gt;&lt;/record-ids&gt;&lt;/item&gt;&lt;/Libraries&gt;"/>
  </w:docVars>
  <w:rsids>
    <w:rsidRoot w:val="00640EBD"/>
    <w:rsid w:val="000006B5"/>
    <w:rsid w:val="00000B9C"/>
    <w:rsid w:val="00000BEB"/>
    <w:rsid w:val="00000C42"/>
    <w:rsid w:val="00000CBB"/>
    <w:rsid w:val="00000FA9"/>
    <w:rsid w:val="0000127D"/>
    <w:rsid w:val="0000136D"/>
    <w:rsid w:val="0000190C"/>
    <w:rsid w:val="00001C3C"/>
    <w:rsid w:val="00001E31"/>
    <w:rsid w:val="00001F98"/>
    <w:rsid w:val="0000226A"/>
    <w:rsid w:val="0000228D"/>
    <w:rsid w:val="00002552"/>
    <w:rsid w:val="000029F2"/>
    <w:rsid w:val="00002D28"/>
    <w:rsid w:val="00003227"/>
    <w:rsid w:val="00003287"/>
    <w:rsid w:val="00003388"/>
    <w:rsid w:val="00003488"/>
    <w:rsid w:val="00003796"/>
    <w:rsid w:val="0000430A"/>
    <w:rsid w:val="000047E2"/>
    <w:rsid w:val="00004D16"/>
    <w:rsid w:val="00004E2F"/>
    <w:rsid w:val="00005109"/>
    <w:rsid w:val="00005257"/>
    <w:rsid w:val="0000536A"/>
    <w:rsid w:val="000055D4"/>
    <w:rsid w:val="000056FA"/>
    <w:rsid w:val="00006627"/>
    <w:rsid w:val="00006641"/>
    <w:rsid w:val="00006961"/>
    <w:rsid w:val="000069A7"/>
    <w:rsid w:val="00006C74"/>
    <w:rsid w:val="00006FE7"/>
    <w:rsid w:val="000070F9"/>
    <w:rsid w:val="000078F6"/>
    <w:rsid w:val="00007948"/>
    <w:rsid w:val="00007A44"/>
    <w:rsid w:val="00007A4C"/>
    <w:rsid w:val="00007BE0"/>
    <w:rsid w:val="00007D81"/>
    <w:rsid w:val="00007DC0"/>
    <w:rsid w:val="000106F7"/>
    <w:rsid w:val="0001085B"/>
    <w:rsid w:val="0001088E"/>
    <w:rsid w:val="000108D9"/>
    <w:rsid w:val="000108EE"/>
    <w:rsid w:val="000109F3"/>
    <w:rsid w:val="00010BF8"/>
    <w:rsid w:val="00010BFE"/>
    <w:rsid w:val="00010ECC"/>
    <w:rsid w:val="00010FB8"/>
    <w:rsid w:val="000111D2"/>
    <w:rsid w:val="0001135D"/>
    <w:rsid w:val="00011550"/>
    <w:rsid w:val="00011758"/>
    <w:rsid w:val="00011772"/>
    <w:rsid w:val="00012EA4"/>
    <w:rsid w:val="00012EA6"/>
    <w:rsid w:val="0001307B"/>
    <w:rsid w:val="000130D3"/>
    <w:rsid w:val="000133F9"/>
    <w:rsid w:val="000134C1"/>
    <w:rsid w:val="0001357B"/>
    <w:rsid w:val="00013791"/>
    <w:rsid w:val="0001388D"/>
    <w:rsid w:val="00013934"/>
    <w:rsid w:val="000139D1"/>
    <w:rsid w:val="000139EB"/>
    <w:rsid w:val="00013B46"/>
    <w:rsid w:val="00013FA1"/>
    <w:rsid w:val="0001415A"/>
    <w:rsid w:val="00014736"/>
    <w:rsid w:val="00014917"/>
    <w:rsid w:val="000149C2"/>
    <w:rsid w:val="00014A66"/>
    <w:rsid w:val="00014D6D"/>
    <w:rsid w:val="00014EC1"/>
    <w:rsid w:val="00015282"/>
    <w:rsid w:val="000155E6"/>
    <w:rsid w:val="0001563F"/>
    <w:rsid w:val="000156F4"/>
    <w:rsid w:val="00015787"/>
    <w:rsid w:val="00015C26"/>
    <w:rsid w:val="00015E03"/>
    <w:rsid w:val="000160B3"/>
    <w:rsid w:val="00016333"/>
    <w:rsid w:val="0001667E"/>
    <w:rsid w:val="00016792"/>
    <w:rsid w:val="0001695D"/>
    <w:rsid w:val="00016FDF"/>
    <w:rsid w:val="000171FD"/>
    <w:rsid w:val="00017B2B"/>
    <w:rsid w:val="00017B65"/>
    <w:rsid w:val="00017D44"/>
    <w:rsid w:val="000208A2"/>
    <w:rsid w:val="00020A61"/>
    <w:rsid w:val="00020C59"/>
    <w:rsid w:val="00020F15"/>
    <w:rsid w:val="00021072"/>
    <w:rsid w:val="00021DCF"/>
    <w:rsid w:val="00021FDC"/>
    <w:rsid w:val="00022085"/>
    <w:rsid w:val="0002230A"/>
    <w:rsid w:val="0002265C"/>
    <w:rsid w:val="00022FCD"/>
    <w:rsid w:val="000236CF"/>
    <w:rsid w:val="00023792"/>
    <w:rsid w:val="0002446C"/>
    <w:rsid w:val="00024629"/>
    <w:rsid w:val="00024819"/>
    <w:rsid w:val="0002559E"/>
    <w:rsid w:val="00025612"/>
    <w:rsid w:val="0002581D"/>
    <w:rsid w:val="00025D96"/>
    <w:rsid w:val="00025F1A"/>
    <w:rsid w:val="000261F3"/>
    <w:rsid w:val="000266AD"/>
    <w:rsid w:val="0002695E"/>
    <w:rsid w:val="00026AC0"/>
    <w:rsid w:val="00026D2F"/>
    <w:rsid w:val="00026D6A"/>
    <w:rsid w:val="00027042"/>
    <w:rsid w:val="00027055"/>
    <w:rsid w:val="0002707D"/>
    <w:rsid w:val="00027329"/>
    <w:rsid w:val="0002749F"/>
    <w:rsid w:val="00027611"/>
    <w:rsid w:val="00027B53"/>
    <w:rsid w:val="00027DDF"/>
    <w:rsid w:val="00027F1B"/>
    <w:rsid w:val="000300B1"/>
    <w:rsid w:val="000303D8"/>
    <w:rsid w:val="00030BD3"/>
    <w:rsid w:val="00030C76"/>
    <w:rsid w:val="00030E6F"/>
    <w:rsid w:val="00030FB4"/>
    <w:rsid w:val="000311A8"/>
    <w:rsid w:val="00031330"/>
    <w:rsid w:val="0003136E"/>
    <w:rsid w:val="000313F3"/>
    <w:rsid w:val="000314E2"/>
    <w:rsid w:val="00031A2C"/>
    <w:rsid w:val="000321D9"/>
    <w:rsid w:val="0003260D"/>
    <w:rsid w:val="00033E27"/>
    <w:rsid w:val="000340BA"/>
    <w:rsid w:val="00034864"/>
    <w:rsid w:val="00034AE9"/>
    <w:rsid w:val="00034CFE"/>
    <w:rsid w:val="0003587F"/>
    <w:rsid w:val="0003595E"/>
    <w:rsid w:val="00035D7F"/>
    <w:rsid w:val="00035FF2"/>
    <w:rsid w:val="00036221"/>
    <w:rsid w:val="0003639B"/>
    <w:rsid w:val="0003669F"/>
    <w:rsid w:val="000368B9"/>
    <w:rsid w:val="000368F7"/>
    <w:rsid w:val="00036954"/>
    <w:rsid w:val="00036A6B"/>
    <w:rsid w:val="00036F0B"/>
    <w:rsid w:val="000373D6"/>
    <w:rsid w:val="000373E8"/>
    <w:rsid w:val="00037729"/>
    <w:rsid w:val="00037A75"/>
    <w:rsid w:val="00037B2B"/>
    <w:rsid w:val="00040305"/>
    <w:rsid w:val="000406B4"/>
    <w:rsid w:val="00040D41"/>
    <w:rsid w:val="00040DD2"/>
    <w:rsid w:val="0004109F"/>
    <w:rsid w:val="00041518"/>
    <w:rsid w:val="0004165A"/>
    <w:rsid w:val="00041867"/>
    <w:rsid w:val="0004189F"/>
    <w:rsid w:val="00041ADB"/>
    <w:rsid w:val="00041B23"/>
    <w:rsid w:val="00041C6F"/>
    <w:rsid w:val="00041F2B"/>
    <w:rsid w:val="000423FC"/>
    <w:rsid w:val="000424B4"/>
    <w:rsid w:val="000427F8"/>
    <w:rsid w:val="00043097"/>
    <w:rsid w:val="00043293"/>
    <w:rsid w:val="00043C04"/>
    <w:rsid w:val="00044682"/>
    <w:rsid w:val="0004468B"/>
    <w:rsid w:val="00044B7A"/>
    <w:rsid w:val="0004536B"/>
    <w:rsid w:val="00045C50"/>
    <w:rsid w:val="00045E2E"/>
    <w:rsid w:val="0004642F"/>
    <w:rsid w:val="000464C3"/>
    <w:rsid w:val="00046E1D"/>
    <w:rsid w:val="00046FB2"/>
    <w:rsid w:val="000473DD"/>
    <w:rsid w:val="000477AC"/>
    <w:rsid w:val="000501EB"/>
    <w:rsid w:val="00050356"/>
    <w:rsid w:val="000508A4"/>
    <w:rsid w:val="00050DAA"/>
    <w:rsid w:val="00051060"/>
    <w:rsid w:val="00051085"/>
    <w:rsid w:val="000512A0"/>
    <w:rsid w:val="0005156D"/>
    <w:rsid w:val="00051666"/>
    <w:rsid w:val="00051A96"/>
    <w:rsid w:val="00051AD9"/>
    <w:rsid w:val="0005232D"/>
    <w:rsid w:val="00052434"/>
    <w:rsid w:val="00052478"/>
    <w:rsid w:val="0005272E"/>
    <w:rsid w:val="00052741"/>
    <w:rsid w:val="0005281F"/>
    <w:rsid w:val="0005287C"/>
    <w:rsid w:val="00052935"/>
    <w:rsid w:val="00052E3F"/>
    <w:rsid w:val="00052E9D"/>
    <w:rsid w:val="00052FBC"/>
    <w:rsid w:val="000534FF"/>
    <w:rsid w:val="00053A89"/>
    <w:rsid w:val="00054B64"/>
    <w:rsid w:val="00054C69"/>
    <w:rsid w:val="000554AA"/>
    <w:rsid w:val="00055E08"/>
    <w:rsid w:val="00056684"/>
    <w:rsid w:val="00056BE2"/>
    <w:rsid w:val="00056DC4"/>
    <w:rsid w:val="00056ED1"/>
    <w:rsid w:val="00057834"/>
    <w:rsid w:val="00057FD3"/>
    <w:rsid w:val="00060875"/>
    <w:rsid w:val="000608FD"/>
    <w:rsid w:val="000609A2"/>
    <w:rsid w:val="00060B82"/>
    <w:rsid w:val="00060E4F"/>
    <w:rsid w:val="00060E70"/>
    <w:rsid w:val="000613E7"/>
    <w:rsid w:val="00061A1C"/>
    <w:rsid w:val="00061AF5"/>
    <w:rsid w:val="00061BDB"/>
    <w:rsid w:val="00061DB6"/>
    <w:rsid w:val="00062064"/>
    <w:rsid w:val="000625F7"/>
    <w:rsid w:val="00062F2F"/>
    <w:rsid w:val="0006306E"/>
    <w:rsid w:val="00063167"/>
    <w:rsid w:val="00063311"/>
    <w:rsid w:val="0006384B"/>
    <w:rsid w:val="00063A3A"/>
    <w:rsid w:val="00063C88"/>
    <w:rsid w:val="00063CC4"/>
    <w:rsid w:val="00063F44"/>
    <w:rsid w:val="00063FE3"/>
    <w:rsid w:val="0006406E"/>
    <w:rsid w:val="0006420B"/>
    <w:rsid w:val="0006421B"/>
    <w:rsid w:val="0006422B"/>
    <w:rsid w:val="000643D3"/>
    <w:rsid w:val="000650CB"/>
    <w:rsid w:val="0006531D"/>
    <w:rsid w:val="00065CD5"/>
    <w:rsid w:val="00065D1D"/>
    <w:rsid w:val="00065DD7"/>
    <w:rsid w:val="00066CD5"/>
    <w:rsid w:val="00066F5D"/>
    <w:rsid w:val="0006706B"/>
    <w:rsid w:val="00067910"/>
    <w:rsid w:val="00067B6E"/>
    <w:rsid w:val="00067BF6"/>
    <w:rsid w:val="000706CE"/>
    <w:rsid w:val="00070B84"/>
    <w:rsid w:val="000715CB"/>
    <w:rsid w:val="00071806"/>
    <w:rsid w:val="00071963"/>
    <w:rsid w:val="00071B67"/>
    <w:rsid w:val="00071BA0"/>
    <w:rsid w:val="00071FAC"/>
    <w:rsid w:val="00072199"/>
    <w:rsid w:val="0007284B"/>
    <w:rsid w:val="00072A22"/>
    <w:rsid w:val="00072D60"/>
    <w:rsid w:val="00072DC0"/>
    <w:rsid w:val="00073235"/>
    <w:rsid w:val="00073267"/>
    <w:rsid w:val="00073339"/>
    <w:rsid w:val="00073376"/>
    <w:rsid w:val="00073636"/>
    <w:rsid w:val="0007379A"/>
    <w:rsid w:val="00073882"/>
    <w:rsid w:val="000739E5"/>
    <w:rsid w:val="00073A8D"/>
    <w:rsid w:val="00073EC5"/>
    <w:rsid w:val="00074033"/>
    <w:rsid w:val="00074930"/>
    <w:rsid w:val="00074ABF"/>
    <w:rsid w:val="00074F92"/>
    <w:rsid w:val="00075A7C"/>
    <w:rsid w:val="00075C24"/>
    <w:rsid w:val="000766E5"/>
    <w:rsid w:val="000768BB"/>
    <w:rsid w:val="00076A45"/>
    <w:rsid w:val="00076A70"/>
    <w:rsid w:val="00076F32"/>
    <w:rsid w:val="00077247"/>
    <w:rsid w:val="000774DB"/>
    <w:rsid w:val="00077880"/>
    <w:rsid w:val="0008033F"/>
    <w:rsid w:val="00080706"/>
    <w:rsid w:val="00080986"/>
    <w:rsid w:val="000809D5"/>
    <w:rsid w:val="0008168D"/>
    <w:rsid w:val="000821BD"/>
    <w:rsid w:val="000822EA"/>
    <w:rsid w:val="0008260B"/>
    <w:rsid w:val="0008261B"/>
    <w:rsid w:val="00082712"/>
    <w:rsid w:val="00082977"/>
    <w:rsid w:val="00082C5A"/>
    <w:rsid w:val="00082CDD"/>
    <w:rsid w:val="00082E66"/>
    <w:rsid w:val="00082EC5"/>
    <w:rsid w:val="00082FC4"/>
    <w:rsid w:val="000833C2"/>
    <w:rsid w:val="00083498"/>
    <w:rsid w:val="0008367E"/>
    <w:rsid w:val="000838C2"/>
    <w:rsid w:val="00084314"/>
    <w:rsid w:val="00084CE9"/>
    <w:rsid w:val="00084F83"/>
    <w:rsid w:val="00085282"/>
    <w:rsid w:val="00085400"/>
    <w:rsid w:val="00085883"/>
    <w:rsid w:val="00085981"/>
    <w:rsid w:val="00085C31"/>
    <w:rsid w:val="0008612D"/>
    <w:rsid w:val="000861FA"/>
    <w:rsid w:val="00086491"/>
    <w:rsid w:val="000868BD"/>
    <w:rsid w:val="000869F6"/>
    <w:rsid w:val="00086D44"/>
    <w:rsid w:val="00086DB8"/>
    <w:rsid w:val="00087F4E"/>
    <w:rsid w:val="00090330"/>
    <w:rsid w:val="000903F9"/>
    <w:rsid w:val="00090489"/>
    <w:rsid w:val="000905F4"/>
    <w:rsid w:val="00090904"/>
    <w:rsid w:val="0009096F"/>
    <w:rsid w:val="00090AA3"/>
    <w:rsid w:val="00090BD2"/>
    <w:rsid w:val="00090BE8"/>
    <w:rsid w:val="00090DDE"/>
    <w:rsid w:val="00090EF8"/>
    <w:rsid w:val="00091296"/>
    <w:rsid w:val="00091667"/>
    <w:rsid w:val="000916A3"/>
    <w:rsid w:val="000917C7"/>
    <w:rsid w:val="00091989"/>
    <w:rsid w:val="00091A2F"/>
    <w:rsid w:val="00091D50"/>
    <w:rsid w:val="00092116"/>
    <w:rsid w:val="000922E7"/>
    <w:rsid w:val="00092A35"/>
    <w:rsid w:val="00092CFA"/>
    <w:rsid w:val="00092EB0"/>
    <w:rsid w:val="000933E6"/>
    <w:rsid w:val="000937B3"/>
    <w:rsid w:val="0009386C"/>
    <w:rsid w:val="000939B9"/>
    <w:rsid w:val="00093C9A"/>
    <w:rsid w:val="00093CE9"/>
    <w:rsid w:val="00093DC4"/>
    <w:rsid w:val="00093EE9"/>
    <w:rsid w:val="0009448C"/>
    <w:rsid w:val="00094977"/>
    <w:rsid w:val="00094DBD"/>
    <w:rsid w:val="00094F7B"/>
    <w:rsid w:val="00096AAE"/>
    <w:rsid w:val="00096B92"/>
    <w:rsid w:val="00096BD5"/>
    <w:rsid w:val="00096EBE"/>
    <w:rsid w:val="0009799C"/>
    <w:rsid w:val="00097AAC"/>
    <w:rsid w:val="00097CEC"/>
    <w:rsid w:val="000A0146"/>
    <w:rsid w:val="000A051D"/>
    <w:rsid w:val="000A0620"/>
    <w:rsid w:val="000A0790"/>
    <w:rsid w:val="000A07CB"/>
    <w:rsid w:val="000A09BC"/>
    <w:rsid w:val="000A0C9C"/>
    <w:rsid w:val="000A0D18"/>
    <w:rsid w:val="000A0D27"/>
    <w:rsid w:val="000A1298"/>
    <w:rsid w:val="000A13F7"/>
    <w:rsid w:val="000A1508"/>
    <w:rsid w:val="000A1599"/>
    <w:rsid w:val="000A1D85"/>
    <w:rsid w:val="000A2278"/>
    <w:rsid w:val="000A2445"/>
    <w:rsid w:val="000A26CB"/>
    <w:rsid w:val="000A272A"/>
    <w:rsid w:val="000A2C9E"/>
    <w:rsid w:val="000A2E40"/>
    <w:rsid w:val="000A375A"/>
    <w:rsid w:val="000A39F4"/>
    <w:rsid w:val="000A3AAF"/>
    <w:rsid w:val="000A3E60"/>
    <w:rsid w:val="000A3F8D"/>
    <w:rsid w:val="000A497B"/>
    <w:rsid w:val="000A4DF3"/>
    <w:rsid w:val="000A546E"/>
    <w:rsid w:val="000A54AD"/>
    <w:rsid w:val="000A55B4"/>
    <w:rsid w:val="000A5CE8"/>
    <w:rsid w:val="000A5DB5"/>
    <w:rsid w:val="000A612B"/>
    <w:rsid w:val="000A6C01"/>
    <w:rsid w:val="000A6E6F"/>
    <w:rsid w:val="000A7356"/>
    <w:rsid w:val="000A77C8"/>
    <w:rsid w:val="000A7943"/>
    <w:rsid w:val="000A7D0A"/>
    <w:rsid w:val="000B0364"/>
    <w:rsid w:val="000B06C4"/>
    <w:rsid w:val="000B06F3"/>
    <w:rsid w:val="000B0993"/>
    <w:rsid w:val="000B0F0F"/>
    <w:rsid w:val="000B1434"/>
    <w:rsid w:val="000B14A2"/>
    <w:rsid w:val="000B164F"/>
    <w:rsid w:val="000B174D"/>
    <w:rsid w:val="000B1F56"/>
    <w:rsid w:val="000B21CB"/>
    <w:rsid w:val="000B23EA"/>
    <w:rsid w:val="000B2675"/>
    <w:rsid w:val="000B274D"/>
    <w:rsid w:val="000B2DCA"/>
    <w:rsid w:val="000B2E4B"/>
    <w:rsid w:val="000B30A2"/>
    <w:rsid w:val="000B3610"/>
    <w:rsid w:val="000B3CA5"/>
    <w:rsid w:val="000B4253"/>
    <w:rsid w:val="000B4A87"/>
    <w:rsid w:val="000B4BDC"/>
    <w:rsid w:val="000B4CAD"/>
    <w:rsid w:val="000B508C"/>
    <w:rsid w:val="000B525C"/>
    <w:rsid w:val="000B5C7B"/>
    <w:rsid w:val="000B5D81"/>
    <w:rsid w:val="000B63E1"/>
    <w:rsid w:val="000B688F"/>
    <w:rsid w:val="000B75F5"/>
    <w:rsid w:val="000B7A2F"/>
    <w:rsid w:val="000B7B78"/>
    <w:rsid w:val="000B7DFE"/>
    <w:rsid w:val="000B7EE2"/>
    <w:rsid w:val="000B7EE7"/>
    <w:rsid w:val="000B7F5D"/>
    <w:rsid w:val="000C0364"/>
    <w:rsid w:val="000C0493"/>
    <w:rsid w:val="000C04C1"/>
    <w:rsid w:val="000C0684"/>
    <w:rsid w:val="000C10BA"/>
    <w:rsid w:val="000C14EF"/>
    <w:rsid w:val="000C1599"/>
    <w:rsid w:val="000C1714"/>
    <w:rsid w:val="000C1747"/>
    <w:rsid w:val="000C1AFE"/>
    <w:rsid w:val="000C226B"/>
    <w:rsid w:val="000C2BB4"/>
    <w:rsid w:val="000C32A4"/>
    <w:rsid w:val="000C3CDE"/>
    <w:rsid w:val="000C4137"/>
    <w:rsid w:val="000C4404"/>
    <w:rsid w:val="000C44CA"/>
    <w:rsid w:val="000C53B8"/>
    <w:rsid w:val="000C5752"/>
    <w:rsid w:val="000C57E1"/>
    <w:rsid w:val="000C5A70"/>
    <w:rsid w:val="000C5D0A"/>
    <w:rsid w:val="000C5F36"/>
    <w:rsid w:val="000C61C5"/>
    <w:rsid w:val="000C64F0"/>
    <w:rsid w:val="000C651F"/>
    <w:rsid w:val="000C6D10"/>
    <w:rsid w:val="000C6EBF"/>
    <w:rsid w:val="000C769F"/>
    <w:rsid w:val="000C7C44"/>
    <w:rsid w:val="000C7F6A"/>
    <w:rsid w:val="000D0128"/>
    <w:rsid w:val="000D04F4"/>
    <w:rsid w:val="000D0784"/>
    <w:rsid w:val="000D1300"/>
    <w:rsid w:val="000D13CD"/>
    <w:rsid w:val="000D180A"/>
    <w:rsid w:val="000D186C"/>
    <w:rsid w:val="000D18A2"/>
    <w:rsid w:val="000D1C4C"/>
    <w:rsid w:val="000D2D78"/>
    <w:rsid w:val="000D2D89"/>
    <w:rsid w:val="000D2E96"/>
    <w:rsid w:val="000D2EB6"/>
    <w:rsid w:val="000D3024"/>
    <w:rsid w:val="000D328F"/>
    <w:rsid w:val="000D3317"/>
    <w:rsid w:val="000D33CE"/>
    <w:rsid w:val="000D34EB"/>
    <w:rsid w:val="000D3AD0"/>
    <w:rsid w:val="000D3B89"/>
    <w:rsid w:val="000D3E93"/>
    <w:rsid w:val="000D4203"/>
    <w:rsid w:val="000D4324"/>
    <w:rsid w:val="000D4515"/>
    <w:rsid w:val="000D4AB6"/>
    <w:rsid w:val="000D4D6A"/>
    <w:rsid w:val="000D4DFE"/>
    <w:rsid w:val="000D4F8C"/>
    <w:rsid w:val="000D4FCE"/>
    <w:rsid w:val="000D50CD"/>
    <w:rsid w:val="000D5A53"/>
    <w:rsid w:val="000D5AF8"/>
    <w:rsid w:val="000D5D66"/>
    <w:rsid w:val="000D60AA"/>
    <w:rsid w:val="000D616B"/>
    <w:rsid w:val="000D63E0"/>
    <w:rsid w:val="000D6684"/>
    <w:rsid w:val="000D6840"/>
    <w:rsid w:val="000D708E"/>
    <w:rsid w:val="000E02D8"/>
    <w:rsid w:val="000E0472"/>
    <w:rsid w:val="000E073C"/>
    <w:rsid w:val="000E09A4"/>
    <w:rsid w:val="000E09AC"/>
    <w:rsid w:val="000E0B6A"/>
    <w:rsid w:val="000E0D09"/>
    <w:rsid w:val="000E125E"/>
    <w:rsid w:val="000E1439"/>
    <w:rsid w:val="000E145B"/>
    <w:rsid w:val="000E1520"/>
    <w:rsid w:val="000E160C"/>
    <w:rsid w:val="000E1893"/>
    <w:rsid w:val="000E1C9D"/>
    <w:rsid w:val="000E1D12"/>
    <w:rsid w:val="000E21A2"/>
    <w:rsid w:val="000E2864"/>
    <w:rsid w:val="000E2B85"/>
    <w:rsid w:val="000E2FFE"/>
    <w:rsid w:val="000E362B"/>
    <w:rsid w:val="000E398C"/>
    <w:rsid w:val="000E3D82"/>
    <w:rsid w:val="000E455E"/>
    <w:rsid w:val="000E4D70"/>
    <w:rsid w:val="000E50DC"/>
    <w:rsid w:val="000E551B"/>
    <w:rsid w:val="000E5DF6"/>
    <w:rsid w:val="000E5E5C"/>
    <w:rsid w:val="000E5EAC"/>
    <w:rsid w:val="000E614C"/>
    <w:rsid w:val="000E6179"/>
    <w:rsid w:val="000E63DD"/>
    <w:rsid w:val="000E6784"/>
    <w:rsid w:val="000E6891"/>
    <w:rsid w:val="000E6A1B"/>
    <w:rsid w:val="000E6C55"/>
    <w:rsid w:val="000E7851"/>
    <w:rsid w:val="000E7969"/>
    <w:rsid w:val="000E7A82"/>
    <w:rsid w:val="000E7AC3"/>
    <w:rsid w:val="000E7B84"/>
    <w:rsid w:val="000E7E95"/>
    <w:rsid w:val="000E7EE5"/>
    <w:rsid w:val="000F05A6"/>
    <w:rsid w:val="000F0975"/>
    <w:rsid w:val="000F0C54"/>
    <w:rsid w:val="000F0D08"/>
    <w:rsid w:val="000F1B27"/>
    <w:rsid w:val="000F1FA8"/>
    <w:rsid w:val="000F204E"/>
    <w:rsid w:val="000F219E"/>
    <w:rsid w:val="000F21EF"/>
    <w:rsid w:val="000F236B"/>
    <w:rsid w:val="000F285B"/>
    <w:rsid w:val="000F3B50"/>
    <w:rsid w:val="000F4CB0"/>
    <w:rsid w:val="000F508A"/>
    <w:rsid w:val="000F50C5"/>
    <w:rsid w:val="000F5FC9"/>
    <w:rsid w:val="000F640C"/>
    <w:rsid w:val="000F66F8"/>
    <w:rsid w:val="000F6918"/>
    <w:rsid w:val="000F6D1C"/>
    <w:rsid w:val="000F6E51"/>
    <w:rsid w:val="000F6FAB"/>
    <w:rsid w:val="000F7361"/>
    <w:rsid w:val="000F76EF"/>
    <w:rsid w:val="000F7A2A"/>
    <w:rsid w:val="000F7A58"/>
    <w:rsid w:val="000F7C32"/>
    <w:rsid w:val="000F7FD2"/>
    <w:rsid w:val="00100186"/>
    <w:rsid w:val="001001F0"/>
    <w:rsid w:val="00100281"/>
    <w:rsid w:val="00100570"/>
    <w:rsid w:val="001005AA"/>
    <w:rsid w:val="00100E40"/>
    <w:rsid w:val="00101616"/>
    <w:rsid w:val="00101709"/>
    <w:rsid w:val="001019F6"/>
    <w:rsid w:val="00101A38"/>
    <w:rsid w:val="00101DAF"/>
    <w:rsid w:val="00101EA6"/>
    <w:rsid w:val="001024C0"/>
    <w:rsid w:val="001024FE"/>
    <w:rsid w:val="0010271E"/>
    <w:rsid w:val="00102752"/>
    <w:rsid w:val="00102ACE"/>
    <w:rsid w:val="00102C26"/>
    <w:rsid w:val="00103282"/>
    <w:rsid w:val="00103470"/>
    <w:rsid w:val="0010377A"/>
    <w:rsid w:val="00103FE2"/>
    <w:rsid w:val="0010407C"/>
    <w:rsid w:val="001042DB"/>
    <w:rsid w:val="001047AE"/>
    <w:rsid w:val="001053AD"/>
    <w:rsid w:val="001059C5"/>
    <w:rsid w:val="0010618E"/>
    <w:rsid w:val="001064DF"/>
    <w:rsid w:val="001064E2"/>
    <w:rsid w:val="00106705"/>
    <w:rsid w:val="00106CAC"/>
    <w:rsid w:val="00106D45"/>
    <w:rsid w:val="00106D47"/>
    <w:rsid w:val="00106D5A"/>
    <w:rsid w:val="00107317"/>
    <w:rsid w:val="00107E45"/>
    <w:rsid w:val="001106E0"/>
    <w:rsid w:val="00110763"/>
    <w:rsid w:val="0011080B"/>
    <w:rsid w:val="00110A0A"/>
    <w:rsid w:val="00110A66"/>
    <w:rsid w:val="0011120F"/>
    <w:rsid w:val="00111444"/>
    <w:rsid w:val="001116E8"/>
    <w:rsid w:val="00111A9D"/>
    <w:rsid w:val="00111B91"/>
    <w:rsid w:val="00111FD8"/>
    <w:rsid w:val="00112A10"/>
    <w:rsid w:val="001131C7"/>
    <w:rsid w:val="001134B2"/>
    <w:rsid w:val="001140D8"/>
    <w:rsid w:val="00114341"/>
    <w:rsid w:val="00114A80"/>
    <w:rsid w:val="00114A88"/>
    <w:rsid w:val="0011532F"/>
    <w:rsid w:val="001158F0"/>
    <w:rsid w:val="00116F9A"/>
    <w:rsid w:val="00116FF7"/>
    <w:rsid w:val="00117291"/>
    <w:rsid w:val="00117413"/>
    <w:rsid w:val="00117514"/>
    <w:rsid w:val="001175D7"/>
    <w:rsid w:val="001176B4"/>
    <w:rsid w:val="001176E9"/>
    <w:rsid w:val="001178C7"/>
    <w:rsid w:val="001178D8"/>
    <w:rsid w:val="00117C27"/>
    <w:rsid w:val="00117D72"/>
    <w:rsid w:val="001203AE"/>
    <w:rsid w:val="001207B3"/>
    <w:rsid w:val="00120EA6"/>
    <w:rsid w:val="001214B2"/>
    <w:rsid w:val="001214FB"/>
    <w:rsid w:val="001217CB"/>
    <w:rsid w:val="00121B97"/>
    <w:rsid w:val="00121BCA"/>
    <w:rsid w:val="00121E37"/>
    <w:rsid w:val="00122253"/>
    <w:rsid w:val="0012229F"/>
    <w:rsid w:val="00122BFE"/>
    <w:rsid w:val="0012306C"/>
    <w:rsid w:val="00123707"/>
    <w:rsid w:val="00123994"/>
    <w:rsid w:val="001246F3"/>
    <w:rsid w:val="00124B78"/>
    <w:rsid w:val="00124D5D"/>
    <w:rsid w:val="00124EA4"/>
    <w:rsid w:val="00125441"/>
    <w:rsid w:val="00125879"/>
    <w:rsid w:val="00125C19"/>
    <w:rsid w:val="00125C85"/>
    <w:rsid w:val="00125D53"/>
    <w:rsid w:val="00125FE7"/>
    <w:rsid w:val="0012607A"/>
    <w:rsid w:val="00126943"/>
    <w:rsid w:val="00126DE3"/>
    <w:rsid w:val="00126EFA"/>
    <w:rsid w:val="00127363"/>
    <w:rsid w:val="001273C4"/>
    <w:rsid w:val="00127CA9"/>
    <w:rsid w:val="0013010D"/>
    <w:rsid w:val="00130154"/>
    <w:rsid w:val="001302CC"/>
    <w:rsid w:val="0013042C"/>
    <w:rsid w:val="00130648"/>
    <w:rsid w:val="00130776"/>
    <w:rsid w:val="00130AD5"/>
    <w:rsid w:val="00130BD9"/>
    <w:rsid w:val="00130D24"/>
    <w:rsid w:val="0013111A"/>
    <w:rsid w:val="00131140"/>
    <w:rsid w:val="00131895"/>
    <w:rsid w:val="00131F7F"/>
    <w:rsid w:val="001320D4"/>
    <w:rsid w:val="001324EC"/>
    <w:rsid w:val="00133128"/>
    <w:rsid w:val="001332F9"/>
    <w:rsid w:val="001333E5"/>
    <w:rsid w:val="00133825"/>
    <w:rsid w:val="00133885"/>
    <w:rsid w:val="00133A8D"/>
    <w:rsid w:val="001341F5"/>
    <w:rsid w:val="0013468D"/>
    <w:rsid w:val="001346B4"/>
    <w:rsid w:val="001349E0"/>
    <w:rsid w:val="00134AFC"/>
    <w:rsid w:val="00134CBD"/>
    <w:rsid w:val="00135241"/>
    <w:rsid w:val="001353E6"/>
    <w:rsid w:val="00135585"/>
    <w:rsid w:val="001358F1"/>
    <w:rsid w:val="00135E02"/>
    <w:rsid w:val="00135F37"/>
    <w:rsid w:val="00136189"/>
    <w:rsid w:val="00136334"/>
    <w:rsid w:val="0013708B"/>
    <w:rsid w:val="001372D7"/>
    <w:rsid w:val="00137928"/>
    <w:rsid w:val="00137B1B"/>
    <w:rsid w:val="00137CA8"/>
    <w:rsid w:val="00137F23"/>
    <w:rsid w:val="00140185"/>
    <w:rsid w:val="00140573"/>
    <w:rsid w:val="00140654"/>
    <w:rsid w:val="001407FF"/>
    <w:rsid w:val="00140C12"/>
    <w:rsid w:val="00140C70"/>
    <w:rsid w:val="00140D15"/>
    <w:rsid w:val="00140E14"/>
    <w:rsid w:val="00140F50"/>
    <w:rsid w:val="00141210"/>
    <w:rsid w:val="001412E5"/>
    <w:rsid w:val="001415B8"/>
    <w:rsid w:val="0014188E"/>
    <w:rsid w:val="00141D60"/>
    <w:rsid w:val="0014200D"/>
    <w:rsid w:val="0014225F"/>
    <w:rsid w:val="00142285"/>
    <w:rsid w:val="0014254D"/>
    <w:rsid w:val="001428F3"/>
    <w:rsid w:val="001429FA"/>
    <w:rsid w:val="00142BE7"/>
    <w:rsid w:val="00142FAB"/>
    <w:rsid w:val="00143063"/>
    <w:rsid w:val="001431A4"/>
    <w:rsid w:val="001433BE"/>
    <w:rsid w:val="00143A51"/>
    <w:rsid w:val="00143A58"/>
    <w:rsid w:val="00143AEB"/>
    <w:rsid w:val="00143DB1"/>
    <w:rsid w:val="00143DDC"/>
    <w:rsid w:val="001441C5"/>
    <w:rsid w:val="001442F1"/>
    <w:rsid w:val="0014499A"/>
    <w:rsid w:val="00144A0B"/>
    <w:rsid w:val="00144D58"/>
    <w:rsid w:val="0014524F"/>
    <w:rsid w:val="00145259"/>
    <w:rsid w:val="00145798"/>
    <w:rsid w:val="001458BC"/>
    <w:rsid w:val="00145A91"/>
    <w:rsid w:val="00145AE0"/>
    <w:rsid w:val="001461AC"/>
    <w:rsid w:val="001465EA"/>
    <w:rsid w:val="00146708"/>
    <w:rsid w:val="001469F7"/>
    <w:rsid w:val="00146B9C"/>
    <w:rsid w:val="00146BFB"/>
    <w:rsid w:val="00146C81"/>
    <w:rsid w:val="00146CD6"/>
    <w:rsid w:val="0014710C"/>
    <w:rsid w:val="0014750D"/>
    <w:rsid w:val="001479B1"/>
    <w:rsid w:val="00147BE1"/>
    <w:rsid w:val="00147BFF"/>
    <w:rsid w:val="00147F93"/>
    <w:rsid w:val="00147FB2"/>
    <w:rsid w:val="00150300"/>
    <w:rsid w:val="0015033A"/>
    <w:rsid w:val="001503B1"/>
    <w:rsid w:val="00150675"/>
    <w:rsid w:val="00151ABF"/>
    <w:rsid w:val="00151D89"/>
    <w:rsid w:val="00152100"/>
    <w:rsid w:val="001525DB"/>
    <w:rsid w:val="00152EF9"/>
    <w:rsid w:val="001530D6"/>
    <w:rsid w:val="00153514"/>
    <w:rsid w:val="00153BB6"/>
    <w:rsid w:val="00153BBF"/>
    <w:rsid w:val="00153C4D"/>
    <w:rsid w:val="00153FD2"/>
    <w:rsid w:val="00154231"/>
    <w:rsid w:val="001544FF"/>
    <w:rsid w:val="00154913"/>
    <w:rsid w:val="00154960"/>
    <w:rsid w:val="00154B03"/>
    <w:rsid w:val="00154B49"/>
    <w:rsid w:val="001550E8"/>
    <w:rsid w:val="00155135"/>
    <w:rsid w:val="001555D6"/>
    <w:rsid w:val="00155C9E"/>
    <w:rsid w:val="00156859"/>
    <w:rsid w:val="0015692D"/>
    <w:rsid w:val="00156D16"/>
    <w:rsid w:val="001570DC"/>
    <w:rsid w:val="0015712D"/>
    <w:rsid w:val="00157BEF"/>
    <w:rsid w:val="00157DCC"/>
    <w:rsid w:val="0016037E"/>
    <w:rsid w:val="001603FF"/>
    <w:rsid w:val="00160452"/>
    <w:rsid w:val="00160761"/>
    <w:rsid w:val="00160D13"/>
    <w:rsid w:val="00160E43"/>
    <w:rsid w:val="00160ECE"/>
    <w:rsid w:val="00161324"/>
    <w:rsid w:val="00161B4A"/>
    <w:rsid w:val="00161B8B"/>
    <w:rsid w:val="00162196"/>
    <w:rsid w:val="0016230E"/>
    <w:rsid w:val="00162403"/>
    <w:rsid w:val="0016247E"/>
    <w:rsid w:val="001624A7"/>
    <w:rsid w:val="001626D1"/>
    <w:rsid w:val="00162928"/>
    <w:rsid w:val="00162B88"/>
    <w:rsid w:val="0016314A"/>
    <w:rsid w:val="0016324D"/>
    <w:rsid w:val="001637E2"/>
    <w:rsid w:val="00163F13"/>
    <w:rsid w:val="001645B3"/>
    <w:rsid w:val="0016471F"/>
    <w:rsid w:val="001647C1"/>
    <w:rsid w:val="00164EDF"/>
    <w:rsid w:val="00165002"/>
    <w:rsid w:val="00165027"/>
    <w:rsid w:val="001654F6"/>
    <w:rsid w:val="0016555D"/>
    <w:rsid w:val="00165813"/>
    <w:rsid w:val="0016686F"/>
    <w:rsid w:val="00166B64"/>
    <w:rsid w:val="00167B2A"/>
    <w:rsid w:val="00167E78"/>
    <w:rsid w:val="001702C4"/>
    <w:rsid w:val="001705B7"/>
    <w:rsid w:val="0017093A"/>
    <w:rsid w:val="00170CD1"/>
    <w:rsid w:val="00170CEB"/>
    <w:rsid w:val="0017134D"/>
    <w:rsid w:val="00171806"/>
    <w:rsid w:val="001719B3"/>
    <w:rsid w:val="00171A53"/>
    <w:rsid w:val="00171B8C"/>
    <w:rsid w:val="00171CFA"/>
    <w:rsid w:val="00171F33"/>
    <w:rsid w:val="00171FC7"/>
    <w:rsid w:val="001728A5"/>
    <w:rsid w:val="00172AAE"/>
    <w:rsid w:val="00172D3B"/>
    <w:rsid w:val="00172FA1"/>
    <w:rsid w:val="00173048"/>
    <w:rsid w:val="0017367D"/>
    <w:rsid w:val="00173D22"/>
    <w:rsid w:val="00174536"/>
    <w:rsid w:val="00174A82"/>
    <w:rsid w:val="00174C1E"/>
    <w:rsid w:val="00174C42"/>
    <w:rsid w:val="00174CBB"/>
    <w:rsid w:val="00175429"/>
    <w:rsid w:val="001755CA"/>
    <w:rsid w:val="00175691"/>
    <w:rsid w:val="00175AFF"/>
    <w:rsid w:val="00176331"/>
    <w:rsid w:val="00176377"/>
    <w:rsid w:val="00176716"/>
    <w:rsid w:val="0017680D"/>
    <w:rsid w:val="001769AB"/>
    <w:rsid w:val="001769DF"/>
    <w:rsid w:val="00176A1C"/>
    <w:rsid w:val="00176BA6"/>
    <w:rsid w:val="00176C84"/>
    <w:rsid w:val="001775CF"/>
    <w:rsid w:val="00177987"/>
    <w:rsid w:val="00177A89"/>
    <w:rsid w:val="00177BE4"/>
    <w:rsid w:val="00177F02"/>
    <w:rsid w:val="00177FF7"/>
    <w:rsid w:val="00180295"/>
    <w:rsid w:val="00180A95"/>
    <w:rsid w:val="001810C7"/>
    <w:rsid w:val="001814EC"/>
    <w:rsid w:val="001818B1"/>
    <w:rsid w:val="00181942"/>
    <w:rsid w:val="00181AB2"/>
    <w:rsid w:val="00181ADE"/>
    <w:rsid w:val="00181B0D"/>
    <w:rsid w:val="00181B39"/>
    <w:rsid w:val="001822C4"/>
    <w:rsid w:val="001824D5"/>
    <w:rsid w:val="00182C18"/>
    <w:rsid w:val="00182D1F"/>
    <w:rsid w:val="00182ED0"/>
    <w:rsid w:val="0018308E"/>
    <w:rsid w:val="0018337A"/>
    <w:rsid w:val="00183A45"/>
    <w:rsid w:val="00183B2F"/>
    <w:rsid w:val="00183BE9"/>
    <w:rsid w:val="00183E4D"/>
    <w:rsid w:val="00183FF4"/>
    <w:rsid w:val="00184148"/>
    <w:rsid w:val="001841D2"/>
    <w:rsid w:val="0018480C"/>
    <w:rsid w:val="00184885"/>
    <w:rsid w:val="001850C0"/>
    <w:rsid w:val="00185497"/>
    <w:rsid w:val="00185A14"/>
    <w:rsid w:val="00185AAE"/>
    <w:rsid w:val="00185DC1"/>
    <w:rsid w:val="00185E19"/>
    <w:rsid w:val="00186246"/>
    <w:rsid w:val="00186264"/>
    <w:rsid w:val="001866BF"/>
    <w:rsid w:val="00186A92"/>
    <w:rsid w:val="00186AA4"/>
    <w:rsid w:val="00186C9F"/>
    <w:rsid w:val="00187020"/>
    <w:rsid w:val="001870D1"/>
    <w:rsid w:val="001870E4"/>
    <w:rsid w:val="00187CF5"/>
    <w:rsid w:val="00190176"/>
    <w:rsid w:val="00190D6F"/>
    <w:rsid w:val="00190E47"/>
    <w:rsid w:val="00190E57"/>
    <w:rsid w:val="00190EAF"/>
    <w:rsid w:val="00191577"/>
    <w:rsid w:val="001926B6"/>
    <w:rsid w:val="001926D6"/>
    <w:rsid w:val="00192789"/>
    <w:rsid w:val="00192AA4"/>
    <w:rsid w:val="00192B76"/>
    <w:rsid w:val="00192F46"/>
    <w:rsid w:val="001930AF"/>
    <w:rsid w:val="001932BF"/>
    <w:rsid w:val="001937F6"/>
    <w:rsid w:val="00193AB1"/>
    <w:rsid w:val="00193B87"/>
    <w:rsid w:val="00193DE2"/>
    <w:rsid w:val="00193E3B"/>
    <w:rsid w:val="00193EC8"/>
    <w:rsid w:val="00194025"/>
    <w:rsid w:val="001941FC"/>
    <w:rsid w:val="00194AF9"/>
    <w:rsid w:val="0019554C"/>
    <w:rsid w:val="001959A4"/>
    <w:rsid w:val="00195BF9"/>
    <w:rsid w:val="00195F85"/>
    <w:rsid w:val="00196EED"/>
    <w:rsid w:val="00196F63"/>
    <w:rsid w:val="00196FD6"/>
    <w:rsid w:val="0019700B"/>
    <w:rsid w:val="001A0148"/>
    <w:rsid w:val="001A12A4"/>
    <w:rsid w:val="001A1623"/>
    <w:rsid w:val="001A1860"/>
    <w:rsid w:val="001A1C91"/>
    <w:rsid w:val="001A1E0A"/>
    <w:rsid w:val="001A1F81"/>
    <w:rsid w:val="001A2B24"/>
    <w:rsid w:val="001A2CC1"/>
    <w:rsid w:val="001A3021"/>
    <w:rsid w:val="001A3113"/>
    <w:rsid w:val="001A31BB"/>
    <w:rsid w:val="001A3319"/>
    <w:rsid w:val="001A361C"/>
    <w:rsid w:val="001A41E3"/>
    <w:rsid w:val="001A43AC"/>
    <w:rsid w:val="001A4BD8"/>
    <w:rsid w:val="001A4FAC"/>
    <w:rsid w:val="001A5507"/>
    <w:rsid w:val="001A589C"/>
    <w:rsid w:val="001A5972"/>
    <w:rsid w:val="001A5C3F"/>
    <w:rsid w:val="001A5C62"/>
    <w:rsid w:val="001A5CF4"/>
    <w:rsid w:val="001A5EF8"/>
    <w:rsid w:val="001A652C"/>
    <w:rsid w:val="001A6765"/>
    <w:rsid w:val="001A6794"/>
    <w:rsid w:val="001A6B50"/>
    <w:rsid w:val="001A6B5E"/>
    <w:rsid w:val="001A6B84"/>
    <w:rsid w:val="001A73C9"/>
    <w:rsid w:val="001B0D83"/>
    <w:rsid w:val="001B25F4"/>
    <w:rsid w:val="001B279B"/>
    <w:rsid w:val="001B2A0B"/>
    <w:rsid w:val="001B2A7E"/>
    <w:rsid w:val="001B2D55"/>
    <w:rsid w:val="001B33AE"/>
    <w:rsid w:val="001B35B1"/>
    <w:rsid w:val="001B3A2C"/>
    <w:rsid w:val="001B3A9D"/>
    <w:rsid w:val="001B3D6A"/>
    <w:rsid w:val="001B45BF"/>
    <w:rsid w:val="001B49CC"/>
    <w:rsid w:val="001B4CC7"/>
    <w:rsid w:val="001B4DDE"/>
    <w:rsid w:val="001B4E96"/>
    <w:rsid w:val="001B51C9"/>
    <w:rsid w:val="001B5EDE"/>
    <w:rsid w:val="001B600A"/>
    <w:rsid w:val="001B601D"/>
    <w:rsid w:val="001B6963"/>
    <w:rsid w:val="001B6A91"/>
    <w:rsid w:val="001B6BBD"/>
    <w:rsid w:val="001B6D1F"/>
    <w:rsid w:val="001B6E90"/>
    <w:rsid w:val="001B7309"/>
    <w:rsid w:val="001B7522"/>
    <w:rsid w:val="001B77A5"/>
    <w:rsid w:val="001C011D"/>
    <w:rsid w:val="001C0291"/>
    <w:rsid w:val="001C0441"/>
    <w:rsid w:val="001C0511"/>
    <w:rsid w:val="001C0761"/>
    <w:rsid w:val="001C0CEF"/>
    <w:rsid w:val="001C0F86"/>
    <w:rsid w:val="001C197E"/>
    <w:rsid w:val="001C1A17"/>
    <w:rsid w:val="001C2136"/>
    <w:rsid w:val="001C24EA"/>
    <w:rsid w:val="001C2D9A"/>
    <w:rsid w:val="001C2E1E"/>
    <w:rsid w:val="001C3A68"/>
    <w:rsid w:val="001C3C5F"/>
    <w:rsid w:val="001C3E29"/>
    <w:rsid w:val="001C4872"/>
    <w:rsid w:val="001C4A9A"/>
    <w:rsid w:val="001C51F9"/>
    <w:rsid w:val="001C5384"/>
    <w:rsid w:val="001C5639"/>
    <w:rsid w:val="001C58AF"/>
    <w:rsid w:val="001C60C7"/>
    <w:rsid w:val="001C62B6"/>
    <w:rsid w:val="001C69A9"/>
    <w:rsid w:val="001C69AC"/>
    <w:rsid w:val="001C6A22"/>
    <w:rsid w:val="001C6D80"/>
    <w:rsid w:val="001C75A6"/>
    <w:rsid w:val="001C7B87"/>
    <w:rsid w:val="001D003F"/>
    <w:rsid w:val="001D0413"/>
    <w:rsid w:val="001D0548"/>
    <w:rsid w:val="001D06C9"/>
    <w:rsid w:val="001D08EE"/>
    <w:rsid w:val="001D0E71"/>
    <w:rsid w:val="001D102B"/>
    <w:rsid w:val="001D152F"/>
    <w:rsid w:val="001D1546"/>
    <w:rsid w:val="001D169C"/>
    <w:rsid w:val="001D1AD6"/>
    <w:rsid w:val="001D1BF1"/>
    <w:rsid w:val="001D1CC7"/>
    <w:rsid w:val="001D1DDF"/>
    <w:rsid w:val="001D22EB"/>
    <w:rsid w:val="001D269C"/>
    <w:rsid w:val="001D2B25"/>
    <w:rsid w:val="001D3018"/>
    <w:rsid w:val="001D315A"/>
    <w:rsid w:val="001D396E"/>
    <w:rsid w:val="001D3A9B"/>
    <w:rsid w:val="001D3AA3"/>
    <w:rsid w:val="001D48F3"/>
    <w:rsid w:val="001D4C53"/>
    <w:rsid w:val="001D5263"/>
    <w:rsid w:val="001D5380"/>
    <w:rsid w:val="001D53A0"/>
    <w:rsid w:val="001D565B"/>
    <w:rsid w:val="001D5676"/>
    <w:rsid w:val="001D5E87"/>
    <w:rsid w:val="001D62B4"/>
    <w:rsid w:val="001D6423"/>
    <w:rsid w:val="001D646C"/>
    <w:rsid w:val="001D6724"/>
    <w:rsid w:val="001D6BA0"/>
    <w:rsid w:val="001D6C21"/>
    <w:rsid w:val="001D7A0B"/>
    <w:rsid w:val="001D7B2F"/>
    <w:rsid w:val="001D7CCE"/>
    <w:rsid w:val="001D7D4A"/>
    <w:rsid w:val="001D7FE6"/>
    <w:rsid w:val="001E009C"/>
    <w:rsid w:val="001E025C"/>
    <w:rsid w:val="001E0C2D"/>
    <w:rsid w:val="001E0EA2"/>
    <w:rsid w:val="001E0EBE"/>
    <w:rsid w:val="001E170A"/>
    <w:rsid w:val="001E17C1"/>
    <w:rsid w:val="001E1B6F"/>
    <w:rsid w:val="001E25DF"/>
    <w:rsid w:val="001E287C"/>
    <w:rsid w:val="001E28D2"/>
    <w:rsid w:val="001E2DFB"/>
    <w:rsid w:val="001E31F3"/>
    <w:rsid w:val="001E32B9"/>
    <w:rsid w:val="001E3578"/>
    <w:rsid w:val="001E3645"/>
    <w:rsid w:val="001E384A"/>
    <w:rsid w:val="001E3946"/>
    <w:rsid w:val="001E3963"/>
    <w:rsid w:val="001E3AA0"/>
    <w:rsid w:val="001E4217"/>
    <w:rsid w:val="001E4BD6"/>
    <w:rsid w:val="001E4F09"/>
    <w:rsid w:val="001E5397"/>
    <w:rsid w:val="001E54C8"/>
    <w:rsid w:val="001E55CD"/>
    <w:rsid w:val="001E5BF0"/>
    <w:rsid w:val="001E6083"/>
    <w:rsid w:val="001E65D9"/>
    <w:rsid w:val="001E66FC"/>
    <w:rsid w:val="001E705F"/>
    <w:rsid w:val="001E709D"/>
    <w:rsid w:val="001E71F5"/>
    <w:rsid w:val="001E7F65"/>
    <w:rsid w:val="001F0369"/>
    <w:rsid w:val="001F0578"/>
    <w:rsid w:val="001F069E"/>
    <w:rsid w:val="001F0799"/>
    <w:rsid w:val="001F0FDD"/>
    <w:rsid w:val="001F11EB"/>
    <w:rsid w:val="001F166F"/>
    <w:rsid w:val="001F199A"/>
    <w:rsid w:val="001F1C68"/>
    <w:rsid w:val="001F1C78"/>
    <w:rsid w:val="001F1DBF"/>
    <w:rsid w:val="001F2743"/>
    <w:rsid w:val="001F2819"/>
    <w:rsid w:val="001F289A"/>
    <w:rsid w:val="001F301C"/>
    <w:rsid w:val="001F3ECF"/>
    <w:rsid w:val="001F41AE"/>
    <w:rsid w:val="001F44A0"/>
    <w:rsid w:val="001F4B3B"/>
    <w:rsid w:val="001F5116"/>
    <w:rsid w:val="001F579B"/>
    <w:rsid w:val="001F5AEF"/>
    <w:rsid w:val="001F61E5"/>
    <w:rsid w:val="001F622B"/>
    <w:rsid w:val="001F6279"/>
    <w:rsid w:val="001F686A"/>
    <w:rsid w:val="001F6CF7"/>
    <w:rsid w:val="001F6E99"/>
    <w:rsid w:val="001F6FBC"/>
    <w:rsid w:val="001F7690"/>
    <w:rsid w:val="001F7935"/>
    <w:rsid w:val="001F7D18"/>
    <w:rsid w:val="0020001C"/>
    <w:rsid w:val="0020018B"/>
    <w:rsid w:val="002002F1"/>
    <w:rsid w:val="00200315"/>
    <w:rsid w:val="002003A2"/>
    <w:rsid w:val="0020044D"/>
    <w:rsid w:val="00200DE0"/>
    <w:rsid w:val="002011B8"/>
    <w:rsid w:val="002016B4"/>
    <w:rsid w:val="00201A06"/>
    <w:rsid w:val="0020228D"/>
    <w:rsid w:val="002023A3"/>
    <w:rsid w:val="00202580"/>
    <w:rsid w:val="00202B51"/>
    <w:rsid w:val="002033A2"/>
    <w:rsid w:val="0020378F"/>
    <w:rsid w:val="00203947"/>
    <w:rsid w:val="00203DD7"/>
    <w:rsid w:val="0020441D"/>
    <w:rsid w:val="00204A20"/>
    <w:rsid w:val="00204AAC"/>
    <w:rsid w:val="00204E61"/>
    <w:rsid w:val="00204E78"/>
    <w:rsid w:val="00204EEB"/>
    <w:rsid w:val="00205356"/>
    <w:rsid w:val="00205A91"/>
    <w:rsid w:val="00205ACB"/>
    <w:rsid w:val="00205E54"/>
    <w:rsid w:val="00206499"/>
    <w:rsid w:val="00206886"/>
    <w:rsid w:val="002068C1"/>
    <w:rsid w:val="00206C27"/>
    <w:rsid w:val="00207199"/>
    <w:rsid w:val="00207278"/>
    <w:rsid w:val="00207AAF"/>
    <w:rsid w:val="00207B1E"/>
    <w:rsid w:val="00207B7F"/>
    <w:rsid w:val="00207C1C"/>
    <w:rsid w:val="00207F1E"/>
    <w:rsid w:val="002100DE"/>
    <w:rsid w:val="00210407"/>
    <w:rsid w:val="002106B9"/>
    <w:rsid w:val="00210C5E"/>
    <w:rsid w:val="00211298"/>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960"/>
    <w:rsid w:val="00214C6A"/>
    <w:rsid w:val="00214F43"/>
    <w:rsid w:val="00214F7B"/>
    <w:rsid w:val="00215C66"/>
    <w:rsid w:val="002161EB"/>
    <w:rsid w:val="0021639E"/>
    <w:rsid w:val="002165BB"/>
    <w:rsid w:val="00216A34"/>
    <w:rsid w:val="00216D21"/>
    <w:rsid w:val="00216EA7"/>
    <w:rsid w:val="002178CE"/>
    <w:rsid w:val="00217A8E"/>
    <w:rsid w:val="00220029"/>
    <w:rsid w:val="0022035F"/>
    <w:rsid w:val="00220A74"/>
    <w:rsid w:val="00220CBB"/>
    <w:rsid w:val="0022114B"/>
    <w:rsid w:val="002217FB"/>
    <w:rsid w:val="002219B8"/>
    <w:rsid w:val="002221F6"/>
    <w:rsid w:val="00222419"/>
    <w:rsid w:val="0022247B"/>
    <w:rsid w:val="00222570"/>
    <w:rsid w:val="002226F6"/>
    <w:rsid w:val="00222A28"/>
    <w:rsid w:val="0022318A"/>
    <w:rsid w:val="00223476"/>
    <w:rsid w:val="0022359D"/>
    <w:rsid w:val="0022396B"/>
    <w:rsid w:val="002245F8"/>
    <w:rsid w:val="00224E39"/>
    <w:rsid w:val="0022525A"/>
    <w:rsid w:val="00225421"/>
    <w:rsid w:val="002254E9"/>
    <w:rsid w:val="002257C6"/>
    <w:rsid w:val="00225B70"/>
    <w:rsid w:val="00225FEC"/>
    <w:rsid w:val="00226063"/>
    <w:rsid w:val="00226179"/>
    <w:rsid w:val="00226182"/>
    <w:rsid w:val="00226210"/>
    <w:rsid w:val="002264CB"/>
    <w:rsid w:val="002265DA"/>
    <w:rsid w:val="0022719F"/>
    <w:rsid w:val="0022768B"/>
    <w:rsid w:val="00227788"/>
    <w:rsid w:val="00227CE6"/>
    <w:rsid w:val="00227DC8"/>
    <w:rsid w:val="0023007B"/>
    <w:rsid w:val="0023011E"/>
    <w:rsid w:val="0023020D"/>
    <w:rsid w:val="0023050C"/>
    <w:rsid w:val="002305E3"/>
    <w:rsid w:val="00230718"/>
    <w:rsid w:val="002307B9"/>
    <w:rsid w:val="00230999"/>
    <w:rsid w:val="0023168C"/>
    <w:rsid w:val="00231B9E"/>
    <w:rsid w:val="0023205F"/>
    <w:rsid w:val="0023217A"/>
    <w:rsid w:val="0023225E"/>
    <w:rsid w:val="00232586"/>
    <w:rsid w:val="00232730"/>
    <w:rsid w:val="0023297A"/>
    <w:rsid w:val="00232A7F"/>
    <w:rsid w:val="00232C6A"/>
    <w:rsid w:val="00232C74"/>
    <w:rsid w:val="00233065"/>
    <w:rsid w:val="002339E3"/>
    <w:rsid w:val="00233ACC"/>
    <w:rsid w:val="00233ADB"/>
    <w:rsid w:val="002345CB"/>
    <w:rsid w:val="002349F9"/>
    <w:rsid w:val="00234D1D"/>
    <w:rsid w:val="00235ECB"/>
    <w:rsid w:val="0023643C"/>
    <w:rsid w:val="002368EB"/>
    <w:rsid w:val="00236A7B"/>
    <w:rsid w:val="00236D26"/>
    <w:rsid w:val="00236E2F"/>
    <w:rsid w:val="002371C0"/>
    <w:rsid w:val="00240168"/>
    <w:rsid w:val="002401F6"/>
    <w:rsid w:val="0024027B"/>
    <w:rsid w:val="002407F1"/>
    <w:rsid w:val="00240D9D"/>
    <w:rsid w:val="00240E92"/>
    <w:rsid w:val="0024134D"/>
    <w:rsid w:val="00241E85"/>
    <w:rsid w:val="002422FA"/>
    <w:rsid w:val="002425EC"/>
    <w:rsid w:val="00242920"/>
    <w:rsid w:val="00242A30"/>
    <w:rsid w:val="00242BED"/>
    <w:rsid w:val="00242D36"/>
    <w:rsid w:val="00242FE6"/>
    <w:rsid w:val="002433F2"/>
    <w:rsid w:val="00243503"/>
    <w:rsid w:val="00243530"/>
    <w:rsid w:val="002436E9"/>
    <w:rsid w:val="0024380D"/>
    <w:rsid w:val="00243AC8"/>
    <w:rsid w:val="00243F1C"/>
    <w:rsid w:val="002440A5"/>
    <w:rsid w:val="00244533"/>
    <w:rsid w:val="00244875"/>
    <w:rsid w:val="00245CC6"/>
    <w:rsid w:val="002461B6"/>
    <w:rsid w:val="002465C9"/>
    <w:rsid w:val="00246647"/>
    <w:rsid w:val="00246BCE"/>
    <w:rsid w:val="00247672"/>
    <w:rsid w:val="0024768B"/>
    <w:rsid w:val="002477E1"/>
    <w:rsid w:val="00247C37"/>
    <w:rsid w:val="00247F76"/>
    <w:rsid w:val="002509F3"/>
    <w:rsid w:val="00250AD3"/>
    <w:rsid w:val="00250E0F"/>
    <w:rsid w:val="00251081"/>
    <w:rsid w:val="0025138F"/>
    <w:rsid w:val="002518AC"/>
    <w:rsid w:val="00251DC9"/>
    <w:rsid w:val="00251E8F"/>
    <w:rsid w:val="0025242F"/>
    <w:rsid w:val="002528E9"/>
    <w:rsid w:val="00252BAA"/>
    <w:rsid w:val="00252D88"/>
    <w:rsid w:val="00252E96"/>
    <w:rsid w:val="002530FF"/>
    <w:rsid w:val="0025353D"/>
    <w:rsid w:val="002536E5"/>
    <w:rsid w:val="00253941"/>
    <w:rsid w:val="002540E4"/>
    <w:rsid w:val="00254906"/>
    <w:rsid w:val="00254D43"/>
    <w:rsid w:val="00255AE2"/>
    <w:rsid w:val="00255B28"/>
    <w:rsid w:val="00255B71"/>
    <w:rsid w:val="00255C7C"/>
    <w:rsid w:val="00255F4E"/>
    <w:rsid w:val="00256C93"/>
    <w:rsid w:val="00257377"/>
    <w:rsid w:val="002579B5"/>
    <w:rsid w:val="00257A4F"/>
    <w:rsid w:val="00257B8F"/>
    <w:rsid w:val="002604D1"/>
    <w:rsid w:val="00260983"/>
    <w:rsid w:val="002611B2"/>
    <w:rsid w:val="002614CC"/>
    <w:rsid w:val="002615A7"/>
    <w:rsid w:val="00261B21"/>
    <w:rsid w:val="00261CCC"/>
    <w:rsid w:val="00261E92"/>
    <w:rsid w:val="00262951"/>
    <w:rsid w:val="00262DBC"/>
    <w:rsid w:val="00262FC1"/>
    <w:rsid w:val="0026308E"/>
    <w:rsid w:val="0026326C"/>
    <w:rsid w:val="00263E4F"/>
    <w:rsid w:val="002644DF"/>
    <w:rsid w:val="0026451E"/>
    <w:rsid w:val="002646F0"/>
    <w:rsid w:val="002648F6"/>
    <w:rsid w:val="00264CC5"/>
    <w:rsid w:val="00264E3C"/>
    <w:rsid w:val="002655A7"/>
    <w:rsid w:val="0026653C"/>
    <w:rsid w:val="00266665"/>
    <w:rsid w:val="002666EA"/>
    <w:rsid w:val="00266B0C"/>
    <w:rsid w:val="00266CC7"/>
    <w:rsid w:val="0026730F"/>
    <w:rsid w:val="002679A1"/>
    <w:rsid w:val="002679CF"/>
    <w:rsid w:val="00267C5F"/>
    <w:rsid w:val="00267DBA"/>
    <w:rsid w:val="002707B7"/>
    <w:rsid w:val="002711DC"/>
    <w:rsid w:val="002718FF"/>
    <w:rsid w:val="00271AD3"/>
    <w:rsid w:val="00271AF4"/>
    <w:rsid w:val="00271E8A"/>
    <w:rsid w:val="002720B6"/>
    <w:rsid w:val="00272585"/>
    <w:rsid w:val="00272E24"/>
    <w:rsid w:val="00273148"/>
    <w:rsid w:val="00273362"/>
    <w:rsid w:val="002735E7"/>
    <w:rsid w:val="00273843"/>
    <w:rsid w:val="00273978"/>
    <w:rsid w:val="00273AE5"/>
    <w:rsid w:val="00273B16"/>
    <w:rsid w:val="00273B9D"/>
    <w:rsid w:val="00273D00"/>
    <w:rsid w:val="00274085"/>
    <w:rsid w:val="002740F9"/>
    <w:rsid w:val="00274733"/>
    <w:rsid w:val="00274872"/>
    <w:rsid w:val="00274895"/>
    <w:rsid w:val="00274B08"/>
    <w:rsid w:val="00274CAF"/>
    <w:rsid w:val="00274F96"/>
    <w:rsid w:val="00275321"/>
    <w:rsid w:val="002757DB"/>
    <w:rsid w:val="00275DD6"/>
    <w:rsid w:val="0027625C"/>
    <w:rsid w:val="0027645A"/>
    <w:rsid w:val="002765F1"/>
    <w:rsid w:val="002767F8"/>
    <w:rsid w:val="00276BA3"/>
    <w:rsid w:val="00276CC7"/>
    <w:rsid w:val="00276D3C"/>
    <w:rsid w:val="00277955"/>
    <w:rsid w:val="00277981"/>
    <w:rsid w:val="00277AF6"/>
    <w:rsid w:val="00277D37"/>
    <w:rsid w:val="00277DD8"/>
    <w:rsid w:val="00280604"/>
    <w:rsid w:val="002806AF"/>
    <w:rsid w:val="00280826"/>
    <w:rsid w:val="00280A78"/>
    <w:rsid w:val="00280A91"/>
    <w:rsid w:val="00280CDB"/>
    <w:rsid w:val="00280E58"/>
    <w:rsid w:val="00281055"/>
    <w:rsid w:val="0028153A"/>
    <w:rsid w:val="00281742"/>
    <w:rsid w:val="00281909"/>
    <w:rsid w:val="00281F58"/>
    <w:rsid w:val="00281FC3"/>
    <w:rsid w:val="002826E9"/>
    <w:rsid w:val="0028281C"/>
    <w:rsid w:val="00282D87"/>
    <w:rsid w:val="00283046"/>
    <w:rsid w:val="002832EB"/>
    <w:rsid w:val="00283FE6"/>
    <w:rsid w:val="00284464"/>
    <w:rsid w:val="002845AC"/>
    <w:rsid w:val="002845D9"/>
    <w:rsid w:val="00284FDB"/>
    <w:rsid w:val="0028571D"/>
    <w:rsid w:val="00285BAA"/>
    <w:rsid w:val="0028613C"/>
    <w:rsid w:val="0028652F"/>
    <w:rsid w:val="0028655C"/>
    <w:rsid w:val="00286D2F"/>
    <w:rsid w:val="00287626"/>
    <w:rsid w:val="00287657"/>
    <w:rsid w:val="00287B97"/>
    <w:rsid w:val="002902F6"/>
    <w:rsid w:val="00290392"/>
    <w:rsid w:val="00290ADF"/>
    <w:rsid w:val="00290ECA"/>
    <w:rsid w:val="00291322"/>
    <w:rsid w:val="002915CD"/>
    <w:rsid w:val="002915EA"/>
    <w:rsid w:val="00291EC2"/>
    <w:rsid w:val="00292039"/>
    <w:rsid w:val="0029235B"/>
    <w:rsid w:val="00292470"/>
    <w:rsid w:val="002925AF"/>
    <w:rsid w:val="00292832"/>
    <w:rsid w:val="002929B8"/>
    <w:rsid w:val="00293364"/>
    <w:rsid w:val="0029360B"/>
    <w:rsid w:val="002937CE"/>
    <w:rsid w:val="002939E7"/>
    <w:rsid w:val="00293DC0"/>
    <w:rsid w:val="00293FDA"/>
    <w:rsid w:val="00294042"/>
    <w:rsid w:val="00294608"/>
    <w:rsid w:val="0029507C"/>
    <w:rsid w:val="002950DC"/>
    <w:rsid w:val="002950E0"/>
    <w:rsid w:val="00295460"/>
    <w:rsid w:val="00295A7F"/>
    <w:rsid w:val="00295D83"/>
    <w:rsid w:val="002960E5"/>
    <w:rsid w:val="00296126"/>
    <w:rsid w:val="002964E2"/>
    <w:rsid w:val="002968E0"/>
    <w:rsid w:val="00296CD6"/>
    <w:rsid w:val="002976AF"/>
    <w:rsid w:val="002977F8"/>
    <w:rsid w:val="00297E4B"/>
    <w:rsid w:val="00297E60"/>
    <w:rsid w:val="00297EB7"/>
    <w:rsid w:val="002A01F3"/>
    <w:rsid w:val="002A032F"/>
    <w:rsid w:val="002A0439"/>
    <w:rsid w:val="002A0700"/>
    <w:rsid w:val="002A09ED"/>
    <w:rsid w:val="002A0A46"/>
    <w:rsid w:val="002A0AEB"/>
    <w:rsid w:val="002A0C34"/>
    <w:rsid w:val="002A106A"/>
    <w:rsid w:val="002A1223"/>
    <w:rsid w:val="002A1CFA"/>
    <w:rsid w:val="002A1FE5"/>
    <w:rsid w:val="002A215C"/>
    <w:rsid w:val="002A2B94"/>
    <w:rsid w:val="002A2D19"/>
    <w:rsid w:val="002A31A8"/>
    <w:rsid w:val="002A3293"/>
    <w:rsid w:val="002A34E6"/>
    <w:rsid w:val="002A38D0"/>
    <w:rsid w:val="002A3C59"/>
    <w:rsid w:val="002A4415"/>
    <w:rsid w:val="002A4CF8"/>
    <w:rsid w:val="002A5287"/>
    <w:rsid w:val="002A5F93"/>
    <w:rsid w:val="002A613A"/>
    <w:rsid w:val="002A63EB"/>
    <w:rsid w:val="002A69BC"/>
    <w:rsid w:val="002A6B8E"/>
    <w:rsid w:val="002A6D11"/>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5E2"/>
    <w:rsid w:val="002B1C24"/>
    <w:rsid w:val="002B1FD7"/>
    <w:rsid w:val="002B28C0"/>
    <w:rsid w:val="002B2C5A"/>
    <w:rsid w:val="002B2CF4"/>
    <w:rsid w:val="002B2EF6"/>
    <w:rsid w:val="002B2FEE"/>
    <w:rsid w:val="002B34B0"/>
    <w:rsid w:val="002B3676"/>
    <w:rsid w:val="002B3967"/>
    <w:rsid w:val="002B3A81"/>
    <w:rsid w:val="002B3C11"/>
    <w:rsid w:val="002B45D0"/>
    <w:rsid w:val="002B476D"/>
    <w:rsid w:val="002B481D"/>
    <w:rsid w:val="002B5288"/>
    <w:rsid w:val="002B54BA"/>
    <w:rsid w:val="002B56F7"/>
    <w:rsid w:val="002B6198"/>
    <w:rsid w:val="002B63F5"/>
    <w:rsid w:val="002B6500"/>
    <w:rsid w:val="002B6D70"/>
    <w:rsid w:val="002B6D8D"/>
    <w:rsid w:val="002B6EC6"/>
    <w:rsid w:val="002B7219"/>
    <w:rsid w:val="002B791F"/>
    <w:rsid w:val="002B7DFD"/>
    <w:rsid w:val="002C04D4"/>
    <w:rsid w:val="002C04E2"/>
    <w:rsid w:val="002C0564"/>
    <w:rsid w:val="002C0825"/>
    <w:rsid w:val="002C086E"/>
    <w:rsid w:val="002C0A64"/>
    <w:rsid w:val="002C0DCC"/>
    <w:rsid w:val="002C148E"/>
    <w:rsid w:val="002C14E9"/>
    <w:rsid w:val="002C179B"/>
    <w:rsid w:val="002C19AD"/>
    <w:rsid w:val="002C1AC2"/>
    <w:rsid w:val="002C2175"/>
    <w:rsid w:val="002C21ED"/>
    <w:rsid w:val="002C222A"/>
    <w:rsid w:val="002C2884"/>
    <w:rsid w:val="002C2CC5"/>
    <w:rsid w:val="002C2CCE"/>
    <w:rsid w:val="002C2FFB"/>
    <w:rsid w:val="002C31D6"/>
    <w:rsid w:val="002C378A"/>
    <w:rsid w:val="002C40F8"/>
    <w:rsid w:val="002C4198"/>
    <w:rsid w:val="002C42C9"/>
    <w:rsid w:val="002C42E8"/>
    <w:rsid w:val="002C4AAA"/>
    <w:rsid w:val="002C5B95"/>
    <w:rsid w:val="002C5DD4"/>
    <w:rsid w:val="002C5FD8"/>
    <w:rsid w:val="002C659B"/>
    <w:rsid w:val="002C65A2"/>
    <w:rsid w:val="002C6936"/>
    <w:rsid w:val="002C6AAC"/>
    <w:rsid w:val="002C6AEC"/>
    <w:rsid w:val="002C6E73"/>
    <w:rsid w:val="002C706C"/>
    <w:rsid w:val="002C741B"/>
    <w:rsid w:val="002C774A"/>
    <w:rsid w:val="002C7FB7"/>
    <w:rsid w:val="002D0203"/>
    <w:rsid w:val="002D0490"/>
    <w:rsid w:val="002D0575"/>
    <w:rsid w:val="002D0ABC"/>
    <w:rsid w:val="002D0DA8"/>
    <w:rsid w:val="002D0F73"/>
    <w:rsid w:val="002D180F"/>
    <w:rsid w:val="002D1B59"/>
    <w:rsid w:val="002D207C"/>
    <w:rsid w:val="002D2081"/>
    <w:rsid w:val="002D2319"/>
    <w:rsid w:val="002D271D"/>
    <w:rsid w:val="002D2760"/>
    <w:rsid w:val="002D2CF7"/>
    <w:rsid w:val="002D395E"/>
    <w:rsid w:val="002D3AF1"/>
    <w:rsid w:val="002D3EFB"/>
    <w:rsid w:val="002D4230"/>
    <w:rsid w:val="002D44DB"/>
    <w:rsid w:val="002D45A1"/>
    <w:rsid w:val="002D4DBB"/>
    <w:rsid w:val="002D4DC5"/>
    <w:rsid w:val="002D557B"/>
    <w:rsid w:val="002D5C43"/>
    <w:rsid w:val="002D5C5E"/>
    <w:rsid w:val="002D6035"/>
    <w:rsid w:val="002D63D2"/>
    <w:rsid w:val="002D654D"/>
    <w:rsid w:val="002D6A70"/>
    <w:rsid w:val="002D6DF1"/>
    <w:rsid w:val="002D7722"/>
    <w:rsid w:val="002D7924"/>
    <w:rsid w:val="002D7A50"/>
    <w:rsid w:val="002D7A59"/>
    <w:rsid w:val="002E036A"/>
    <w:rsid w:val="002E0526"/>
    <w:rsid w:val="002E075F"/>
    <w:rsid w:val="002E0C15"/>
    <w:rsid w:val="002E0E53"/>
    <w:rsid w:val="002E253F"/>
    <w:rsid w:val="002E255D"/>
    <w:rsid w:val="002E266A"/>
    <w:rsid w:val="002E2ABF"/>
    <w:rsid w:val="002E2B28"/>
    <w:rsid w:val="002E2D57"/>
    <w:rsid w:val="002E2E09"/>
    <w:rsid w:val="002E3709"/>
    <w:rsid w:val="002E3A74"/>
    <w:rsid w:val="002E3B0C"/>
    <w:rsid w:val="002E3E7C"/>
    <w:rsid w:val="002E3F3C"/>
    <w:rsid w:val="002E3FAD"/>
    <w:rsid w:val="002E4562"/>
    <w:rsid w:val="002E4C40"/>
    <w:rsid w:val="002E4D55"/>
    <w:rsid w:val="002E50C5"/>
    <w:rsid w:val="002E5149"/>
    <w:rsid w:val="002E5632"/>
    <w:rsid w:val="002E56E1"/>
    <w:rsid w:val="002E595C"/>
    <w:rsid w:val="002E5D5F"/>
    <w:rsid w:val="002E5F0C"/>
    <w:rsid w:val="002E5F26"/>
    <w:rsid w:val="002E646C"/>
    <w:rsid w:val="002E64A2"/>
    <w:rsid w:val="002E6B7F"/>
    <w:rsid w:val="002E6D72"/>
    <w:rsid w:val="002E72B0"/>
    <w:rsid w:val="002E74E2"/>
    <w:rsid w:val="002E7842"/>
    <w:rsid w:val="002E7F8B"/>
    <w:rsid w:val="002F0EA7"/>
    <w:rsid w:val="002F10F0"/>
    <w:rsid w:val="002F143D"/>
    <w:rsid w:val="002F1686"/>
    <w:rsid w:val="002F1956"/>
    <w:rsid w:val="002F196C"/>
    <w:rsid w:val="002F1C32"/>
    <w:rsid w:val="002F1C4F"/>
    <w:rsid w:val="002F203E"/>
    <w:rsid w:val="002F2314"/>
    <w:rsid w:val="002F27A6"/>
    <w:rsid w:val="002F2838"/>
    <w:rsid w:val="002F2D2D"/>
    <w:rsid w:val="002F334F"/>
    <w:rsid w:val="002F346A"/>
    <w:rsid w:val="002F353C"/>
    <w:rsid w:val="002F3930"/>
    <w:rsid w:val="002F3D8D"/>
    <w:rsid w:val="002F3D91"/>
    <w:rsid w:val="002F440B"/>
    <w:rsid w:val="002F442F"/>
    <w:rsid w:val="002F44D3"/>
    <w:rsid w:val="002F47BB"/>
    <w:rsid w:val="002F4A37"/>
    <w:rsid w:val="002F5782"/>
    <w:rsid w:val="002F5B62"/>
    <w:rsid w:val="002F5CAF"/>
    <w:rsid w:val="002F5F9B"/>
    <w:rsid w:val="002F64D0"/>
    <w:rsid w:val="002F6679"/>
    <w:rsid w:val="002F6788"/>
    <w:rsid w:val="002F68E5"/>
    <w:rsid w:val="002F7A15"/>
    <w:rsid w:val="002F7AEA"/>
    <w:rsid w:val="002F7B6B"/>
    <w:rsid w:val="002F7BCB"/>
    <w:rsid w:val="003004ED"/>
    <w:rsid w:val="00300593"/>
    <w:rsid w:val="003006F8"/>
    <w:rsid w:val="00300C8E"/>
    <w:rsid w:val="00301230"/>
    <w:rsid w:val="00301265"/>
    <w:rsid w:val="00301419"/>
    <w:rsid w:val="003014D0"/>
    <w:rsid w:val="0030167E"/>
    <w:rsid w:val="003017B5"/>
    <w:rsid w:val="00302AEA"/>
    <w:rsid w:val="00302E30"/>
    <w:rsid w:val="003030AB"/>
    <w:rsid w:val="00303400"/>
    <w:rsid w:val="00303403"/>
    <w:rsid w:val="00303CF8"/>
    <w:rsid w:val="00303D54"/>
    <w:rsid w:val="0030469D"/>
    <w:rsid w:val="003053AF"/>
    <w:rsid w:val="00305473"/>
    <w:rsid w:val="003057C8"/>
    <w:rsid w:val="003059BD"/>
    <w:rsid w:val="003059CE"/>
    <w:rsid w:val="00305AD3"/>
    <w:rsid w:val="003060DC"/>
    <w:rsid w:val="0030624A"/>
    <w:rsid w:val="0030651C"/>
    <w:rsid w:val="003069A5"/>
    <w:rsid w:val="003069DD"/>
    <w:rsid w:val="00306C3C"/>
    <w:rsid w:val="00306CF3"/>
    <w:rsid w:val="00306D92"/>
    <w:rsid w:val="00306F6C"/>
    <w:rsid w:val="003072EF"/>
    <w:rsid w:val="0030790E"/>
    <w:rsid w:val="003079EF"/>
    <w:rsid w:val="00307FB9"/>
    <w:rsid w:val="00310008"/>
    <w:rsid w:val="003104A6"/>
    <w:rsid w:val="00310C51"/>
    <w:rsid w:val="00310F06"/>
    <w:rsid w:val="003112FE"/>
    <w:rsid w:val="003115A5"/>
    <w:rsid w:val="00312133"/>
    <w:rsid w:val="003122EE"/>
    <w:rsid w:val="003122F3"/>
    <w:rsid w:val="00312327"/>
    <w:rsid w:val="00312522"/>
    <w:rsid w:val="00312C9B"/>
    <w:rsid w:val="0031303D"/>
    <w:rsid w:val="00313180"/>
    <w:rsid w:val="00313404"/>
    <w:rsid w:val="00313426"/>
    <w:rsid w:val="00313480"/>
    <w:rsid w:val="00313AAB"/>
    <w:rsid w:val="00313E18"/>
    <w:rsid w:val="00313F1A"/>
    <w:rsid w:val="00314C45"/>
    <w:rsid w:val="00314C87"/>
    <w:rsid w:val="00314E70"/>
    <w:rsid w:val="00314E9E"/>
    <w:rsid w:val="003150AA"/>
    <w:rsid w:val="00315100"/>
    <w:rsid w:val="003155E0"/>
    <w:rsid w:val="00315C77"/>
    <w:rsid w:val="00315ED4"/>
    <w:rsid w:val="00315EEC"/>
    <w:rsid w:val="00315F37"/>
    <w:rsid w:val="003162A0"/>
    <w:rsid w:val="00316596"/>
    <w:rsid w:val="0031687B"/>
    <w:rsid w:val="00316F4B"/>
    <w:rsid w:val="003174D9"/>
    <w:rsid w:val="00317898"/>
    <w:rsid w:val="00317C36"/>
    <w:rsid w:val="00320025"/>
    <w:rsid w:val="00320CBA"/>
    <w:rsid w:val="00320F9A"/>
    <w:rsid w:val="0032145A"/>
    <w:rsid w:val="003215BC"/>
    <w:rsid w:val="003219E1"/>
    <w:rsid w:val="0032213E"/>
    <w:rsid w:val="00322151"/>
    <w:rsid w:val="0032237E"/>
    <w:rsid w:val="00322661"/>
    <w:rsid w:val="00322A9D"/>
    <w:rsid w:val="00322BA2"/>
    <w:rsid w:val="00323033"/>
    <w:rsid w:val="0032374D"/>
    <w:rsid w:val="00323901"/>
    <w:rsid w:val="00323AEB"/>
    <w:rsid w:val="00323BFA"/>
    <w:rsid w:val="00323D1A"/>
    <w:rsid w:val="00323D36"/>
    <w:rsid w:val="00323D8F"/>
    <w:rsid w:val="00324172"/>
    <w:rsid w:val="0032483C"/>
    <w:rsid w:val="00324D3A"/>
    <w:rsid w:val="00324EEC"/>
    <w:rsid w:val="00325E1D"/>
    <w:rsid w:val="00326AD1"/>
    <w:rsid w:val="00326AFF"/>
    <w:rsid w:val="003276FD"/>
    <w:rsid w:val="00327A7D"/>
    <w:rsid w:val="00327ABF"/>
    <w:rsid w:val="00327F60"/>
    <w:rsid w:val="00330069"/>
    <w:rsid w:val="00330C5F"/>
    <w:rsid w:val="00330EB8"/>
    <w:rsid w:val="003313E3"/>
    <w:rsid w:val="003313E4"/>
    <w:rsid w:val="0033180A"/>
    <w:rsid w:val="00332049"/>
    <w:rsid w:val="0033352A"/>
    <w:rsid w:val="00333F0E"/>
    <w:rsid w:val="00334216"/>
    <w:rsid w:val="003346E0"/>
    <w:rsid w:val="003349E9"/>
    <w:rsid w:val="00334F6B"/>
    <w:rsid w:val="00335100"/>
    <w:rsid w:val="00335140"/>
    <w:rsid w:val="0033520B"/>
    <w:rsid w:val="003352DB"/>
    <w:rsid w:val="003357B0"/>
    <w:rsid w:val="0033648B"/>
    <w:rsid w:val="003369C1"/>
    <w:rsid w:val="00336A6A"/>
    <w:rsid w:val="00336B1A"/>
    <w:rsid w:val="00336BBD"/>
    <w:rsid w:val="00336DB2"/>
    <w:rsid w:val="00336F02"/>
    <w:rsid w:val="00336FDA"/>
    <w:rsid w:val="0033707D"/>
    <w:rsid w:val="00337118"/>
    <w:rsid w:val="00337205"/>
    <w:rsid w:val="00337243"/>
    <w:rsid w:val="0033799C"/>
    <w:rsid w:val="00337A85"/>
    <w:rsid w:val="00337F75"/>
    <w:rsid w:val="003403E1"/>
    <w:rsid w:val="00340850"/>
    <w:rsid w:val="003408F6"/>
    <w:rsid w:val="00340C6F"/>
    <w:rsid w:val="00341093"/>
    <w:rsid w:val="00341142"/>
    <w:rsid w:val="0034140E"/>
    <w:rsid w:val="00341568"/>
    <w:rsid w:val="0034179F"/>
    <w:rsid w:val="00341A6A"/>
    <w:rsid w:val="00341D5F"/>
    <w:rsid w:val="0034225B"/>
    <w:rsid w:val="00342D5D"/>
    <w:rsid w:val="00342F6B"/>
    <w:rsid w:val="003430E6"/>
    <w:rsid w:val="003431DA"/>
    <w:rsid w:val="00343780"/>
    <w:rsid w:val="00343794"/>
    <w:rsid w:val="00343F86"/>
    <w:rsid w:val="00344B62"/>
    <w:rsid w:val="00344F04"/>
    <w:rsid w:val="00345746"/>
    <w:rsid w:val="00345FCE"/>
    <w:rsid w:val="003460CA"/>
    <w:rsid w:val="00346539"/>
    <w:rsid w:val="0034667F"/>
    <w:rsid w:val="003467A2"/>
    <w:rsid w:val="00346ADC"/>
    <w:rsid w:val="00346E66"/>
    <w:rsid w:val="0034779C"/>
    <w:rsid w:val="00347D27"/>
    <w:rsid w:val="00347EC2"/>
    <w:rsid w:val="003503D2"/>
    <w:rsid w:val="00350586"/>
    <w:rsid w:val="00350763"/>
    <w:rsid w:val="00350D63"/>
    <w:rsid w:val="00350E2D"/>
    <w:rsid w:val="00350F4E"/>
    <w:rsid w:val="00351191"/>
    <w:rsid w:val="003519E4"/>
    <w:rsid w:val="00351CD8"/>
    <w:rsid w:val="00351D72"/>
    <w:rsid w:val="00351F82"/>
    <w:rsid w:val="00351FE9"/>
    <w:rsid w:val="00352213"/>
    <w:rsid w:val="00352982"/>
    <w:rsid w:val="003529C5"/>
    <w:rsid w:val="00352A30"/>
    <w:rsid w:val="00352CDD"/>
    <w:rsid w:val="00352F69"/>
    <w:rsid w:val="0035318D"/>
    <w:rsid w:val="0035329D"/>
    <w:rsid w:val="003535A8"/>
    <w:rsid w:val="0035375B"/>
    <w:rsid w:val="003540C2"/>
    <w:rsid w:val="003544BF"/>
    <w:rsid w:val="003546C7"/>
    <w:rsid w:val="00354C11"/>
    <w:rsid w:val="00354FD0"/>
    <w:rsid w:val="003558F2"/>
    <w:rsid w:val="00355D29"/>
    <w:rsid w:val="00355FBE"/>
    <w:rsid w:val="003565A5"/>
    <w:rsid w:val="003566AA"/>
    <w:rsid w:val="003569DE"/>
    <w:rsid w:val="00356C10"/>
    <w:rsid w:val="00357444"/>
    <w:rsid w:val="00357ED8"/>
    <w:rsid w:val="0036040E"/>
    <w:rsid w:val="0036073D"/>
    <w:rsid w:val="00360A50"/>
    <w:rsid w:val="00360AD5"/>
    <w:rsid w:val="00360D87"/>
    <w:rsid w:val="00361404"/>
    <w:rsid w:val="00361825"/>
    <w:rsid w:val="00362100"/>
    <w:rsid w:val="0036281D"/>
    <w:rsid w:val="0036290B"/>
    <w:rsid w:val="00363100"/>
    <w:rsid w:val="00363589"/>
    <w:rsid w:val="00363B21"/>
    <w:rsid w:val="00363BDF"/>
    <w:rsid w:val="00363E87"/>
    <w:rsid w:val="00364202"/>
    <w:rsid w:val="00364233"/>
    <w:rsid w:val="00364640"/>
    <w:rsid w:val="00365279"/>
    <w:rsid w:val="003652EB"/>
    <w:rsid w:val="00365584"/>
    <w:rsid w:val="00365CA3"/>
    <w:rsid w:val="00365D8D"/>
    <w:rsid w:val="00365D9B"/>
    <w:rsid w:val="00366514"/>
    <w:rsid w:val="003666B9"/>
    <w:rsid w:val="00366796"/>
    <w:rsid w:val="00366ACF"/>
    <w:rsid w:val="00366BD2"/>
    <w:rsid w:val="00366CE1"/>
    <w:rsid w:val="003674B8"/>
    <w:rsid w:val="003675F2"/>
    <w:rsid w:val="00367879"/>
    <w:rsid w:val="00367A98"/>
    <w:rsid w:val="00367C92"/>
    <w:rsid w:val="00367CBD"/>
    <w:rsid w:val="00367F95"/>
    <w:rsid w:val="00367FC5"/>
    <w:rsid w:val="00370871"/>
    <w:rsid w:val="00370C30"/>
    <w:rsid w:val="00370EDC"/>
    <w:rsid w:val="00370FF5"/>
    <w:rsid w:val="003711D3"/>
    <w:rsid w:val="003712E5"/>
    <w:rsid w:val="00371460"/>
    <w:rsid w:val="00371753"/>
    <w:rsid w:val="00371A84"/>
    <w:rsid w:val="00371CC8"/>
    <w:rsid w:val="00371CD5"/>
    <w:rsid w:val="00371E0A"/>
    <w:rsid w:val="00372898"/>
    <w:rsid w:val="00372D7E"/>
    <w:rsid w:val="00373051"/>
    <w:rsid w:val="00373408"/>
    <w:rsid w:val="00373C1F"/>
    <w:rsid w:val="00373E8E"/>
    <w:rsid w:val="00373F93"/>
    <w:rsid w:val="00374541"/>
    <w:rsid w:val="003747D4"/>
    <w:rsid w:val="00374982"/>
    <w:rsid w:val="00374BB8"/>
    <w:rsid w:val="003751D3"/>
    <w:rsid w:val="003756EE"/>
    <w:rsid w:val="00375869"/>
    <w:rsid w:val="003759AC"/>
    <w:rsid w:val="00375AAB"/>
    <w:rsid w:val="00375EF7"/>
    <w:rsid w:val="0037618B"/>
    <w:rsid w:val="00376648"/>
    <w:rsid w:val="0037666E"/>
    <w:rsid w:val="0037672B"/>
    <w:rsid w:val="00376964"/>
    <w:rsid w:val="00376B3C"/>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179A"/>
    <w:rsid w:val="00381BDD"/>
    <w:rsid w:val="00382187"/>
    <w:rsid w:val="0038272D"/>
    <w:rsid w:val="0038283E"/>
    <w:rsid w:val="00382BF8"/>
    <w:rsid w:val="003831B4"/>
    <w:rsid w:val="003841A1"/>
    <w:rsid w:val="0038436D"/>
    <w:rsid w:val="00384427"/>
    <w:rsid w:val="00384498"/>
    <w:rsid w:val="0038469C"/>
    <w:rsid w:val="0038498E"/>
    <w:rsid w:val="00384F92"/>
    <w:rsid w:val="003854DB"/>
    <w:rsid w:val="00385558"/>
    <w:rsid w:val="0038576A"/>
    <w:rsid w:val="00385AB7"/>
    <w:rsid w:val="00385CAE"/>
    <w:rsid w:val="00386CE4"/>
    <w:rsid w:val="00386F36"/>
    <w:rsid w:val="0038700D"/>
    <w:rsid w:val="00387391"/>
    <w:rsid w:val="003876B0"/>
    <w:rsid w:val="00387BC1"/>
    <w:rsid w:val="00390077"/>
    <w:rsid w:val="003900FC"/>
    <w:rsid w:val="0039021F"/>
    <w:rsid w:val="00390528"/>
    <w:rsid w:val="00390555"/>
    <w:rsid w:val="0039081B"/>
    <w:rsid w:val="00390CA7"/>
    <w:rsid w:val="00390E49"/>
    <w:rsid w:val="00391C36"/>
    <w:rsid w:val="00391D4F"/>
    <w:rsid w:val="00391EA8"/>
    <w:rsid w:val="00392022"/>
    <w:rsid w:val="00392060"/>
    <w:rsid w:val="00392140"/>
    <w:rsid w:val="00392C73"/>
    <w:rsid w:val="00392D26"/>
    <w:rsid w:val="0039322D"/>
    <w:rsid w:val="003932EF"/>
    <w:rsid w:val="00393367"/>
    <w:rsid w:val="00393371"/>
    <w:rsid w:val="003938BD"/>
    <w:rsid w:val="00393908"/>
    <w:rsid w:val="00393B17"/>
    <w:rsid w:val="003948F3"/>
    <w:rsid w:val="00394A20"/>
    <w:rsid w:val="00394D13"/>
    <w:rsid w:val="00396366"/>
    <w:rsid w:val="003964BE"/>
    <w:rsid w:val="00396624"/>
    <w:rsid w:val="003967AC"/>
    <w:rsid w:val="003968D1"/>
    <w:rsid w:val="003969B0"/>
    <w:rsid w:val="00396B7F"/>
    <w:rsid w:val="0039725D"/>
    <w:rsid w:val="00397636"/>
    <w:rsid w:val="00397669"/>
    <w:rsid w:val="003A00E6"/>
    <w:rsid w:val="003A00F3"/>
    <w:rsid w:val="003A033C"/>
    <w:rsid w:val="003A0506"/>
    <w:rsid w:val="003A092C"/>
    <w:rsid w:val="003A0F28"/>
    <w:rsid w:val="003A1538"/>
    <w:rsid w:val="003A2062"/>
    <w:rsid w:val="003A22ED"/>
    <w:rsid w:val="003A26F7"/>
    <w:rsid w:val="003A2B36"/>
    <w:rsid w:val="003A315E"/>
    <w:rsid w:val="003A3704"/>
    <w:rsid w:val="003A38AB"/>
    <w:rsid w:val="003A3CAF"/>
    <w:rsid w:val="003A3D98"/>
    <w:rsid w:val="003A445A"/>
    <w:rsid w:val="003A445E"/>
    <w:rsid w:val="003A4B01"/>
    <w:rsid w:val="003A4EF1"/>
    <w:rsid w:val="003A53F4"/>
    <w:rsid w:val="003A54B0"/>
    <w:rsid w:val="003A5603"/>
    <w:rsid w:val="003A5820"/>
    <w:rsid w:val="003A5868"/>
    <w:rsid w:val="003A5DDD"/>
    <w:rsid w:val="003A5FFD"/>
    <w:rsid w:val="003A62CB"/>
    <w:rsid w:val="003A63CF"/>
    <w:rsid w:val="003A6692"/>
    <w:rsid w:val="003A6F23"/>
    <w:rsid w:val="003A74EA"/>
    <w:rsid w:val="003A7673"/>
    <w:rsid w:val="003A7C22"/>
    <w:rsid w:val="003A7C8F"/>
    <w:rsid w:val="003A7E35"/>
    <w:rsid w:val="003B0625"/>
    <w:rsid w:val="003B20DA"/>
    <w:rsid w:val="003B212C"/>
    <w:rsid w:val="003B28FB"/>
    <w:rsid w:val="003B29A8"/>
    <w:rsid w:val="003B2BDE"/>
    <w:rsid w:val="003B3003"/>
    <w:rsid w:val="003B3267"/>
    <w:rsid w:val="003B3A14"/>
    <w:rsid w:val="003B3DE8"/>
    <w:rsid w:val="003B40C2"/>
    <w:rsid w:val="003B4101"/>
    <w:rsid w:val="003B4146"/>
    <w:rsid w:val="003B49EC"/>
    <w:rsid w:val="003B4A5B"/>
    <w:rsid w:val="003B4B50"/>
    <w:rsid w:val="003B4B69"/>
    <w:rsid w:val="003B5131"/>
    <w:rsid w:val="003B559E"/>
    <w:rsid w:val="003B5709"/>
    <w:rsid w:val="003B5731"/>
    <w:rsid w:val="003B599D"/>
    <w:rsid w:val="003B5ABD"/>
    <w:rsid w:val="003B5AD6"/>
    <w:rsid w:val="003B5F3E"/>
    <w:rsid w:val="003B5FA9"/>
    <w:rsid w:val="003B6124"/>
    <w:rsid w:val="003B67E3"/>
    <w:rsid w:val="003B6AD6"/>
    <w:rsid w:val="003B714A"/>
    <w:rsid w:val="003B7CD6"/>
    <w:rsid w:val="003B7FCC"/>
    <w:rsid w:val="003C0011"/>
    <w:rsid w:val="003C0811"/>
    <w:rsid w:val="003C0C38"/>
    <w:rsid w:val="003C0CB9"/>
    <w:rsid w:val="003C0E23"/>
    <w:rsid w:val="003C1038"/>
    <w:rsid w:val="003C11EE"/>
    <w:rsid w:val="003C12E2"/>
    <w:rsid w:val="003C143C"/>
    <w:rsid w:val="003C188E"/>
    <w:rsid w:val="003C208D"/>
    <w:rsid w:val="003C21FB"/>
    <w:rsid w:val="003C27F9"/>
    <w:rsid w:val="003C2838"/>
    <w:rsid w:val="003C29C7"/>
    <w:rsid w:val="003C2EDE"/>
    <w:rsid w:val="003C31E6"/>
    <w:rsid w:val="003C36F6"/>
    <w:rsid w:val="003C3A6B"/>
    <w:rsid w:val="003C3E2F"/>
    <w:rsid w:val="003C3F6B"/>
    <w:rsid w:val="003C431B"/>
    <w:rsid w:val="003C4B2C"/>
    <w:rsid w:val="003C4E43"/>
    <w:rsid w:val="003C4F76"/>
    <w:rsid w:val="003C5130"/>
    <w:rsid w:val="003C5158"/>
    <w:rsid w:val="003C5960"/>
    <w:rsid w:val="003C5A3C"/>
    <w:rsid w:val="003C5E4A"/>
    <w:rsid w:val="003C61BF"/>
    <w:rsid w:val="003C61C3"/>
    <w:rsid w:val="003C6276"/>
    <w:rsid w:val="003C6937"/>
    <w:rsid w:val="003C7350"/>
    <w:rsid w:val="003C7731"/>
    <w:rsid w:val="003C79ED"/>
    <w:rsid w:val="003C7A14"/>
    <w:rsid w:val="003C7A70"/>
    <w:rsid w:val="003C7B1D"/>
    <w:rsid w:val="003C7EF3"/>
    <w:rsid w:val="003D02AA"/>
    <w:rsid w:val="003D0724"/>
    <w:rsid w:val="003D07C2"/>
    <w:rsid w:val="003D08A0"/>
    <w:rsid w:val="003D0969"/>
    <w:rsid w:val="003D0DF5"/>
    <w:rsid w:val="003D0F14"/>
    <w:rsid w:val="003D0F5C"/>
    <w:rsid w:val="003D17A8"/>
    <w:rsid w:val="003D1B55"/>
    <w:rsid w:val="003D226A"/>
    <w:rsid w:val="003D2ABD"/>
    <w:rsid w:val="003D2DA1"/>
    <w:rsid w:val="003D3331"/>
    <w:rsid w:val="003D34FC"/>
    <w:rsid w:val="003D3562"/>
    <w:rsid w:val="003D42F3"/>
    <w:rsid w:val="003D42FB"/>
    <w:rsid w:val="003D435A"/>
    <w:rsid w:val="003D436A"/>
    <w:rsid w:val="003D46D9"/>
    <w:rsid w:val="003D47C8"/>
    <w:rsid w:val="003D47E3"/>
    <w:rsid w:val="003D4930"/>
    <w:rsid w:val="003D5146"/>
    <w:rsid w:val="003D54CE"/>
    <w:rsid w:val="003D562E"/>
    <w:rsid w:val="003D5B24"/>
    <w:rsid w:val="003D5F0A"/>
    <w:rsid w:val="003D6180"/>
    <w:rsid w:val="003D6506"/>
    <w:rsid w:val="003D745D"/>
    <w:rsid w:val="003D781D"/>
    <w:rsid w:val="003D795B"/>
    <w:rsid w:val="003D7EF3"/>
    <w:rsid w:val="003D7F5B"/>
    <w:rsid w:val="003E0125"/>
    <w:rsid w:val="003E03F7"/>
    <w:rsid w:val="003E0648"/>
    <w:rsid w:val="003E0D55"/>
    <w:rsid w:val="003E0D7C"/>
    <w:rsid w:val="003E0EE1"/>
    <w:rsid w:val="003E11FF"/>
    <w:rsid w:val="003E14C6"/>
    <w:rsid w:val="003E1827"/>
    <w:rsid w:val="003E1A47"/>
    <w:rsid w:val="003E1B16"/>
    <w:rsid w:val="003E1C24"/>
    <w:rsid w:val="003E287C"/>
    <w:rsid w:val="003E2D79"/>
    <w:rsid w:val="003E2E57"/>
    <w:rsid w:val="003E31F7"/>
    <w:rsid w:val="003E3736"/>
    <w:rsid w:val="003E3748"/>
    <w:rsid w:val="003E391A"/>
    <w:rsid w:val="003E3F0F"/>
    <w:rsid w:val="003E4265"/>
    <w:rsid w:val="003E4328"/>
    <w:rsid w:val="003E44CB"/>
    <w:rsid w:val="003E513F"/>
    <w:rsid w:val="003E5452"/>
    <w:rsid w:val="003E55C9"/>
    <w:rsid w:val="003E626D"/>
    <w:rsid w:val="003E6272"/>
    <w:rsid w:val="003E6476"/>
    <w:rsid w:val="003E6698"/>
    <w:rsid w:val="003E686C"/>
    <w:rsid w:val="003E68BE"/>
    <w:rsid w:val="003E7374"/>
    <w:rsid w:val="003E7C79"/>
    <w:rsid w:val="003E7F7D"/>
    <w:rsid w:val="003F0004"/>
    <w:rsid w:val="003F026A"/>
    <w:rsid w:val="003F08A1"/>
    <w:rsid w:val="003F0E89"/>
    <w:rsid w:val="003F0FE3"/>
    <w:rsid w:val="003F169D"/>
    <w:rsid w:val="003F1732"/>
    <w:rsid w:val="003F1906"/>
    <w:rsid w:val="003F1C21"/>
    <w:rsid w:val="003F1CAD"/>
    <w:rsid w:val="003F1CE5"/>
    <w:rsid w:val="003F2248"/>
    <w:rsid w:val="003F27A5"/>
    <w:rsid w:val="003F2811"/>
    <w:rsid w:val="003F2936"/>
    <w:rsid w:val="003F2B77"/>
    <w:rsid w:val="003F2C1C"/>
    <w:rsid w:val="003F2CC4"/>
    <w:rsid w:val="003F2E17"/>
    <w:rsid w:val="003F30D0"/>
    <w:rsid w:val="003F3676"/>
    <w:rsid w:val="003F3DE0"/>
    <w:rsid w:val="003F3FCA"/>
    <w:rsid w:val="003F45FD"/>
    <w:rsid w:val="003F5101"/>
    <w:rsid w:val="003F51D6"/>
    <w:rsid w:val="003F5AE6"/>
    <w:rsid w:val="003F5C1D"/>
    <w:rsid w:val="003F5C8F"/>
    <w:rsid w:val="003F5CB9"/>
    <w:rsid w:val="003F5CBE"/>
    <w:rsid w:val="003F5D56"/>
    <w:rsid w:val="003F60C2"/>
    <w:rsid w:val="003F60CD"/>
    <w:rsid w:val="003F693C"/>
    <w:rsid w:val="003F6D36"/>
    <w:rsid w:val="003F6F94"/>
    <w:rsid w:val="003F7575"/>
    <w:rsid w:val="003F75E2"/>
    <w:rsid w:val="003F7658"/>
    <w:rsid w:val="003F7692"/>
    <w:rsid w:val="003F7727"/>
    <w:rsid w:val="003F7786"/>
    <w:rsid w:val="003F785C"/>
    <w:rsid w:val="003F7946"/>
    <w:rsid w:val="003F7E35"/>
    <w:rsid w:val="003F7F2D"/>
    <w:rsid w:val="004000E4"/>
    <w:rsid w:val="004002DE"/>
    <w:rsid w:val="004004D5"/>
    <w:rsid w:val="004007FC"/>
    <w:rsid w:val="004009F5"/>
    <w:rsid w:val="004010FE"/>
    <w:rsid w:val="004012BA"/>
    <w:rsid w:val="004015BF"/>
    <w:rsid w:val="0040198A"/>
    <w:rsid w:val="004019EA"/>
    <w:rsid w:val="00401ABF"/>
    <w:rsid w:val="00401BFB"/>
    <w:rsid w:val="00401EEF"/>
    <w:rsid w:val="00401F9E"/>
    <w:rsid w:val="00402028"/>
    <w:rsid w:val="00402140"/>
    <w:rsid w:val="00402285"/>
    <w:rsid w:val="004023B8"/>
    <w:rsid w:val="00402B7A"/>
    <w:rsid w:val="00402CE8"/>
    <w:rsid w:val="00402D67"/>
    <w:rsid w:val="00402DD5"/>
    <w:rsid w:val="00402DD9"/>
    <w:rsid w:val="00402FBA"/>
    <w:rsid w:val="0040306F"/>
    <w:rsid w:val="00403204"/>
    <w:rsid w:val="0040389F"/>
    <w:rsid w:val="00403926"/>
    <w:rsid w:val="00403C41"/>
    <w:rsid w:val="00403E59"/>
    <w:rsid w:val="00404037"/>
    <w:rsid w:val="00404277"/>
    <w:rsid w:val="0040440A"/>
    <w:rsid w:val="00404428"/>
    <w:rsid w:val="00404767"/>
    <w:rsid w:val="00404BE7"/>
    <w:rsid w:val="00404C3F"/>
    <w:rsid w:val="00404D13"/>
    <w:rsid w:val="00404DC6"/>
    <w:rsid w:val="00404E68"/>
    <w:rsid w:val="00405079"/>
    <w:rsid w:val="00406DB2"/>
    <w:rsid w:val="00407068"/>
    <w:rsid w:val="0040770C"/>
    <w:rsid w:val="00407B99"/>
    <w:rsid w:val="00411746"/>
    <w:rsid w:val="00411CA1"/>
    <w:rsid w:val="0041261D"/>
    <w:rsid w:val="00412B1A"/>
    <w:rsid w:val="00412B99"/>
    <w:rsid w:val="00412BEB"/>
    <w:rsid w:val="00412D83"/>
    <w:rsid w:val="0041313B"/>
    <w:rsid w:val="00413299"/>
    <w:rsid w:val="004133C2"/>
    <w:rsid w:val="004135BF"/>
    <w:rsid w:val="0041388D"/>
    <w:rsid w:val="00413A22"/>
    <w:rsid w:val="00413C7F"/>
    <w:rsid w:val="00413EB7"/>
    <w:rsid w:val="0041413A"/>
    <w:rsid w:val="00414215"/>
    <w:rsid w:val="0041445E"/>
    <w:rsid w:val="004144C3"/>
    <w:rsid w:val="004148AD"/>
    <w:rsid w:val="004149B5"/>
    <w:rsid w:val="00414AAC"/>
    <w:rsid w:val="00414E37"/>
    <w:rsid w:val="00414E86"/>
    <w:rsid w:val="00414FD7"/>
    <w:rsid w:val="00415CF2"/>
    <w:rsid w:val="0041656C"/>
    <w:rsid w:val="004166D2"/>
    <w:rsid w:val="00416994"/>
    <w:rsid w:val="00416A1E"/>
    <w:rsid w:val="00416A79"/>
    <w:rsid w:val="00416C2B"/>
    <w:rsid w:val="00416C96"/>
    <w:rsid w:val="00416DF4"/>
    <w:rsid w:val="0041715E"/>
    <w:rsid w:val="00417696"/>
    <w:rsid w:val="0042014A"/>
    <w:rsid w:val="0042030B"/>
    <w:rsid w:val="00420B8B"/>
    <w:rsid w:val="0042103B"/>
    <w:rsid w:val="00421094"/>
    <w:rsid w:val="00421129"/>
    <w:rsid w:val="0042127A"/>
    <w:rsid w:val="00421694"/>
    <w:rsid w:val="004218D9"/>
    <w:rsid w:val="004225F6"/>
    <w:rsid w:val="00422806"/>
    <w:rsid w:val="004229DE"/>
    <w:rsid w:val="004234DE"/>
    <w:rsid w:val="0042356F"/>
    <w:rsid w:val="00423821"/>
    <w:rsid w:val="004239FE"/>
    <w:rsid w:val="00423F03"/>
    <w:rsid w:val="004244E0"/>
    <w:rsid w:val="004247EA"/>
    <w:rsid w:val="00424E90"/>
    <w:rsid w:val="0042535D"/>
    <w:rsid w:val="00425DA5"/>
    <w:rsid w:val="00426279"/>
    <w:rsid w:val="0042636F"/>
    <w:rsid w:val="0042651B"/>
    <w:rsid w:val="00426648"/>
    <w:rsid w:val="00426F73"/>
    <w:rsid w:val="00427321"/>
    <w:rsid w:val="00427AC6"/>
    <w:rsid w:val="00430005"/>
    <w:rsid w:val="004300C6"/>
    <w:rsid w:val="004308BC"/>
    <w:rsid w:val="00430CE3"/>
    <w:rsid w:val="00430D0C"/>
    <w:rsid w:val="004313CF"/>
    <w:rsid w:val="00432B0C"/>
    <w:rsid w:val="00432BF4"/>
    <w:rsid w:val="00432F09"/>
    <w:rsid w:val="00433212"/>
    <w:rsid w:val="00433336"/>
    <w:rsid w:val="00433AB3"/>
    <w:rsid w:val="00433D24"/>
    <w:rsid w:val="00433D8E"/>
    <w:rsid w:val="00434342"/>
    <w:rsid w:val="004345C6"/>
    <w:rsid w:val="00434CB6"/>
    <w:rsid w:val="00434DF9"/>
    <w:rsid w:val="00434F7E"/>
    <w:rsid w:val="00435408"/>
    <w:rsid w:val="00435B56"/>
    <w:rsid w:val="00435EF3"/>
    <w:rsid w:val="00436095"/>
    <w:rsid w:val="004360A8"/>
    <w:rsid w:val="004362EC"/>
    <w:rsid w:val="00436DEC"/>
    <w:rsid w:val="00437147"/>
    <w:rsid w:val="004376D0"/>
    <w:rsid w:val="00437915"/>
    <w:rsid w:val="00437B2F"/>
    <w:rsid w:val="00437B60"/>
    <w:rsid w:val="00437DE4"/>
    <w:rsid w:val="00440114"/>
    <w:rsid w:val="00440136"/>
    <w:rsid w:val="0044045C"/>
    <w:rsid w:val="004404CD"/>
    <w:rsid w:val="00440831"/>
    <w:rsid w:val="004413BA"/>
    <w:rsid w:val="0044183A"/>
    <w:rsid w:val="00441845"/>
    <w:rsid w:val="00441CB0"/>
    <w:rsid w:val="00441D63"/>
    <w:rsid w:val="00442150"/>
    <w:rsid w:val="004422F6"/>
    <w:rsid w:val="0044279A"/>
    <w:rsid w:val="00442E18"/>
    <w:rsid w:val="00442FF4"/>
    <w:rsid w:val="00443ADB"/>
    <w:rsid w:val="00444187"/>
    <w:rsid w:val="00444444"/>
    <w:rsid w:val="004446C5"/>
    <w:rsid w:val="004449C4"/>
    <w:rsid w:val="00444EB0"/>
    <w:rsid w:val="004450D5"/>
    <w:rsid w:val="00445489"/>
    <w:rsid w:val="00445A94"/>
    <w:rsid w:val="00446856"/>
    <w:rsid w:val="00446E3B"/>
    <w:rsid w:val="00447016"/>
    <w:rsid w:val="00447525"/>
    <w:rsid w:val="00447850"/>
    <w:rsid w:val="00450506"/>
    <w:rsid w:val="00450967"/>
    <w:rsid w:val="00450B91"/>
    <w:rsid w:val="00450CB7"/>
    <w:rsid w:val="004512F6"/>
    <w:rsid w:val="004514A1"/>
    <w:rsid w:val="0045187C"/>
    <w:rsid w:val="00451B2B"/>
    <w:rsid w:val="00451FDB"/>
    <w:rsid w:val="00451FE7"/>
    <w:rsid w:val="00452169"/>
    <w:rsid w:val="00452746"/>
    <w:rsid w:val="004527D8"/>
    <w:rsid w:val="00452AC9"/>
    <w:rsid w:val="00452F32"/>
    <w:rsid w:val="00452FDE"/>
    <w:rsid w:val="004533CC"/>
    <w:rsid w:val="004534F3"/>
    <w:rsid w:val="00453971"/>
    <w:rsid w:val="00453A9C"/>
    <w:rsid w:val="00453EE4"/>
    <w:rsid w:val="004543CC"/>
    <w:rsid w:val="004553B6"/>
    <w:rsid w:val="004553C6"/>
    <w:rsid w:val="004553F8"/>
    <w:rsid w:val="004555CE"/>
    <w:rsid w:val="00455D88"/>
    <w:rsid w:val="00455DF3"/>
    <w:rsid w:val="00456181"/>
    <w:rsid w:val="00456EB7"/>
    <w:rsid w:val="00457516"/>
    <w:rsid w:val="004603ED"/>
    <w:rsid w:val="004605BF"/>
    <w:rsid w:val="00460891"/>
    <w:rsid w:val="004608A1"/>
    <w:rsid w:val="00460A55"/>
    <w:rsid w:val="00460E43"/>
    <w:rsid w:val="00461747"/>
    <w:rsid w:val="004617DC"/>
    <w:rsid w:val="00461B43"/>
    <w:rsid w:val="00461BA6"/>
    <w:rsid w:val="00462004"/>
    <w:rsid w:val="004626DA"/>
    <w:rsid w:val="00462725"/>
    <w:rsid w:val="00462965"/>
    <w:rsid w:val="00462B9D"/>
    <w:rsid w:val="00462D78"/>
    <w:rsid w:val="00462EBA"/>
    <w:rsid w:val="00463075"/>
    <w:rsid w:val="004630DA"/>
    <w:rsid w:val="004631A5"/>
    <w:rsid w:val="0046335C"/>
    <w:rsid w:val="00463536"/>
    <w:rsid w:val="00463863"/>
    <w:rsid w:val="004639A8"/>
    <w:rsid w:val="004639BC"/>
    <w:rsid w:val="00463B7F"/>
    <w:rsid w:val="00463C24"/>
    <w:rsid w:val="004640D7"/>
    <w:rsid w:val="004641CC"/>
    <w:rsid w:val="00464A01"/>
    <w:rsid w:val="00464FCB"/>
    <w:rsid w:val="00465442"/>
    <w:rsid w:val="00466364"/>
    <w:rsid w:val="0046657C"/>
    <w:rsid w:val="00466B37"/>
    <w:rsid w:val="00467094"/>
    <w:rsid w:val="004672CC"/>
    <w:rsid w:val="00467586"/>
    <w:rsid w:val="004679F5"/>
    <w:rsid w:val="00467B9D"/>
    <w:rsid w:val="00467DF3"/>
    <w:rsid w:val="004705ED"/>
    <w:rsid w:val="00471016"/>
    <w:rsid w:val="0047105E"/>
    <w:rsid w:val="00471675"/>
    <w:rsid w:val="004718CA"/>
    <w:rsid w:val="00471E82"/>
    <w:rsid w:val="00472770"/>
    <w:rsid w:val="00472BA1"/>
    <w:rsid w:val="00472EA0"/>
    <w:rsid w:val="0047367C"/>
    <w:rsid w:val="004737AC"/>
    <w:rsid w:val="004738ED"/>
    <w:rsid w:val="004739C7"/>
    <w:rsid w:val="00473E00"/>
    <w:rsid w:val="00474276"/>
    <w:rsid w:val="00474303"/>
    <w:rsid w:val="00474515"/>
    <w:rsid w:val="004745D9"/>
    <w:rsid w:val="00474639"/>
    <w:rsid w:val="00474CD4"/>
    <w:rsid w:val="004752A7"/>
    <w:rsid w:val="004753A0"/>
    <w:rsid w:val="004753DE"/>
    <w:rsid w:val="004757AC"/>
    <w:rsid w:val="00475806"/>
    <w:rsid w:val="00475845"/>
    <w:rsid w:val="004767C5"/>
    <w:rsid w:val="00476B3A"/>
    <w:rsid w:val="00476C6D"/>
    <w:rsid w:val="00476E96"/>
    <w:rsid w:val="00476EE9"/>
    <w:rsid w:val="00477CC0"/>
    <w:rsid w:val="00477D37"/>
    <w:rsid w:val="00477F62"/>
    <w:rsid w:val="00480AF0"/>
    <w:rsid w:val="004810F0"/>
    <w:rsid w:val="004812D1"/>
    <w:rsid w:val="0048130A"/>
    <w:rsid w:val="00481526"/>
    <w:rsid w:val="0048157D"/>
    <w:rsid w:val="00481A46"/>
    <w:rsid w:val="00482144"/>
    <w:rsid w:val="0048226E"/>
    <w:rsid w:val="0048227C"/>
    <w:rsid w:val="004825DC"/>
    <w:rsid w:val="00482802"/>
    <w:rsid w:val="00482D5C"/>
    <w:rsid w:val="00482E9A"/>
    <w:rsid w:val="0048320A"/>
    <w:rsid w:val="00483381"/>
    <w:rsid w:val="0048371A"/>
    <w:rsid w:val="00483A86"/>
    <w:rsid w:val="00483B9F"/>
    <w:rsid w:val="00483DD9"/>
    <w:rsid w:val="00483E41"/>
    <w:rsid w:val="00483FA8"/>
    <w:rsid w:val="004841B6"/>
    <w:rsid w:val="00484381"/>
    <w:rsid w:val="004844C1"/>
    <w:rsid w:val="00484C6C"/>
    <w:rsid w:val="00484F13"/>
    <w:rsid w:val="00485AC4"/>
    <w:rsid w:val="00485B21"/>
    <w:rsid w:val="00485B68"/>
    <w:rsid w:val="00485CCD"/>
    <w:rsid w:val="0048635A"/>
    <w:rsid w:val="00486375"/>
    <w:rsid w:val="004864B6"/>
    <w:rsid w:val="004864D4"/>
    <w:rsid w:val="0048661E"/>
    <w:rsid w:val="004866E7"/>
    <w:rsid w:val="00486846"/>
    <w:rsid w:val="00486A64"/>
    <w:rsid w:val="00486C36"/>
    <w:rsid w:val="00486D61"/>
    <w:rsid w:val="00487411"/>
    <w:rsid w:val="00487B53"/>
    <w:rsid w:val="00487C84"/>
    <w:rsid w:val="004900F4"/>
    <w:rsid w:val="0049030D"/>
    <w:rsid w:val="00490DF0"/>
    <w:rsid w:val="0049123E"/>
    <w:rsid w:val="004914B6"/>
    <w:rsid w:val="00491532"/>
    <w:rsid w:val="0049156F"/>
    <w:rsid w:val="00491AB0"/>
    <w:rsid w:val="00491ADB"/>
    <w:rsid w:val="0049206E"/>
    <w:rsid w:val="00492AF5"/>
    <w:rsid w:val="00492BEF"/>
    <w:rsid w:val="00492C76"/>
    <w:rsid w:val="00492F6D"/>
    <w:rsid w:val="00492FD5"/>
    <w:rsid w:val="00493145"/>
    <w:rsid w:val="004932D2"/>
    <w:rsid w:val="004938F5"/>
    <w:rsid w:val="00493C60"/>
    <w:rsid w:val="00493E95"/>
    <w:rsid w:val="0049416D"/>
    <w:rsid w:val="004941DB"/>
    <w:rsid w:val="004941FF"/>
    <w:rsid w:val="00494231"/>
    <w:rsid w:val="004950AE"/>
    <w:rsid w:val="00495274"/>
    <w:rsid w:val="00495584"/>
    <w:rsid w:val="00495829"/>
    <w:rsid w:val="0049596E"/>
    <w:rsid w:val="00495AB5"/>
    <w:rsid w:val="00495B32"/>
    <w:rsid w:val="00495D86"/>
    <w:rsid w:val="00495EF7"/>
    <w:rsid w:val="004964E8"/>
    <w:rsid w:val="00496BCA"/>
    <w:rsid w:val="00496D1B"/>
    <w:rsid w:val="0049722F"/>
    <w:rsid w:val="004975FA"/>
    <w:rsid w:val="00497726"/>
    <w:rsid w:val="004A0100"/>
    <w:rsid w:val="004A03DA"/>
    <w:rsid w:val="004A05DA"/>
    <w:rsid w:val="004A14A5"/>
    <w:rsid w:val="004A1654"/>
    <w:rsid w:val="004A1A4D"/>
    <w:rsid w:val="004A2325"/>
    <w:rsid w:val="004A30B5"/>
    <w:rsid w:val="004A31A3"/>
    <w:rsid w:val="004A36C9"/>
    <w:rsid w:val="004A378E"/>
    <w:rsid w:val="004A3DFE"/>
    <w:rsid w:val="004A3FD8"/>
    <w:rsid w:val="004A406E"/>
    <w:rsid w:val="004A4130"/>
    <w:rsid w:val="004A4259"/>
    <w:rsid w:val="004A4454"/>
    <w:rsid w:val="004A4471"/>
    <w:rsid w:val="004A5770"/>
    <w:rsid w:val="004A5927"/>
    <w:rsid w:val="004A59AC"/>
    <w:rsid w:val="004A5A00"/>
    <w:rsid w:val="004A6643"/>
    <w:rsid w:val="004A66AF"/>
    <w:rsid w:val="004A66EE"/>
    <w:rsid w:val="004A6978"/>
    <w:rsid w:val="004A7550"/>
    <w:rsid w:val="004A77B7"/>
    <w:rsid w:val="004A7F00"/>
    <w:rsid w:val="004B006B"/>
    <w:rsid w:val="004B0295"/>
    <w:rsid w:val="004B0C08"/>
    <w:rsid w:val="004B0D63"/>
    <w:rsid w:val="004B149F"/>
    <w:rsid w:val="004B1699"/>
    <w:rsid w:val="004B1735"/>
    <w:rsid w:val="004B1DB2"/>
    <w:rsid w:val="004B2036"/>
    <w:rsid w:val="004B26BB"/>
    <w:rsid w:val="004B2863"/>
    <w:rsid w:val="004B29B9"/>
    <w:rsid w:val="004B3997"/>
    <w:rsid w:val="004B3AD1"/>
    <w:rsid w:val="004B3C53"/>
    <w:rsid w:val="004B3C89"/>
    <w:rsid w:val="004B41D8"/>
    <w:rsid w:val="004B46F9"/>
    <w:rsid w:val="004B5157"/>
    <w:rsid w:val="004B5508"/>
    <w:rsid w:val="004B5806"/>
    <w:rsid w:val="004B591F"/>
    <w:rsid w:val="004B5992"/>
    <w:rsid w:val="004B5AE2"/>
    <w:rsid w:val="004B5B32"/>
    <w:rsid w:val="004B5BD7"/>
    <w:rsid w:val="004B5BF9"/>
    <w:rsid w:val="004B5D5B"/>
    <w:rsid w:val="004B60BC"/>
    <w:rsid w:val="004B67C6"/>
    <w:rsid w:val="004B6876"/>
    <w:rsid w:val="004B69FC"/>
    <w:rsid w:val="004B6AB7"/>
    <w:rsid w:val="004B6B40"/>
    <w:rsid w:val="004B6DAC"/>
    <w:rsid w:val="004B744D"/>
    <w:rsid w:val="004B79B1"/>
    <w:rsid w:val="004B7A12"/>
    <w:rsid w:val="004C0747"/>
    <w:rsid w:val="004C07AF"/>
    <w:rsid w:val="004C1804"/>
    <w:rsid w:val="004C215E"/>
    <w:rsid w:val="004C2298"/>
    <w:rsid w:val="004C2356"/>
    <w:rsid w:val="004C2878"/>
    <w:rsid w:val="004C2A04"/>
    <w:rsid w:val="004C2E66"/>
    <w:rsid w:val="004C3060"/>
    <w:rsid w:val="004C3219"/>
    <w:rsid w:val="004C39CD"/>
    <w:rsid w:val="004C3E23"/>
    <w:rsid w:val="004C4115"/>
    <w:rsid w:val="004C41AA"/>
    <w:rsid w:val="004C4383"/>
    <w:rsid w:val="004C454A"/>
    <w:rsid w:val="004C4705"/>
    <w:rsid w:val="004C4B96"/>
    <w:rsid w:val="004C4C30"/>
    <w:rsid w:val="004C4CC8"/>
    <w:rsid w:val="004C4DF1"/>
    <w:rsid w:val="004C4EE6"/>
    <w:rsid w:val="004C4F45"/>
    <w:rsid w:val="004C5083"/>
    <w:rsid w:val="004C5A84"/>
    <w:rsid w:val="004C5E79"/>
    <w:rsid w:val="004C5E9D"/>
    <w:rsid w:val="004C5F58"/>
    <w:rsid w:val="004C609C"/>
    <w:rsid w:val="004C617B"/>
    <w:rsid w:val="004C65BB"/>
    <w:rsid w:val="004C6788"/>
    <w:rsid w:val="004C6B15"/>
    <w:rsid w:val="004C6CA6"/>
    <w:rsid w:val="004C746A"/>
    <w:rsid w:val="004C7B75"/>
    <w:rsid w:val="004D005A"/>
    <w:rsid w:val="004D01B8"/>
    <w:rsid w:val="004D05C5"/>
    <w:rsid w:val="004D09BD"/>
    <w:rsid w:val="004D0C04"/>
    <w:rsid w:val="004D10A9"/>
    <w:rsid w:val="004D123A"/>
    <w:rsid w:val="004D12B5"/>
    <w:rsid w:val="004D17A5"/>
    <w:rsid w:val="004D19C8"/>
    <w:rsid w:val="004D2074"/>
    <w:rsid w:val="004D22F5"/>
    <w:rsid w:val="004D25BA"/>
    <w:rsid w:val="004D26D2"/>
    <w:rsid w:val="004D2BD0"/>
    <w:rsid w:val="004D2C2F"/>
    <w:rsid w:val="004D2C77"/>
    <w:rsid w:val="004D2EC0"/>
    <w:rsid w:val="004D2FAE"/>
    <w:rsid w:val="004D3A0B"/>
    <w:rsid w:val="004D41D4"/>
    <w:rsid w:val="004D42E1"/>
    <w:rsid w:val="004D43FA"/>
    <w:rsid w:val="004D4898"/>
    <w:rsid w:val="004D53A0"/>
    <w:rsid w:val="004D56AF"/>
    <w:rsid w:val="004D5C14"/>
    <w:rsid w:val="004D5FA7"/>
    <w:rsid w:val="004D6133"/>
    <w:rsid w:val="004D6251"/>
    <w:rsid w:val="004D6276"/>
    <w:rsid w:val="004D627A"/>
    <w:rsid w:val="004D645F"/>
    <w:rsid w:val="004D64BC"/>
    <w:rsid w:val="004D64E0"/>
    <w:rsid w:val="004D6547"/>
    <w:rsid w:val="004D6B89"/>
    <w:rsid w:val="004D6C03"/>
    <w:rsid w:val="004D727B"/>
    <w:rsid w:val="004D7A16"/>
    <w:rsid w:val="004D7C52"/>
    <w:rsid w:val="004D7DE7"/>
    <w:rsid w:val="004E014E"/>
    <w:rsid w:val="004E050F"/>
    <w:rsid w:val="004E08FE"/>
    <w:rsid w:val="004E0D52"/>
    <w:rsid w:val="004E15CD"/>
    <w:rsid w:val="004E162C"/>
    <w:rsid w:val="004E2005"/>
    <w:rsid w:val="004E20D3"/>
    <w:rsid w:val="004E25AE"/>
    <w:rsid w:val="004E2FE2"/>
    <w:rsid w:val="004E3411"/>
    <w:rsid w:val="004E3835"/>
    <w:rsid w:val="004E389B"/>
    <w:rsid w:val="004E38DF"/>
    <w:rsid w:val="004E39FE"/>
    <w:rsid w:val="004E3FF9"/>
    <w:rsid w:val="004E45C4"/>
    <w:rsid w:val="004E4A2E"/>
    <w:rsid w:val="004E5198"/>
    <w:rsid w:val="004E5363"/>
    <w:rsid w:val="004E579C"/>
    <w:rsid w:val="004E5856"/>
    <w:rsid w:val="004E596C"/>
    <w:rsid w:val="004E598D"/>
    <w:rsid w:val="004E59D4"/>
    <w:rsid w:val="004E5A45"/>
    <w:rsid w:val="004E7433"/>
    <w:rsid w:val="004E75C8"/>
    <w:rsid w:val="004E7766"/>
    <w:rsid w:val="004E78A0"/>
    <w:rsid w:val="004E7F71"/>
    <w:rsid w:val="004F01E2"/>
    <w:rsid w:val="004F0317"/>
    <w:rsid w:val="004F07BA"/>
    <w:rsid w:val="004F1BDE"/>
    <w:rsid w:val="004F1C5F"/>
    <w:rsid w:val="004F234E"/>
    <w:rsid w:val="004F249F"/>
    <w:rsid w:val="004F25F8"/>
    <w:rsid w:val="004F3637"/>
    <w:rsid w:val="004F36F1"/>
    <w:rsid w:val="004F3970"/>
    <w:rsid w:val="004F3A7D"/>
    <w:rsid w:val="004F3EFC"/>
    <w:rsid w:val="004F3F7C"/>
    <w:rsid w:val="004F4859"/>
    <w:rsid w:val="004F58AF"/>
    <w:rsid w:val="004F5B99"/>
    <w:rsid w:val="004F6159"/>
    <w:rsid w:val="004F61B0"/>
    <w:rsid w:val="004F61DA"/>
    <w:rsid w:val="004F628E"/>
    <w:rsid w:val="004F6685"/>
    <w:rsid w:val="004F66DF"/>
    <w:rsid w:val="004F6AD0"/>
    <w:rsid w:val="004F7712"/>
    <w:rsid w:val="004F7813"/>
    <w:rsid w:val="004F7897"/>
    <w:rsid w:val="004F7BEA"/>
    <w:rsid w:val="004F7BF4"/>
    <w:rsid w:val="004F7E75"/>
    <w:rsid w:val="0050056C"/>
    <w:rsid w:val="0050071E"/>
    <w:rsid w:val="00500DB5"/>
    <w:rsid w:val="00500FE1"/>
    <w:rsid w:val="00501472"/>
    <w:rsid w:val="005014FD"/>
    <w:rsid w:val="0050199D"/>
    <w:rsid w:val="00501B2A"/>
    <w:rsid w:val="00501B61"/>
    <w:rsid w:val="00501D0C"/>
    <w:rsid w:val="00501FFC"/>
    <w:rsid w:val="0050217B"/>
    <w:rsid w:val="005021EC"/>
    <w:rsid w:val="0050232B"/>
    <w:rsid w:val="005026C7"/>
    <w:rsid w:val="00502F65"/>
    <w:rsid w:val="005032C8"/>
    <w:rsid w:val="00503509"/>
    <w:rsid w:val="005035C6"/>
    <w:rsid w:val="00503677"/>
    <w:rsid w:val="00503784"/>
    <w:rsid w:val="00503C5B"/>
    <w:rsid w:val="00503E46"/>
    <w:rsid w:val="00503F66"/>
    <w:rsid w:val="005044A8"/>
    <w:rsid w:val="005046EE"/>
    <w:rsid w:val="005049F5"/>
    <w:rsid w:val="00505027"/>
    <w:rsid w:val="00505086"/>
    <w:rsid w:val="00505124"/>
    <w:rsid w:val="00505641"/>
    <w:rsid w:val="00506195"/>
    <w:rsid w:val="005062EA"/>
    <w:rsid w:val="005067ED"/>
    <w:rsid w:val="0050680D"/>
    <w:rsid w:val="00506878"/>
    <w:rsid w:val="005068F5"/>
    <w:rsid w:val="0050694B"/>
    <w:rsid w:val="00506D81"/>
    <w:rsid w:val="00506E3E"/>
    <w:rsid w:val="005071FD"/>
    <w:rsid w:val="005072E1"/>
    <w:rsid w:val="005073E6"/>
    <w:rsid w:val="00507419"/>
    <w:rsid w:val="00507ABE"/>
    <w:rsid w:val="00507D2C"/>
    <w:rsid w:val="005104D8"/>
    <w:rsid w:val="0051096D"/>
    <w:rsid w:val="00510BB2"/>
    <w:rsid w:val="00510C3E"/>
    <w:rsid w:val="00510EF4"/>
    <w:rsid w:val="00511292"/>
    <w:rsid w:val="005112E5"/>
    <w:rsid w:val="005113D7"/>
    <w:rsid w:val="005116F2"/>
    <w:rsid w:val="00511D3C"/>
    <w:rsid w:val="0051205F"/>
    <w:rsid w:val="00512694"/>
    <w:rsid w:val="005126E8"/>
    <w:rsid w:val="00512A39"/>
    <w:rsid w:val="0051307F"/>
    <w:rsid w:val="005139BC"/>
    <w:rsid w:val="00513C4E"/>
    <w:rsid w:val="00513CE9"/>
    <w:rsid w:val="0051452F"/>
    <w:rsid w:val="00514694"/>
    <w:rsid w:val="0051471E"/>
    <w:rsid w:val="00514BDE"/>
    <w:rsid w:val="00515153"/>
    <w:rsid w:val="00515219"/>
    <w:rsid w:val="00515330"/>
    <w:rsid w:val="005158DD"/>
    <w:rsid w:val="00515930"/>
    <w:rsid w:val="00515BC6"/>
    <w:rsid w:val="00515D3B"/>
    <w:rsid w:val="00516041"/>
    <w:rsid w:val="00516182"/>
    <w:rsid w:val="00516396"/>
    <w:rsid w:val="005163DE"/>
    <w:rsid w:val="005164DE"/>
    <w:rsid w:val="0051675F"/>
    <w:rsid w:val="00517C40"/>
    <w:rsid w:val="00517CD1"/>
    <w:rsid w:val="00517D8C"/>
    <w:rsid w:val="00520095"/>
    <w:rsid w:val="005200E2"/>
    <w:rsid w:val="005208D7"/>
    <w:rsid w:val="005208EF"/>
    <w:rsid w:val="00520B0A"/>
    <w:rsid w:val="0052165C"/>
    <w:rsid w:val="00521FAD"/>
    <w:rsid w:val="0052200F"/>
    <w:rsid w:val="0052247F"/>
    <w:rsid w:val="0052270C"/>
    <w:rsid w:val="005227E9"/>
    <w:rsid w:val="00522A4C"/>
    <w:rsid w:val="00523152"/>
    <w:rsid w:val="00523C5D"/>
    <w:rsid w:val="00523C99"/>
    <w:rsid w:val="0052418D"/>
    <w:rsid w:val="0052478B"/>
    <w:rsid w:val="00524AEB"/>
    <w:rsid w:val="00524C71"/>
    <w:rsid w:val="00524E33"/>
    <w:rsid w:val="00525934"/>
    <w:rsid w:val="00525EA6"/>
    <w:rsid w:val="00525F1A"/>
    <w:rsid w:val="00526149"/>
    <w:rsid w:val="00526188"/>
    <w:rsid w:val="005262A5"/>
    <w:rsid w:val="005265C4"/>
    <w:rsid w:val="00526F13"/>
    <w:rsid w:val="00526F9A"/>
    <w:rsid w:val="005272C2"/>
    <w:rsid w:val="0052731A"/>
    <w:rsid w:val="00527860"/>
    <w:rsid w:val="005278E7"/>
    <w:rsid w:val="00527959"/>
    <w:rsid w:val="00527D00"/>
    <w:rsid w:val="00527E51"/>
    <w:rsid w:val="005303A4"/>
    <w:rsid w:val="00530D38"/>
    <w:rsid w:val="00530FDA"/>
    <w:rsid w:val="00532427"/>
    <w:rsid w:val="0053290B"/>
    <w:rsid w:val="00532D78"/>
    <w:rsid w:val="005336CD"/>
    <w:rsid w:val="00533732"/>
    <w:rsid w:val="00533830"/>
    <w:rsid w:val="00533E16"/>
    <w:rsid w:val="00534492"/>
    <w:rsid w:val="0053459C"/>
    <w:rsid w:val="005345E0"/>
    <w:rsid w:val="00534CE6"/>
    <w:rsid w:val="00534EF8"/>
    <w:rsid w:val="00534F13"/>
    <w:rsid w:val="00535065"/>
    <w:rsid w:val="005350B7"/>
    <w:rsid w:val="00535262"/>
    <w:rsid w:val="005354F8"/>
    <w:rsid w:val="0053589D"/>
    <w:rsid w:val="005358D5"/>
    <w:rsid w:val="00535B3F"/>
    <w:rsid w:val="0053625B"/>
    <w:rsid w:val="00536D4A"/>
    <w:rsid w:val="00536D8F"/>
    <w:rsid w:val="005370FC"/>
    <w:rsid w:val="00537B56"/>
    <w:rsid w:val="00537E9D"/>
    <w:rsid w:val="0054004F"/>
    <w:rsid w:val="0054025E"/>
    <w:rsid w:val="00540332"/>
    <w:rsid w:val="00540C86"/>
    <w:rsid w:val="00540F5E"/>
    <w:rsid w:val="005417EB"/>
    <w:rsid w:val="00541828"/>
    <w:rsid w:val="005420BF"/>
    <w:rsid w:val="00542174"/>
    <w:rsid w:val="00542244"/>
    <w:rsid w:val="00542570"/>
    <w:rsid w:val="00542C3E"/>
    <w:rsid w:val="00542CA4"/>
    <w:rsid w:val="00542E81"/>
    <w:rsid w:val="005431DA"/>
    <w:rsid w:val="005434C0"/>
    <w:rsid w:val="005440E8"/>
    <w:rsid w:val="00544764"/>
    <w:rsid w:val="005448DA"/>
    <w:rsid w:val="005449BC"/>
    <w:rsid w:val="00544B82"/>
    <w:rsid w:val="0054554A"/>
    <w:rsid w:val="0054574A"/>
    <w:rsid w:val="00545807"/>
    <w:rsid w:val="00545BAA"/>
    <w:rsid w:val="00545C12"/>
    <w:rsid w:val="00546439"/>
    <w:rsid w:val="0054663E"/>
    <w:rsid w:val="005467E9"/>
    <w:rsid w:val="005468A1"/>
    <w:rsid w:val="00546F58"/>
    <w:rsid w:val="005472E0"/>
    <w:rsid w:val="005473A4"/>
    <w:rsid w:val="005475BB"/>
    <w:rsid w:val="005475CB"/>
    <w:rsid w:val="00547681"/>
    <w:rsid w:val="0054778B"/>
    <w:rsid w:val="00547B9A"/>
    <w:rsid w:val="00547BFA"/>
    <w:rsid w:val="0055069F"/>
    <w:rsid w:val="00550AB6"/>
    <w:rsid w:val="00550DA3"/>
    <w:rsid w:val="00551C6A"/>
    <w:rsid w:val="005524D4"/>
    <w:rsid w:val="0055285B"/>
    <w:rsid w:val="00552DEC"/>
    <w:rsid w:val="00552E79"/>
    <w:rsid w:val="00552F12"/>
    <w:rsid w:val="00552F6F"/>
    <w:rsid w:val="00553006"/>
    <w:rsid w:val="00553167"/>
    <w:rsid w:val="0055323C"/>
    <w:rsid w:val="00553518"/>
    <w:rsid w:val="005538C9"/>
    <w:rsid w:val="00553F7F"/>
    <w:rsid w:val="00554556"/>
    <w:rsid w:val="005547D2"/>
    <w:rsid w:val="005548C0"/>
    <w:rsid w:val="00554EF5"/>
    <w:rsid w:val="0055525A"/>
    <w:rsid w:val="00555630"/>
    <w:rsid w:val="00555AE2"/>
    <w:rsid w:val="00555B21"/>
    <w:rsid w:val="00555DAC"/>
    <w:rsid w:val="00555EDF"/>
    <w:rsid w:val="00555F07"/>
    <w:rsid w:val="00555FCA"/>
    <w:rsid w:val="00556235"/>
    <w:rsid w:val="00556319"/>
    <w:rsid w:val="00556472"/>
    <w:rsid w:val="005569EA"/>
    <w:rsid w:val="00556C2A"/>
    <w:rsid w:val="00556D54"/>
    <w:rsid w:val="0055709F"/>
    <w:rsid w:val="005570A6"/>
    <w:rsid w:val="00557133"/>
    <w:rsid w:val="00557167"/>
    <w:rsid w:val="005572A7"/>
    <w:rsid w:val="005576B5"/>
    <w:rsid w:val="00557B92"/>
    <w:rsid w:val="005601D2"/>
    <w:rsid w:val="005602D3"/>
    <w:rsid w:val="00560434"/>
    <w:rsid w:val="005604F1"/>
    <w:rsid w:val="00560567"/>
    <w:rsid w:val="00560575"/>
    <w:rsid w:val="005606A5"/>
    <w:rsid w:val="005609CB"/>
    <w:rsid w:val="00560D53"/>
    <w:rsid w:val="00560D5F"/>
    <w:rsid w:val="00560E52"/>
    <w:rsid w:val="00560F26"/>
    <w:rsid w:val="005613FD"/>
    <w:rsid w:val="0056151E"/>
    <w:rsid w:val="005615E7"/>
    <w:rsid w:val="00561AA8"/>
    <w:rsid w:val="00561D7A"/>
    <w:rsid w:val="00561DBB"/>
    <w:rsid w:val="00561EA8"/>
    <w:rsid w:val="005620E2"/>
    <w:rsid w:val="0056225F"/>
    <w:rsid w:val="005622F5"/>
    <w:rsid w:val="005625A4"/>
    <w:rsid w:val="00562D04"/>
    <w:rsid w:val="00562FFA"/>
    <w:rsid w:val="00563043"/>
    <w:rsid w:val="005631A9"/>
    <w:rsid w:val="00563335"/>
    <w:rsid w:val="00563502"/>
    <w:rsid w:val="005636B6"/>
    <w:rsid w:val="00563AA8"/>
    <w:rsid w:val="00563D45"/>
    <w:rsid w:val="005640E2"/>
    <w:rsid w:val="0056416D"/>
    <w:rsid w:val="00564592"/>
    <w:rsid w:val="0056466E"/>
    <w:rsid w:val="005646B8"/>
    <w:rsid w:val="00564867"/>
    <w:rsid w:val="00564C9C"/>
    <w:rsid w:val="00565ADC"/>
    <w:rsid w:val="00565D1E"/>
    <w:rsid w:val="00565EDD"/>
    <w:rsid w:val="00566331"/>
    <w:rsid w:val="00566715"/>
    <w:rsid w:val="00567517"/>
    <w:rsid w:val="00567821"/>
    <w:rsid w:val="00567A5A"/>
    <w:rsid w:val="00567AFD"/>
    <w:rsid w:val="00567C20"/>
    <w:rsid w:val="00567CC7"/>
    <w:rsid w:val="00567E1B"/>
    <w:rsid w:val="00570445"/>
    <w:rsid w:val="00570640"/>
    <w:rsid w:val="00571163"/>
    <w:rsid w:val="00571267"/>
    <w:rsid w:val="00571273"/>
    <w:rsid w:val="0057194A"/>
    <w:rsid w:val="00571C57"/>
    <w:rsid w:val="00571D80"/>
    <w:rsid w:val="0057238F"/>
    <w:rsid w:val="0057346E"/>
    <w:rsid w:val="005735DE"/>
    <w:rsid w:val="005739B2"/>
    <w:rsid w:val="005743A7"/>
    <w:rsid w:val="0057443A"/>
    <w:rsid w:val="005744F6"/>
    <w:rsid w:val="00574558"/>
    <w:rsid w:val="005745B8"/>
    <w:rsid w:val="00574605"/>
    <w:rsid w:val="005746D0"/>
    <w:rsid w:val="00574ADC"/>
    <w:rsid w:val="00574BF8"/>
    <w:rsid w:val="005754D8"/>
    <w:rsid w:val="00575CAE"/>
    <w:rsid w:val="00575EC9"/>
    <w:rsid w:val="00575EFE"/>
    <w:rsid w:val="00576C2E"/>
    <w:rsid w:val="00576C8F"/>
    <w:rsid w:val="00576D65"/>
    <w:rsid w:val="00577080"/>
    <w:rsid w:val="00577570"/>
    <w:rsid w:val="0058046C"/>
    <w:rsid w:val="005804C2"/>
    <w:rsid w:val="005804D8"/>
    <w:rsid w:val="00580726"/>
    <w:rsid w:val="00580A0F"/>
    <w:rsid w:val="00581159"/>
    <w:rsid w:val="005811EC"/>
    <w:rsid w:val="005811F0"/>
    <w:rsid w:val="005814B7"/>
    <w:rsid w:val="00581514"/>
    <w:rsid w:val="005816F0"/>
    <w:rsid w:val="005819DD"/>
    <w:rsid w:val="00581A83"/>
    <w:rsid w:val="00581B24"/>
    <w:rsid w:val="00581D41"/>
    <w:rsid w:val="00581FCA"/>
    <w:rsid w:val="00582613"/>
    <w:rsid w:val="0058272D"/>
    <w:rsid w:val="0058290E"/>
    <w:rsid w:val="0058294C"/>
    <w:rsid w:val="00582FD0"/>
    <w:rsid w:val="005833DB"/>
    <w:rsid w:val="005834AA"/>
    <w:rsid w:val="00583965"/>
    <w:rsid w:val="00583DE0"/>
    <w:rsid w:val="00584196"/>
    <w:rsid w:val="00584479"/>
    <w:rsid w:val="00584679"/>
    <w:rsid w:val="0058480B"/>
    <w:rsid w:val="00585742"/>
    <w:rsid w:val="0058637B"/>
    <w:rsid w:val="0058640F"/>
    <w:rsid w:val="00586E4A"/>
    <w:rsid w:val="00586E7B"/>
    <w:rsid w:val="0058706B"/>
    <w:rsid w:val="0058726E"/>
    <w:rsid w:val="00587D84"/>
    <w:rsid w:val="005901D1"/>
    <w:rsid w:val="00590688"/>
    <w:rsid w:val="00590933"/>
    <w:rsid w:val="00590EB7"/>
    <w:rsid w:val="00590FE7"/>
    <w:rsid w:val="00591143"/>
    <w:rsid w:val="00591206"/>
    <w:rsid w:val="005913CD"/>
    <w:rsid w:val="0059199C"/>
    <w:rsid w:val="00591A6D"/>
    <w:rsid w:val="00591BD4"/>
    <w:rsid w:val="00591DEF"/>
    <w:rsid w:val="0059219E"/>
    <w:rsid w:val="005929F3"/>
    <w:rsid w:val="00592D90"/>
    <w:rsid w:val="00592FEF"/>
    <w:rsid w:val="0059316B"/>
    <w:rsid w:val="005932AF"/>
    <w:rsid w:val="00593423"/>
    <w:rsid w:val="00593774"/>
    <w:rsid w:val="0059381D"/>
    <w:rsid w:val="00593885"/>
    <w:rsid w:val="00593A9F"/>
    <w:rsid w:val="00593C4E"/>
    <w:rsid w:val="00594A22"/>
    <w:rsid w:val="00594BC6"/>
    <w:rsid w:val="00594F35"/>
    <w:rsid w:val="00595003"/>
    <w:rsid w:val="005953B5"/>
    <w:rsid w:val="00595760"/>
    <w:rsid w:val="0059576F"/>
    <w:rsid w:val="00595CD5"/>
    <w:rsid w:val="00596058"/>
    <w:rsid w:val="0059665E"/>
    <w:rsid w:val="00596ADE"/>
    <w:rsid w:val="00596B89"/>
    <w:rsid w:val="005972B0"/>
    <w:rsid w:val="0059751A"/>
    <w:rsid w:val="0059772E"/>
    <w:rsid w:val="00597DFA"/>
    <w:rsid w:val="005A0180"/>
    <w:rsid w:val="005A0630"/>
    <w:rsid w:val="005A064F"/>
    <w:rsid w:val="005A1053"/>
    <w:rsid w:val="005A1230"/>
    <w:rsid w:val="005A125C"/>
    <w:rsid w:val="005A158B"/>
    <w:rsid w:val="005A17E7"/>
    <w:rsid w:val="005A1874"/>
    <w:rsid w:val="005A20E0"/>
    <w:rsid w:val="005A2158"/>
    <w:rsid w:val="005A21FB"/>
    <w:rsid w:val="005A23F5"/>
    <w:rsid w:val="005A2494"/>
    <w:rsid w:val="005A2610"/>
    <w:rsid w:val="005A2B76"/>
    <w:rsid w:val="005A2E15"/>
    <w:rsid w:val="005A30B5"/>
    <w:rsid w:val="005A3F53"/>
    <w:rsid w:val="005A4149"/>
    <w:rsid w:val="005A41F5"/>
    <w:rsid w:val="005A47F9"/>
    <w:rsid w:val="005A4CA3"/>
    <w:rsid w:val="005A5594"/>
    <w:rsid w:val="005A5831"/>
    <w:rsid w:val="005A5EC8"/>
    <w:rsid w:val="005A60F5"/>
    <w:rsid w:val="005A6353"/>
    <w:rsid w:val="005A72AE"/>
    <w:rsid w:val="005A77EA"/>
    <w:rsid w:val="005A77F9"/>
    <w:rsid w:val="005A7DE1"/>
    <w:rsid w:val="005A7F8F"/>
    <w:rsid w:val="005B0162"/>
    <w:rsid w:val="005B07E0"/>
    <w:rsid w:val="005B0CA0"/>
    <w:rsid w:val="005B154C"/>
    <w:rsid w:val="005B20D8"/>
    <w:rsid w:val="005B2286"/>
    <w:rsid w:val="005B298D"/>
    <w:rsid w:val="005B2A33"/>
    <w:rsid w:val="005B2F13"/>
    <w:rsid w:val="005B3045"/>
    <w:rsid w:val="005B3496"/>
    <w:rsid w:val="005B35CA"/>
    <w:rsid w:val="005B3646"/>
    <w:rsid w:val="005B3957"/>
    <w:rsid w:val="005B43AD"/>
    <w:rsid w:val="005B4507"/>
    <w:rsid w:val="005B4625"/>
    <w:rsid w:val="005B475B"/>
    <w:rsid w:val="005B4B03"/>
    <w:rsid w:val="005B5346"/>
    <w:rsid w:val="005B591C"/>
    <w:rsid w:val="005B5B40"/>
    <w:rsid w:val="005B6270"/>
    <w:rsid w:val="005B673A"/>
    <w:rsid w:val="005B70F5"/>
    <w:rsid w:val="005B7138"/>
    <w:rsid w:val="005B77FC"/>
    <w:rsid w:val="005B7A48"/>
    <w:rsid w:val="005B7AA4"/>
    <w:rsid w:val="005B7B0E"/>
    <w:rsid w:val="005B7C71"/>
    <w:rsid w:val="005C03B3"/>
    <w:rsid w:val="005C061E"/>
    <w:rsid w:val="005C0874"/>
    <w:rsid w:val="005C0949"/>
    <w:rsid w:val="005C099D"/>
    <w:rsid w:val="005C0C30"/>
    <w:rsid w:val="005C0D82"/>
    <w:rsid w:val="005C0E06"/>
    <w:rsid w:val="005C129C"/>
    <w:rsid w:val="005C19AE"/>
    <w:rsid w:val="005C20A8"/>
    <w:rsid w:val="005C25AA"/>
    <w:rsid w:val="005C2D7E"/>
    <w:rsid w:val="005C2FB0"/>
    <w:rsid w:val="005C3E17"/>
    <w:rsid w:val="005C40F3"/>
    <w:rsid w:val="005C4181"/>
    <w:rsid w:val="005C44A6"/>
    <w:rsid w:val="005C4640"/>
    <w:rsid w:val="005C4ED5"/>
    <w:rsid w:val="005C512F"/>
    <w:rsid w:val="005C5316"/>
    <w:rsid w:val="005C5428"/>
    <w:rsid w:val="005C5790"/>
    <w:rsid w:val="005C5F30"/>
    <w:rsid w:val="005C5FFC"/>
    <w:rsid w:val="005C6209"/>
    <w:rsid w:val="005C69F5"/>
    <w:rsid w:val="005C7342"/>
    <w:rsid w:val="005C7403"/>
    <w:rsid w:val="005C7913"/>
    <w:rsid w:val="005C7FEF"/>
    <w:rsid w:val="005D00A2"/>
    <w:rsid w:val="005D00FB"/>
    <w:rsid w:val="005D0247"/>
    <w:rsid w:val="005D0795"/>
    <w:rsid w:val="005D08D2"/>
    <w:rsid w:val="005D0A84"/>
    <w:rsid w:val="005D0B1E"/>
    <w:rsid w:val="005D191A"/>
    <w:rsid w:val="005D1DC2"/>
    <w:rsid w:val="005D1DF1"/>
    <w:rsid w:val="005D1E74"/>
    <w:rsid w:val="005D20F1"/>
    <w:rsid w:val="005D2375"/>
    <w:rsid w:val="005D28B5"/>
    <w:rsid w:val="005D29DE"/>
    <w:rsid w:val="005D2B8A"/>
    <w:rsid w:val="005D32B6"/>
    <w:rsid w:val="005D3738"/>
    <w:rsid w:val="005D3ADF"/>
    <w:rsid w:val="005D3B80"/>
    <w:rsid w:val="005D3F74"/>
    <w:rsid w:val="005D4209"/>
    <w:rsid w:val="005D42C9"/>
    <w:rsid w:val="005D4640"/>
    <w:rsid w:val="005D475E"/>
    <w:rsid w:val="005D4C0A"/>
    <w:rsid w:val="005D5830"/>
    <w:rsid w:val="005D5914"/>
    <w:rsid w:val="005D5AB7"/>
    <w:rsid w:val="005D5C4E"/>
    <w:rsid w:val="005D5C54"/>
    <w:rsid w:val="005D5DED"/>
    <w:rsid w:val="005D5E96"/>
    <w:rsid w:val="005D5E9E"/>
    <w:rsid w:val="005D65DC"/>
    <w:rsid w:val="005D6696"/>
    <w:rsid w:val="005D68F6"/>
    <w:rsid w:val="005D7636"/>
    <w:rsid w:val="005D772D"/>
    <w:rsid w:val="005D7835"/>
    <w:rsid w:val="005D7AB3"/>
    <w:rsid w:val="005D7C36"/>
    <w:rsid w:val="005D7E75"/>
    <w:rsid w:val="005E070F"/>
    <w:rsid w:val="005E07E6"/>
    <w:rsid w:val="005E094B"/>
    <w:rsid w:val="005E0A21"/>
    <w:rsid w:val="005E137B"/>
    <w:rsid w:val="005E198E"/>
    <w:rsid w:val="005E1DA2"/>
    <w:rsid w:val="005E1F83"/>
    <w:rsid w:val="005E20FE"/>
    <w:rsid w:val="005E2106"/>
    <w:rsid w:val="005E29E5"/>
    <w:rsid w:val="005E2C0A"/>
    <w:rsid w:val="005E2C47"/>
    <w:rsid w:val="005E330C"/>
    <w:rsid w:val="005E38DA"/>
    <w:rsid w:val="005E3971"/>
    <w:rsid w:val="005E3C35"/>
    <w:rsid w:val="005E3CC8"/>
    <w:rsid w:val="005E3CEE"/>
    <w:rsid w:val="005E3F0C"/>
    <w:rsid w:val="005E3F76"/>
    <w:rsid w:val="005E4190"/>
    <w:rsid w:val="005E483F"/>
    <w:rsid w:val="005E4862"/>
    <w:rsid w:val="005E48E4"/>
    <w:rsid w:val="005E495F"/>
    <w:rsid w:val="005E497B"/>
    <w:rsid w:val="005E5A62"/>
    <w:rsid w:val="005E5FCF"/>
    <w:rsid w:val="005E60E7"/>
    <w:rsid w:val="005E74B6"/>
    <w:rsid w:val="005E75DD"/>
    <w:rsid w:val="005E78A5"/>
    <w:rsid w:val="005E7A41"/>
    <w:rsid w:val="005F01A7"/>
    <w:rsid w:val="005F0A12"/>
    <w:rsid w:val="005F14D4"/>
    <w:rsid w:val="005F1676"/>
    <w:rsid w:val="005F21E7"/>
    <w:rsid w:val="005F2368"/>
    <w:rsid w:val="005F26F8"/>
    <w:rsid w:val="005F2A85"/>
    <w:rsid w:val="005F2AEA"/>
    <w:rsid w:val="005F2B37"/>
    <w:rsid w:val="005F2C64"/>
    <w:rsid w:val="005F2FD8"/>
    <w:rsid w:val="005F3012"/>
    <w:rsid w:val="005F35E7"/>
    <w:rsid w:val="005F4029"/>
    <w:rsid w:val="005F4198"/>
    <w:rsid w:val="005F48E8"/>
    <w:rsid w:val="005F48FA"/>
    <w:rsid w:val="005F49A1"/>
    <w:rsid w:val="005F4A40"/>
    <w:rsid w:val="005F4AE6"/>
    <w:rsid w:val="005F4CC5"/>
    <w:rsid w:val="005F4DCB"/>
    <w:rsid w:val="005F53FF"/>
    <w:rsid w:val="005F543E"/>
    <w:rsid w:val="005F5963"/>
    <w:rsid w:val="005F59A6"/>
    <w:rsid w:val="005F603D"/>
    <w:rsid w:val="005F624D"/>
    <w:rsid w:val="005F6753"/>
    <w:rsid w:val="005F6999"/>
    <w:rsid w:val="005F6AE2"/>
    <w:rsid w:val="005F6C75"/>
    <w:rsid w:val="005F6DD0"/>
    <w:rsid w:val="005F715D"/>
    <w:rsid w:val="005F71F6"/>
    <w:rsid w:val="005F7225"/>
    <w:rsid w:val="005F7653"/>
    <w:rsid w:val="005F77C1"/>
    <w:rsid w:val="005F7A6D"/>
    <w:rsid w:val="0060006A"/>
    <w:rsid w:val="006000EE"/>
    <w:rsid w:val="0060025E"/>
    <w:rsid w:val="006002D6"/>
    <w:rsid w:val="00600F8C"/>
    <w:rsid w:val="006013CB"/>
    <w:rsid w:val="0060166C"/>
    <w:rsid w:val="00601B38"/>
    <w:rsid w:val="00601DF9"/>
    <w:rsid w:val="00601FB5"/>
    <w:rsid w:val="006022EE"/>
    <w:rsid w:val="006030A3"/>
    <w:rsid w:val="00603EF9"/>
    <w:rsid w:val="00604026"/>
    <w:rsid w:val="006040D2"/>
    <w:rsid w:val="006041B0"/>
    <w:rsid w:val="006048CF"/>
    <w:rsid w:val="00604AA8"/>
    <w:rsid w:val="00605330"/>
    <w:rsid w:val="00605A2E"/>
    <w:rsid w:val="00605ECD"/>
    <w:rsid w:val="00606927"/>
    <w:rsid w:val="00606ADE"/>
    <w:rsid w:val="00606B23"/>
    <w:rsid w:val="00607073"/>
    <w:rsid w:val="00607623"/>
    <w:rsid w:val="00607808"/>
    <w:rsid w:val="00607821"/>
    <w:rsid w:val="00607947"/>
    <w:rsid w:val="00607D01"/>
    <w:rsid w:val="00607F30"/>
    <w:rsid w:val="00610286"/>
    <w:rsid w:val="00610D9C"/>
    <w:rsid w:val="00611235"/>
    <w:rsid w:val="0061169D"/>
    <w:rsid w:val="00611A48"/>
    <w:rsid w:val="00611C01"/>
    <w:rsid w:val="006121BE"/>
    <w:rsid w:val="0061234A"/>
    <w:rsid w:val="0061237F"/>
    <w:rsid w:val="006123B4"/>
    <w:rsid w:val="006123F2"/>
    <w:rsid w:val="00612760"/>
    <w:rsid w:val="0061282A"/>
    <w:rsid w:val="00613152"/>
    <w:rsid w:val="006134AF"/>
    <w:rsid w:val="00613CDB"/>
    <w:rsid w:val="00613FDD"/>
    <w:rsid w:val="006145F1"/>
    <w:rsid w:val="0061485E"/>
    <w:rsid w:val="00614B96"/>
    <w:rsid w:val="006151D6"/>
    <w:rsid w:val="006156BA"/>
    <w:rsid w:val="00615C8C"/>
    <w:rsid w:val="00615CBB"/>
    <w:rsid w:val="00615E91"/>
    <w:rsid w:val="006160EA"/>
    <w:rsid w:val="00616296"/>
    <w:rsid w:val="006163C5"/>
    <w:rsid w:val="00616545"/>
    <w:rsid w:val="00616E9B"/>
    <w:rsid w:val="00617212"/>
    <w:rsid w:val="0061739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1C91"/>
    <w:rsid w:val="00621DA1"/>
    <w:rsid w:val="006221DA"/>
    <w:rsid w:val="006225D8"/>
    <w:rsid w:val="00622770"/>
    <w:rsid w:val="00622CDA"/>
    <w:rsid w:val="00622CE3"/>
    <w:rsid w:val="006233F7"/>
    <w:rsid w:val="00623ABB"/>
    <w:rsid w:val="00623E28"/>
    <w:rsid w:val="0062401A"/>
    <w:rsid w:val="0062408A"/>
    <w:rsid w:val="006240C6"/>
    <w:rsid w:val="0062448A"/>
    <w:rsid w:val="0062461F"/>
    <w:rsid w:val="0062465B"/>
    <w:rsid w:val="00624871"/>
    <w:rsid w:val="00624893"/>
    <w:rsid w:val="00624F89"/>
    <w:rsid w:val="00625B4D"/>
    <w:rsid w:val="00625D6C"/>
    <w:rsid w:val="00625FF5"/>
    <w:rsid w:val="00626097"/>
    <w:rsid w:val="00626478"/>
    <w:rsid w:val="006267D5"/>
    <w:rsid w:val="00626B57"/>
    <w:rsid w:val="006274D1"/>
    <w:rsid w:val="006276EB"/>
    <w:rsid w:val="00627723"/>
    <w:rsid w:val="0062786F"/>
    <w:rsid w:val="006279BA"/>
    <w:rsid w:val="00627B1D"/>
    <w:rsid w:val="00630828"/>
    <w:rsid w:val="00630910"/>
    <w:rsid w:val="00630A98"/>
    <w:rsid w:val="006313BF"/>
    <w:rsid w:val="00631635"/>
    <w:rsid w:val="006317FF"/>
    <w:rsid w:val="006322E6"/>
    <w:rsid w:val="006328D5"/>
    <w:rsid w:val="00633145"/>
    <w:rsid w:val="00633640"/>
    <w:rsid w:val="00633AF5"/>
    <w:rsid w:val="00633B81"/>
    <w:rsid w:val="00633CA5"/>
    <w:rsid w:val="00634807"/>
    <w:rsid w:val="006349A4"/>
    <w:rsid w:val="00634BC2"/>
    <w:rsid w:val="00634BE9"/>
    <w:rsid w:val="00635EEE"/>
    <w:rsid w:val="006363F2"/>
    <w:rsid w:val="00636957"/>
    <w:rsid w:val="006369DE"/>
    <w:rsid w:val="00636ACB"/>
    <w:rsid w:val="00636C33"/>
    <w:rsid w:val="00636CBE"/>
    <w:rsid w:val="00636CE6"/>
    <w:rsid w:val="00636FF4"/>
    <w:rsid w:val="00637704"/>
    <w:rsid w:val="0063777D"/>
    <w:rsid w:val="00637886"/>
    <w:rsid w:val="006378AE"/>
    <w:rsid w:val="00637A18"/>
    <w:rsid w:val="00637FA7"/>
    <w:rsid w:val="00640486"/>
    <w:rsid w:val="006406F9"/>
    <w:rsid w:val="00640C27"/>
    <w:rsid w:val="00640EBD"/>
    <w:rsid w:val="00640EF1"/>
    <w:rsid w:val="006412F2"/>
    <w:rsid w:val="0064162F"/>
    <w:rsid w:val="006416EA"/>
    <w:rsid w:val="00641A7B"/>
    <w:rsid w:val="00641BEC"/>
    <w:rsid w:val="00641D34"/>
    <w:rsid w:val="00641F14"/>
    <w:rsid w:val="006424E8"/>
    <w:rsid w:val="0064262C"/>
    <w:rsid w:val="00642641"/>
    <w:rsid w:val="006429E1"/>
    <w:rsid w:val="00642AFB"/>
    <w:rsid w:val="00642D73"/>
    <w:rsid w:val="00643301"/>
    <w:rsid w:val="00643DA0"/>
    <w:rsid w:val="00643DB4"/>
    <w:rsid w:val="00643F0E"/>
    <w:rsid w:val="00643F17"/>
    <w:rsid w:val="00644099"/>
    <w:rsid w:val="0064449D"/>
    <w:rsid w:val="0064476C"/>
    <w:rsid w:val="0064486F"/>
    <w:rsid w:val="00644A81"/>
    <w:rsid w:val="00644B62"/>
    <w:rsid w:val="00645479"/>
    <w:rsid w:val="006457DD"/>
    <w:rsid w:val="00645842"/>
    <w:rsid w:val="006458F9"/>
    <w:rsid w:val="00645D51"/>
    <w:rsid w:val="00645E86"/>
    <w:rsid w:val="00646110"/>
    <w:rsid w:val="006462AB"/>
    <w:rsid w:val="006463B9"/>
    <w:rsid w:val="00646ED9"/>
    <w:rsid w:val="00646F34"/>
    <w:rsid w:val="0064723F"/>
    <w:rsid w:val="0064724E"/>
    <w:rsid w:val="006473EB"/>
    <w:rsid w:val="00647A0E"/>
    <w:rsid w:val="00647B95"/>
    <w:rsid w:val="00647D38"/>
    <w:rsid w:val="00647E3C"/>
    <w:rsid w:val="00647EB8"/>
    <w:rsid w:val="00647F16"/>
    <w:rsid w:val="006506EA"/>
    <w:rsid w:val="00650BDA"/>
    <w:rsid w:val="00650C8E"/>
    <w:rsid w:val="0065138E"/>
    <w:rsid w:val="00651618"/>
    <w:rsid w:val="006516C3"/>
    <w:rsid w:val="006518EE"/>
    <w:rsid w:val="00651AC9"/>
    <w:rsid w:val="00651CEE"/>
    <w:rsid w:val="00651F1F"/>
    <w:rsid w:val="006520BA"/>
    <w:rsid w:val="00652566"/>
    <w:rsid w:val="00652D12"/>
    <w:rsid w:val="00652E9C"/>
    <w:rsid w:val="00653785"/>
    <w:rsid w:val="00653E00"/>
    <w:rsid w:val="00653FA8"/>
    <w:rsid w:val="0065424F"/>
    <w:rsid w:val="006548F0"/>
    <w:rsid w:val="00654AAE"/>
    <w:rsid w:val="00654B30"/>
    <w:rsid w:val="00654C78"/>
    <w:rsid w:val="0065500B"/>
    <w:rsid w:val="006551C4"/>
    <w:rsid w:val="00655325"/>
    <w:rsid w:val="0065532A"/>
    <w:rsid w:val="006553AD"/>
    <w:rsid w:val="006553E2"/>
    <w:rsid w:val="006557C2"/>
    <w:rsid w:val="00655C2E"/>
    <w:rsid w:val="00655CC9"/>
    <w:rsid w:val="00655D0C"/>
    <w:rsid w:val="00656561"/>
    <w:rsid w:val="00656C5F"/>
    <w:rsid w:val="00657B36"/>
    <w:rsid w:val="00657DB6"/>
    <w:rsid w:val="00657EAC"/>
    <w:rsid w:val="00660454"/>
    <w:rsid w:val="006606AA"/>
    <w:rsid w:val="00660727"/>
    <w:rsid w:val="006607BB"/>
    <w:rsid w:val="006608B8"/>
    <w:rsid w:val="006608CF"/>
    <w:rsid w:val="00660AF9"/>
    <w:rsid w:val="00661261"/>
    <w:rsid w:val="00661579"/>
    <w:rsid w:val="0066168F"/>
    <w:rsid w:val="006619FD"/>
    <w:rsid w:val="00661D1C"/>
    <w:rsid w:val="00661DE7"/>
    <w:rsid w:val="00661E80"/>
    <w:rsid w:val="0066214B"/>
    <w:rsid w:val="00662166"/>
    <w:rsid w:val="0066227F"/>
    <w:rsid w:val="006626E4"/>
    <w:rsid w:val="006628FA"/>
    <w:rsid w:val="00662A3B"/>
    <w:rsid w:val="00662A53"/>
    <w:rsid w:val="00662BB8"/>
    <w:rsid w:val="00663116"/>
    <w:rsid w:val="00663477"/>
    <w:rsid w:val="00663F54"/>
    <w:rsid w:val="0066407A"/>
    <w:rsid w:val="00664948"/>
    <w:rsid w:val="00664A0C"/>
    <w:rsid w:val="00664FD1"/>
    <w:rsid w:val="006650A6"/>
    <w:rsid w:val="00665179"/>
    <w:rsid w:val="006657A0"/>
    <w:rsid w:val="00665AD0"/>
    <w:rsid w:val="00665C2A"/>
    <w:rsid w:val="00666286"/>
    <w:rsid w:val="00666777"/>
    <w:rsid w:val="00666BB5"/>
    <w:rsid w:val="00666F9E"/>
    <w:rsid w:val="0066739E"/>
    <w:rsid w:val="00667482"/>
    <w:rsid w:val="006677FE"/>
    <w:rsid w:val="00667BD9"/>
    <w:rsid w:val="0067002D"/>
    <w:rsid w:val="006705BD"/>
    <w:rsid w:val="00671824"/>
    <w:rsid w:val="006718F3"/>
    <w:rsid w:val="00671A4F"/>
    <w:rsid w:val="00672044"/>
    <w:rsid w:val="00672186"/>
    <w:rsid w:val="006722B0"/>
    <w:rsid w:val="00672447"/>
    <w:rsid w:val="00672A82"/>
    <w:rsid w:val="00672D16"/>
    <w:rsid w:val="00673001"/>
    <w:rsid w:val="006732C6"/>
    <w:rsid w:val="006734CD"/>
    <w:rsid w:val="0067378A"/>
    <w:rsid w:val="00673CA8"/>
    <w:rsid w:val="0067412B"/>
    <w:rsid w:val="006743F5"/>
    <w:rsid w:val="006744CC"/>
    <w:rsid w:val="006747B4"/>
    <w:rsid w:val="00674C10"/>
    <w:rsid w:val="006755E5"/>
    <w:rsid w:val="0067565F"/>
    <w:rsid w:val="006759DE"/>
    <w:rsid w:val="00675F14"/>
    <w:rsid w:val="006760BC"/>
    <w:rsid w:val="006761E8"/>
    <w:rsid w:val="0067660A"/>
    <w:rsid w:val="00676624"/>
    <w:rsid w:val="00676774"/>
    <w:rsid w:val="00676860"/>
    <w:rsid w:val="00676B3F"/>
    <w:rsid w:val="006773E1"/>
    <w:rsid w:val="0067745C"/>
    <w:rsid w:val="0067766E"/>
    <w:rsid w:val="00677E78"/>
    <w:rsid w:val="0068028A"/>
    <w:rsid w:val="00680642"/>
    <w:rsid w:val="0068108A"/>
    <w:rsid w:val="006818A9"/>
    <w:rsid w:val="00681E2D"/>
    <w:rsid w:val="00681EB5"/>
    <w:rsid w:val="00682A5A"/>
    <w:rsid w:val="006830F3"/>
    <w:rsid w:val="00683359"/>
    <w:rsid w:val="0068350A"/>
    <w:rsid w:val="00683AB9"/>
    <w:rsid w:val="00683CE2"/>
    <w:rsid w:val="00684137"/>
    <w:rsid w:val="006844BB"/>
    <w:rsid w:val="0068461F"/>
    <w:rsid w:val="00684EF5"/>
    <w:rsid w:val="00685D8D"/>
    <w:rsid w:val="00686302"/>
    <w:rsid w:val="006863C5"/>
    <w:rsid w:val="00687106"/>
    <w:rsid w:val="006873F6"/>
    <w:rsid w:val="006876E2"/>
    <w:rsid w:val="00687C52"/>
    <w:rsid w:val="00687C72"/>
    <w:rsid w:val="0069040E"/>
    <w:rsid w:val="0069066E"/>
    <w:rsid w:val="006907D5"/>
    <w:rsid w:val="00690AD7"/>
    <w:rsid w:val="00690C18"/>
    <w:rsid w:val="00690FEE"/>
    <w:rsid w:val="0069111F"/>
    <w:rsid w:val="006914F3"/>
    <w:rsid w:val="006918F1"/>
    <w:rsid w:val="00691F23"/>
    <w:rsid w:val="0069265B"/>
    <w:rsid w:val="00692C39"/>
    <w:rsid w:val="00693109"/>
    <w:rsid w:val="00693524"/>
    <w:rsid w:val="006937BC"/>
    <w:rsid w:val="00693CA3"/>
    <w:rsid w:val="00693EB9"/>
    <w:rsid w:val="00694D77"/>
    <w:rsid w:val="0069531E"/>
    <w:rsid w:val="00695582"/>
    <w:rsid w:val="006956D4"/>
    <w:rsid w:val="006956E1"/>
    <w:rsid w:val="00695731"/>
    <w:rsid w:val="00695928"/>
    <w:rsid w:val="00695BAF"/>
    <w:rsid w:val="00695BF5"/>
    <w:rsid w:val="00695DDE"/>
    <w:rsid w:val="00695EE2"/>
    <w:rsid w:val="00695FAA"/>
    <w:rsid w:val="00696330"/>
    <w:rsid w:val="006963D0"/>
    <w:rsid w:val="006964F1"/>
    <w:rsid w:val="00696594"/>
    <w:rsid w:val="006968F7"/>
    <w:rsid w:val="00696C06"/>
    <w:rsid w:val="0069723C"/>
    <w:rsid w:val="006972D3"/>
    <w:rsid w:val="00697461"/>
    <w:rsid w:val="0069761E"/>
    <w:rsid w:val="00697AEE"/>
    <w:rsid w:val="00697D1A"/>
    <w:rsid w:val="00697D5F"/>
    <w:rsid w:val="00697F8E"/>
    <w:rsid w:val="006A0222"/>
    <w:rsid w:val="006A03A4"/>
    <w:rsid w:val="006A03A9"/>
    <w:rsid w:val="006A03AC"/>
    <w:rsid w:val="006A064A"/>
    <w:rsid w:val="006A07F2"/>
    <w:rsid w:val="006A0875"/>
    <w:rsid w:val="006A0D58"/>
    <w:rsid w:val="006A13EB"/>
    <w:rsid w:val="006A17AC"/>
    <w:rsid w:val="006A1828"/>
    <w:rsid w:val="006A1A69"/>
    <w:rsid w:val="006A1FF0"/>
    <w:rsid w:val="006A2631"/>
    <w:rsid w:val="006A28F3"/>
    <w:rsid w:val="006A2B33"/>
    <w:rsid w:val="006A2D78"/>
    <w:rsid w:val="006A2E92"/>
    <w:rsid w:val="006A3331"/>
    <w:rsid w:val="006A433F"/>
    <w:rsid w:val="006A4555"/>
    <w:rsid w:val="006A47D4"/>
    <w:rsid w:val="006A5313"/>
    <w:rsid w:val="006A55B2"/>
    <w:rsid w:val="006A5814"/>
    <w:rsid w:val="006A58C8"/>
    <w:rsid w:val="006A5B8A"/>
    <w:rsid w:val="006A5D71"/>
    <w:rsid w:val="006A5E97"/>
    <w:rsid w:val="006A5F72"/>
    <w:rsid w:val="006A61BE"/>
    <w:rsid w:val="006A6907"/>
    <w:rsid w:val="006A6B9A"/>
    <w:rsid w:val="006A6D61"/>
    <w:rsid w:val="006A6FE4"/>
    <w:rsid w:val="006A717D"/>
    <w:rsid w:val="006A788D"/>
    <w:rsid w:val="006A7BD7"/>
    <w:rsid w:val="006B0074"/>
    <w:rsid w:val="006B0313"/>
    <w:rsid w:val="006B0450"/>
    <w:rsid w:val="006B0A4F"/>
    <w:rsid w:val="006B0D16"/>
    <w:rsid w:val="006B0DFF"/>
    <w:rsid w:val="006B102C"/>
    <w:rsid w:val="006B13EB"/>
    <w:rsid w:val="006B1915"/>
    <w:rsid w:val="006B1DC0"/>
    <w:rsid w:val="006B20D9"/>
    <w:rsid w:val="006B262D"/>
    <w:rsid w:val="006B27C9"/>
    <w:rsid w:val="006B2D6C"/>
    <w:rsid w:val="006B2FAD"/>
    <w:rsid w:val="006B30C9"/>
    <w:rsid w:val="006B37A0"/>
    <w:rsid w:val="006B3C28"/>
    <w:rsid w:val="006B3FC9"/>
    <w:rsid w:val="006B40C1"/>
    <w:rsid w:val="006B4155"/>
    <w:rsid w:val="006B4319"/>
    <w:rsid w:val="006B450A"/>
    <w:rsid w:val="006B469C"/>
    <w:rsid w:val="006B476E"/>
    <w:rsid w:val="006B519B"/>
    <w:rsid w:val="006B52E7"/>
    <w:rsid w:val="006B5611"/>
    <w:rsid w:val="006B590A"/>
    <w:rsid w:val="006B5ECD"/>
    <w:rsid w:val="006B696D"/>
    <w:rsid w:val="006B6B09"/>
    <w:rsid w:val="006B6B82"/>
    <w:rsid w:val="006B6BC7"/>
    <w:rsid w:val="006B7358"/>
    <w:rsid w:val="006B7A7B"/>
    <w:rsid w:val="006B7AAE"/>
    <w:rsid w:val="006B7C15"/>
    <w:rsid w:val="006B7C8A"/>
    <w:rsid w:val="006C0016"/>
    <w:rsid w:val="006C0024"/>
    <w:rsid w:val="006C002A"/>
    <w:rsid w:val="006C0851"/>
    <w:rsid w:val="006C0BD6"/>
    <w:rsid w:val="006C0DE1"/>
    <w:rsid w:val="006C1200"/>
    <w:rsid w:val="006C135F"/>
    <w:rsid w:val="006C148F"/>
    <w:rsid w:val="006C2265"/>
    <w:rsid w:val="006C26E1"/>
    <w:rsid w:val="006C2A5F"/>
    <w:rsid w:val="006C2F0C"/>
    <w:rsid w:val="006C3878"/>
    <w:rsid w:val="006C3890"/>
    <w:rsid w:val="006C3D19"/>
    <w:rsid w:val="006C4623"/>
    <w:rsid w:val="006C4764"/>
    <w:rsid w:val="006C4FF1"/>
    <w:rsid w:val="006C549F"/>
    <w:rsid w:val="006C587D"/>
    <w:rsid w:val="006C5B34"/>
    <w:rsid w:val="006C6113"/>
    <w:rsid w:val="006C62ED"/>
    <w:rsid w:val="006C63B0"/>
    <w:rsid w:val="006C64DA"/>
    <w:rsid w:val="006C71B4"/>
    <w:rsid w:val="006C7EDF"/>
    <w:rsid w:val="006D0012"/>
    <w:rsid w:val="006D06DB"/>
    <w:rsid w:val="006D0966"/>
    <w:rsid w:val="006D0AAE"/>
    <w:rsid w:val="006D16C9"/>
    <w:rsid w:val="006D248A"/>
    <w:rsid w:val="006D2804"/>
    <w:rsid w:val="006D2F8E"/>
    <w:rsid w:val="006D377C"/>
    <w:rsid w:val="006D38E5"/>
    <w:rsid w:val="006D3E62"/>
    <w:rsid w:val="006D455A"/>
    <w:rsid w:val="006D55A5"/>
    <w:rsid w:val="006D574D"/>
    <w:rsid w:val="006D5D58"/>
    <w:rsid w:val="006D5DAD"/>
    <w:rsid w:val="006D6067"/>
    <w:rsid w:val="006D659B"/>
    <w:rsid w:val="006D65D0"/>
    <w:rsid w:val="006D669C"/>
    <w:rsid w:val="006D6992"/>
    <w:rsid w:val="006D6FE2"/>
    <w:rsid w:val="006D7948"/>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E66"/>
    <w:rsid w:val="006E1F21"/>
    <w:rsid w:val="006E2311"/>
    <w:rsid w:val="006E2496"/>
    <w:rsid w:val="006E277E"/>
    <w:rsid w:val="006E2D55"/>
    <w:rsid w:val="006E2EA3"/>
    <w:rsid w:val="006E328F"/>
    <w:rsid w:val="006E34C0"/>
    <w:rsid w:val="006E3562"/>
    <w:rsid w:val="006E3820"/>
    <w:rsid w:val="006E3919"/>
    <w:rsid w:val="006E3921"/>
    <w:rsid w:val="006E3EFB"/>
    <w:rsid w:val="006E4178"/>
    <w:rsid w:val="006E429A"/>
    <w:rsid w:val="006E4401"/>
    <w:rsid w:val="006E4617"/>
    <w:rsid w:val="006E4922"/>
    <w:rsid w:val="006E49C8"/>
    <w:rsid w:val="006E4D5F"/>
    <w:rsid w:val="006E505D"/>
    <w:rsid w:val="006E50E6"/>
    <w:rsid w:val="006E54C5"/>
    <w:rsid w:val="006E5849"/>
    <w:rsid w:val="006E5AF0"/>
    <w:rsid w:val="006E5EA8"/>
    <w:rsid w:val="006E5ED1"/>
    <w:rsid w:val="006E60B9"/>
    <w:rsid w:val="006E60D0"/>
    <w:rsid w:val="006E6397"/>
    <w:rsid w:val="006E67C4"/>
    <w:rsid w:val="006E6A0B"/>
    <w:rsid w:val="006E6B4B"/>
    <w:rsid w:val="006E6E33"/>
    <w:rsid w:val="006E6F9D"/>
    <w:rsid w:val="006E700F"/>
    <w:rsid w:val="006E7140"/>
    <w:rsid w:val="006E77E8"/>
    <w:rsid w:val="006E78B9"/>
    <w:rsid w:val="006E79F0"/>
    <w:rsid w:val="006E7CCB"/>
    <w:rsid w:val="006E7E2E"/>
    <w:rsid w:val="006F01B1"/>
    <w:rsid w:val="006F04C3"/>
    <w:rsid w:val="006F065C"/>
    <w:rsid w:val="006F08DA"/>
    <w:rsid w:val="006F0CA3"/>
    <w:rsid w:val="006F1283"/>
    <w:rsid w:val="006F138C"/>
    <w:rsid w:val="006F1581"/>
    <w:rsid w:val="006F1929"/>
    <w:rsid w:val="006F1A58"/>
    <w:rsid w:val="006F1C26"/>
    <w:rsid w:val="006F24FD"/>
    <w:rsid w:val="006F258C"/>
    <w:rsid w:val="006F2687"/>
    <w:rsid w:val="006F2CF7"/>
    <w:rsid w:val="006F2E70"/>
    <w:rsid w:val="006F2F03"/>
    <w:rsid w:val="006F305F"/>
    <w:rsid w:val="006F36A0"/>
    <w:rsid w:val="006F3B9A"/>
    <w:rsid w:val="006F3C47"/>
    <w:rsid w:val="006F4227"/>
    <w:rsid w:val="006F4365"/>
    <w:rsid w:val="006F459D"/>
    <w:rsid w:val="006F4686"/>
    <w:rsid w:val="006F4E75"/>
    <w:rsid w:val="006F5623"/>
    <w:rsid w:val="006F5683"/>
    <w:rsid w:val="006F5940"/>
    <w:rsid w:val="006F5B5F"/>
    <w:rsid w:val="006F5E63"/>
    <w:rsid w:val="006F669F"/>
    <w:rsid w:val="006F689C"/>
    <w:rsid w:val="006F6931"/>
    <w:rsid w:val="006F69C6"/>
    <w:rsid w:val="006F6A37"/>
    <w:rsid w:val="006F6D10"/>
    <w:rsid w:val="006F7156"/>
    <w:rsid w:val="006F729A"/>
    <w:rsid w:val="006F79C4"/>
    <w:rsid w:val="006F7CB7"/>
    <w:rsid w:val="006F7F1B"/>
    <w:rsid w:val="00700393"/>
    <w:rsid w:val="00700394"/>
    <w:rsid w:val="00700446"/>
    <w:rsid w:val="007005FE"/>
    <w:rsid w:val="00700A27"/>
    <w:rsid w:val="00700BCE"/>
    <w:rsid w:val="00700BF4"/>
    <w:rsid w:val="007018D7"/>
    <w:rsid w:val="00701DA9"/>
    <w:rsid w:val="00702535"/>
    <w:rsid w:val="00702542"/>
    <w:rsid w:val="00702B2C"/>
    <w:rsid w:val="007034F4"/>
    <w:rsid w:val="00703668"/>
    <w:rsid w:val="00703705"/>
    <w:rsid w:val="00703AB2"/>
    <w:rsid w:val="0070413A"/>
    <w:rsid w:val="007041C8"/>
    <w:rsid w:val="0070423B"/>
    <w:rsid w:val="0070435D"/>
    <w:rsid w:val="00704447"/>
    <w:rsid w:val="007046A6"/>
    <w:rsid w:val="00704B0B"/>
    <w:rsid w:val="00704B5C"/>
    <w:rsid w:val="00704CEC"/>
    <w:rsid w:val="0070513A"/>
    <w:rsid w:val="00705415"/>
    <w:rsid w:val="00706120"/>
    <w:rsid w:val="00706A35"/>
    <w:rsid w:val="00706BAD"/>
    <w:rsid w:val="00707184"/>
    <w:rsid w:val="007071FC"/>
    <w:rsid w:val="0070729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1B92"/>
    <w:rsid w:val="0071213B"/>
    <w:rsid w:val="007122D0"/>
    <w:rsid w:val="007123FD"/>
    <w:rsid w:val="00712431"/>
    <w:rsid w:val="007128CF"/>
    <w:rsid w:val="00712A18"/>
    <w:rsid w:val="00712E0D"/>
    <w:rsid w:val="007136B7"/>
    <w:rsid w:val="0071395E"/>
    <w:rsid w:val="00713C52"/>
    <w:rsid w:val="00713EF0"/>
    <w:rsid w:val="00714078"/>
    <w:rsid w:val="007140CB"/>
    <w:rsid w:val="007143E4"/>
    <w:rsid w:val="00714551"/>
    <w:rsid w:val="0071475E"/>
    <w:rsid w:val="00715001"/>
    <w:rsid w:val="00715135"/>
    <w:rsid w:val="00715379"/>
    <w:rsid w:val="00715384"/>
    <w:rsid w:val="0071543D"/>
    <w:rsid w:val="00716216"/>
    <w:rsid w:val="00716257"/>
    <w:rsid w:val="0071637F"/>
    <w:rsid w:val="007165A0"/>
    <w:rsid w:val="00716A6F"/>
    <w:rsid w:val="00716B51"/>
    <w:rsid w:val="00716EBD"/>
    <w:rsid w:val="007172B4"/>
    <w:rsid w:val="007175A2"/>
    <w:rsid w:val="007176B3"/>
    <w:rsid w:val="00717AED"/>
    <w:rsid w:val="007200D2"/>
    <w:rsid w:val="00720159"/>
    <w:rsid w:val="007201B1"/>
    <w:rsid w:val="00720277"/>
    <w:rsid w:val="00720876"/>
    <w:rsid w:val="0072087D"/>
    <w:rsid w:val="00720C09"/>
    <w:rsid w:val="00720DB7"/>
    <w:rsid w:val="00720FF2"/>
    <w:rsid w:val="007212BE"/>
    <w:rsid w:val="00721594"/>
    <w:rsid w:val="00721CDA"/>
    <w:rsid w:val="00722065"/>
    <w:rsid w:val="00722B87"/>
    <w:rsid w:val="00723350"/>
    <w:rsid w:val="007236AE"/>
    <w:rsid w:val="00723E30"/>
    <w:rsid w:val="00723EB3"/>
    <w:rsid w:val="007240BF"/>
    <w:rsid w:val="007242CA"/>
    <w:rsid w:val="0072464B"/>
    <w:rsid w:val="007246A4"/>
    <w:rsid w:val="00724779"/>
    <w:rsid w:val="00724983"/>
    <w:rsid w:val="007251AD"/>
    <w:rsid w:val="00725F55"/>
    <w:rsid w:val="00726515"/>
    <w:rsid w:val="00726CA1"/>
    <w:rsid w:val="00726DDC"/>
    <w:rsid w:val="0072714A"/>
    <w:rsid w:val="00727607"/>
    <w:rsid w:val="0072772F"/>
    <w:rsid w:val="00727D38"/>
    <w:rsid w:val="00727D8E"/>
    <w:rsid w:val="00727E5A"/>
    <w:rsid w:val="007301DF"/>
    <w:rsid w:val="00730894"/>
    <w:rsid w:val="00730911"/>
    <w:rsid w:val="00730C7A"/>
    <w:rsid w:val="0073118F"/>
    <w:rsid w:val="00731674"/>
    <w:rsid w:val="00731C5A"/>
    <w:rsid w:val="00731E49"/>
    <w:rsid w:val="00731F25"/>
    <w:rsid w:val="00731FFE"/>
    <w:rsid w:val="0073229C"/>
    <w:rsid w:val="00732351"/>
    <w:rsid w:val="00733524"/>
    <w:rsid w:val="0073354A"/>
    <w:rsid w:val="0073359F"/>
    <w:rsid w:val="00733941"/>
    <w:rsid w:val="00733F01"/>
    <w:rsid w:val="00734011"/>
    <w:rsid w:val="00734573"/>
    <w:rsid w:val="00734696"/>
    <w:rsid w:val="00734BA5"/>
    <w:rsid w:val="00734EB2"/>
    <w:rsid w:val="0073528B"/>
    <w:rsid w:val="007356AA"/>
    <w:rsid w:val="0073591D"/>
    <w:rsid w:val="00735E3B"/>
    <w:rsid w:val="00736E0B"/>
    <w:rsid w:val="00737362"/>
    <w:rsid w:val="0073743B"/>
    <w:rsid w:val="00737543"/>
    <w:rsid w:val="00737D4E"/>
    <w:rsid w:val="007400F6"/>
    <w:rsid w:val="00740369"/>
    <w:rsid w:val="0074042B"/>
    <w:rsid w:val="007405FD"/>
    <w:rsid w:val="00740640"/>
    <w:rsid w:val="00740643"/>
    <w:rsid w:val="00740F40"/>
    <w:rsid w:val="00740F4B"/>
    <w:rsid w:val="00741176"/>
    <w:rsid w:val="007415D5"/>
    <w:rsid w:val="007416A8"/>
    <w:rsid w:val="007418FE"/>
    <w:rsid w:val="0074212A"/>
    <w:rsid w:val="00742565"/>
    <w:rsid w:val="007427A1"/>
    <w:rsid w:val="007428AF"/>
    <w:rsid w:val="00742E41"/>
    <w:rsid w:val="00742FAB"/>
    <w:rsid w:val="00743EC4"/>
    <w:rsid w:val="007442F3"/>
    <w:rsid w:val="00744493"/>
    <w:rsid w:val="00744555"/>
    <w:rsid w:val="0074468B"/>
    <w:rsid w:val="007449D9"/>
    <w:rsid w:val="00744C31"/>
    <w:rsid w:val="00744E75"/>
    <w:rsid w:val="00745565"/>
    <w:rsid w:val="00745843"/>
    <w:rsid w:val="00745A51"/>
    <w:rsid w:val="00745E07"/>
    <w:rsid w:val="0074615F"/>
    <w:rsid w:val="0074685C"/>
    <w:rsid w:val="00746974"/>
    <w:rsid w:val="00746FEA"/>
    <w:rsid w:val="0074751E"/>
    <w:rsid w:val="00747962"/>
    <w:rsid w:val="007479AE"/>
    <w:rsid w:val="00747C9D"/>
    <w:rsid w:val="00747F6A"/>
    <w:rsid w:val="0075008B"/>
    <w:rsid w:val="007502DE"/>
    <w:rsid w:val="00750445"/>
    <w:rsid w:val="0075076D"/>
    <w:rsid w:val="00750999"/>
    <w:rsid w:val="007513FC"/>
    <w:rsid w:val="007514CB"/>
    <w:rsid w:val="0075151D"/>
    <w:rsid w:val="00751A06"/>
    <w:rsid w:val="00751D2F"/>
    <w:rsid w:val="00752019"/>
    <w:rsid w:val="00752C99"/>
    <w:rsid w:val="00753141"/>
    <w:rsid w:val="007531F1"/>
    <w:rsid w:val="00753229"/>
    <w:rsid w:val="00753B09"/>
    <w:rsid w:val="00753F70"/>
    <w:rsid w:val="0075405E"/>
    <w:rsid w:val="007540BE"/>
    <w:rsid w:val="00754531"/>
    <w:rsid w:val="0075460A"/>
    <w:rsid w:val="00754990"/>
    <w:rsid w:val="00754E01"/>
    <w:rsid w:val="00754F1D"/>
    <w:rsid w:val="00755293"/>
    <w:rsid w:val="00755916"/>
    <w:rsid w:val="00755B4D"/>
    <w:rsid w:val="00755C3E"/>
    <w:rsid w:val="00755D76"/>
    <w:rsid w:val="00756166"/>
    <w:rsid w:val="0075630F"/>
    <w:rsid w:val="007563A4"/>
    <w:rsid w:val="0075658B"/>
    <w:rsid w:val="007566AA"/>
    <w:rsid w:val="007566C8"/>
    <w:rsid w:val="00756824"/>
    <w:rsid w:val="007569E5"/>
    <w:rsid w:val="00756E1F"/>
    <w:rsid w:val="0075747D"/>
    <w:rsid w:val="007574B0"/>
    <w:rsid w:val="00757C13"/>
    <w:rsid w:val="00760351"/>
    <w:rsid w:val="00760A1C"/>
    <w:rsid w:val="00761CAB"/>
    <w:rsid w:val="00761D8C"/>
    <w:rsid w:val="00762561"/>
    <w:rsid w:val="00762603"/>
    <w:rsid w:val="007627F5"/>
    <w:rsid w:val="0076284E"/>
    <w:rsid w:val="00762DA2"/>
    <w:rsid w:val="00762E16"/>
    <w:rsid w:val="00762F59"/>
    <w:rsid w:val="007638C3"/>
    <w:rsid w:val="007639CA"/>
    <w:rsid w:val="007639DF"/>
    <w:rsid w:val="00763CF7"/>
    <w:rsid w:val="00763EAA"/>
    <w:rsid w:val="00764329"/>
    <w:rsid w:val="007646D2"/>
    <w:rsid w:val="0076481B"/>
    <w:rsid w:val="007648E9"/>
    <w:rsid w:val="00764BF3"/>
    <w:rsid w:val="00764CE9"/>
    <w:rsid w:val="00765660"/>
    <w:rsid w:val="00765D44"/>
    <w:rsid w:val="00765D55"/>
    <w:rsid w:val="00765F50"/>
    <w:rsid w:val="00766014"/>
    <w:rsid w:val="0076601B"/>
    <w:rsid w:val="00766606"/>
    <w:rsid w:val="00766CCB"/>
    <w:rsid w:val="00766FAB"/>
    <w:rsid w:val="0076720F"/>
    <w:rsid w:val="0076778B"/>
    <w:rsid w:val="00767A52"/>
    <w:rsid w:val="00767B5B"/>
    <w:rsid w:val="00767CC8"/>
    <w:rsid w:val="00767F87"/>
    <w:rsid w:val="007701ED"/>
    <w:rsid w:val="00770F71"/>
    <w:rsid w:val="00770FD1"/>
    <w:rsid w:val="00771454"/>
    <w:rsid w:val="00771482"/>
    <w:rsid w:val="007716BF"/>
    <w:rsid w:val="00771756"/>
    <w:rsid w:val="007717EA"/>
    <w:rsid w:val="00771E14"/>
    <w:rsid w:val="00772225"/>
    <w:rsid w:val="007724DF"/>
    <w:rsid w:val="00772B77"/>
    <w:rsid w:val="00772E67"/>
    <w:rsid w:val="007733A7"/>
    <w:rsid w:val="0077352B"/>
    <w:rsid w:val="00773E87"/>
    <w:rsid w:val="00773F7B"/>
    <w:rsid w:val="0077418B"/>
    <w:rsid w:val="007743DB"/>
    <w:rsid w:val="0077481C"/>
    <w:rsid w:val="007748EC"/>
    <w:rsid w:val="00775A26"/>
    <w:rsid w:val="00776092"/>
    <w:rsid w:val="007761EB"/>
    <w:rsid w:val="00776201"/>
    <w:rsid w:val="00776237"/>
    <w:rsid w:val="0077655F"/>
    <w:rsid w:val="00776777"/>
    <w:rsid w:val="007770E8"/>
    <w:rsid w:val="0077715B"/>
    <w:rsid w:val="0077738B"/>
    <w:rsid w:val="007774C4"/>
    <w:rsid w:val="007777E1"/>
    <w:rsid w:val="00777842"/>
    <w:rsid w:val="00777D5A"/>
    <w:rsid w:val="00780685"/>
    <w:rsid w:val="00780A4C"/>
    <w:rsid w:val="00780A9C"/>
    <w:rsid w:val="00780BDD"/>
    <w:rsid w:val="00780DEE"/>
    <w:rsid w:val="00780FD4"/>
    <w:rsid w:val="00781050"/>
    <w:rsid w:val="007810D6"/>
    <w:rsid w:val="00781691"/>
    <w:rsid w:val="00781B83"/>
    <w:rsid w:val="00781CDC"/>
    <w:rsid w:val="00781E39"/>
    <w:rsid w:val="00781FA6"/>
    <w:rsid w:val="007822AD"/>
    <w:rsid w:val="00782FFB"/>
    <w:rsid w:val="00783178"/>
    <w:rsid w:val="0078331F"/>
    <w:rsid w:val="0078351D"/>
    <w:rsid w:val="007835FD"/>
    <w:rsid w:val="00783607"/>
    <w:rsid w:val="00783896"/>
    <w:rsid w:val="007839F9"/>
    <w:rsid w:val="00783A6E"/>
    <w:rsid w:val="00783C0F"/>
    <w:rsid w:val="00783C3E"/>
    <w:rsid w:val="00783DF7"/>
    <w:rsid w:val="007840E2"/>
    <w:rsid w:val="00784696"/>
    <w:rsid w:val="00784773"/>
    <w:rsid w:val="00784A69"/>
    <w:rsid w:val="00784E8E"/>
    <w:rsid w:val="0078502D"/>
    <w:rsid w:val="0078510A"/>
    <w:rsid w:val="0078518F"/>
    <w:rsid w:val="00785413"/>
    <w:rsid w:val="007855FF"/>
    <w:rsid w:val="0078589C"/>
    <w:rsid w:val="00785A42"/>
    <w:rsid w:val="00785A74"/>
    <w:rsid w:val="007864A3"/>
    <w:rsid w:val="00786B89"/>
    <w:rsid w:val="00786D70"/>
    <w:rsid w:val="00786E58"/>
    <w:rsid w:val="00787189"/>
    <w:rsid w:val="007877DE"/>
    <w:rsid w:val="00787A5D"/>
    <w:rsid w:val="00787B32"/>
    <w:rsid w:val="0079023C"/>
    <w:rsid w:val="0079057F"/>
    <w:rsid w:val="00790F71"/>
    <w:rsid w:val="00791280"/>
    <w:rsid w:val="007913A7"/>
    <w:rsid w:val="007913B0"/>
    <w:rsid w:val="007914F7"/>
    <w:rsid w:val="00791EED"/>
    <w:rsid w:val="0079295F"/>
    <w:rsid w:val="00792AC3"/>
    <w:rsid w:val="00793260"/>
    <w:rsid w:val="00793AC3"/>
    <w:rsid w:val="00794001"/>
    <w:rsid w:val="007940D6"/>
    <w:rsid w:val="007947E1"/>
    <w:rsid w:val="00794BA2"/>
    <w:rsid w:val="00794D12"/>
    <w:rsid w:val="00794FDB"/>
    <w:rsid w:val="007955E2"/>
    <w:rsid w:val="00795AB3"/>
    <w:rsid w:val="00795AEA"/>
    <w:rsid w:val="00795B32"/>
    <w:rsid w:val="00795BB2"/>
    <w:rsid w:val="00795CC9"/>
    <w:rsid w:val="00795DF8"/>
    <w:rsid w:val="00796207"/>
    <w:rsid w:val="0079670B"/>
    <w:rsid w:val="00797213"/>
    <w:rsid w:val="00797214"/>
    <w:rsid w:val="0079772E"/>
    <w:rsid w:val="00797789"/>
    <w:rsid w:val="00797CDE"/>
    <w:rsid w:val="007A0085"/>
    <w:rsid w:val="007A0392"/>
    <w:rsid w:val="007A04F4"/>
    <w:rsid w:val="007A0B02"/>
    <w:rsid w:val="007A0FF0"/>
    <w:rsid w:val="007A193A"/>
    <w:rsid w:val="007A1C6E"/>
    <w:rsid w:val="007A1DE6"/>
    <w:rsid w:val="007A20BD"/>
    <w:rsid w:val="007A21E3"/>
    <w:rsid w:val="007A22D9"/>
    <w:rsid w:val="007A2341"/>
    <w:rsid w:val="007A2B96"/>
    <w:rsid w:val="007A315D"/>
    <w:rsid w:val="007A34D4"/>
    <w:rsid w:val="007A3C14"/>
    <w:rsid w:val="007A3C29"/>
    <w:rsid w:val="007A3F06"/>
    <w:rsid w:val="007A3F49"/>
    <w:rsid w:val="007A40FA"/>
    <w:rsid w:val="007A4A4E"/>
    <w:rsid w:val="007A4DD5"/>
    <w:rsid w:val="007A50B8"/>
    <w:rsid w:val="007A5114"/>
    <w:rsid w:val="007A5173"/>
    <w:rsid w:val="007A5451"/>
    <w:rsid w:val="007A60CF"/>
    <w:rsid w:val="007A6124"/>
    <w:rsid w:val="007A615D"/>
    <w:rsid w:val="007A61A1"/>
    <w:rsid w:val="007A66F4"/>
    <w:rsid w:val="007A6D11"/>
    <w:rsid w:val="007A6EF7"/>
    <w:rsid w:val="007A71CD"/>
    <w:rsid w:val="007A71D1"/>
    <w:rsid w:val="007A73DC"/>
    <w:rsid w:val="007A7436"/>
    <w:rsid w:val="007A7960"/>
    <w:rsid w:val="007A7ABB"/>
    <w:rsid w:val="007A7DD8"/>
    <w:rsid w:val="007B0020"/>
    <w:rsid w:val="007B0448"/>
    <w:rsid w:val="007B0482"/>
    <w:rsid w:val="007B0527"/>
    <w:rsid w:val="007B06F1"/>
    <w:rsid w:val="007B094F"/>
    <w:rsid w:val="007B135A"/>
    <w:rsid w:val="007B139D"/>
    <w:rsid w:val="007B162D"/>
    <w:rsid w:val="007B16A5"/>
    <w:rsid w:val="007B1A8F"/>
    <w:rsid w:val="007B1DC8"/>
    <w:rsid w:val="007B25A2"/>
    <w:rsid w:val="007B2812"/>
    <w:rsid w:val="007B2BF6"/>
    <w:rsid w:val="007B2C4F"/>
    <w:rsid w:val="007B2FEE"/>
    <w:rsid w:val="007B32E8"/>
    <w:rsid w:val="007B34B9"/>
    <w:rsid w:val="007B378B"/>
    <w:rsid w:val="007B3B3C"/>
    <w:rsid w:val="007B3F87"/>
    <w:rsid w:val="007B41F6"/>
    <w:rsid w:val="007B4370"/>
    <w:rsid w:val="007B4B4F"/>
    <w:rsid w:val="007B5518"/>
    <w:rsid w:val="007B5729"/>
    <w:rsid w:val="007B592B"/>
    <w:rsid w:val="007B5C5E"/>
    <w:rsid w:val="007B631E"/>
    <w:rsid w:val="007B6534"/>
    <w:rsid w:val="007B6537"/>
    <w:rsid w:val="007B67D6"/>
    <w:rsid w:val="007B6A3B"/>
    <w:rsid w:val="007B6D02"/>
    <w:rsid w:val="007B6E94"/>
    <w:rsid w:val="007B7366"/>
    <w:rsid w:val="007B74BB"/>
    <w:rsid w:val="007B74E0"/>
    <w:rsid w:val="007B7671"/>
    <w:rsid w:val="007B7B13"/>
    <w:rsid w:val="007B7BCB"/>
    <w:rsid w:val="007B7EDF"/>
    <w:rsid w:val="007C03F1"/>
    <w:rsid w:val="007C0437"/>
    <w:rsid w:val="007C0E29"/>
    <w:rsid w:val="007C0F1E"/>
    <w:rsid w:val="007C1130"/>
    <w:rsid w:val="007C1643"/>
    <w:rsid w:val="007C1751"/>
    <w:rsid w:val="007C1B18"/>
    <w:rsid w:val="007C28FD"/>
    <w:rsid w:val="007C29DF"/>
    <w:rsid w:val="007C2CDD"/>
    <w:rsid w:val="007C2DBB"/>
    <w:rsid w:val="007C2ED7"/>
    <w:rsid w:val="007C33AB"/>
    <w:rsid w:val="007C354F"/>
    <w:rsid w:val="007C3682"/>
    <w:rsid w:val="007C36B2"/>
    <w:rsid w:val="007C3716"/>
    <w:rsid w:val="007C37CF"/>
    <w:rsid w:val="007C3A98"/>
    <w:rsid w:val="007C4243"/>
    <w:rsid w:val="007C435B"/>
    <w:rsid w:val="007C4938"/>
    <w:rsid w:val="007C49AB"/>
    <w:rsid w:val="007C4BBB"/>
    <w:rsid w:val="007C4F0E"/>
    <w:rsid w:val="007C5163"/>
    <w:rsid w:val="007C56B1"/>
    <w:rsid w:val="007C5B94"/>
    <w:rsid w:val="007C5F86"/>
    <w:rsid w:val="007C6003"/>
    <w:rsid w:val="007C669E"/>
    <w:rsid w:val="007C6B7C"/>
    <w:rsid w:val="007C6DDD"/>
    <w:rsid w:val="007C75DB"/>
    <w:rsid w:val="007C76DA"/>
    <w:rsid w:val="007C7922"/>
    <w:rsid w:val="007C7978"/>
    <w:rsid w:val="007C79DF"/>
    <w:rsid w:val="007C7B63"/>
    <w:rsid w:val="007C7E04"/>
    <w:rsid w:val="007D01C4"/>
    <w:rsid w:val="007D0235"/>
    <w:rsid w:val="007D02A1"/>
    <w:rsid w:val="007D0B01"/>
    <w:rsid w:val="007D0BE2"/>
    <w:rsid w:val="007D0DE3"/>
    <w:rsid w:val="007D0EE3"/>
    <w:rsid w:val="007D127C"/>
    <w:rsid w:val="007D139F"/>
    <w:rsid w:val="007D2412"/>
    <w:rsid w:val="007D24A5"/>
    <w:rsid w:val="007D2548"/>
    <w:rsid w:val="007D255B"/>
    <w:rsid w:val="007D2B25"/>
    <w:rsid w:val="007D2D76"/>
    <w:rsid w:val="007D31C6"/>
    <w:rsid w:val="007D3AD9"/>
    <w:rsid w:val="007D3E8E"/>
    <w:rsid w:val="007D4CD2"/>
    <w:rsid w:val="007D568C"/>
    <w:rsid w:val="007D61D3"/>
    <w:rsid w:val="007D661A"/>
    <w:rsid w:val="007D68BE"/>
    <w:rsid w:val="007D6B8C"/>
    <w:rsid w:val="007D6FFC"/>
    <w:rsid w:val="007D71D8"/>
    <w:rsid w:val="007D73EF"/>
    <w:rsid w:val="007D746C"/>
    <w:rsid w:val="007D763E"/>
    <w:rsid w:val="007D7899"/>
    <w:rsid w:val="007D7A19"/>
    <w:rsid w:val="007D7C78"/>
    <w:rsid w:val="007E012C"/>
    <w:rsid w:val="007E0648"/>
    <w:rsid w:val="007E090E"/>
    <w:rsid w:val="007E0999"/>
    <w:rsid w:val="007E0E0D"/>
    <w:rsid w:val="007E0F24"/>
    <w:rsid w:val="007E104E"/>
    <w:rsid w:val="007E1085"/>
    <w:rsid w:val="007E1130"/>
    <w:rsid w:val="007E1292"/>
    <w:rsid w:val="007E153C"/>
    <w:rsid w:val="007E177E"/>
    <w:rsid w:val="007E2268"/>
    <w:rsid w:val="007E25E5"/>
    <w:rsid w:val="007E25FE"/>
    <w:rsid w:val="007E2602"/>
    <w:rsid w:val="007E2709"/>
    <w:rsid w:val="007E28C5"/>
    <w:rsid w:val="007E28D9"/>
    <w:rsid w:val="007E2951"/>
    <w:rsid w:val="007E2E38"/>
    <w:rsid w:val="007E2E46"/>
    <w:rsid w:val="007E3168"/>
    <w:rsid w:val="007E3688"/>
    <w:rsid w:val="007E3D35"/>
    <w:rsid w:val="007E41E7"/>
    <w:rsid w:val="007E44F7"/>
    <w:rsid w:val="007E475F"/>
    <w:rsid w:val="007E4A02"/>
    <w:rsid w:val="007E4CAD"/>
    <w:rsid w:val="007E4F93"/>
    <w:rsid w:val="007E510D"/>
    <w:rsid w:val="007E5398"/>
    <w:rsid w:val="007E55E7"/>
    <w:rsid w:val="007E5B5C"/>
    <w:rsid w:val="007E5F88"/>
    <w:rsid w:val="007E6554"/>
    <w:rsid w:val="007E6768"/>
    <w:rsid w:val="007E745E"/>
    <w:rsid w:val="007E7679"/>
    <w:rsid w:val="007E78A7"/>
    <w:rsid w:val="007E7AC3"/>
    <w:rsid w:val="007F0650"/>
    <w:rsid w:val="007F074A"/>
    <w:rsid w:val="007F08A3"/>
    <w:rsid w:val="007F0F8E"/>
    <w:rsid w:val="007F1102"/>
    <w:rsid w:val="007F13E2"/>
    <w:rsid w:val="007F1416"/>
    <w:rsid w:val="007F1445"/>
    <w:rsid w:val="007F1524"/>
    <w:rsid w:val="007F1890"/>
    <w:rsid w:val="007F1DB1"/>
    <w:rsid w:val="007F1E89"/>
    <w:rsid w:val="007F2221"/>
    <w:rsid w:val="007F22F3"/>
    <w:rsid w:val="007F26F8"/>
    <w:rsid w:val="007F28F0"/>
    <w:rsid w:val="007F2B95"/>
    <w:rsid w:val="007F33F1"/>
    <w:rsid w:val="007F361A"/>
    <w:rsid w:val="007F3B52"/>
    <w:rsid w:val="007F3B69"/>
    <w:rsid w:val="007F3B75"/>
    <w:rsid w:val="007F3DDC"/>
    <w:rsid w:val="007F452A"/>
    <w:rsid w:val="007F471E"/>
    <w:rsid w:val="007F51C5"/>
    <w:rsid w:val="007F5411"/>
    <w:rsid w:val="007F5762"/>
    <w:rsid w:val="007F58C7"/>
    <w:rsid w:val="007F58F4"/>
    <w:rsid w:val="007F5901"/>
    <w:rsid w:val="007F5DFD"/>
    <w:rsid w:val="007F68AD"/>
    <w:rsid w:val="007F6DD2"/>
    <w:rsid w:val="007F6E1D"/>
    <w:rsid w:val="007F6EF6"/>
    <w:rsid w:val="007F7181"/>
    <w:rsid w:val="007F739E"/>
    <w:rsid w:val="007F740E"/>
    <w:rsid w:val="007F7930"/>
    <w:rsid w:val="007F7B4C"/>
    <w:rsid w:val="007F7BEC"/>
    <w:rsid w:val="007F7DCE"/>
    <w:rsid w:val="008001D1"/>
    <w:rsid w:val="0080059D"/>
    <w:rsid w:val="008006A6"/>
    <w:rsid w:val="008007A7"/>
    <w:rsid w:val="00800950"/>
    <w:rsid w:val="00800BFA"/>
    <w:rsid w:val="0080150F"/>
    <w:rsid w:val="00801B4E"/>
    <w:rsid w:val="00801C9E"/>
    <w:rsid w:val="00801DEA"/>
    <w:rsid w:val="00801EAC"/>
    <w:rsid w:val="00802162"/>
    <w:rsid w:val="00802348"/>
    <w:rsid w:val="00802AC3"/>
    <w:rsid w:val="00802BE7"/>
    <w:rsid w:val="00802CD8"/>
    <w:rsid w:val="0080378E"/>
    <w:rsid w:val="008043AB"/>
    <w:rsid w:val="008044F8"/>
    <w:rsid w:val="00805170"/>
    <w:rsid w:val="00805277"/>
    <w:rsid w:val="0080543C"/>
    <w:rsid w:val="00805DDF"/>
    <w:rsid w:val="00805F35"/>
    <w:rsid w:val="0080609E"/>
    <w:rsid w:val="00806305"/>
    <w:rsid w:val="0080679A"/>
    <w:rsid w:val="008069B7"/>
    <w:rsid w:val="00806A36"/>
    <w:rsid w:val="00806D42"/>
    <w:rsid w:val="00806DEA"/>
    <w:rsid w:val="008070B3"/>
    <w:rsid w:val="008070F0"/>
    <w:rsid w:val="0080720A"/>
    <w:rsid w:val="00807246"/>
    <w:rsid w:val="00807665"/>
    <w:rsid w:val="008076F0"/>
    <w:rsid w:val="0081021B"/>
    <w:rsid w:val="0081074A"/>
    <w:rsid w:val="00810ECD"/>
    <w:rsid w:val="00811025"/>
    <w:rsid w:val="008111F1"/>
    <w:rsid w:val="008118CF"/>
    <w:rsid w:val="008120C8"/>
    <w:rsid w:val="00812226"/>
    <w:rsid w:val="00812C60"/>
    <w:rsid w:val="00812F17"/>
    <w:rsid w:val="00813420"/>
    <w:rsid w:val="00813608"/>
    <w:rsid w:val="008137D2"/>
    <w:rsid w:val="0081386F"/>
    <w:rsid w:val="00813CFD"/>
    <w:rsid w:val="00813DA4"/>
    <w:rsid w:val="008144C7"/>
    <w:rsid w:val="00814536"/>
    <w:rsid w:val="00814998"/>
    <w:rsid w:val="00815579"/>
    <w:rsid w:val="0081586A"/>
    <w:rsid w:val="008159B0"/>
    <w:rsid w:val="00815B7E"/>
    <w:rsid w:val="00816291"/>
    <w:rsid w:val="00816893"/>
    <w:rsid w:val="00816A21"/>
    <w:rsid w:val="008170B6"/>
    <w:rsid w:val="00817790"/>
    <w:rsid w:val="00817926"/>
    <w:rsid w:val="008201FA"/>
    <w:rsid w:val="008209D1"/>
    <w:rsid w:val="00820C28"/>
    <w:rsid w:val="00821574"/>
    <w:rsid w:val="008216D5"/>
    <w:rsid w:val="0082190D"/>
    <w:rsid w:val="00821BBC"/>
    <w:rsid w:val="008220B1"/>
    <w:rsid w:val="008226EB"/>
    <w:rsid w:val="00822AA7"/>
    <w:rsid w:val="00822B88"/>
    <w:rsid w:val="00823195"/>
    <w:rsid w:val="0082361C"/>
    <w:rsid w:val="00823922"/>
    <w:rsid w:val="00823C17"/>
    <w:rsid w:val="00823D71"/>
    <w:rsid w:val="00823F8E"/>
    <w:rsid w:val="008245C2"/>
    <w:rsid w:val="008245E5"/>
    <w:rsid w:val="00824B20"/>
    <w:rsid w:val="00824DBA"/>
    <w:rsid w:val="00825028"/>
    <w:rsid w:val="008250B0"/>
    <w:rsid w:val="00826020"/>
    <w:rsid w:val="00826259"/>
    <w:rsid w:val="00827180"/>
    <w:rsid w:val="0082741F"/>
    <w:rsid w:val="008275A1"/>
    <w:rsid w:val="008275B4"/>
    <w:rsid w:val="008275E9"/>
    <w:rsid w:val="00830F13"/>
    <w:rsid w:val="00830F16"/>
    <w:rsid w:val="008317EB"/>
    <w:rsid w:val="0083181F"/>
    <w:rsid w:val="008318A2"/>
    <w:rsid w:val="008318C0"/>
    <w:rsid w:val="00831B58"/>
    <w:rsid w:val="00831DE1"/>
    <w:rsid w:val="0083201D"/>
    <w:rsid w:val="00832384"/>
    <w:rsid w:val="00832450"/>
    <w:rsid w:val="00832852"/>
    <w:rsid w:val="00832BC9"/>
    <w:rsid w:val="00832C0F"/>
    <w:rsid w:val="0083328D"/>
    <w:rsid w:val="00833627"/>
    <w:rsid w:val="00833C6B"/>
    <w:rsid w:val="008340E9"/>
    <w:rsid w:val="008344DE"/>
    <w:rsid w:val="008344F3"/>
    <w:rsid w:val="0083477B"/>
    <w:rsid w:val="00834837"/>
    <w:rsid w:val="00834D75"/>
    <w:rsid w:val="00835007"/>
    <w:rsid w:val="0083564D"/>
    <w:rsid w:val="00835CE6"/>
    <w:rsid w:val="008361AE"/>
    <w:rsid w:val="0083667E"/>
    <w:rsid w:val="00836836"/>
    <w:rsid w:val="00837530"/>
    <w:rsid w:val="00837532"/>
    <w:rsid w:val="00837E1C"/>
    <w:rsid w:val="008401DC"/>
    <w:rsid w:val="008402B3"/>
    <w:rsid w:val="00840347"/>
    <w:rsid w:val="00840481"/>
    <w:rsid w:val="008405D8"/>
    <w:rsid w:val="00840D7E"/>
    <w:rsid w:val="00840E66"/>
    <w:rsid w:val="0084117C"/>
    <w:rsid w:val="00841746"/>
    <w:rsid w:val="00841BEA"/>
    <w:rsid w:val="00841D0C"/>
    <w:rsid w:val="00841D97"/>
    <w:rsid w:val="00841E09"/>
    <w:rsid w:val="00841E38"/>
    <w:rsid w:val="00841F0D"/>
    <w:rsid w:val="00842430"/>
    <w:rsid w:val="008425FC"/>
    <w:rsid w:val="00842655"/>
    <w:rsid w:val="008428ED"/>
    <w:rsid w:val="00842971"/>
    <w:rsid w:val="00842989"/>
    <w:rsid w:val="00842BF3"/>
    <w:rsid w:val="00842C07"/>
    <w:rsid w:val="00842EBE"/>
    <w:rsid w:val="008431E2"/>
    <w:rsid w:val="008435C1"/>
    <w:rsid w:val="00843713"/>
    <w:rsid w:val="0084383F"/>
    <w:rsid w:val="008438D3"/>
    <w:rsid w:val="0084497F"/>
    <w:rsid w:val="008449BD"/>
    <w:rsid w:val="00844A3E"/>
    <w:rsid w:val="00844B7C"/>
    <w:rsid w:val="00844E8D"/>
    <w:rsid w:val="0084518B"/>
    <w:rsid w:val="00845418"/>
    <w:rsid w:val="00845ACA"/>
    <w:rsid w:val="00845AEF"/>
    <w:rsid w:val="008463F5"/>
    <w:rsid w:val="008467FE"/>
    <w:rsid w:val="00846F53"/>
    <w:rsid w:val="00847028"/>
    <w:rsid w:val="00847142"/>
    <w:rsid w:val="008476FA"/>
    <w:rsid w:val="00847E30"/>
    <w:rsid w:val="008501C0"/>
    <w:rsid w:val="008501CC"/>
    <w:rsid w:val="00850E3A"/>
    <w:rsid w:val="0085110D"/>
    <w:rsid w:val="00851159"/>
    <w:rsid w:val="00851275"/>
    <w:rsid w:val="00851862"/>
    <w:rsid w:val="008524A6"/>
    <w:rsid w:val="0085259E"/>
    <w:rsid w:val="008525A8"/>
    <w:rsid w:val="008525F7"/>
    <w:rsid w:val="00852FF0"/>
    <w:rsid w:val="00853716"/>
    <w:rsid w:val="0085373B"/>
    <w:rsid w:val="00853D47"/>
    <w:rsid w:val="00853EEC"/>
    <w:rsid w:val="00854165"/>
    <w:rsid w:val="0085444E"/>
    <w:rsid w:val="008547B2"/>
    <w:rsid w:val="00854E2C"/>
    <w:rsid w:val="00854E8A"/>
    <w:rsid w:val="00855414"/>
    <w:rsid w:val="0085564D"/>
    <w:rsid w:val="00855ADC"/>
    <w:rsid w:val="00855E6A"/>
    <w:rsid w:val="00855E6E"/>
    <w:rsid w:val="00855F2D"/>
    <w:rsid w:val="00855FAC"/>
    <w:rsid w:val="00856764"/>
    <w:rsid w:val="008568DF"/>
    <w:rsid w:val="00856B1D"/>
    <w:rsid w:val="00856C1F"/>
    <w:rsid w:val="00856F56"/>
    <w:rsid w:val="008571EC"/>
    <w:rsid w:val="008572FD"/>
    <w:rsid w:val="008575D7"/>
    <w:rsid w:val="008576AE"/>
    <w:rsid w:val="00857AC1"/>
    <w:rsid w:val="008602E9"/>
    <w:rsid w:val="00860321"/>
    <w:rsid w:val="008604FF"/>
    <w:rsid w:val="00860E40"/>
    <w:rsid w:val="00860F04"/>
    <w:rsid w:val="00860F74"/>
    <w:rsid w:val="008614CF"/>
    <w:rsid w:val="008618E3"/>
    <w:rsid w:val="008619AC"/>
    <w:rsid w:val="00861C76"/>
    <w:rsid w:val="00862425"/>
    <w:rsid w:val="008624F3"/>
    <w:rsid w:val="008627FB"/>
    <w:rsid w:val="00862A16"/>
    <w:rsid w:val="00862AA7"/>
    <w:rsid w:val="00862BB1"/>
    <w:rsid w:val="00863AD3"/>
    <w:rsid w:val="008641B0"/>
    <w:rsid w:val="00864659"/>
    <w:rsid w:val="00864900"/>
    <w:rsid w:val="0086498D"/>
    <w:rsid w:val="008649D5"/>
    <w:rsid w:val="00864B08"/>
    <w:rsid w:val="008651E8"/>
    <w:rsid w:val="008652B6"/>
    <w:rsid w:val="0086593E"/>
    <w:rsid w:val="00865AD1"/>
    <w:rsid w:val="00865D23"/>
    <w:rsid w:val="008660C7"/>
    <w:rsid w:val="008663C0"/>
    <w:rsid w:val="0086663B"/>
    <w:rsid w:val="00866677"/>
    <w:rsid w:val="00866EE7"/>
    <w:rsid w:val="00866F28"/>
    <w:rsid w:val="00866FFE"/>
    <w:rsid w:val="00867543"/>
    <w:rsid w:val="008679C8"/>
    <w:rsid w:val="00867B01"/>
    <w:rsid w:val="00867F7A"/>
    <w:rsid w:val="0087034F"/>
    <w:rsid w:val="00870390"/>
    <w:rsid w:val="00870D03"/>
    <w:rsid w:val="00870E07"/>
    <w:rsid w:val="008712E3"/>
    <w:rsid w:val="008713DF"/>
    <w:rsid w:val="00871674"/>
    <w:rsid w:val="008716A6"/>
    <w:rsid w:val="008716BD"/>
    <w:rsid w:val="00871988"/>
    <w:rsid w:val="00871AB1"/>
    <w:rsid w:val="00871D20"/>
    <w:rsid w:val="00871E5E"/>
    <w:rsid w:val="00871F1D"/>
    <w:rsid w:val="00871F61"/>
    <w:rsid w:val="008728FC"/>
    <w:rsid w:val="00872CD6"/>
    <w:rsid w:val="008730B1"/>
    <w:rsid w:val="00873267"/>
    <w:rsid w:val="00873463"/>
    <w:rsid w:val="00873AFA"/>
    <w:rsid w:val="00873C06"/>
    <w:rsid w:val="00873C70"/>
    <w:rsid w:val="00873DE9"/>
    <w:rsid w:val="008740DD"/>
    <w:rsid w:val="008746FF"/>
    <w:rsid w:val="00874B75"/>
    <w:rsid w:val="00874CED"/>
    <w:rsid w:val="0087517A"/>
    <w:rsid w:val="008757DF"/>
    <w:rsid w:val="00875D09"/>
    <w:rsid w:val="008769F9"/>
    <w:rsid w:val="00876E57"/>
    <w:rsid w:val="00877700"/>
    <w:rsid w:val="00877B9E"/>
    <w:rsid w:val="00880236"/>
    <w:rsid w:val="008806FF"/>
    <w:rsid w:val="00880A12"/>
    <w:rsid w:val="00880B69"/>
    <w:rsid w:val="00880E62"/>
    <w:rsid w:val="008810B0"/>
    <w:rsid w:val="00881344"/>
    <w:rsid w:val="00881472"/>
    <w:rsid w:val="008816E0"/>
    <w:rsid w:val="00881C6C"/>
    <w:rsid w:val="00881C9F"/>
    <w:rsid w:val="00881DFB"/>
    <w:rsid w:val="00882446"/>
    <w:rsid w:val="008825AA"/>
    <w:rsid w:val="008828C7"/>
    <w:rsid w:val="00883066"/>
    <w:rsid w:val="008832C9"/>
    <w:rsid w:val="00883330"/>
    <w:rsid w:val="008836A9"/>
    <w:rsid w:val="0088415E"/>
    <w:rsid w:val="00884563"/>
    <w:rsid w:val="00884621"/>
    <w:rsid w:val="00884A02"/>
    <w:rsid w:val="00884C4C"/>
    <w:rsid w:val="00884CE3"/>
    <w:rsid w:val="00884EA1"/>
    <w:rsid w:val="00885907"/>
    <w:rsid w:val="00885C63"/>
    <w:rsid w:val="00885D1A"/>
    <w:rsid w:val="0088661A"/>
    <w:rsid w:val="008866BC"/>
    <w:rsid w:val="008866C4"/>
    <w:rsid w:val="00886935"/>
    <w:rsid w:val="0088698C"/>
    <w:rsid w:val="008869C6"/>
    <w:rsid w:val="00886EBB"/>
    <w:rsid w:val="0088742A"/>
    <w:rsid w:val="00887DB9"/>
    <w:rsid w:val="00887F9B"/>
    <w:rsid w:val="00890725"/>
    <w:rsid w:val="00890B35"/>
    <w:rsid w:val="00890D2F"/>
    <w:rsid w:val="00890ED2"/>
    <w:rsid w:val="00890EDC"/>
    <w:rsid w:val="008911D3"/>
    <w:rsid w:val="008916E3"/>
    <w:rsid w:val="008918AA"/>
    <w:rsid w:val="00891BF3"/>
    <w:rsid w:val="00891BF9"/>
    <w:rsid w:val="00891CBD"/>
    <w:rsid w:val="008924B1"/>
    <w:rsid w:val="00892812"/>
    <w:rsid w:val="0089337B"/>
    <w:rsid w:val="00893ED8"/>
    <w:rsid w:val="00893F9B"/>
    <w:rsid w:val="00894220"/>
    <w:rsid w:val="008945D1"/>
    <w:rsid w:val="00894612"/>
    <w:rsid w:val="00894A7B"/>
    <w:rsid w:val="00894AE4"/>
    <w:rsid w:val="00894B44"/>
    <w:rsid w:val="00894C0A"/>
    <w:rsid w:val="00894D2B"/>
    <w:rsid w:val="00894E83"/>
    <w:rsid w:val="00894F8D"/>
    <w:rsid w:val="00894FB1"/>
    <w:rsid w:val="00894FE6"/>
    <w:rsid w:val="0089502D"/>
    <w:rsid w:val="0089638A"/>
    <w:rsid w:val="008969E4"/>
    <w:rsid w:val="00896D37"/>
    <w:rsid w:val="00896D5F"/>
    <w:rsid w:val="00896D68"/>
    <w:rsid w:val="00896EA1"/>
    <w:rsid w:val="00897698"/>
    <w:rsid w:val="00897729"/>
    <w:rsid w:val="00897DD9"/>
    <w:rsid w:val="008A0043"/>
    <w:rsid w:val="008A0443"/>
    <w:rsid w:val="008A0448"/>
    <w:rsid w:val="008A0554"/>
    <w:rsid w:val="008A0C03"/>
    <w:rsid w:val="008A0DAE"/>
    <w:rsid w:val="008A0DFB"/>
    <w:rsid w:val="008A2042"/>
    <w:rsid w:val="008A2675"/>
    <w:rsid w:val="008A2BC9"/>
    <w:rsid w:val="008A2F20"/>
    <w:rsid w:val="008A2FBA"/>
    <w:rsid w:val="008A31CB"/>
    <w:rsid w:val="008A369C"/>
    <w:rsid w:val="008A387C"/>
    <w:rsid w:val="008A3C61"/>
    <w:rsid w:val="008A3FCE"/>
    <w:rsid w:val="008A4272"/>
    <w:rsid w:val="008A42D3"/>
    <w:rsid w:val="008A4418"/>
    <w:rsid w:val="008A46A4"/>
    <w:rsid w:val="008A48C8"/>
    <w:rsid w:val="008A4C08"/>
    <w:rsid w:val="008A4EC7"/>
    <w:rsid w:val="008A5E15"/>
    <w:rsid w:val="008A5F97"/>
    <w:rsid w:val="008A6055"/>
    <w:rsid w:val="008A6152"/>
    <w:rsid w:val="008A63B6"/>
    <w:rsid w:val="008A675E"/>
    <w:rsid w:val="008A689B"/>
    <w:rsid w:val="008A6D0E"/>
    <w:rsid w:val="008A7177"/>
    <w:rsid w:val="008A74FD"/>
    <w:rsid w:val="008A7AFB"/>
    <w:rsid w:val="008B064D"/>
    <w:rsid w:val="008B128C"/>
    <w:rsid w:val="008B1441"/>
    <w:rsid w:val="008B19B9"/>
    <w:rsid w:val="008B1C31"/>
    <w:rsid w:val="008B1C70"/>
    <w:rsid w:val="008B1E69"/>
    <w:rsid w:val="008B27F3"/>
    <w:rsid w:val="008B2875"/>
    <w:rsid w:val="008B2D4C"/>
    <w:rsid w:val="008B35DC"/>
    <w:rsid w:val="008B38BD"/>
    <w:rsid w:val="008B3C83"/>
    <w:rsid w:val="008B3D53"/>
    <w:rsid w:val="008B4586"/>
    <w:rsid w:val="008B4725"/>
    <w:rsid w:val="008B4F56"/>
    <w:rsid w:val="008B5939"/>
    <w:rsid w:val="008B5BEE"/>
    <w:rsid w:val="008B5C5B"/>
    <w:rsid w:val="008B6116"/>
    <w:rsid w:val="008B63B7"/>
    <w:rsid w:val="008B6700"/>
    <w:rsid w:val="008B6A65"/>
    <w:rsid w:val="008B6E1F"/>
    <w:rsid w:val="008B6E35"/>
    <w:rsid w:val="008B6EBE"/>
    <w:rsid w:val="008B7D94"/>
    <w:rsid w:val="008C02A9"/>
    <w:rsid w:val="008C08B5"/>
    <w:rsid w:val="008C0B48"/>
    <w:rsid w:val="008C0D07"/>
    <w:rsid w:val="008C13FA"/>
    <w:rsid w:val="008C1957"/>
    <w:rsid w:val="008C1D3A"/>
    <w:rsid w:val="008C2178"/>
    <w:rsid w:val="008C22D5"/>
    <w:rsid w:val="008C28FC"/>
    <w:rsid w:val="008C29E6"/>
    <w:rsid w:val="008C2CCD"/>
    <w:rsid w:val="008C3211"/>
    <w:rsid w:val="008C39B8"/>
    <w:rsid w:val="008C3EB2"/>
    <w:rsid w:val="008C4120"/>
    <w:rsid w:val="008C4345"/>
    <w:rsid w:val="008C486F"/>
    <w:rsid w:val="008C4B70"/>
    <w:rsid w:val="008C4B97"/>
    <w:rsid w:val="008C4CC5"/>
    <w:rsid w:val="008C5204"/>
    <w:rsid w:val="008C53D3"/>
    <w:rsid w:val="008C5B06"/>
    <w:rsid w:val="008C652F"/>
    <w:rsid w:val="008C67ED"/>
    <w:rsid w:val="008C7152"/>
    <w:rsid w:val="008C71D8"/>
    <w:rsid w:val="008C7346"/>
    <w:rsid w:val="008C73BD"/>
    <w:rsid w:val="008C7695"/>
    <w:rsid w:val="008C76A6"/>
    <w:rsid w:val="008C796F"/>
    <w:rsid w:val="008C7B4F"/>
    <w:rsid w:val="008C7C39"/>
    <w:rsid w:val="008C7F58"/>
    <w:rsid w:val="008D0055"/>
    <w:rsid w:val="008D053E"/>
    <w:rsid w:val="008D0715"/>
    <w:rsid w:val="008D0D22"/>
    <w:rsid w:val="008D0D70"/>
    <w:rsid w:val="008D0F60"/>
    <w:rsid w:val="008D17F0"/>
    <w:rsid w:val="008D18E7"/>
    <w:rsid w:val="008D1C8F"/>
    <w:rsid w:val="008D1DDD"/>
    <w:rsid w:val="008D29F3"/>
    <w:rsid w:val="008D2CF5"/>
    <w:rsid w:val="008D37C8"/>
    <w:rsid w:val="008D3A4E"/>
    <w:rsid w:val="008D3B36"/>
    <w:rsid w:val="008D3C50"/>
    <w:rsid w:val="008D3ED9"/>
    <w:rsid w:val="008D403E"/>
    <w:rsid w:val="008D4376"/>
    <w:rsid w:val="008D47E9"/>
    <w:rsid w:val="008D4898"/>
    <w:rsid w:val="008D48BE"/>
    <w:rsid w:val="008D4D6E"/>
    <w:rsid w:val="008D5C3A"/>
    <w:rsid w:val="008D5FF0"/>
    <w:rsid w:val="008D619E"/>
    <w:rsid w:val="008D6551"/>
    <w:rsid w:val="008D6611"/>
    <w:rsid w:val="008D66D1"/>
    <w:rsid w:val="008D6ECB"/>
    <w:rsid w:val="008D6ED0"/>
    <w:rsid w:val="008D77C9"/>
    <w:rsid w:val="008D78EB"/>
    <w:rsid w:val="008D7C3B"/>
    <w:rsid w:val="008E001F"/>
    <w:rsid w:val="008E027F"/>
    <w:rsid w:val="008E0416"/>
    <w:rsid w:val="008E051E"/>
    <w:rsid w:val="008E0528"/>
    <w:rsid w:val="008E0588"/>
    <w:rsid w:val="008E08F9"/>
    <w:rsid w:val="008E136F"/>
    <w:rsid w:val="008E188F"/>
    <w:rsid w:val="008E20FB"/>
    <w:rsid w:val="008E22DE"/>
    <w:rsid w:val="008E25C6"/>
    <w:rsid w:val="008E2631"/>
    <w:rsid w:val="008E2C95"/>
    <w:rsid w:val="008E2E85"/>
    <w:rsid w:val="008E2F23"/>
    <w:rsid w:val="008E357B"/>
    <w:rsid w:val="008E3634"/>
    <w:rsid w:val="008E39A1"/>
    <w:rsid w:val="008E3C93"/>
    <w:rsid w:val="008E3D7E"/>
    <w:rsid w:val="008E3EEA"/>
    <w:rsid w:val="008E576C"/>
    <w:rsid w:val="008E5884"/>
    <w:rsid w:val="008E5ABE"/>
    <w:rsid w:val="008E5D4D"/>
    <w:rsid w:val="008E634E"/>
    <w:rsid w:val="008E6656"/>
    <w:rsid w:val="008E6941"/>
    <w:rsid w:val="008E6D91"/>
    <w:rsid w:val="008E6DA4"/>
    <w:rsid w:val="008E6EA3"/>
    <w:rsid w:val="008E778A"/>
    <w:rsid w:val="008E7822"/>
    <w:rsid w:val="008E7A21"/>
    <w:rsid w:val="008E7D93"/>
    <w:rsid w:val="008E7DD1"/>
    <w:rsid w:val="008F0170"/>
    <w:rsid w:val="008F0582"/>
    <w:rsid w:val="008F0739"/>
    <w:rsid w:val="008F087B"/>
    <w:rsid w:val="008F08D8"/>
    <w:rsid w:val="008F1171"/>
    <w:rsid w:val="008F183A"/>
    <w:rsid w:val="008F1D1C"/>
    <w:rsid w:val="008F1F82"/>
    <w:rsid w:val="008F1FFC"/>
    <w:rsid w:val="008F23B2"/>
    <w:rsid w:val="008F2603"/>
    <w:rsid w:val="008F2BF2"/>
    <w:rsid w:val="008F3030"/>
    <w:rsid w:val="008F34BA"/>
    <w:rsid w:val="008F3819"/>
    <w:rsid w:val="008F38D3"/>
    <w:rsid w:val="008F3D0C"/>
    <w:rsid w:val="008F410E"/>
    <w:rsid w:val="008F4DDD"/>
    <w:rsid w:val="008F53B5"/>
    <w:rsid w:val="008F59A8"/>
    <w:rsid w:val="008F5DC3"/>
    <w:rsid w:val="008F5FF4"/>
    <w:rsid w:val="008F6137"/>
    <w:rsid w:val="008F63DB"/>
    <w:rsid w:val="008F64F5"/>
    <w:rsid w:val="008F6732"/>
    <w:rsid w:val="008F6840"/>
    <w:rsid w:val="008F7067"/>
    <w:rsid w:val="008F72B5"/>
    <w:rsid w:val="008F734B"/>
    <w:rsid w:val="008F76B2"/>
    <w:rsid w:val="008F7C28"/>
    <w:rsid w:val="0090004B"/>
    <w:rsid w:val="00900077"/>
    <w:rsid w:val="00900432"/>
    <w:rsid w:val="00900479"/>
    <w:rsid w:val="0090047B"/>
    <w:rsid w:val="00900ED8"/>
    <w:rsid w:val="009013FE"/>
    <w:rsid w:val="0090153B"/>
    <w:rsid w:val="00901F16"/>
    <w:rsid w:val="009026BC"/>
    <w:rsid w:val="00902CE0"/>
    <w:rsid w:val="00902EAE"/>
    <w:rsid w:val="00903492"/>
    <w:rsid w:val="00903645"/>
    <w:rsid w:val="009038A0"/>
    <w:rsid w:val="009039EC"/>
    <w:rsid w:val="00903CF0"/>
    <w:rsid w:val="009044CC"/>
    <w:rsid w:val="00904757"/>
    <w:rsid w:val="009047DF"/>
    <w:rsid w:val="009057F7"/>
    <w:rsid w:val="0090597B"/>
    <w:rsid w:val="00905983"/>
    <w:rsid w:val="009059F8"/>
    <w:rsid w:val="00905BBB"/>
    <w:rsid w:val="00905D0F"/>
    <w:rsid w:val="009065D7"/>
    <w:rsid w:val="009068E0"/>
    <w:rsid w:val="00906B04"/>
    <w:rsid w:val="00907061"/>
    <w:rsid w:val="0090722E"/>
    <w:rsid w:val="00907B2B"/>
    <w:rsid w:val="00907C6E"/>
    <w:rsid w:val="00907D32"/>
    <w:rsid w:val="00907D7A"/>
    <w:rsid w:val="00907E5B"/>
    <w:rsid w:val="00907E6F"/>
    <w:rsid w:val="0091036E"/>
    <w:rsid w:val="0091049C"/>
    <w:rsid w:val="009107AD"/>
    <w:rsid w:val="00910CBC"/>
    <w:rsid w:val="00911A6B"/>
    <w:rsid w:val="00911BF5"/>
    <w:rsid w:val="00911D4E"/>
    <w:rsid w:val="009125F6"/>
    <w:rsid w:val="00912A72"/>
    <w:rsid w:val="00912DC1"/>
    <w:rsid w:val="00913620"/>
    <w:rsid w:val="00914C6D"/>
    <w:rsid w:val="00914D0F"/>
    <w:rsid w:val="00914EE5"/>
    <w:rsid w:val="00915102"/>
    <w:rsid w:val="009155B0"/>
    <w:rsid w:val="009156A4"/>
    <w:rsid w:val="00915890"/>
    <w:rsid w:val="00915DA9"/>
    <w:rsid w:val="009165F1"/>
    <w:rsid w:val="0091728B"/>
    <w:rsid w:val="0091766A"/>
    <w:rsid w:val="00917C28"/>
    <w:rsid w:val="00920452"/>
    <w:rsid w:val="0092050E"/>
    <w:rsid w:val="00920974"/>
    <w:rsid w:val="00920FC9"/>
    <w:rsid w:val="00921632"/>
    <w:rsid w:val="009217F8"/>
    <w:rsid w:val="00922326"/>
    <w:rsid w:val="009223B4"/>
    <w:rsid w:val="009224E1"/>
    <w:rsid w:val="009224FC"/>
    <w:rsid w:val="00922B1B"/>
    <w:rsid w:val="00922D51"/>
    <w:rsid w:val="00922EAC"/>
    <w:rsid w:val="00923234"/>
    <w:rsid w:val="0092378F"/>
    <w:rsid w:val="009237BA"/>
    <w:rsid w:val="00923847"/>
    <w:rsid w:val="0092391E"/>
    <w:rsid w:val="00923FF4"/>
    <w:rsid w:val="00924076"/>
    <w:rsid w:val="0092410F"/>
    <w:rsid w:val="00924562"/>
    <w:rsid w:val="009248D7"/>
    <w:rsid w:val="00924D47"/>
    <w:rsid w:val="0092555D"/>
    <w:rsid w:val="00925928"/>
    <w:rsid w:val="0092595C"/>
    <w:rsid w:val="009259DB"/>
    <w:rsid w:val="00925B5F"/>
    <w:rsid w:val="00925C4B"/>
    <w:rsid w:val="00925FF0"/>
    <w:rsid w:val="009260E1"/>
    <w:rsid w:val="00926418"/>
    <w:rsid w:val="0092648A"/>
    <w:rsid w:val="009264F3"/>
    <w:rsid w:val="009264FC"/>
    <w:rsid w:val="00926797"/>
    <w:rsid w:val="00926E97"/>
    <w:rsid w:val="00926EAB"/>
    <w:rsid w:val="00927166"/>
    <w:rsid w:val="00927676"/>
    <w:rsid w:val="009279A3"/>
    <w:rsid w:val="00927D8B"/>
    <w:rsid w:val="00927EBA"/>
    <w:rsid w:val="009303B3"/>
    <w:rsid w:val="0093078D"/>
    <w:rsid w:val="009309BB"/>
    <w:rsid w:val="00930A95"/>
    <w:rsid w:val="00930B6E"/>
    <w:rsid w:val="00930EE5"/>
    <w:rsid w:val="00931165"/>
    <w:rsid w:val="0093135D"/>
    <w:rsid w:val="00931747"/>
    <w:rsid w:val="00931929"/>
    <w:rsid w:val="009319BE"/>
    <w:rsid w:val="00931A98"/>
    <w:rsid w:val="00931D96"/>
    <w:rsid w:val="00931FBD"/>
    <w:rsid w:val="00932174"/>
    <w:rsid w:val="00932536"/>
    <w:rsid w:val="009326E5"/>
    <w:rsid w:val="0093291D"/>
    <w:rsid w:val="009329AA"/>
    <w:rsid w:val="00932D37"/>
    <w:rsid w:val="00932D67"/>
    <w:rsid w:val="00933170"/>
    <w:rsid w:val="0093324D"/>
    <w:rsid w:val="00933649"/>
    <w:rsid w:val="0093381F"/>
    <w:rsid w:val="00933B1E"/>
    <w:rsid w:val="00933B59"/>
    <w:rsid w:val="00933C1E"/>
    <w:rsid w:val="0093407D"/>
    <w:rsid w:val="0093426A"/>
    <w:rsid w:val="009344FF"/>
    <w:rsid w:val="00934E3A"/>
    <w:rsid w:val="009355AB"/>
    <w:rsid w:val="00935624"/>
    <w:rsid w:val="00935729"/>
    <w:rsid w:val="009357FF"/>
    <w:rsid w:val="00935857"/>
    <w:rsid w:val="00935A20"/>
    <w:rsid w:val="00935B41"/>
    <w:rsid w:val="00935C4A"/>
    <w:rsid w:val="00935CEF"/>
    <w:rsid w:val="00935D43"/>
    <w:rsid w:val="00936135"/>
    <w:rsid w:val="00936513"/>
    <w:rsid w:val="00936C20"/>
    <w:rsid w:val="00936DF0"/>
    <w:rsid w:val="00937034"/>
    <w:rsid w:val="009375FC"/>
    <w:rsid w:val="00937640"/>
    <w:rsid w:val="009377F7"/>
    <w:rsid w:val="0094055E"/>
    <w:rsid w:val="009407D0"/>
    <w:rsid w:val="00940C9E"/>
    <w:rsid w:val="00940CD6"/>
    <w:rsid w:val="00940EDE"/>
    <w:rsid w:val="0094126F"/>
    <w:rsid w:val="00941750"/>
    <w:rsid w:val="00941BA9"/>
    <w:rsid w:val="00941D18"/>
    <w:rsid w:val="00941F81"/>
    <w:rsid w:val="009425EF"/>
    <w:rsid w:val="00942F31"/>
    <w:rsid w:val="00943107"/>
    <w:rsid w:val="0094318D"/>
    <w:rsid w:val="009433DA"/>
    <w:rsid w:val="009433DC"/>
    <w:rsid w:val="009435DC"/>
    <w:rsid w:val="00943B6C"/>
    <w:rsid w:val="00943C39"/>
    <w:rsid w:val="00943D76"/>
    <w:rsid w:val="00943E45"/>
    <w:rsid w:val="00943FD8"/>
    <w:rsid w:val="00944242"/>
    <w:rsid w:val="009448D7"/>
    <w:rsid w:val="00944BB6"/>
    <w:rsid w:val="00944E6D"/>
    <w:rsid w:val="00945004"/>
    <w:rsid w:val="009455E7"/>
    <w:rsid w:val="0094572E"/>
    <w:rsid w:val="00945F53"/>
    <w:rsid w:val="00945FA3"/>
    <w:rsid w:val="00946212"/>
    <w:rsid w:val="0094657B"/>
    <w:rsid w:val="009465B0"/>
    <w:rsid w:val="009466E5"/>
    <w:rsid w:val="00946871"/>
    <w:rsid w:val="00946A33"/>
    <w:rsid w:val="00946BD3"/>
    <w:rsid w:val="009470FF"/>
    <w:rsid w:val="0094715E"/>
    <w:rsid w:val="009471CF"/>
    <w:rsid w:val="0094756B"/>
    <w:rsid w:val="0094758F"/>
    <w:rsid w:val="0094782E"/>
    <w:rsid w:val="00947CC3"/>
    <w:rsid w:val="0095003D"/>
    <w:rsid w:val="009500E4"/>
    <w:rsid w:val="00950556"/>
    <w:rsid w:val="009507A5"/>
    <w:rsid w:val="00950828"/>
    <w:rsid w:val="009510E8"/>
    <w:rsid w:val="00951458"/>
    <w:rsid w:val="009517A5"/>
    <w:rsid w:val="0095189F"/>
    <w:rsid w:val="00951A10"/>
    <w:rsid w:val="00951B25"/>
    <w:rsid w:val="00951DC0"/>
    <w:rsid w:val="00951E62"/>
    <w:rsid w:val="00951FC7"/>
    <w:rsid w:val="009521ED"/>
    <w:rsid w:val="0095258C"/>
    <w:rsid w:val="009526E8"/>
    <w:rsid w:val="00952C44"/>
    <w:rsid w:val="00952F14"/>
    <w:rsid w:val="00953B15"/>
    <w:rsid w:val="00953B1C"/>
    <w:rsid w:val="0095400C"/>
    <w:rsid w:val="0095412E"/>
    <w:rsid w:val="00954383"/>
    <w:rsid w:val="009545FC"/>
    <w:rsid w:val="00954627"/>
    <w:rsid w:val="00954652"/>
    <w:rsid w:val="00954702"/>
    <w:rsid w:val="009549D0"/>
    <w:rsid w:val="00954D79"/>
    <w:rsid w:val="00954F27"/>
    <w:rsid w:val="00955021"/>
    <w:rsid w:val="009559BA"/>
    <w:rsid w:val="00955E02"/>
    <w:rsid w:val="00956A6B"/>
    <w:rsid w:val="00956C1B"/>
    <w:rsid w:val="00956D42"/>
    <w:rsid w:val="00956E2D"/>
    <w:rsid w:val="0095719C"/>
    <w:rsid w:val="009573F8"/>
    <w:rsid w:val="00957422"/>
    <w:rsid w:val="00957782"/>
    <w:rsid w:val="00957817"/>
    <w:rsid w:val="00957A48"/>
    <w:rsid w:val="00957F85"/>
    <w:rsid w:val="00957FC8"/>
    <w:rsid w:val="009600FE"/>
    <w:rsid w:val="0096095E"/>
    <w:rsid w:val="0096097E"/>
    <w:rsid w:val="00960CE1"/>
    <w:rsid w:val="009613B1"/>
    <w:rsid w:val="00961AB5"/>
    <w:rsid w:val="00961D54"/>
    <w:rsid w:val="00962174"/>
    <w:rsid w:val="00962591"/>
    <w:rsid w:val="009626ED"/>
    <w:rsid w:val="00962983"/>
    <w:rsid w:val="00962BD7"/>
    <w:rsid w:val="00962D04"/>
    <w:rsid w:val="00962D77"/>
    <w:rsid w:val="00963467"/>
    <w:rsid w:val="009639EA"/>
    <w:rsid w:val="00963A34"/>
    <w:rsid w:val="00963B2D"/>
    <w:rsid w:val="00963BFB"/>
    <w:rsid w:val="00964328"/>
    <w:rsid w:val="009644F6"/>
    <w:rsid w:val="009648F3"/>
    <w:rsid w:val="009652AC"/>
    <w:rsid w:val="009655B6"/>
    <w:rsid w:val="00965B8C"/>
    <w:rsid w:val="009666E8"/>
    <w:rsid w:val="009674C5"/>
    <w:rsid w:val="00967B22"/>
    <w:rsid w:val="00967B4C"/>
    <w:rsid w:val="009705FB"/>
    <w:rsid w:val="00970750"/>
    <w:rsid w:val="0097076F"/>
    <w:rsid w:val="00970E86"/>
    <w:rsid w:val="00971036"/>
    <w:rsid w:val="00971156"/>
    <w:rsid w:val="00971288"/>
    <w:rsid w:val="00971FD6"/>
    <w:rsid w:val="00972E99"/>
    <w:rsid w:val="00973172"/>
    <w:rsid w:val="0097324D"/>
    <w:rsid w:val="009735B1"/>
    <w:rsid w:val="009739C6"/>
    <w:rsid w:val="0097408F"/>
    <w:rsid w:val="0097461F"/>
    <w:rsid w:val="009746A5"/>
    <w:rsid w:val="009747A1"/>
    <w:rsid w:val="00974DDE"/>
    <w:rsid w:val="0097504B"/>
    <w:rsid w:val="00975056"/>
    <w:rsid w:val="009752F1"/>
    <w:rsid w:val="00975F5C"/>
    <w:rsid w:val="0097600A"/>
    <w:rsid w:val="009761A3"/>
    <w:rsid w:val="0097693B"/>
    <w:rsid w:val="00976C7B"/>
    <w:rsid w:val="00976D2D"/>
    <w:rsid w:val="009775F9"/>
    <w:rsid w:val="0097763E"/>
    <w:rsid w:val="009776DC"/>
    <w:rsid w:val="00977A6D"/>
    <w:rsid w:val="00977E30"/>
    <w:rsid w:val="009801FC"/>
    <w:rsid w:val="009805D7"/>
    <w:rsid w:val="009807C8"/>
    <w:rsid w:val="00980927"/>
    <w:rsid w:val="00980B59"/>
    <w:rsid w:val="00980F11"/>
    <w:rsid w:val="00980FCC"/>
    <w:rsid w:val="0098123D"/>
    <w:rsid w:val="00982602"/>
    <w:rsid w:val="00983211"/>
    <w:rsid w:val="0098358A"/>
    <w:rsid w:val="0098394C"/>
    <w:rsid w:val="00983AEB"/>
    <w:rsid w:val="00984110"/>
    <w:rsid w:val="0098419E"/>
    <w:rsid w:val="00984380"/>
    <w:rsid w:val="00984575"/>
    <w:rsid w:val="009852B0"/>
    <w:rsid w:val="00985364"/>
    <w:rsid w:val="00985494"/>
    <w:rsid w:val="00985BB5"/>
    <w:rsid w:val="00985BFB"/>
    <w:rsid w:val="00985C23"/>
    <w:rsid w:val="00985EBB"/>
    <w:rsid w:val="00985F8E"/>
    <w:rsid w:val="00985F8F"/>
    <w:rsid w:val="00986010"/>
    <w:rsid w:val="0098603D"/>
    <w:rsid w:val="00986227"/>
    <w:rsid w:val="0098627B"/>
    <w:rsid w:val="00986342"/>
    <w:rsid w:val="00986B0D"/>
    <w:rsid w:val="00986B15"/>
    <w:rsid w:val="00986DE6"/>
    <w:rsid w:val="00986E02"/>
    <w:rsid w:val="00987BC6"/>
    <w:rsid w:val="00987D47"/>
    <w:rsid w:val="00987F06"/>
    <w:rsid w:val="009900AC"/>
    <w:rsid w:val="00990249"/>
    <w:rsid w:val="0099058F"/>
    <w:rsid w:val="00990904"/>
    <w:rsid w:val="00990DD4"/>
    <w:rsid w:val="0099140C"/>
    <w:rsid w:val="009914A7"/>
    <w:rsid w:val="00991A6E"/>
    <w:rsid w:val="00991AD5"/>
    <w:rsid w:val="00991EB1"/>
    <w:rsid w:val="00991ED7"/>
    <w:rsid w:val="009920CA"/>
    <w:rsid w:val="009921BD"/>
    <w:rsid w:val="0099269E"/>
    <w:rsid w:val="009926BF"/>
    <w:rsid w:val="009929BE"/>
    <w:rsid w:val="009929E8"/>
    <w:rsid w:val="00992CC1"/>
    <w:rsid w:val="009932A3"/>
    <w:rsid w:val="00993347"/>
    <w:rsid w:val="009933C8"/>
    <w:rsid w:val="009934D2"/>
    <w:rsid w:val="009938C4"/>
    <w:rsid w:val="00993D42"/>
    <w:rsid w:val="009940A6"/>
    <w:rsid w:val="0099413B"/>
    <w:rsid w:val="00994296"/>
    <w:rsid w:val="00994391"/>
    <w:rsid w:val="00994562"/>
    <w:rsid w:val="00995028"/>
    <w:rsid w:val="0099566C"/>
    <w:rsid w:val="0099611B"/>
    <w:rsid w:val="009961D3"/>
    <w:rsid w:val="00996503"/>
    <w:rsid w:val="009967DE"/>
    <w:rsid w:val="009970BF"/>
    <w:rsid w:val="009979D1"/>
    <w:rsid w:val="009A05AA"/>
    <w:rsid w:val="009A05BD"/>
    <w:rsid w:val="009A05C1"/>
    <w:rsid w:val="009A060A"/>
    <w:rsid w:val="009A0A42"/>
    <w:rsid w:val="009A0C00"/>
    <w:rsid w:val="009A12FE"/>
    <w:rsid w:val="009A166D"/>
    <w:rsid w:val="009A177D"/>
    <w:rsid w:val="009A19DA"/>
    <w:rsid w:val="009A2506"/>
    <w:rsid w:val="009A2D65"/>
    <w:rsid w:val="009A3234"/>
    <w:rsid w:val="009A33C7"/>
    <w:rsid w:val="009A3655"/>
    <w:rsid w:val="009A3731"/>
    <w:rsid w:val="009A43F1"/>
    <w:rsid w:val="009A46EF"/>
    <w:rsid w:val="009A4845"/>
    <w:rsid w:val="009A4AB7"/>
    <w:rsid w:val="009A4C72"/>
    <w:rsid w:val="009A4CB7"/>
    <w:rsid w:val="009A4E4F"/>
    <w:rsid w:val="009A4FDD"/>
    <w:rsid w:val="009A50B1"/>
    <w:rsid w:val="009A5857"/>
    <w:rsid w:val="009A5B4F"/>
    <w:rsid w:val="009A5FA0"/>
    <w:rsid w:val="009A658C"/>
    <w:rsid w:val="009A6B8D"/>
    <w:rsid w:val="009A6D55"/>
    <w:rsid w:val="009A6F9B"/>
    <w:rsid w:val="009A7074"/>
    <w:rsid w:val="009A733C"/>
    <w:rsid w:val="009A76F8"/>
    <w:rsid w:val="009A7AA9"/>
    <w:rsid w:val="009B011B"/>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2A7"/>
    <w:rsid w:val="009B36DD"/>
    <w:rsid w:val="009B3948"/>
    <w:rsid w:val="009B3A93"/>
    <w:rsid w:val="009B4E03"/>
    <w:rsid w:val="009B5175"/>
    <w:rsid w:val="009B52AF"/>
    <w:rsid w:val="009B52D6"/>
    <w:rsid w:val="009B558E"/>
    <w:rsid w:val="009B5A64"/>
    <w:rsid w:val="009B62A1"/>
    <w:rsid w:val="009B6306"/>
    <w:rsid w:val="009B6CBC"/>
    <w:rsid w:val="009B6D4A"/>
    <w:rsid w:val="009B70AD"/>
    <w:rsid w:val="009B73DC"/>
    <w:rsid w:val="009B7403"/>
    <w:rsid w:val="009B7ABD"/>
    <w:rsid w:val="009B7DCC"/>
    <w:rsid w:val="009B7F96"/>
    <w:rsid w:val="009C0122"/>
    <w:rsid w:val="009C0A89"/>
    <w:rsid w:val="009C0B3B"/>
    <w:rsid w:val="009C1087"/>
    <w:rsid w:val="009C1793"/>
    <w:rsid w:val="009C18D2"/>
    <w:rsid w:val="009C1E36"/>
    <w:rsid w:val="009C2205"/>
    <w:rsid w:val="009C244C"/>
    <w:rsid w:val="009C2DAA"/>
    <w:rsid w:val="009C3433"/>
    <w:rsid w:val="009C3562"/>
    <w:rsid w:val="009C3A15"/>
    <w:rsid w:val="009C3DE2"/>
    <w:rsid w:val="009C3EBD"/>
    <w:rsid w:val="009C420B"/>
    <w:rsid w:val="009C48ED"/>
    <w:rsid w:val="009C4A78"/>
    <w:rsid w:val="009C4B21"/>
    <w:rsid w:val="009C4F15"/>
    <w:rsid w:val="009C5062"/>
    <w:rsid w:val="009C57E8"/>
    <w:rsid w:val="009C5871"/>
    <w:rsid w:val="009C5B44"/>
    <w:rsid w:val="009C6134"/>
    <w:rsid w:val="009C652D"/>
    <w:rsid w:val="009C6701"/>
    <w:rsid w:val="009C6856"/>
    <w:rsid w:val="009C6926"/>
    <w:rsid w:val="009C69CC"/>
    <w:rsid w:val="009C6A40"/>
    <w:rsid w:val="009C6C3E"/>
    <w:rsid w:val="009C73FC"/>
    <w:rsid w:val="009C78B9"/>
    <w:rsid w:val="009D01BE"/>
    <w:rsid w:val="009D0A30"/>
    <w:rsid w:val="009D0E57"/>
    <w:rsid w:val="009D11F0"/>
    <w:rsid w:val="009D1E13"/>
    <w:rsid w:val="009D1FAC"/>
    <w:rsid w:val="009D2046"/>
    <w:rsid w:val="009D2399"/>
    <w:rsid w:val="009D25B7"/>
    <w:rsid w:val="009D31C7"/>
    <w:rsid w:val="009D3939"/>
    <w:rsid w:val="009D395A"/>
    <w:rsid w:val="009D3B7E"/>
    <w:rsid w:val="009D3CCB"/>
    <w:rsid w:val="009D3FA2"/>
    <w:rsid w:val="009D4044"/>
    <w:rsid w:val="009D44E4"/>
    <w:rsid w:val="009D4699"/>
    <w:rsid w:val="009D4A35"/>
    <w:rsid w:val="009D4CBB"/>
    <w:rsid w:val="009D5706"/>
    <w:rsid w:val="009D57A2"/>
    <w:rsid w:val="009D5A61"/>
    <w:rsid w:val="009D5B97"/>
    <w:rsid w:val="009D5BE2"/>
    <w:rsid w:val="009D6349"/>
    <w:rsid w:val="009D6AD8"/>
    <w:rsid w:val="009D6C0B"/>
    <w:rsid w:val="009D6DDB"/>
    <w:rsid w:val="009D7065"/>
    <w:rsid w:val="009D7096"/>
    <w:rsid w:val="009D7874"/>
    <w:rsid w:val="009D78B4"/>
    <w:rsid w:val="009E0218"/>
    <w:rsid w:val="009E059F"/>
    <w:rsid w:val="009E08E4"/>
    <w:rsid w:val="009E132F"/>
    <w:rsid w:val="009E1773"/>
    <w:rsid w:val="009E199D"/>
    <w:rsid w:val="009E1A38"/>
    <w:rsid w:val="009E1AAB"/>
    <w:rsid w:val="009E1E1D"/>
    <w:rsid w:val="009E244F"/>
    <w:rsid w:val="009E24E8"/>
    <w:rsid w:val="009E36BD"/>
    <w:rsid w:val="009E3B9D"/>
    <w:rsid w:val="009E3D15"/>
    <w:rsid w:val="009E3D6E"/>
    <w:rsid w:val="009E4159"/>
    <w:rsid w:val="009E46A8"/>
    <w:rsid w:val="009E4B50"/>
    <w:rsid w:val="009E4C64"/>
    <w:rsid w:val="009E4FB8"/>
    <w:rsid w:val="009E5227"/>
    <w:rsid w:val="009E5659"/>
    <w:rsid w:val="009E5A09"/>
    <w:rsid w:val="009E5C5B"/>
    <w:rsid w:val="009E677A"/>
    <w:rsid w:val="009E6851"/>
    <w:rsid w:val="009E6E63"/>
    <w:rsid w:val="009E6EFB"/>
    <w:rsid w:val="009E7169"/>
    <w:rsid w:val="009E7661"/>
    <w:rsid w:val="009E7C31"/>
    <w:rsid w:val="009E7E98"/>
    <w:rsid w:val="009F02F7"/>
    <w:rsid w:val="009F08F1"/>
    <w:rsid w:val="009F08F9"/>
    <w:rsid w:val="009F1156"/>
    <w:rsid w:val="009F115A"/>
    <w:rsid w:val="009F138D"/>
    <w:rsid w:val="009F146A"/>
    <w:rsid w:val="009F176A"/>
    <w:rsid w:val="009F1B56"/>
    <w:rsid w:val="009F21F6"/>
    <w:rsid w:val="009F2370"/>
    <w:rsid w:val="009F2D7A"/>
    <w:rsid w:val="009F2DEE"/>
    <w:rsid w:val="009F311E"/>
    <w:rsid w:val="009F34E9"/>
    <w:rsid w:val="009F370A"/>
    <w:rsid w:val="009F3992"/>
    <w:rsid w:val="009F3D3D"/>
    <w:rsid w:val="009F4008"/>
    <w:rsid w:val="009F46D2"/>
    <w:rsid w:val="009F4709"/>
    <w:rsid w:val="009F4C22"/>
    <w:rsid w:val="009F521F"/>
    <w:rsid w:val="009F5431"/>
    <w:rsid w:val="009F58F6"/>
    <w:rsid w:val="009F5BAC"/>
    <w:rsid w:val="009F5D23"/>
    <w:rsid w:val="009F5EF2"/>
    <w:rsid w:val="009F5F6F"/>
    <w:rsid w:val="009F62A7"/>
    <w:rsid w:val="009F6635"/>
    <w:rsid w:val="009F66D8"/>
    <w:rsid w:val="009F67A0"/>
    <w:rsid w:val="009F6AB1"/>
    <w:rsid w:val="009F6C45"/>
    <w:rsid w:val="009F7373"/>
    <w:rsid w:val="009F7411"/>
    <w:rsid w:val="009F7466"/>
    <w:rsid w:val="009F789B"/>
    <w:rsid w:val="009F795D"/>
    <w:rsid w:val="009F79F8"/>
    <w:rsid w:val="00A000B3"/>
    <w:rsid w:val="00A00492"/>
    <w:rsid w:val="00A00B1F"/>
    <w:rsid w:val="00A00E11"/>
    <w:rsid w:val="00A00FB5"/>
    <w:rsid w:val="00A01213"/>
    <w:rsid w:val="00A014B0"/>
    <w:rsid w:val="00A01F01"/>
    <w:rsid w:val="00A022FB"/>
    <w:rsid w:val="00A023FD"/>
    <w:rsid w:val="00A0246E"/>
    <w:rsid w:val="00A02522"/>
    <w:rsid w:val="00A0277B"/>
    <w:rsid w:val="00A027AD"/>
    <w:rsid w:val="00A02E39"/>
    <w:rsid w:val="00A0302C"/>
    <w:rsid w:val="00A032E9"/>
    <w:rsid w:val="00A03EF1"/>
    <w:rsid w:val="00A04D8C"/>
    <w:rsid w:val="00A0555D"/>
    <w:rsid w:val="00A0565C"/>
    <w:rsid w:val="00A05A8D"/>
    <w:rsid w:val="00A05A9C"/>
    <w:rsid w:val="00A05ABF"/>
    <w:rsid w:val="00A06076"/>
    <w:rsid w:val="00A0670E"/>
    <w:rsid w:val="00A06A2C"/>
    <w:rsid w:val="00A06BEC"/>
    <w:rsid w:val="00A06D74"/>
    <w:rsid w:val="00A07183"/>
    <w:rsid w:val="00A077E3"/>
    <w:rsid w:val="00A07D37"/>
    <w:rsid w:val="00A102E6"/>
    <w:rsid w:val="00A105E1"/>
    <w:rsid w:val="00A1069B"/>
    <w:rsid w:val="00A106C7"/>
    <w:rsid w:val="00A108F1"/>
    <w:rsid w:val="00A109E8"/>
    <w:rsid w:val="00A10A0F"/>
    <w:rsid w:val="00A10ABD"/>
    <w:rsid w:val="00A10BEA"/>
    <w:rsid w:val="00A10D06"/>
    <w:rsid w:val="00A10E9F"/>
    <w:rsid w:val="00A10FDF"/>
    <w:rsid w:val="00A11489"/>
    <w:rsid w:val="00A117EF"/>
    <w:rsid w:val="00A11A9B"/>
    <w:rsid w:val="00A11AD6"/>
    <w:rsid w:val="00A11E56"/>
    <w:rsid w:val="00A11ECD"/>
    <w:rsid w:val="00A12311"/>
    <w:rsid w:val="00A124D1"/>
    <w:rsid w:val="00A128A2"/>
    <w:rsid w:val="00A12A46"/>
    <w:rsid w:val="00A12E71"/>
    <w:rsid w:val="00A13197"/>
    <w:rsid w:val="00A134DA"/>
    <w:rsid w:val="00A135D9"/>
    <w:rsid w:val="00A1377D"/>
    <w:rsid w:val="00A13AE4"/>
    <w:rsid w:val="00A13D67"/>
    <w:rsid w:val="00A14007"/>
    <w:rsid w:val="00A14D65"/>
    <w:rsid w:val="00A14F24"/>
    <w:rsid w:val="00A1506F"/>
    <w:rsid w:val="00A158A7"/>
    <w:rsid w:val="00A15B24"/>
    <w:rsid w:val="00A15B43"/>
    <w:rsid w:val="00A15BAF"/>
    <w:rsid w:val="00A15C79"/>
    <w:rsid w:val="00A15FC1"/>
    <w:rsid w:val="00A16316"/>
    <w:rsid w:val="00A167C3"/>
    <w:rsid w:val="00A16851"/>
    <w:rsid w:val="00A1694E"/>
    <w:rsid w:val="00A16ABE"/>
    <w:rsid w:val="00A16CDA"/>
    <w:rsid w:val="00A17191"/>
    <w:rsid w:val="00A17662"/>
    <w:rsid w:val="00A177D3"/>
    <w:rsid w:val="00A17A30"/>
    <w:rsid w:val="00A17CB0"/>
    <w:rsid w:val="00A20790"/>
    <w:rsid w:val="00A20892"/>
    <w:rsid w:val="00A20D15"/>
    <w:rsid w:val="00A20F39"/>
    <w:rsid w:val="00A20F9C"/>
    <w:rsid w:val="00A216C4"/>
    <w:rsid w:val="00A21826"/>
    <w:rsid w:val="00A21C7E"/>
    <w:rsid w:val="00A225F8"/>
    <w:rsid w:val="00A23645"/>
    <w:rsid w:val="00A23D82"/>
    <w:rsid w:val="00A240C5"/>
    <w:rsid w:val="00A242D4"/>
    <w:rsid w:val="00A245AA"/>
    <w:rsid w:val="00A24624"/>
    <w:rsid w:val="00A24750"/>
    <w:rsid w:val="00A24782"/>
    <w:rsid w:val="00A24790"/>
    <w:rsid w:val="00A24A20"/>
    <w:rsid w:val="00A24A29"/>
    <w:rsid w:val="00A24A9D"/>
    <w:rsid w:val="00A24CB6"/>
    <w:rsid w:val="00A24DE7"/>
    <w:rsid w:val="00A25219"/>
    <w:rsid w:val="00A2532C"/>
    <w:rsid w:val="00A25AB2"/>
    <w:rsid w:val="00A25F85"/>
    <w:rsid w:val="00A260BD"/>
    <w:rsid w:val="00A262AF"/>
    <w:rsid w:val="00A263EA"/>
    <w:rsid w:val="00A26BF1"/>
    <w:rsid w:val="00A27031"/>
    <w:rsid w:val="00A27383"/>
    <w:rsid w:val="00A277E4"/>
    <w:rsid w:val="00A27876"/>
    <w:rsid w:val="00A27881"/>
    <w:rsid w:val="00A27FE7"/>
    <w:rsid w:val="00A305AA"/>
    <w:rsid w:val="00A30BA0"/>
    <w:rsid w:val="00A314EE"/>
    <w:rsid w:val="00A31511"/>
    <w:rsid w:val="00A318A7"/>
    <w:rsid w:val="00A31D1F"/>
    <w:rsid w:val="00A31E69"/>
    <w:rsid w:val="00A31E6F"/>
    <w:rsid w:val="00A31EEE"/>
    <w:rsid w:val="00A32593"/>
    <w:rsid w:val="00A32865"/>
    <w:rsid w:val="00A329EC"/>
    <w:rsid w:val="00A32C4C"/>
    <w:rsid w:val="00A33AE3"/>
    <w:rsid w:val="00A33FDC"/>
    <w:rsid w:val="00A34B92"/>
    <w:rsid w:val="00A34EF9"/>
    <w:rsid w:val="00A35009"/>
    <w:rsid w:val="00A35E1C"/>
    <w:rsid w:val="00A35FED"/>
    <w:rsid w:val="00A36E9C"/>
    <w:rsid w:val="00A36EB9"/>
    <w:rsid w:val="00A37083"/>
    <w:rsid w:val="00A375FE"/>
    <w:rsid w:val="00A3779D"/>
    <w:rsid w:val="00A3796C"/>
    <w:rsid w:val="00A37AFF"/>
    <w:rsid w:val="00A37C4B"/>
    <w:rsid w:val="00A37CA4"/>
    <w:rsid w:val="00A37FFA"/>
    <w:rsid w:val="00A40011"/>
    <w:rsid w:val="00A403FB"/>
    <w:rsid w:val="00A40A1B"/>
    <w:rsid w:val="00A40B96"/>
    <w:rsid w:val="00A40F4F"/>
    <w:rsid w:val="00A41B39"/>
    <w:rsid w:val="00A41DD2"/>
    <w:rsid w:val="00A41EA0"/>
    <w:rsid w:val="00A42013"/>
    <w:rsid w:val="00A4241F"/>
    <w:rsid w:val="00A42B64"/>
    <w:rsid w:val="00A42C0C"/>
    <w:rsid w:val="00A43630"/>
    <w:rsid w:val="00A442E7"/>
    <w:rsid w:val="00A443E2"/>
    <w:rsid w:val="00A447C1"/>
    <w:rsid w:val="00A447D3"/>
    <w:rsid w:val="00A45316"/>
    <w:rsid w:val="00A45B40"/>
    <w:rsid w:val="00A45CC1"/>
    <w:rsid w:val="00A45D02"/>
    <w:rsid w:val="00A461D8"/>
    <w:rsid w:val="00A4727A"/>
    <w:rsid w:val="00A47352"/>
    <w:rsid w:val="00A47497"/>
    <w:rsid w:val="00A4754F"/>
    <w:rsid w:val="00A4798B"/>
    <w:rsid w:val="00A47B4C"/>
    <w:rsid w:val="00A50050"/>
    <w:rsid w:val="00A5054E"/>
    <w:rsid w:val="00A507C3"/>
    <w:rsid w:val="00A50DEE"/>
    <w:rsid w:val="00A510A1"/>
    <w:rsid w:val="00A517F7"/>
    <w:rsid w:val="00A51898"/>
    <w:rsid w:val="00A51B30"/>
    <w:rsid w:val="00A51D3A"/>
    <w:rsid w:val="00A527E5"/>
    <w:rsid w:val="00A52965"/>
    <w:rsid w:val="00A529B5"/>
    <w:rsid w:val="00A52DA6"/>
    <w:rsid w:val="00A5373C"/>
    <w:rsid w:val="00A537E0"/>
    <w:rsid w:val="00A53839"/>
    <w:rsid w:val="00A5391C"/>
    <w:rsid w:val="00A53949"/>
    <w:rsid w:val="00A53AFE"/>
    <w:rsid w:val="00A53B78"/>
    <w:rsid w:val="00A53E7C"/>
    <w:rsid w:val="00A54185"/>
    <w:rsid w:val="00A54935"/>
    <w:rsid w:val="00A55E07"/>
    <w:rsid w:val="00A56445"/>
    <w:rsid w:val="00A5694A"/>
    <w:rsid w:val="00A56962"/>
    <w:rsid w:val="00A569D8"/>
    <w:rsid w:val="00A56D77"/>
    <w:rsid w:val="00A56EE2"/>
    <w:rsid w:val="00A57081"/>
    <w:rsid w:val="00A570FC"/>
    <w:rsid w:val="00A572AC"/>
    <w:rsid w:val="00A5773A"/>
    <w:rsid w:val="00A57765"/>
    <w:rsid w:val="00A60C14"/>
    <w:rsid w:val="00A60DF4"/>
    <w:rsid w:val="00A613A4"/>
    <w:rsid w:val="00A61698"/>
    <w:rsid w:val="00A617FD"/>
    <w:rsid w:val="00A618A0"/>
    <w:rsid w:val="00A61D6F"/>
    <w:rsid w:val="00A61E89"/>
    <w:rsid w:val="00A62E7B"/>
    <w:rsid w:val="00A63295"/>
    <w:rsid w:val="00A63548"/>
    <w:rsid w:val="00A63678"/>
    <w:rsid w:val="00A63948"/>
    <w:rsid w:val="00A639AA"/>
    <w:rsid w:val="00A63A56"/>
    <w:rsid w:val="00A63A5D"/>
    <w:rsid w:val="00A6400C"/>
    <w:rsid w:val="00A642C3"/>
    <w:rsid w:val="00A65152"/>
    <w:rsid w:val="00A651A1"/>
    <w:rsid w:val="00A655C1"/>
    <w:rsid w:val="00A658AD"/>
    <w:rsid w:val="00A6596E"/>
    <w:rsid w:val="00A65B80"/>
    <w:rsid w:val="00A65D65"/>
    <w:rsid w:val="00A65D8F"/>
    <w:rsid w:val="00A65E2E"/>
    <w:rsid w:val="00A65EF0"/>
    <w:rsid w:val="00A65F08"/>
    <w:rsid w:val="00A662A0"/>
    <w:rsid w:val="00A66435"/>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0CA"/>
    <w:rsid w:val="00A71307"/>
    <w:rsid w:val="00A71CB8"/>
    <w:rsid w:val="00A71D67"/>
    <w:rsid w:val="00A720BC"/>
    <w:rsid w:val="00A721DB"/>
    <w:rsid w:val="00A7233E"/>
    <w:rsid w:val="00A723EF"/>
    <w:rsid w:val="00A726BF"/>
    <w:rsid w:val="00A729CA"/>
    <w:rsid w:val="00A72CBA"/>
    <w:rsid w:val="00A73057"/>
    <w:rsid w:val="00A73102"/>
    <w:rsid w:val="00A7319B"/>
    <w:rsid w:val="00A733C9"/>
    <w:rsid w:val="00A73401"/>
    <w:rsid w:val="00A7359A"/>
    <w:rsid w:val="00A73C3F"/>
    <w:rsid w:val="00A74304"/>
    <w:rsid w:val="00A74400"/>
    <w:rsid w:val="00A7463D"/>
    <w:rsid w:val="00A7488D"/>
    <w:rsid w:val="00A74EA8"/>
    <w:rsid w:val="00A75007"/>
    <w:rsid w:val="00A75133"/>
    <w:rsid w:val="00A752FB"/>
    <w:rsid w:val="00A756FC"/>
    <w:rsid w:val="00A757DD"/>
    <w:rsid w:val="00A76018"/>
    <w:rsid w:val="00A7623E"/>
    <w:rsid w:val="00A7633F"/>
    <w:rsid w:val="00A770E6"/>
    <w:rsid w:val="00A7746C"/>
    <w:rsid w:val="00A7755C"/>
    <w:rsid w:val="00A77609"/>
    <w:rsid w:val="00A8013C"/>
    <w:rsid w:val="00A80247"/>
    <w:rsid w:val="00A80931"/>
    <w:rsid w:val="00A80AA9"/>
    <w:rsid w:val="00A812D4"/>
    <w:rsid w:val="00A8187C"/>
    <w:rsid w:val="00A81C88"/>
    <w:rsid w:val="00A81D67"/>
    <w:rsid w:val="00A81E0C"/>
    <w:rsid w:val="00A82FB7"/>
    <w:rsid w:val="00A83032"/>
    <w:rsid w:val="00A83135"/>
    <w:rsid w:val="00A83472"/>
    <w:rsid w:val="00A8360A"/>
    <w:rsid w:val="00A83818"/>
    <w:rsid w:val="00A83BDD"/>
    <w:rsid w:val="00A83F87"/>
    <w:rsid w:val="00A83FA6"/>
    <w:rsid w:val="00A842C4"/>
    <w:rsid w:val="00A84685"/>
    <w:rsid w:val="00A84DE1"/>
    <w:rsid w:val="00A84E0B"/>
    <w:rsid w:val="00A84E0F"/>
    <w:rsid w:val="00A84ED3"/>
    <w:rsid w:val="00A85576"/>
    <w:rsid w:val="00A855CF"/>
    <w:rsid w:val="00A858D1"/>
    <w:rsid w:val="00A85B45"/>
    <w:rsid w:val="00A85E00"/>
    <w:rsid w:val="00A85F12"/>
    <w:rsid w:val="00A85F6C"/>
    <w:rsid w:val="00A8604F"/>
    <w:rsid w:val="00A8608A"/>
    <w:rsid w:val="00A869E6"/>
    <w:rsid w:val="00A86CD1"/>
    <w:rsid w:val="00A870E3"/>
    <w:rsid w:val="00A87209"/>
    <w:rsid w:val="00A8751F"/>
    <w:rsid w:val="00A877EF"/>
    <w:rsid w:val="00A87881"/>
    <w:rsid w:val="00A87A8D"/>
    <w:rsid w:val="00A87C93"/>
    <w:rsid w:val="00A9012C"/>
    <w:rsid w:val="00A90609"/>
    <w:rsid w:val="00A90752"/>
    <w:rsid w:val="00A907AA"/>
    <w:rsid w:val="00A90ADB"/>
    <w:rsid w:val="00A90B8D"/>
    <w:rsid w:val="00A90E40"/>
    <w:rsid w:val="00A912A9"/>
    <w:rsid w:val="00A91528"/>
    <w:rsid w:val="00A917DC"/>
    <w:rsid w:val="00A919F1"/>
    <w:rsid w:val="00A91B0E"/>
    <w:rsid w:val="00A91D93"/>
    <w:rsid w:val="00A91DAD"/>
    <w:rsid w:val="00A92016"/>
    <w:rsid w:val="00A923D3"/>
    <w:rsid w:val="00A93294"/>
    <w:rsid w:val="00A932D0"/>
    <w:rsid w:val="00A9337A"/>
    <w:rsid w:val="00A93469"/>
    <w:rsid w:val="00A93800"/>
    <w:rsid w:val="00A93EB6"/>
    <w:rsid w:val="00A942D2"/>
    <w:rsid w:val="00A94582"/>
    <w:rsid w:val="00A94775"/>
    <w:rsid w:val="00A947D1"/>
    <w:rsid w:val="00A94883"/>
    <w:rsid w:val="00A94CD7"/>
    <w:rsid w:val="00A96029"/>
    <w:rsid w:val="00A96099"/>
    <w:rsid w:val="00A96134"/>
    <w:rsid w:val="00A963E8"/>
    <w:rsid w:val="00A963F0"/>
    <w:rsid w:val="00A9651B"/>
    <w:rsid w:val="00A96E6C"/>
    <w:rsid w:val="00A96EA1"/>
    <w:rsid w:val="00A9759C"/>
    <w:rsid w:val="00A9769D"/>
    <w:rsid w:val="00A978DD"/>
    <w:rsid w:val="00A97908"/>
    <w:rsid w:val="00A979E5"/>
    <w:rsid w:val="00A97A93"/>
    <w:rsid w:val="00AA084A"/>
    <w:rsid w:val="00AA09BE"/>
    <w:rsid w:val="00AA100F"/>
    <w:rsid w:val="00AA1318"/>
    <w:rsid w:val="00AA147B"/>
    <w:rsid w:val="00AA1539"/>
    <w:rsid w:val="00AA18C0"/>
    <w:rsid w:val="00AA19F2"/>
    <w:rsid w:val="00AA1A63"/>
    <w:rsid w:val="00AA26B9"/>
    <w:rsid w:val="00AA29A0"/>
    <w:rsid w:val="00AA2C7A"/>
    <w:rsid w:val="00AA2E2F"/>
    <w:rsid w:val="00AA3139"/>
    <w:rsid w:val="00AA3564"/>
    <w:rsid w:val="00AA3950"/>
    <w:rsid w:val="00AA3963"/>
    <w:rsid w:val="00AA3A3B"/>
    <w:rsid w:val="00AA3CB0"/>
    <w:rsid w:val="00AA42BE"/>
    <w:rsid w:val="00AA521A"/>
    <w:rsid w:val="00AA561C"/>
    <w:rsid w:val="00AA5BEF"/>
    <w:rsid w:val="00AA5D21"/>
    <w:rsid w:val="00AA5DB9"/>
    <w:rsid w:val="00AA6647"/>
    <w:rsid w:val="00AA69E5"/>
    <w:rsid w:val="00AA6AD9"/>
    <w:rsid w:val="00AA6D2C"/>
    <w:rsid w:val="00AA6E48"/>
    <w:rsid w:val="00AA6EBD"/>
    <w:rsid w:val="00AA708D"/>
    <w:rsid w:val="00AA7AB9"/>
    <w:rsid w:val="00AB04A6"/>
    <w:rsid w:val="00AB0563"/>
    <w:rsid w:val="00AB06E2"/>
    <w:rsid w:val="00AB08E9"/>
    <w:rsid w:val="00AB0D12"/>
    <w:rsid w:val="00AB11A7"/>
    <w:rsid w:val="00AB13D9"/>
    <w:rsid w:val="00AB1406"/>
    <w:rsid w:val="00AB1CF4"/>
    <w:rsid w:val="00AB1E67"/>
    <w:rsid w:val="00AB2401"/>
    <w:rsid w:val="00AB2696"/>
    <w:rsid w:val="00AB27D8"/>
    <w:rsid w:val="00AB2A91"/>
    <w:rsid w:val="00AB2F38"/>
    <w:rsid w:val="00AB3092"/>
    <w:rsid w:val="00AB3315"/>
    <w:rsid w:val="00AB3795"/>
    <w:rsid w:val="00AB3803"/>
    <w:rsid w:val="00AB3883"/>
    <w:rsid w:val="00AB39CB"/>
    <w:rsid w:val="00AB3A15"/>
    <w:rsid w:val="00AB3CB2"/>
    <w:rsid w:val="00AB3F76"/>
    <w:rsid w:val="00AB3F83"/>
    <w:rsid w:val="00AB40C6"/>
    <w:rsid w:val="00AB413E"/>
    <w:rsid w:val="00AB440D"/>
    <w:rsid w:val="00AB4885"/>
    <w:rsid w:val="00AB4900"/>
    <w:rsid w:val="00AB4B86"/>
    <w:rsid w:val="00AB4C2B"/>
    <w:rsid w:val="00AB4D16"/>
    <w:rsid w:val="00AB5797"/>
    <w:rsid w:val="00AB590D"/>
    <w:rsid w:val="00AB68D3"/>
    <w:rsid w:val="00AB6B67"/>
    <w:rsid w:val="00AB74D8"/>
    <w:rsid w:val="00AB760F"/>
    <w:rsid w:val="00AB7CFF"/>
    <w:rsid w:val="00AC05EA"/>
    <w:rsid w:val="00AC06A8"/>
    <w:rsid w:val="00AC0B8C"/>
    <w:rsid w:val="00AC0D6A"/>
    <w:rsid w:val="00AC0E85"/>
    <w:rsid w:val="00AC0FD0"/>
    <w:rsid w:val="00AC12EB"/>
    <w:rsid w:val="00AC1300"/>
    <w:rsid w:val="00AC15BB"/>
    <w:rsid w:val="00AC17F3"/>
    <w:rsid w:val="00AC1A19"/>
    <w:rsid w:val="00AC2179"/>
    <w:rsid w:val="00AC221E"/>
    <w:rsid w:val="00AC23A1"/>
    <w:rsid w:val="00AC26DE"/>
    <w:rsid w:val="00AC2842"/>
    <w:rsid w:val="00AC2D4B"/>
    <w:rsid w:val="00AC2FC2"/>
    <w:rsid w:val="00AC3933"/>
    <w:rsid w:val="00AC3B99"/>
    <w:rsid w:val="00AC3BA7"/>
    <w:rsid w:val="00AC3BF3"/>
    <w:rsid w:val="00AC3F54"/>
    <w:rsid w:val="00AC43D1"/>
    <w:rsid w:val="00AC4410"/>
    <w:rsid w:val="00AC448A"/>
    <w:rsid w:val="00AC4581"/>
    <w:rsid w:val="00AC4811"/>
    <w:rsid w:val="00AC4A8A"/>
    <w:rsid w:val="00AC4BF0"/>
    <w:rsid w:val="00AC519E"/>
    <w:rsid w:val="00AC5435"/>
    <w:rsid w:val="00AC5759"/>
    <w:rsid w:val="00AC5ACE"/>
    <w:rsid w:val="00AC5F58"/>
    <w:rsid w:val="00AC5FBA"/>
    <w:rsid w:val="00AC5FE4"/>
    <w:rsid w:val="00AC6012"/>
    <w:rsid w:val="00AC632B"/>
    <w:rsid w:val="00AC6678"/>
    <w:rsid w:val="00AC6B31"/>
    <w:rsid w:val="00AC6C1A"/>
    <w:rsid w:val="00AC6DAE"/>
    <w:rsid w:val="00AC6EB9"/>
    <w:rsid w:val="00AC7210"/>
    <w:rsid w:val="00AC73FB"/>
    <w:rsid w:val="00AC7659"/>
    <w:rsid w:val="00AC7915"/>
    <w:rsid w:val="00AD012B"/>
    <w:rsid w:val="00AD01FA"/>
    <w:rsid w:val="00AD06B1"/>
    <w:rsid w:val="00AD0895"/>
    <w:rsid w:val="00AD0A26"/>
    <w:rsid w:val="00AD0B11"/>
    <w:rsid w:val="00AD0F4D"/>
    <w:rsid w:val="00AD1654"/>
    <w:rsid w:val="00AD1BCF"/>
    <w:rsid w:val="00AD1D4C"/>
    <w:rsid w:val="00AD1E65"/>
    <w:rsid w:val="00AD1E81"/>
    <w:rsid w:val="00AD210A"/>
    <w:rsid w:val="00AD23FC"/>
    <w:rsid w:val="00AD265C"/>
    <w:rsid w:val="00AD287A"/>
    <w:rsid w:val="00AD2885"/>
    <w:rsid w:val="00AD2A88"/>
    <w:rsid w:val="00AD2DB5"/>
    <w:rsid w:val="00AD3232"/>
    <w:rsid w:val="00AD32B8"/>
    <w:rsid w:val="00AD3696"/>
    <w:rsid w:val="00AD38A5"/>
    <w:rsid w:val="00AD3C72"/>
    <w:rsid w:val="00AD4244"/>
    <w:rsid w:val="00AD4771"/>
    <w:rsid w:val="00AD4805"/>
    <w:rsid w:val="00AD4D44"/>
    <w:rsid w:val="00AD5498"/>
    <w:rsid w:val="00AD57B8"/>
    <w:rsid w:val="00AD5B03"/>
    <w:rsid w:val="00AD5CC0"/>
    <w:rsid w:val="00AD5DC1"/>
    <w:rsid w:val="00AD5E01"/>
    <w:rsid w:val="00AD602F"/>
    <w:rsid w:val="00AD64BB"/>
    <w:rsid w:val="00AD680F"/>
    <w:rsid w:val="00AD7052"/>
    <w:rsid w:val="00AD7494"/>
    <w:rsid w:val="00AD74EB"/>
    <w:rsid w:val="00AD75CC"/>
    <w:rsid w:val="00AD7AD2"/>
    <w:rsid w:val="00AD7CC0"/>
    <w:rsid w:val="00AD7DBA"/>
    <w:rsid w:val="00AE018A"/>
    <w:rsid w:val="00AE077E"/>
    <w:rsid w:val="00AE0A8A"/>
    <w:rsid w:val="00AE0D26"/>
    <w:rsid w:val="00AE0FEC"/>
    <w:rsid w:val="00AE104D"/>
    <w:rsid w:val="00AE10FF"/>
    <w:rsid w:val="00AE13F7"/>
    <w:rsid w:val="00AE1CBE"/>
    <w:rsid w:val="00AE2089"/>
    <w:rsid w:val="00AE2A59"/>
    <w:rsid w:val="00AE2C16"/>
    <w:rsid w:val="00AE2C93"/>
    <w:rsid w:val="00AE2F26"/>
    <w:rsid w:val="00AE32DD"/>
    <w:rsid w:val="00AE3591"/>
    <w:rsid w:val="00AE387A"/>
    <w:rsid w:val="00AE3B48"/>
    <w:rsid w:val="00AE3EBC"/>
    <w:rsid w:val="00AE3F7D"/>
    <w:rsid w:val="00AE40EE"/>
    <w:rsid w:val="00AE4291"/>
    <w:rsid w:val="00AE4408"/>
    <w:rsid w:val="00AE46B1"/>
    <w:rsid w:val="00AE4718"/>
    <w:rsid w:val="00AE5075"/>
    <w:rsid w:val="00AE540D"/>
    <w:rsid w:val="00AE559D"/>
    <w:rsid w:val="00AE597A"/>
    <w:rsid w:val="00AE5AB5"/>
    <w:rsid w:val="00AE5AF0"/>
    <w:rsid w:val="00AE5E64"/>
    <w:rsid w:val="00AE67DF"/>
    <w:rsid w:val="00AE6D50"/>
    <w:rsid w:val="00AE6F2F"/>
    <w:rsid w:val="00AE6FD9"/>
    <w:rsid w:val="00AE70F9"/>
    <w:rsid w:val="00AE7127"/>
    <w:rsid w:val="00AE718E"/>
    <w:rsid w:val="00AE7190"/>
    <w:rsid w:val="00AE7587"/>
    <w:rsid w:val="00AE77EA"/>
    <w:rsid w:val="00AE7A7D"/>
    <w:rsid w:val="00AE7A83"/>
    <w:rsid w:val="00AE7FB0"/>
    <w:rsid w:val="00AF068B"/>
    <w:rsid w:val="00AF06B8"/>
    <w:rsid w:val="00AF0AC4"/>
    <w:rsid w:val="00AF1357"/>
    <w:rsid w:val="00AF13A7"/>
    <w:rsid w:val="00AF16F1"/>
    <w:rsid w:val="00AF176E"/>
    <w:rsid w:val="00AF2017"/>
    <w:rsid w:val="00AF22D4"/>
    <w:rsid w:val="00AF22DE"/>
    <w:rsid w:val="00AF2807"/>
    <w:rsid w:val="00AF310A"/>
    <w:rsid w:val="00AF3C32"/>
    <w:rsid w:val="00AF3CBA"/>
    <w:rsid w:val="00AF3DAB"/>
    <w:rsid w:val="00AF400B"/>
    <w:rsid w:val="00AF4631"/>
    <w:rsid w:val="00AF4695"/>
    <w:rsid w:val="00AF4949"/>
    <w:rsid w:val="00AF4A07"/>
    <w:rsid w:val="00AF4F99"/>
    <w:rsid w:val="00AF4FEC"/>
    <w:rsid w:val="00AF5012"/>
    <w:rsid w:val="00AF5025"/>
    <w:rsid w:val="00AF53AA"/>
    <w:rsid w:val="00AF59E6"/>
    <w:rsid w:val="00AF5B46"/>
    <w:rsid w:val="00AF5F7B"/>
    <w:rsid w:val="00AF640D"/>
    <w:rsid w:val="00AF6535"/>
    <w:rsid w:val="00AF676D"/>
    <w:rsid w:val="00AF6ABE"/>
    <w:rsid w:val="00AF6B60"/>
    <w:rsid w:val="00AF6DAB"/>
    <w:rsid w:val="00AF6EA1"/>
    <w:rsid w:val="00AF6FAD"/>
    <w:rsid w:val="00AF70BD"/>
    <w:rsid w:val="00AF739D"/>
    <w:rsid w:val="00AF7468"/>
    <w:rsid w:val="00AF7966"/>
    <w:rsid w:val="00AF7A01"/>
    <w:rsid w:val="00AF7D8B"/>
    <w:rsid w:val="00B00586"/>
    <w:rsid w:val="00B0080A"/>
    <w:rsid w:val="00B00844"/>
    <w:rsid w:val="00B009D1"/>
    <w:rsid w:val="00B00CFF"/>
    <w:rsid w:val="00B01390"/>
    <w:rsid w:val="00B0153B"/>
    <w:rsid w:val="00B01611"/>
    <w:rsid w:val="00B01655"/>
    <w:rsid w:val="00B01B95"/>
    <w:rsid w:val="00B01C16"/>
    <w:rsid w:val="00B01E6F"/>
    <w:rsid w:val="00B023C3"/>
    <w:rsid w:val="00B02444"/>
    <w:rsid w:val="00B02575"/>
    <w:rsid w:val="00B02879"/>
    <w:rsid w:val="00B02932"/>
    <w:rsid w:val="00B02AE1"/>
    <w:rsid w:val="00B02F34"/>
    <w:rsid w:val="00B0327E"/>
    <w:rsid w:val="00B039FA"/>
    <w:rsid w:val="00B03D0C"/>
    <w:rsid w:val="00B03E50"/>
    <w:rsid w:val="00B03FBE"/>
    <w:rsid w:val="00B0422C"/>
    <w:rsid w:val="00B05D1F"/>
    <w:rsid w:val="00B062FF"/>
    <w:rsid w:val="00B069E0"/>
    <w:rsid w:val="00B06CC8"/>
    <w:rsid w:val="00B070C5"/>
    <w:rsid w:val="00B07373"/>
    <w:rsid w:val="00B07F50"/>
    <w:rsid w:val="00B104D3"/>
    <w:rsid w:val="00B10A9B"/>
    <w:rsid w:val="00B10B68"/>
    <w:rsid w:val="00B11F22"/>
    <w:rsid w:val="00B12086"/>
    <w:rsid w:val="00B120E3"/>
    <w:rsid w:val="00B122A4"/>
    <w:rsid w:val="00B12FFF"/>
    <w:rsid w:val="00B130A6"/>
    <w:rsid w:val="00B134F9"/>
    <w:rsid w:val="00B13715"/>
    <w:rsid w:val="00B138D7"/>
    <w:rsid w:val="00B13970"/>
    <w:rsid w:val="00B141B8"/>
    <w:rsid w:val="00B141EB"/>
    <w:rsid w:val="00B1441B"/>
    <w:rsid w:val="00B14A23"/>
    <w:rsid w:val="00B14B46"/>
    <w:rsid w:val="00B14E6C"/>
    <w:rsid w:val="00B14FB3"/>
    <w:rsid w:val="00B150AE"/>
    <w:rsid w:val="00B15175"/>
    <w:rsid w:val="00B1562B"/>
    <w:rsid w:val="00B15653"/>
    <w:rsid w:val="00B15B89"/>
    <w:rsid w:val="00B17A1D"/>
    <w:rsid w:val="00B17CA8"/>
    <w:rsid w:val="00B17E43"/>
    <w:rsid w:val="00B20301"/>
    <w:rsid w:val="00B2060C"/>
    <w:rsid w:val="00B2070A"/>
    <w:rsid w:val="00B207B8"/>
    <w:rsid w:val="00B20984"/>
    <w:rsid w:val="00B209A3"/>
    <w:rsid w:val="00B20DCF"/>
    <w:rsid w:val="00B214CD"/>
    <w:rsid w:val="00B21CED"/>
    <w:rsid w:val="00B21FF7"/>
    <w:rsid w:val="00B225CC"/>
    <w:rsid w:val="00B22776"/>
    <w:rsid w:val="00B234C8"/>
    <w:rsid w:val="00B23880"/>
    <w:rsid w:val="00B23883"/>
    <w:rsid w:val="00B239DA"/>
    <w:rsid w:val="00B23B63"/>
    <w:rsid w:val="00B23B89"/>
    <w:rsid w:val="00B246CF"/>
    <w:rsid w:val="00B246E5"/>
    <w:rsid w:val="00B25032"/>
    <w:rsid w:val="00B2508F"/>
    <w:rsid w:val="00B25C5E"/>
    <w:rsid w:val="00B25E77"/>
    <w:rsid w:val="00B2613F"/>
    <w:rsid w:val="00B263E3"/>
    <w:rsid w:val="00B267F4"/>
    <w:rsid w:val="00B26987"/>
    <w:rsid w:val="00B269DF"/>
    <w:rsid w:val="00B26CAD"/>
    <w:rsid w:val="00B27757"/>
    <w:rsid w:val="00B278D8"/>
    <w:rsid w:val="00B27B1A"/>
    <w:rsid w:val="00B27B7C"/>
    <w:rsid w:val="00B27C71"/>
    <w:rsid w:val="00B27DB2"/>
    <w:rsid w:val="00B27DCB"/>
    <w:rsid w:val="00B27DDB"/>
    <w:rsid w:val="00B30C0D"/>
    <w:rsid w:val="00B30F15"/>
    <w:rsid w:val="00B312E0"/>
    <w:rsid w:val="00B3131F"/>
    <w:rsid w:val="00B313E2"/>
    <w:rsid w:val="00B31ADC"/>
    <w:rsid w:val="00B31B2B"/>
    <w:rsid w:val="00B31DB2"/>
    <w:rsid w:val="00B31E21"/>
    <w:rsid w:val="00B31FEF"/>
    <w:rsid w:val="00B322B5"/>
    <w:rsid w:val="00B327D5"/>
    <w:rsid w:val="00B32846"/>
    <w:rsid w:val="00B328EB"/>
    <w:rsid w:val="00B32A14"/>
    <w:rsid w:val="00B3377F"/>
    <w:rsid w:val="00B337A6"/>
    <w:rsid w:val="00B337FA"/>
    <w:rsid w:val="00B33B17"/>
    <w:rsid w:val="00B34747"/>
    <w:rsid w:val="00B34B3A"/>
    <w:rsid w:val="00B34CC7"/>
    <w:rsid w:val="00B34F0C"/>
    <w:rsid w:val="00B3532B"/>
    <w:rsid w:val="00B357E2"/>
    <w:rsid w:val="00B35D2D"/>
    <w:rsid w:val="00B35D30"/>
    <w:rsid w:val="00B36D39"/>
    <w:rsid w:val="00B36DA7"/>
    <w:rsid w:val="00B370C9"/>
    <w:rsid w:val="00B37247"/>
    <w:rsid w:val="00B372AC"/>
    <w:rsid w:val="00B3749A"/>
    <w:rsid w:val="00B37523"/>
    <w:rsid w:val="00B379BD"/>
    <w:rsid w:val="00B37A75"/>
    <w:rsid w:val="00B37B25"/>
    <w:rsid w:val="00B37D42"/>
    <w:rsid w:val="00B40206"/>
    <w:rsid w:val="00B40233"/>
    <w:rsid w:val="00B4042E"/>
    <w:rsid w:val="00B40710"/>
    <w:rsid w:val="00B40832"/>
    <w:rsid w:val="00B40879"/>
    <w:rsid w:val="00B4093F"/>
    <w:rsid w:val="00B40EEE"/>
    <w:rsid w:val="00B4181E"/>
    <w:rsid w:val="00B418AC"/>
    <w:rsid w:val="00B41A16"/>
    <w:rsid w:val="00B41DF8"/>
    <w:rsid w:val="00B41F07"/>
    <w:rsid w:val="00B420D5"/>
    <w:rsid w:val="00B42238"/>
    <w:rsid w:val="00B42364"/>
    <w:rsid w:val="00B42482"/>
    <w:rsid w:val="00B42638"/>
    <w:rsid w:val="00B426FF"/>
    <w:rsid w:val="00B42AF2"/>
    <w:rsid w:val="00B42C05"/>
    <w:rsid w:val="00B431B0"/>
    <w:rsid w:val="00B4320A"/>
    <w:rsid w:val="00B435E9"/>
    <w:rsid w:val="00B43BD7"/>
    <w:rsid w:val="00B43E4D"/>
    <w:rsid w:val="00B44491"/>
    <w:rsid w:val="00B4455C"/>
    <w:rsid w:val="00B445A7"/>
    <w:rsid w:val="00B4470D"/>
    <w:rsid w:val="00B447BF"/>
    <w:rsid w:val="00B447D0"/>
    <w:rsid w:val="00B447FB"/>
    <w:rsid w:val="00B44E04"/>
    <w:rsid w:val="00B45265"/>
    <w:rsid w:val="00B455F0"/>
    <w:rsid w:val="00B45C63"/>
    <w:rsid w:val="00B45C90"/>
    <w:rsid w:val="00B4672E"/>
    <w:rsid w:val="00B468D4"/>
    <w:rsid w:val="00B46BA7"/>
    <w:rsid w:val="00B46BD6"/>
    <w:rsid w:val="00B47107"/>
    <w:rsid w:val="00B476E6"/>
    <w:rsid w:val="00B479B0"/>
    <w:rsid w:val="00B47C18"/>
    <w:rsid w:val="00B500AA"/>
    <w:rsid w:val="00B5030D"/>
    <w:rsid w:val="00B503D9"/>
    <w:rsid w:val="00B506CA"/>
    <w:rsid w:val="00B50732"/>
    <w:rsid w:val="00B5097F"/>
    <w:rsid w:val="00B50A0E"/>
    <w:rsid w:val="00B50A25"/>
    <w:rsid w:val="00B5114E"/>
    <w:rsid w:val="00B514F1"/>
    <w:rsid w:val="00B515C1"/>
    <w:rsid w:val="00B518A1"/>
    <w:rsid w:val="00B51BBA"/>
    <w:rsid w:val="00B5230E"/>
    <w:rsid w:val="00B5232E"/>
    <w:rsid w:val="00B52997"/>
    <w:rsid w:val="00B52DA8"/>
    <w:rsid w:val="00B52F06"/>
    <w:rsid w:val="00B534E0"/>
    <w:rsid w:val="00B536AA"/>
    <w:rsid w:val="00B538D3"/>
    <w:rsid w:val="00B53A4E"/>
    <w:rsid w:val="00B53DD6"/>
    <w:rsid w:val="00B5410C"/>
    <w:rsid w:val="00B5411D"/>
    <w:rsid w:val="00B541E7"/>
    <w:rsid w:val="00B54832"/>
    <w:rsid w:val="00B54B73"/>
    <w:rsid w:val="00B550B8"/>
    <w:rsid w:val="00B5585E"/>
    <w:rsid w:val="00B55BB8"/>
    <w:rsid w:val="00B55DBC"/>
    <w:rsid w:val="00B560D5"/>
    <w:rsid w:val="00B5610F"/>
    <w:rsid w:val="00B5630F"/>
    <w:rsid w:val="00B5645E"/>
    <w:rsid w:val="00B568B4"/>
    <w:rsid w:val="00B56A48"/>
    <w:rsid w:val="00B56B5D"/>
    <w:rsid w:val="00B57236"/>
    <w:rsid w:val="00B573CB"/>
    <w:rsid w:val="00B57731"/>
    <w:rsid w:val="00B600D1"/>
    <w:rsid w:val="00B60116"/>
    <w:rsid w:val="00B605B1"/>
    <w:rsid w:val="00B606BB"/>
    <w:rsid w:val="00B607B0"/>
    <w:rsid w:val="00B610BD"/>
    <w:rsid w:val="00B6183B"/>
    <w:rsid w:val="00B618D9"/>
    <w:rsid w:val="00B6223C"/>
    <w:rsid w:val="00B6237C"/>
    <w:rsid w:val="00B62B7B"/>
    <w:rsid w:val="00B630C4"/>
    <w:rsid w:val="00B6329D"/>
    <w:rsid w:val="00B6331D"/>
    <w:rsid w:val="00B6355A"/>
    <w:rsid w:val="00B639BA"/>
    <w:rsid w:val="00B64501"/>
    <w:rsid w:val="00B64578"/>
    <w:rsid w:val="00B64610"/>
    <w:rsid w:val="00B64880"/>
    <w:rsid w:val="00B6489A"/>
    <w:rsid w:val="00B64C00"/>
    <w:rsid w:val="00B64FDC"/>
    <w:rsid w:val="00B65818"/>
    <w:rsid w:val="00B661D5"/>
    <w:rsid w:val="00B66BAB"/>
    <w:rsid w:val="00B66DDE"/>
    <w:rsid w:val="00B670FC"/>
    <w:rsid w:val="00B671C2"/>
    <w:rsid w:val="00B67236"/>
    <w:rsid w:val="00B67349"/>
    <w:rsid w:val="00B6743B"/>
    <w:rsid w:val="00B676A2"/>
    <w:rsid w:val="00B67B46"/>
    <w:rsid w:val="00B67D34"/>
    <w:rsid w:val="00B70158"/>
    <w:rsid w:val="00B7020A"/>
    <w:rsid w:val="00B707DF"/>
    <w:rsid w:val="00B70B5C"/>
    <w:rsid w:val="00B71119"/>
    <w:rsid w:val="00B71472"/>
    <w:rsid w:val="00B71A2C"/>
    <w:rsid w:val="00B71CEC"/>
    <w:rsid w:val="00B71E44"/>
    <w:rsid w:val="00B71F7E"/>
    <w:rsid w:val="00B71FCE"/>
    <w:rsid w:val="00B71FE7"/>
    <w:rsid w:val="00B7206C"/>
    <w:rsid w:val="00B7256B"/>
    <w:rsid w:val="00B72722"/>
    <w:rsid w:val="00B72D37"/>
    <w:rsid w:val="00B73437"/>
    <w:rsid w:val="00B73846"/>
    <w:rsid w:val="00B73C77"/>
    <w:rsid w:val="00B74666"/>
    <w:rsid w:val="00B748B7"/>
    <w:rsid w:val="00B748CC"/>
    <w:rsid w:val="00B750C1"/>
    <w:rsid w:val="00B751C7"/>
    <w:rsid w:val="00B7545D"/>
    <w:rsid w:val="00B755D7"/>
    <w:rsid w:val="00B7634F"/>
    <w:rsid w:val="00B767BE"/>
    <w:rsid w:val="00B768AD"/>
    <w:rsid w:val="00B76959"/>
    <w:rsid w:val="00B7748A"/>
    <w:rsid w:val="00B77931"/>
    <w:rsid w:val="00B7795C"/>
    <w:rsid w:val="00B77C85"/>
    <w:rsid w:val="00B77EC6"/>
    <w:rsid w:val="00B77F79"/>
    <w:rsid w:val="00B80256"/>
    <w:rsid w:val="00B8025C"/>
    <w:rsid w:val="00B80425"/>
    <w:rsid w:val="00B806B0"/>
    <w:rsid w:val="00B808CC"/>
    <w:rsid w:val="00B80B70"/>
    <w:rsid w:val="00B810C6"/>
    <w:rsid w:val="00B810DC"/>
    <w:rsid w:val="00B8151E"/>
    <w:rsid w:val="00B822C4"/>
    <w:rsid w:val="00B8261B"/>
    <w:rsid w:val="00B82F4E"/>
    <w:rsid w:val="00B8355D"/>
    <w:rsid w:val="00B83957"/>
    <w:rsid w:val="00B83B0F"/>
    <w:rsid w:val="00B83E15"/>
    <w:rsid w:val="00B8449D"/>
    <w:rsid w:val="00B84671"/>
    <w:rsid w:val="00B84788"/>
    <w:rsid w:val="00B84CA0"/>
    <w:rsid w:val="00B8534F"/>
    <w:rsid w:val="00B85A31"/>
    <w:rsid w:val="00B85ACF"/>
    <w:rsid w:val="00B85C88"/>
    <w:rsid w:val="00B85E53"/>
    <w:rsid w:val="00B8623F"/>
    <w:rsid w:val="00B86553"/>
    <w:rsid w:val="00B86606"/>
    <w:rsid w:val="00B86A79"/>
    <w:rsid w:val="00B86B12"/>
    <w:rsid w:val="00B86C32"/>
    <w:rsid w:val="00B86EB6"/>
    <w:rsid w:val="00B86F66"/>
    <w:rsid w:val="00B874BC"/>
    <w:rsid w:val="00B876F1"/>
    <w:rsid w:val="00B876F7"/>
    <w:rsid w:val="00B87B2B"/>
    <w:rsid w:val="00B901AB"/>
    <w:rsid w:val="00B90483"/>
    <w:rsid w:val="00B908D8"/>
    <w:rsid w:val="00B9102E"/>
    <w:rsid w:val="00B913FF"/>
    <w:rsid w:val="00B91430"/>
    <w:rsid w:val="00B91507"/>
    <w:rsid w:val="00B91704"/>
    <w:rsid w:val="00B917FE"/>
    <w:rsid w:val="00B91C2F"/>
    <w:rsid w:val="00B91D78"/>
    <w:rsid w:val="00B91E15"/>
    <w:rsid w:val="00B91FB1"/>
    <w:rsid w:val="00B92038"/>
    <w:rsid w:val="00B9227C"/>
    <w:rsid w:val="00B92548"/>
    <w:rsid w:val="00B92EE6"/>
    <w:rsid w:val="00B9311C"/>
    <w:rsid w:val="00B93378"/>
    <w:rsid w:val="00B93674"/>
    <w:rsid w:val="00B93854"/>
    <w:rsid w:val="00B939F0"/>
    <w:rsid w:val="00B93B4D"/>
    <w:rsid w:val="00B93B56"/>
    <w:rsid w:val="00B94736"/>
    <w:rsid w:val="00B947B6"/>
    <w:rsid w:val="00B94BCD"/>
    <w:rsid w:val="00B94BE3"/>
    <w:rsid w:val="00B94CBB"/>
    <w:rsid w:val="00B9503F"/>
    <w:rsid w:val="00B9506E"/>
    <w:rsid w:val="00B952B0"/>
    <w:rsid w:val="00B952CB"/>
    <w:rsid w:val="00B95602"/>
    <w:rsid w:val="00B965D4"/>
    <w:rsid w:val="00B96C9E"/>
    <w:rsid w:val="00B96DB8"/>
    <w:rsid w:val="00B970BA"/>
    <w:rsid w:val="00B97300"/>
    <w:rsid w:val="00B974D5"/>
    <w:rsid w:val="00B97614"/>
    <w:rsid w:val="00B976DA"/>
    <w:rsid w:val="00B978FE"/>
    <w:rsid w:val="00B979EB"/>
    <w:rsid w:val="00B97CC7"/>
    <w:rsid w:val="00B97F1C"/>
    <w:rsid w:val="00B97FCB"/>
    <w:rsid w:val="00BA01BE"/>
    <w:rsid w:val="00BA08D3"/>
    <w:rsid w:val="00BA08F0"/>
    <w:rsid w:val="00BA0A30"/>
    <w:rsid w:val="00BA0CBC"/>
    <w:rsid w:val="00BA0FA6"/>
    <w:rsid w:val="00BA13FE"/>
    <w:rsid w:val="00BA14F6"/>
    <w:rsid w:val="00BA1AEA"/>
    <w:rsid w:val="00BA22B6"/>
    <w:rsid w:val="00BA22B8"/>
    <w:rsid w:val="00BA262F"/>
    <w:rsid w:val="00BA26B7"/>
    <w:rsid w:val="00BA2758"/>
    <w:rsid w:val="00BA2BF4"/>
    <w:rsid w:val="00BA31EA"/>
    <w:rsid w:val="00BA3935"/>
    <w:rsid w:val="00BA3BD9"/>
    <w:rsid w:val="00BA3D9B"/>
    <w:rsid w:val="00BA4863"/>
    <w:rsid w:val="00BA4971"/>
    <w:rsid w:val="00BA4FA5"/>
    <w:rsid w:val="00BA529E"/>
    <w:rsid w:val="00BA5CF3"/>
    <w:rsid w:val="00BA5F92"/>
    <w:rsid w:val="00BA63E8"/>
    <w:rsid w:val="00BA6431"/>
    <w:rsid w:val="00BA688B"/>
    <w:rsid w:val="00BA6AD8"/>
    <w:rsid w:val="00BA6CE7"/>
    <w:rsid w:val="00BA6F93"/>
    <w:rsid w:val="00BA6FCC"/>
    <w:rsid w:val="00BA75C4"/>
    <w:rsid w:val="00BA7A81"/>
    <w:rsid w:val="00BA7C38"/>
    <w:rsid w:val="00BA7D0A"/>
    <w:rsid w:val="00BA7D2F"/>
    <w:rsid w:val="00BB09F4"/>
    <w:rsid w:val="00BB0C8C"/>
    <w:rsid w:val="00BB0DE8"/>
    <w:rsid w:val="00BB1395"/>
    <w:rsid w:val="00BB1496"/>
    <w:rsid w:val="00BB1851"/>
    <w:rsid w:val="00BB1DDB"/>
    <w:rsid w:val="00BB1E16"/>
    <w:rsid w:val="00BB2063"/>
    <w:rsid w:val="00BB2112"/>
    <w:rsid w:val="00BB2128"/>
    <w:rsid w:val="00BB22FE"/>
    <w:rsid w:val="00BB2BE2"/>
    <w:rsid w:val="00BB2F53"/>
    <w:rsid w:val="00BB33FF"/>
    <w:rsid w:val="00BB381C"/>
    <w:rsid w:val="00BB3A85"/>
    <w:rsid w:val="00BB3AAD"/>
    <w:rsid w:val="00BB45F0"/>
    <w:rsid w:val="00BB4630"/>
    <w:rsid w:val="00BB4859"/>
    <w:rsid w:val="00BB49DC"/>
    <w:rsid w:val="00BB4C0D"/>
    <w:rsid w:val="00BB51C2"/>
    <w:rsid w:val="00BB52D9"/>
    <w:rsid w:val="00BB5372"/>
    <w:rsid w:val="00BB557E"/>
    <w:rsid w:val="00BB55E4"/>
    <w:rsid w:val="00BB5AFF"/>
    <w:rsid w:val="00BB5C67"/>
    <w:rsid w:val="00BB5F8C"/>
    <w:rsid w:val="00BB6A01"/>
    <w:rsid w:val="00BB6BDA"/>
    <w:rsid w:val="00BB6EAC"/>
    <w:rsid w:val="00BB719A"/>
    <w:rsid w:val="00BB71D2"/>
    <w:rsid w:val="00BB7375"/>
    <w:rsid w:val="00BB75F4"/>
    <w:rsid w:val="00BB78CC"/>
    <w:rsid w:val="00BB7A9C"/>
    <w:rsid w:val="00BB7CEB"/>
    <w:rsid w:val="00BB7EAE"/>
    <w:rsid w:val="00BC082A"/>
    <w:rsid w:val="00BC0AA1"/>
    <w:rsid w:val="00BC0C0D"/>
    <w:rsid w:val="00BC1056"/>
    <w:rsid w:val="00BC14DB"/>
    <w:rsid w:val="00BC1528"/>
    <w:rsid w:val="00BC17CF"/>
    <w:rsid w:val="00BC1CF9"/>
    <w:rsid w:val="00BC1FDD"/>
    <w:rsid w:val="00BC229D"/>
    <w:rsid w:val="00BC2708"/>
    <w:rsid w:val="00BC29CA"/>
    <w:rsid w:val="00BC2BE9"/>
    <w:rsid w:val="00BC2E95"/>
    <w:rsid w:val="00BC312C"/>
    <w:rsid w:val="00BC3166"/>
    <w:rsid w:val="00BC33AC"/>
    <w:rsid w:val="00BC3B55"/>
    <w:rsid w:val="00BC4418"/>
    <w:rsid w:val="00BC47ED"/>
    <w:rsid w:val="00BC48BD"/>
    <w:rsid w:val="00BC4AED"/>
    <w:rsid w:val="00BC51B0"/>
    <w:rsid w:val="00BC541D"/>
    <w:rsid w:val="00BC5802"/>
    <w:rsid w:val="00BC60FF"/>
    <w:rsid w:val="00BC61E6"/>
    <w:rsid w:val="00BC6E38"/>
    <w:rsid w:val="00BC6F33"/>
    <w:rsid w:val="00BC6F5B"/>
    <w:rsid w:val="00BC706A"/>
    <w:rsid w:val="00BC743A"/>
    <w:rsid w:val="00BC792C"/>
    <w:rsid w:val="00BC7DA4"/>
    <w:rsid w:val="00BD08A5"/>
    <w:rsid w:val="00BD09ED"/>
    <w:rsid w:val="00BD0E8B"/>
    <w:rsid w:val="00BD1004"/>
    <w:rsid w:val="00BD1037"/>
    <w:rsid w:val="00BD144C"/>
    <w:rsid w:val="00BD1984"/>
    <w:rsid w:val="00BD1A99"/>
    <w:rsid w:val="00BD1F6C"/>
    <w:rsid w:val="00BD203A"/>
    <w:rsid w:val="00BD2618"/>
    <w:rsid w:val="00BD2A14"/>
    <w:rsid w:val="00BD346A"/>
    <w:rsid w:val="00BD3F22"/>
    <w:rsid w:val="00BD486D"/>
    <w:rsid w:val="00BD489C"/>
    <w:rsid w:val="00BD49CE"/>
    <w:rsid w:val="00BD4F73"/>
    <w:rsid w:val="00BD52CD"/>
    <w:rsid w:val="00BD5BAD"/>
    <w:rsid w:val="00BD5BC6"/>
    <w:rsid w:val="00BD5E48"/>
    <w:rsid w:val="00BD5EE8"/>
    <w:rsid w:val="00BD63B2"/>
    <w:rsid w:val="00BD64B8"/>
    <w:rsid w:val="00BD66B6"/>
    <w:rsid w:val="00BD6746"/>
    <w:rsid w:val="00BD676F"/>
    <w:rsid w:val="00BD6910"/>
    <w:rsid w:val="00BD6F50"/>
    <w:rsid w:val="00BD6F74"/>
    <w:rsid w:val="00BD71B5"/>
    <w:rsid w:val="00BD7D42"/>
    <w:rsid w:val="00BD7D56"/>
    <w:rsid w:val="00BE013B"/>
    <w:rsid w:val="00BE043D"/>
    <w:rsid w:val="00BE0956"/>
    <w:rsid w:val="00BE0E3A"/>
    <w:rsid w:val="00BE1323"/>
    <w:rsid w:val="00BE2128"/>
    <w:rsid w:val="00BE31B3"/>
    <w:rsid w:val="00BE3863"/>
    <w:rsid w:val="00BE416C"/>
    <w:rsid w:val="00BE4554"/>
    <w:rsid w:val="00BE4784"/>
    <w:rsid w:val="00BE4AB5"/>
    <w:rsid w:val="00BE4D5C"/>
    <w:rsid w:val="00BE4DA7"/>
    <w:rsid w:val="00BE4ECD"/>
    <w:rsid w:val="00BE4FC7"/>
    <w:rsid w:val="00BE5227"/>
    <w:rsid w:val="00BE5377"/>
    <w:rsid w:val="00BE5417"/>
    <w:rsid w:val="00BE54CE"/>
    <w:rsid w:val="00BE6008"/>
    <w:rsid w:val="00BE60D2"/>
    <w:rsid w:val="00BE6AA9"/>
    <w:rsid w:val="00BE6F31"/>
    <w:rsid w:val="00BE74F1"/>
    <w:rsid w:val="00BE7541"/>
    <w:rsid w:val="00BE7563"/>
    <w:rsid w:val="00BE76EE"/>
    <w:rsid w:val="00BE77AD"/>
    <w:rsid w:val="00BE7977"/>
    <w:rsid w:val="00BE7CAA"/>
    <w:rsid w:val="00BE7D17"/>
    <w:rsid w:val="00BE7E6B"/>
    <w:rsid w:val="00BE7F1B"/>
    <w:rsid w:val="00BF02AF"/>
    <w:rsid w:val="00BF050E"/>
    <w:rsid w:val="00BF05D1"/>
    <w:rsid w:val="00BF0967"/>
    <w:rsid w:val="00BF09E2"/>
    <w:rsid w:val="00BF1142"/>
    <w:rsid w:val="00BF1371"/>
    <w:rsid w:val="00BF1648"/>
    <w:rsid w:val="00BF1670"/>
    <w:rsid w:val="00BF260E"/>
    <w:rsid w:val="00BF26A8"/>
    <w:rsid w:val="00BF2C67"/>
    <w:rsid w:val="00BF319E"/>
    <w:rsid w:val="00BF3FD6"/>
    <w:rsid w:val="00BF40F9"/>
    <w:rsid w:val="00BF4583"/>
    <w:rsid w:val="00BF47F5"/>
    <w:rsid w:val="00BF4B1B"/>
    <w:rsid w:val="00BF4B3F"/>
    <w:rsid w:val="00BF4BF9"/>
    <w:rsid w:val="00BF4D79"/>
    <w:rsid w:val="00BF5208"/>
    <w:rsid w:val="00BF53B4"/>
    <w:rsid w:val="00BF53D5"/>
    <w:rsid w:val="00BF553A"/>
    <w:rsid w:val="00BF56AA"/>
    <w:rsid w:val="00BF59F8"/>
    <w:rsid w:val="00BF5A18"/>
    <w:rsid w:val="00BF5C8B"/>
    <w:rsid w:val="00BF697F"/>
    <w:rsid w:val="00BF69CD"/>
    <w:rsid w:val="00BF6AB2"/>
    <w:rsid w:val="00BF7090"/>
    <w:rsid w:val="00BF7199"/>
    <w:rsid w:val="00BF798A"/>
    <w:rsid w:val="00BF79B2"/>
    <w:rsid w:val="00C0014C"/>
    <w:rsid w:val="00C0024A"/>
    <w:rsid w:val="00C00B25"/>
    <w:rsid w:val="00C00B3C"/>
    <w:rsid w:val="00C00BF7"/>
    <w:rsid w:val="00C00DC4"/>
    <w:rsid w:val="00C011D6"/>
    <w:rsid w:val="00C013C7"/>
    <w:rsid w:val="00C01474"/>
    <w:rsid w:val="00C01719"/>
    <w:rsid w:val="00C017CD"/>
    <w:rsid w:val="00C01AEB"/>
    <w:rsid w:val="00C01C8D"/>
    <w:rsid w:val="00C01DFC"/>
    <w:rsid w:val="00C02355"/>
    <w:rsid w:val="00C02538"/>
    <w:rsid w:val="00C02A74"/>
    <w:rsid w:val="00C02E57"/>
    <w:rsid w:val="00C02F05"/>
    <w:rsid w:val="00C02FCA"/>
    <w:rsid w:val="00C030A9"/>
    <w:rsid w:val="00C030AD"/>
    <w:rsid w:val="00C03245"/>
    <w:rsid w:val="00C03997"/>
    <w:rsid w:val="00C03D57"/>
    <w:rsid w:val="00C04138"/>
    <w:rsid w:val="00C043AC"/>
    <w:rsid w:val="00C04626"/>
    <w:rsid w:val="00C0472F"/>
    <w:rsid w:val="00C0491B"/>
    <w:rsid w:val="00C04BCE"/>
    <w:rsid w:val="00C04D39"/>
    <w:rsid w:val="00C04E7A"/>
    <w:rsid w:val="00C04EB0"/>
    <w:rsid w:val="00C05345"/>
    <w:rsid w:val="00C05698"/>
    <w:rsid w:val="00C05F79"/>
    <w:rsid w:val="00C06106"/>
    <w:rsid w:val="00C0689C"/>
    <w:rsid w:val="00C07220"/>
    <w:rsid w:val="00C0724F"/>
    <w:rsid w:val="00C0727B"/>
    <w:rsid w:val="00C07BF4"/>
    <w:rsid w:val="00C1088D"/>
    <w:rsid w:val="00C108BE"/>
    <w:rsid w:val="00C10EE6"/>
    <w:rsid w:val="00C112A2"/>
    <w:rsid w:val="00C113DE"/>
    <w:rsid w:val="00C11BA3"/>
    <w:rsid w:val="00C11C44"/>
    <w:rsid w:val="00C11CD3"/>
    <w:rsid w:val="00C11E73"/>
    <w:rsid w:val="00C121F2"/>
    <w:rsid w:val="00C126FB"/>
    <w:rsid w:val="00C1287F"/>
    <w:rsid w:val="00C129D1"/>
    <w:rsid w:val="00C12C44"/>
    <w:rsid w:val="00C12CF0"/>
    <w:rsid w:val="00C12D03"/>
    <w:rsid w:val="00C12DE0"/>
    <w:rsid w:val="00C12FC0"/>
    <w:rsid w:val="00C13224"/>
    <w:rsid w:val="00C13553"/>
    <w:rsid w:val="00C13FCF"/>
    <w:rsid w:val="00C14119"/>
    <w:rsid w:val="00C141DB"/>
    <w:rsid w:val="00C14672"/>
    <w:rsid w:val="00C147CF"/>
    <w:rsid w:val="00C1505A"/>
    <w:rsid w:val="00C154DF"/>
    <w:rsid w:val="00C155B0"/>
    <w:rsid w:val="00C15A88"/>
    <w:rsid w:val="00C15B40"/>
    <w:rsid w:val="00C15C1E"/>
    <w:rsid w:val="00C162F1"/>
    <w:rsid w:val="00C164B6"/>
    <w:rsid w:val="00C1666E"/>
    <w:rsid w:val="00C16890"/>
    <w:rsid w:val="00C169B2"/>
    <w:rsid w:val="00C16F27"/>
    <w:rsid w:val="00C16F59"/>
    <w:rsid w:val="00C17252"/>
    <w:rsid w:val="00C17902"/>
    <w:rsid w:val="00C17970"/>
    <w:rsid w:val="00C17A56"/>
    <w:rsid w:val="00C17C0B"/>
    <w:rsid w:val="00C20BCA"/>
    <w:rsid w:val="00C20CA0"/>
    <w:rsid w:val="00C20FF3"/>
    <w:rsid w:val="00C20FF8"/>
    <w:rsid w:val="00C225CC"/>
    <w:rsid w:val="00C22814"/>
    <w:rsid w:val="00C22863"/>
    <w:rsid w:val="00C234CA"/>
    <w:rsid w:val="00C23795"/>
    <w:rsid w:val="00C23A26"/>
    <w:rsid w:val="00C23C98"/>
    <w:rsid w:val="00C23EBC"/>
    <w:rsid w:val="00C23F0D"/>
    <w:rsid w:val="00C2414A"/>
    <w:rsid w:val="00C241F6"/>
    <w:rsid w:val="00C24C9A"/>
    <w:rsid w:val="00C24D62"/>
    <w:rsid w:val="00C25542"/>
    <w:rsid w:val="00C255FA"/>
    <w:rsid w:val="00C25B5B"/>
    <w:rsid w:val="00C25BB1"/>
    <w:rsid w:val="00C25BE9"/>
    <w:rsid w:val="00C25C25"/>
    <w:rsid w:val="00C264AC"/>
    <w:rsid w:val="00C26773"/>
    <w:rsid w:val="00C26817"/>
    <w:rsid w:val="00C26E7C"/>
    <w:rsid w:val="00C26F7A"/>
    <w:rsid w:val="00C2752A"/>
    <w:rsid w:val="00C27960"/>
    <w:rsid w:val="00C2799F"/>
    <w:rsid w:val="00C279A4"/>
    <w:rsid w:val="00C27D95"/>
    <w:rsid w:val="00C27FAF"/>
    <w:rsid w:val="00C30591"/>
    <w:rsid w:val="00C30594"/>
    <w:rsid w:val="00C307B7"/>
    <w:rsid w:val="00C30950"/>
    <w:rsid w:val="00C30CEE"/>
    <w:rsid w:val="00C30D51"/>
    <w:rsid w:val="00C3169B"/>
    <w:rsid w:val="00C31751"/>
    <w:rsid w:val="00C3193F"/>
    <w:rsid w:val="00C3197F"/>
    <w:rsid w:val="00C31A0E"/>
    <w:rsid w:val="00C31CCB"/>
    <w:rsid w:val="00C3233C"/>
    <w:rsid w:val="00C32461"/>
    <w:rsid w:val="00C324CD"/>
    <w:rsid w:val="00C32B18"/>
    <w:rsid w:val="00C330F2"/>
    <w:rsid w:val="00C33268"/>
    <w:rsid w:val="00C33299"/>
    <w:rsid w:val="00C3360E"/>
    <w:rsid w:val="00C33C19"/>
    <w:rsid w:val="00C33D57"/>
    <w:rsid w:val="00C33F2C"/>
    <w:rsid w:val="00C33F90"/>
    <w:rsid w:val="00C34015"/>
    <w:rsid w:val="00C343FA"/>
    <w:rsid w:val="00C34493"/>
    <w:rsid w:val="00C34740"/>
    <w:rsid w:val="00C34962"/>
    <w:rsid w:val="00C34B0A"/>
    <w:rsid w:val="00C34B5B"/>
    <w:rsid w:val="00C357A2"/>
    <w:rsid w:val="00C35809"/>
    <w:rsid w:val="00C35859"/>
    <w:rsid w:val="00C35DF9"/>
    <w:rsid w:val="00C35E6F"/>
    <w:rsid w:val="00C367E4"/>
    <w:rsid w:val="00C369C3"/>
    <w:rsid w:val="00C36D63"/>
    <w:rsid w:val="00C36EC0"/>
    <w:rsid w:val="00C370A0"/>
    <w:rsid w:val="00C3790D"/>
    <w:rsid w:val="00C37F28"/>
    <w:rsid w:val="00C400E3"/>
    <w:rsid w:val="00C403E1"/>
    <w:rsid w:val="00C40577"/>
    <w:rsid w:val="00C40B33"/>
    <w:rsid w:val="00C40CE2"/>
    <w:rsid w:val="00C40D42"/>
    <w:rsid w:val="00C4105D"/>
    <w:rsid w:val="00C412AF"/>
    <w:rsid w:val="00C41334"/>
    <w:rsid w:val="00C41575"/>
    <w:rsid w:val="00C41965"/>
    <w:rsid w:val="00C41B5B"/>
    <w:rsid w:val="00C42217"/>
    <w:rsid w:val="00C424D7"/>
    <w:rsid w:val="00C4257E"/>
    <w:rsid w:val="00C4353E"/>
    <w:rsid w:val="00C43B99"/>
    <w:rsid w:val="00C43BFF"/>
    <w:rsid w:val="00C43CA5"/>
    <w:rsid w:val="00C43E78"/>
    <w:rsid w:val="00C43F67"/>
    <w:rsid w:val="00C440C8"/>
    <w:rsid w:val="00C44193"/>
    <w:rsid w:val="00C449C5"/>
    <w:rsid w:val="00C44C65"/>
    <w:rsid w:val="00C44F6A"/>
    <w:rsid w:val="00C45675"/>
    <w:rsid w:val="00C45858"/>
    <w:rsid w:val="00C4595A"/>
    <w:rsid w:val="00C45F8C"/>
    <w:rsid w:val="00C4624A"/>
    <w:rsid w:val="00C4665C"/>
    <w:rsid w:val="00C46B04"/>
    <w:rsid w:val="00C473A5"/>
    <w:rsid w:val="00C47764"/>
    <w:rsid w:val="00C479BB"/>
    <w:rsid w:val="00C479EE"/>
    <w:rsid w:val="00C47A37"/>
    <w:rsid w:val="00C47B7F"/>
    <w:rsid w:val="00C47C5C"/>
    <w:rsid w:val="00C5031F"/>
    <w:rsid w:val="00C503B7"/>
    <w:rsid w:val="00C5081C"/>
    <w:rsid w:val="00C50AA3"/>
    <w:rsid w:val="00C50AC9"/>
    <w:rsid w:val="00C50ECF"/>
    <w:rsid w:val="00C50F39"/>
    <w:rsid w:val="00C50FB1"/>
    <w:rsid w:val="00C513B8"/>
    <w:rsid w:val="00C516B5"/>
    <w:rsid w:val="00C521A0"/>
    <w:rsid w:val="00C52393"/>
    <w:rsid w:val="00C523B4"/>
    <w:rsid w:val="00C527A0"/>
    <w:rsid w:val="00C52ACC"/>
    <w:rsid w:val="00C535CA"/>
    <w:rsid w:val="00C535E4"/>
    <w:rsid w:val="00C5369E"/>
    <w:rsid w:val="00C53875"/>
    <w:rsid w:val="00C53B4B"/>
    <w:rsid w:val="00C53B7D"/>
    <w:rsid w:val="00C53E14"/>
    <w:rsid w:val="00C53F20"/>
    <w:rsid w:val="00C540C0"/>
    <w:rsid w:val="00C542BF"/>
    <w:rsid w:val="00C54716"/>
    <w:rsid w:val="00C547D2"/>
    <w:rsid w:val="00C54CCE"/>
    <w:rsid w:val="00C54FED"/>
    <w:rsid w:val="00C550C1"/>
    <w:rsid w:val="00C5556B"/>
    <w:rsid w:val="00C55BF6"/>
    <w:rsid w:val="00C55E03"/>
    <w:rsid w:val="00C55EDB"/>
    <w:rsid w:val="00C55EEC"/>
    <w:rsid w:val="00C560A3"/>
    <w:rsid w:val="00C561A9"/>
    <w:rsid w:val="00C56C35"/>
    <w:rsid w:val="00C56D1E"/>
    <w:rsid w:val="00C56E13"/>
    <w:rsid w:val="00C5701B"/>
    <w:rsid w:val="00C57B37"/>
    <w:rsid w:val="00C57D50"/>
    <w:rsid w:val="00C603E1"/>
    <w:rsid w:val="00C60657"/>
    <w:rsid w:val="00C60BE0"/>
    <w:rsid w:val="00C60CCA"/>
    <w:rsid w:val="00C60E02"/>
    <w:rsid w:val="00C60FE1"/>
    <w:rsid w:val="00C6108C"/>
    <w:rsid w:val="00C61107"/>
    <w:rsid w:val="00C617B8"/>
    <w:rsid w:val="00C618E4"/>
    <w:rsid w:val="00C61A11"/>
    <w:rsid w:val="00C61FD6"/>
    <w:rsid w:val="00C62352"/>
    <w:rsid w:val="00C624C9"/>
    <w:rsid w:val="00C62F05"/>
    <w:rsid w:val="00C63172"/>
    <w:rsid w:val="00C63284"/>
    <w:rsid w:val="00C6358E"/>
    <w:rsid w:val="00C63A55"/>
    <w:rsid w:val="00C63CED"/>
    <w:rsid w:val="00C641CB"/>
    <w:rsid w:val="00C64A23"/>
    <w:rsid w:val="00C64BE2"/>
    <w:rsid w:val="00C64D21"/>
    <w:rsid w:val="00C65090"/>
    <w:rsid w:val="00C6529A"/>
    <w:rsid w:val="00C658AD"/>
    <w:rsid w:val="00C66122"/>
    <w:rsid w:val="00C6613D"/>
    <w:rsid w:val="00C66384"/>
    <w:rsid w:val="00C6638C"/>
    <w:rsid w:val="00C6675B"/>
    <w:rsid w:val="00C669E3"/>
    <w:rsid w:val="00C669E4"/>
    <w:rsid w:val="00C669FD"/>
    <w:rsid w:val="00C676D3"/>
    <w:rsid w:val="00C678B2"/>
    <w:rsid w:val="00C67AD4"/>
    <w:rsid w:val="00C67C08"/>
    <w:rsid w:val="00C67D30"/>
    <w:rsid w:val="00C67F97"/>
    <w:rsid w:val="00C67FE5"/>
    <w:rsid w:val="00C70031"/>
    <w:rsid w:val="00C7006C"/>
    <w:rsid w:val="00C70167"/>
    <w:rsid w:val="00C702B6"/>
    <w:rsid w:val="00C70531"/>
    <w:rsid w:val="00C70756"/>
    <w:rsid w:val="00C707E1"/>
    <w:rsid w:val="00C70C3C"/>
    <w:rsid w:val="00C70DA2"/>
    <w:rsid w:val="00C70E65"/>
    <w:rsid w:val="00C71381"/>
    <w:rsid w:val="00C7139A"/>
    <w:rsid w:val="00C7167E"/>
    <w:rsid w:val="00C71919"/>
    <w:rsid w:val="00C71A00"/>
    <w:rsid w:val="00C71B07"/>
    <w:rsid w:val="00C7214E"/>
    <w:rsid w:val="00C7222E"/>
    <w:rsid w:val="00C7237C"/>
    <w:rsid w:val="00C72DA3"/>
    <w:rsid w:val="00C73C4D"/>
    <w:rsid w:val="00C73DAB"/>
    <w:rsid w:val="00C74304"/>
    <w:rsid w:val="00C7465C"/>
    <w:rsid w:val="00C747BA"/>
    <w:rsid w:val="00C74965"/>
    <w:rsid w:val="00C74C8C"/>
    <w:rsid w:val="00C74FFE"/>
    <w:rsid w:val="00C75183"/>
    <w:rsid w:val="00C7547B"/>
    <w:rsid w:val="00C75543"/>
    <w:rsid w:val="00C75600"/>
    <w:rsid w:val="00C765D0"/>
    <w:rsid w:val="00C7664B"/>
    <w:rsid w:val="00C766C6"/>
    <w:rsid w:val="00C76746"/>
    <w:rsid w:val="00C76FB0"/>
    <w:rsid w:val="00C770B9"/>
    <w:rsid w:val="00C771BF"/>
    <w:rsid w:val="00C7728D"/>
    <w:rsid w:val="00C77665"/>
    <w:rsid w:val="00C77805"/>
    <w:rsid w:val="00C77A7B"/>
    <w:rsid w:val="00C77C50"/>
    <w:rsid w:val="00C77D20"/>
    <w:rsid w:val="00C77E82"/>
    <w:rsid w:val="00C77ECF"/>
    <w:rsid w:val="00C80C08"/>
    <w:rsid w:val="00C80C5B"/>
    <w:rsid w:val="00C80FE2"/>
    <w:rsid w:val="00C81011"/>
    <w:rsid w:val="00C812CF"/>
    <w:rsid w:val="00C8152E"/>
    <w:rsid w:val="00C81758"/>
    <w:rsid w:val="00C8179E"/>
    <w:rsid w:val="00C8185E"/>
    <w:rsid w:val="00C819A5"/>
    <w:rsid w:val="00C81CE0"/>
    <w:rsid w:val="00C825C0"/>
    <w:rsid w:val="00C82DDD"/>
    <w:rsid w:val="00C83309"/>
    <w:rsid w:val="00C836B7"/>
    <w:rsid w:val="00C836F2"/>
    <w:rsid w:val="00C837A4"/>
    <w:rsid w:val="00C838A6"/>
    <w:rsid w:val="00C843FF"/>
    <w:rsid w:val="00C8457E"/>
    <w:rsid w:val="00C84690"/>
    <w:rsid w:val="00C846CE"/>
    <w:rsid w:val="00C8492C"/>
    <w:rsid w:val="00C84DEE"/>
    <w:rsid w:val="00C84E5F"/>
    <w:rsid w:val="00C84EEE"/>
    <w:rsid w:val="00C85227"/>
    <w:rsid w:val="00C85685"/>
    <w:rsid w:val="00C85A27"/>
    <w:rsid w:val="00C86D05"/>
    <w:rsid w:val="00C87134"/>
    <w:rsid w:val="00C874BE"/>
    <w:rsid w:val="00C875D1"/>
    <w:rsid w:val="00C876A2"/>
    <w:rsid w:val="00C87A18"/>
    <w:rsid w:val="00C87F22"/>
    <w:rsid w:val="00C9014F"/>
    <w:rsid w:val="00C901EC"/>
    <w:rsid w:val="00C90309"/>
    <w:rsid w:val="00C91086"/>
    <w:rsid w:val="00C911CE"/>
    <w:rsid w:val="00C9136B"/>
    <w:rsid w:val="00C914F9"/>
    <w:rsid w:val="00C918E8"/>
    <w:rsid w:val="00C91D4D"/>
    <w:rsid w:val="00C91EA6"/>
    <w:rsid w:val="00C92015"/>
    <w:rsid w:val="00C9230F"/>
    <w:rsid w:val="00C9244B"/>
    <w:rsid w:val="00C925C4"/>
    <w:rsid w:val="00C92708"/>
    <w:rsid w:val="00C9298D"/>
    <w:rsid w:val="00C92DD2"/>
    <w:rsid w:val="00C93003"/>
    <w:rsid w:val="00C9330D"/>
    <w:rsid w:val="00C936BB"/>
    <w:rsid w:val="00C93748"/>
    <w:rsid w:val="00C93FED"/>
    <w:rsid w:val="00C9415D"/>
    <w:rsid w:val="00C9443D"/>
    <w:rsid w:val="00C94608"/>
    <w:rsid w:val="00C9484A"/>
    <w:rsid w:val="00C94BC2"/>
    <w:rsid w:val="00C94DEA"/>
    <w:rsid w:val="00C94EAE"/>
    <w:rsid w:val="00C955AA"/>
    <w:rsid w:val="00C95904"/>
    <w:rsid w:val="00C95C0D"/>
    <w:rsid w:val="00C95DE0"/>
    <w:rsid w:val="00C965D7"/>
    <w:rsid w:val="00C9697B"/>
    <w:rsid w:val="00C96D1D"/>
    <w:rsid w:val="00C96FE9"/>
    <w:rsid w:val="00C970A5"/>
    <w:rsid w:val="00C97169"/>
    <w:rsid w:val="00C972F2"/>
    <w:rsid w:val="00C97316"/>
    <w:rsid w:val="00C9746E"/>
    <w:rsid w:val="00C97737"/>
    <w:rsid w:val="00C97C6A"/>
    <w:rsid w:val="00CA0E78"/>
    <w:rsid w:val="00CA18B5"/>
    <w:rsid w:val="00CA19AF"/>
    <w:rsid w:val="00CA1B5A"/>
    <w:rsid w:val="00CA1C94"/>
    <w:rsid w:val="00CA2115"/>
    <w:rsid w:val="00CA22CA"/>
    <w:rsid w:val="00CA244C"/>
    <w:rsid w:val="00CA28D8"/>
    <w:rsid w:val="00CA29A4"/>
    <w:rsid w:val="00CA2B4C"/>
    <w:rsid w:val="00CA2C56"/>
    <w:rsid w:val="00CA37AF"/>
    <w:rsid w:val="00CA3A79"/>
    <w:rsid w:val="00CA3C6B"/>
    <w:rsid w:val="00CA3E22"/>
    <w:rsid w:val="00CA4332"/>
    <w:rsid w:val="00CA48B5"/>
    <w:rsid w:val="00CA48B7"/>
    <w:rsid w:val="00CA4C60"/>
    <w:rsid w:val="00CA57E3"/>
    <w:rsid w:val="00CA62C5"/>
    <w:rsid w:val="00CA6312"/>
    <w:rsid w:val="00CA7130"/>
    <w:rsid w:val="00CA72AC"/>
    <w:rsid w:val="00CA7376"/>
    <w:rsid w:val="00CA73BD"/>
    <w:rsid w:val="00CA7424"/>
    <w:rsid w:val="00CB0204"/>
    <w:rsid w:val="00CB03A2"/>
    <w:rsid w:val="00CB04F6"/>
    <w:rsid w:val="00CB0BA5"/>
    <w:rsid w:val="00CB0BAE"/>
    <w:rsid w:val="00CB0C32"/>
    <w:rsid w:val="00CB0E94"/>
    <w:rsid w:val="00CB0EBB"/>
    <w:rsid w:val="00CB115C"/>
    <w:rsid w:val="00CB16DF"/>
    <w:rsid w:val="00CB17AD"/>
    <w:rsid w:val="00CB19B7"/>
    <w:rsid w:val="00CB19EE"/>
    <w:rsid w:val="00CB20DE"/>
    <w:rsid w:val="00CB2500"/>
    <w:rsid w:val="00CB26AF"/>
    <w:rsid w:val="00CB2923"/>
    <w:rsid w:val="00CB2D98"/>
    <w:rsid w:val="00CB2DDF"/>
    <w:rsid w:val="00CB2EE9"/>
    <w:rsid w:val="00CB3081"/>
    <w:rsid w:val="00CB390A"/>
    <w:rsid w:val="00CB3C91"/>
    <w:rsid w:val="00CB3E59"/>
    <w:rsid w:val="00CB405D"/>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B51"/>
    <w:rsid w:val="00CB7A05"/>
    <w:rsid w:val="00CC0223"/>
    <w:rsid w:val="00CC0397"/>
    <w:rsid w:val="00CC06E2"/>
    <w:rsid w:val="00CC08E5"/>
    <w:rsid w:val="00CC0A59"/>
    <w:rsid w:val="00CC1884"/>
    <w:rsid w:val="00CC197E"/>
    <w:rsid w:val="00CC1C5E"/>
    <w:rsid w:val="00CC1D82"/>
    <w:rsid w:val="00CC1EF7"/>
    <w:rsid w:val="00CC260C"/>
    <w:rsid w:val="00CC2826"/>
    <w:rsid w:val="00CC33F0"/>
    <w:rsid w:val="00CC3482"/>
    <w:rsid w:val="00CC362A"/>
    <w:rsid w:val="00CC3F33"/>
    <w:rsid w:val="00CC4009"/>
    <w:rsid w:val="00CC43B8"/>
    <w:rsid w:val="00CC4C0B"/>
    <w:rsid w:val="00CC4D8A"/>
    <w:rsid w:val="00CC558C"/>
    <w:rsid w:val="00CC57C1"/>
    <w:rsid w:val="00CC6D44"/>
    <w:rsid w:val="00CC745C"/>
    <w:rsid w:val="00CC75A4"/>
    <w:rsid w:val="00CC78C2"/>
    <w:rsid w:val="00CD041A"/>
    <w:rsid w:val="00CD0680"/>
    <w:rsid w:val="00CD0CA5"/>
    <w:rsid w:val="00CD1833"/>
    <w:rsid w:val="00CD18CD"/>
    <w:rsid w:val="00CD1A35"/>
    <w:rsid w:val="00CD204F"/>
    <w:rsid w:val="00CD2119"/>
    <w:rsid w:val="00CD24D9"/>
    <w:rsid w:val="00CD2534"/>
    <w:rsid w:val="00CD25D9"/>
    <w:rsid w:val="00CD2EB9"/>
    <w:rsid w:val="00CD30A1"/>
    <w:rsid w:val="00CD3375"/>
    <w:rsid w:val="00CD399B"/>
    <w:rsid w:val="00CD3D34"/>
    <w:rsid w:val="00CD3E7A"/>
    <w:rsid w:val="00CD4344"/>
    <w:rsid w:val="00CD472E"/>
    <w:rsid w:val="00CD4803"/>
    <w:rsid w:val="00CD4BE7"/>
    <w:rsid w:val="00CD4C36"/>
    <w:rsid w:val="00CD4E94"/>
    <w:rsid w:val="00CD5378"/>
    <w:rsid w:val="00CD56A0"/>
    <w:rsid w:val="00CD5760"/>
    <w:rsid w:val="00CD5C4E"/>
    <w:rsid w:val="00CD6085"/>
    <w:rsid w:val="00CD619A"/>
    <w:rsid w:val="00CD61AC"/>
    <w:rsid w:val="00CD64D9"/>
    <w:rsid w:val="00CD7170"/>
    <w:rsid w:val="00CD7556"/>
    <w:rsid w:val="00CD75F9"/>
    <w:rsid w:val="00CD77B3"/>
    <w:rsid w:val="00CD781A"/>
    <w:rsid w:val="00CD7AA7"/>
    <w:rsid w:val="00CD7B84"/>
    <w:rsid w:val="00CD7C91"/>
    <w:rsid w:val="00CE042C"/>
    <w:rsid w:val="00CE052F"/>
    <w:rsid w:val="00CE09D9"/>
    <w:rsid w:val="00CE11C7"/>
    <w:rsid w:val="00CE12E8"/>
    <w:rsid w:val="00CE154D"/>
    <w:rsid w:val="00CE1A0B"/>
    <w:rsid w:val="00CE1E9A"/>
    <w:rsid w:val="00CE1FC2"/>
    <w:rsid w:val="00CE215E"/>
    <w:rsid w:val="00CE2A67"/>
    <w:rsid w:val="00CE2B46"/>
    <w:rsid w:val="00CE2D72"/>
    <w:rsid w:val="00CE413D"/>
    <w:rsid w:val="00CE41CF"/>
    <w:rsid w:val="00CE4734"/>
    <w:rsid w:val="00CE4A59"/>
    <w:rsid w:val="00CE4F22"/>
    <w:rsid w:val="00CE500F"/>
    <w:rsid w:val="00CE566B"/>
    <w:rsid w:val="00CE5917"/>
    <w:rsid w:val="00CE5D9B"/>
    <w:rsid w:val="00CE68A4"/>
    <w:rsid w:val="00CE6D81"/>
    <w:rsid w:val="00CE6DCE"/>
    <w:rsid w:val="00CE704A"/>
    <w:rsid w:val="00CE760C"/>
    <w:rsid w:val="00CE784A"/>
    <w:rsid w:val="00CE7D7A"/>
    <w:rsid w:val="00CF0291"/>
    <w:rsid w:val="00CF03F3"/>
    <w:rsid w:val="00CF0B81"/>
    <w:rsid w:val="00CF0FFE"/>
    <w:rsid w:val="00CF100A"/>
    <w:rsid w:val="00CF1353"/>
    <w:rsid w:val="00CF1957"/>
    <w:rsid w:val="00CF27E7"/>
    <w:rsid w:val="00CF2BFA"/>
    <w:rsid w:val="00CF2C2C"/>
    <w:rsid w:val="00CF3002"/>
    <w:rsid w:val="00CF340F"/>
    <w:rsid w:val="00CF3C54"/>
    <w:rsid w:val="00CF3C94"/>
    <w:rsid w:val="00CF423E"/>
    <w:rsid w:val="00CF488E"/>
    <w:rsid w:val="00CF5012"/>
    <w:rsid w:val="00CF505A"/>
    <w:rsid w:val="00CF50E9"/>
    <w:rsid w:val="00CF531A"/>
    <w:rsid w:val="00CF5B7E"/>
    <w:rsid w:val="00CF6128"/>
    <w:rsid w:val="00CF643E"/>
    <w:rsid w:val="00CF6502"/>
    <w:rsid w:val="00CF654C"/>
    <w:rsid w:val="00CF73E2"/>
    <w:rsid w:val="00CF7FD6"/>
    <w:rsid w:val="00D003DE"/>
    <w:rsid w:val="00D00653"/>
    <w:rsid w:val="00D007BD"/>
    <w:rsid w:val="00D008BD"/>
    <w:rsid w:val="00D00F3B"/>
    <w:rsid w:val="00D00FCC"/>
    <w:rsid w:val="00D01057"/>
    <w:rsid w:val="00D013F2"/>
    <w:rsid w:val="00D015C3"/>
    <w:rsid w:val="00D0198E"/>
    <w:rsid w:val="00D019F6"/>
    <w:rsid w:val="00D01BF8"/>
    <w:rsid w:val="00D01CDA"/>
    <w:rsid w:val="00D02214"/>
    <w:rsid w:val="00D02240"/>
    <w:rsid w:val="00D022A6"/>
    <w:rsid w:val="00D02313"/>
    <w:rsid w:val="00D0240B"/>
    <w:rsid w:val="00D02DE3"/>
    <w:rsid w:val="00D030A4"/>
    <w:rsid w:val="00D03196"/>
    <w:rsid w:val="00D035F8"/>
    <w:rsid w:val="00D03613"/>
    <w:rsid w:val="00D03C43"/>
    <w:rsid w:val="00D03E5D"/>
    <w:rsid w:val="00D047ED"/>
    <w:rsid w:val="00D049DE"/>
    <w:rsid w:val="00D04E34"/>
    <w:rsid w:val="00D04F6F"/>
    <w:rsid w:val="00D0501A"/>
    <w:rsid w:val="00D05847"/>
    <w:rsid w:val="00D05D18"/>
    <w:rsid w:val="00D05E9A"/>
    <w:rsid w:val="00D061FF"/>
    <w:rsid w:val="00D068C8"/>
    <w:rsid w:val="00D06D1D"/>
    <w:rsid w:val="00D075BD"/>
    <w:rsid w:val="00D0791C"/>
    <w:rsid w:val="00D10237"/>
    <w:rsid w:val="00D1056F"/>
    <w:rsid w:val="00D10623"/>
    <w:rsid w:val="00D109DE"/>
    <w:rsid w:val="00D10DEA"/>
    <w:rsid w:val="00D11053"/>
    <w:rsid w:val="00D119DC"/>
    <w:rsid w:val="00D11BE3"/>
    <w:rsid w:val="00D11C49"/>
    <w:rsid w:val="00D12427"/>
    <w:rsid w:val="00D124EA"/>
    <w:rsid w:val="00D127A8"/>
    <w:rsid w:val="00D12BE1"/>
    <w:rsid w:val="00D13158"/>
    <w:rsid w:val="00D1350D"/>
    <w:rsid w:val="00D1354A"/>
    <w:rsid w:val="00D13609"/>
    <w:rsid w:val="00D13778"/>
    <w:rsid w:val="00D13A0F"/>
    <w:rsid w:val="00D14210"/>
    <w:rsid w:val="00D14A9C"/>
    <w:rsid w:val="00D14D3E"/>
    <w:rsid w:val="00D14DD7"/>
    <w:rsid w:val="00D14F91"/>
    <w:rsid w:val="00D14FFF"/>
    <w:rsid w:val="00D157BD"/>
    <w:rsid w:val="00D1586E"/>
    <w:rsid w:val="00D15B49"/>
    <w:rsid w:val="00D15C04"/>
    <w:rsid w:val="00D15D85"/>
    <w:rsid w:val="00D15E65"/>
    <w:rsid w:val="00D160E0"/>
    <w:rsid w:val="00D162CC"/>
    <w:rsid w:val="00D166DB"/>
    <w:rsid w:val="00D166F5"/>
    <w:rsid w:val="00D170BC"/>
    <w:rsid w:val="00D17757"/>
    <w:rsid w:val="00D179E6"/>
    <w:rsid w:val="00D179EC"/>
    <w:rsid w:val="00D17C34"/>
    <w:rsid w:val="00D17E6E"/>
    <w:rsid w:val="00D17F02"/>
    <w:rsid w:val="00D200C5"/>
    <w:rsid w:val="00D20377"/>
    <w:rsid w:val="00D204D8"/>
    <w:rsid w:val="00D2053F"/>
    <w:rsid w:val="00D20C4B"/>
    <w:rsid w:val="00D20ECD"/>
    <w:rsid w:val="00D2121D"/>
    <w:rsid w:val="00D21532"/>
    <w:rsid w:val="00D21671"/>
    <w:rsid w:val="00D21A02"/>
    <w:rsid w:val="00D21AF8"/>
    <w:rsid w:val="00D21C86"/>
    <w:rsid w:val="00D21DCE"/>
    <w:rsid w:val="00D220F5"/>
    <w:rsid w:val="00D222A1"/>
    <w:rsid w:val="00D22468"/>
    <w:rsid w:val="00D2247A"/>
    <w:rsid w:val="00D2264F"/>
    <w:rsid w:val="00D229C7"/>
    <w:rsid w:val="00D23480"/>
    <w:rsid w:val="00D235C5"/>
    <w:rsid w:val="00D235D2"/>
    <w:rsid w:val="00D236A5"/>
    <w:rsid w:val="00D23746"/>
    <w:rsid w:val="00D24407"/>
    <w:rsid w:val="00D24576"/>
    <w:rsid w:val="00D2465D"/>
    <w:rsid w:val="00D24844"/>
    <w:rsid w:val="00D248A1"/>
    <w:rsid w:val="00D2490F"/>
    <w:rsid w:val="00D24B67"/>
    <w:rsid w:val="00D24C77"/>
    <w:rsid w:val="00D26008"/>
    <w:rsid w:val="00D260DC"/>
    <w:rsid w:val="00D26468"/>
    <w:rsid w:val="00D26BBC"/>
    <w:rsid w:val="00D271F4"/>
    <w:rsid w:val="00D2748F"/>
    <w:rsid w:val="00D2798A"/>
    <w:rsid w:val="00D27AD7"/>
    <w:rsid w:val="00D301DD"/>
    <w:rsid w:val="00D30234"/>
    <w:rsid w:val="00D30684"/>
    <w:rsid w:val="00D30933"/>
    <w:rsid w:val="00D30D24"/>
    <w:rsid w:val="00D311A0"/>
    <w:rsid w:val="00D31433"/>
    <w:rsid w:val="00D3185A"/>
    <w:rsid w:val="00D31CED"/>
    <w:rsid w:val="00D31ED8"/>
    <w:rsid w:val="00D3237D"/>
    <w:rsid w:val="00D32517"/>
    <w:rsid w:val="00D32C75"/>
    <w:rsid w:val="00D3332B"/>
    <w:rsid w:val="00D33429"/>
    <w:rsid w:val="00D334BA"/>
    <w:rsid w:val="00D33F3E"/>
    <w:rsid w:val="00D33FEA"/>
    <w:rsid w:val="00D3402F"/>
    <w:rsid w:val="00D344EB"/>
    <w:rsid w:val="00D34B00"/>
    <w:rsid w:val="00D34BAF"/>
    <w:rsid w:val="00D34D38"/>
    <w:rsid w:val="00D34F98"/>
    <w:rsid w:val="00D35010"/>
    <w:rsid w:val="00D3526F"/>
    <w:rsid w:val="00D35270"/>
    <w:rsid w:val="00D3545E"/>
    <w:rsid w:val="00D35624"/>
    <w:rsid w:val="00D35E26"/>
    <w:rsid w:val="00D36238"/>
    <w:rsid w:val="00D364B7"/>
    <w:rsid w:val="00D364DE"/>
    <w:rsid w:val="00D36E58"/>
    <w:rsid w:val="00D3707E"/>
    <w:rsid w:val="00D3753A"/>
    <w:rsid w:val="00D376C8"/>
    <w:rsid w:val="00D37744"/>
    <w:rsid w:val="00D3778F"/>
    <w:rsid w:val="00D37807"/>
    <w:rsid w:val="00D37EAA"/>
    <w:rsid w:val="00D37F5F"/>
    <w:rsid w:val="00D405D4"/>
    <w:rsid w:val="00D40D1A"/>
    <w:rsid w:val="00D40E89"/>
    <w:rsid w:val="00D412C5"/>
    <w:rsid w:val="00D4176E"/>
    <w:rsid w:val="00D41CEF"/>
    <w:rsid w:val="00D41F71"/>
    <w:rsid w:val="00D42333"/>
    <w:rsid w:val="00D428C9"/>
    <w:rsid w:val="00D42914"/>
    <w:rsid w:val="00D42A66"/>
    <w:rsid w:val="00D42E38"/>
    <w:rsid w:val="00D43089"/>
    <w:rsid w:val="00D43340"/>
    <w:rsid w:val="00D4374C"/>
    <w:rsid w:val="00D438EE"/>
    <w:rsid w:val="00D43DE6"/>
    <w:rsid w:val="00D43E79"/>
    <w:rsid w:val="00D44013"/>
    <w:rsid w:val="00D441D7"/>
    <w:rsid w:val="00D448F8"/>
    <w:rsid w:val="00D452E0"/>
    <w:rsid w:val="00D454A7"/>
    <w:rsid w:val="00D4554F"/>
    <w:rsid w:val="00D456C2"/>
    <w:rsid w:val="00D458B4"/>
    <w:rsid w:val="00D45AA1"/>
    <w:rsid w:val="00D45DC1"/>
    <w:rsid w:val="00D45FBB"/>
    <w:rsid w:val="00D461C4"/>
    <w:rsid w:val="00D4640F"/>
    <w:rsid w:val="00D46DCA"/>
    <w:rsid w:val="00D4714F"/>
    <w:rsid w:val="00D4777C"/>
    <w:rsid w:val="00D477ED"/>
    <w:rsid w:val="00D47F9A"/>
    <w:rsid w:val="00D50123"/>
    <w:rsid w:val="00D505D6"/>
    <w:rsid w:val="00D50D7E"/>
    <w:rsid w:val="00D50F11"/>
    <w:rsid w:val="00D511F4"/>
    <w:rsid w:val="00D512CE"/>
    <w:rsid w:val="00D5149E"/>
    <w:rsid w:val="00D5158E"/>
    <w:rsid w:val="00D51A9F"/>
    <w:rsid w:val="00D51C3D"/>
    <w:rsid w:val="00D529F7"/>
    <w:rsid w:val="00D52A25"/>
    <w:rsid w:val="00D52CD6"/>
    <w:rsid w:val="00D52E74"/>
    <w:rsid w:val="00D5429F"/>
    <w:rsid w:val="00D542E6"/>
    <w:rsid w:val="00D54442"/>
    <w:rsid w:val="00D544ED"/>
    <w:rsid w:val="00D547EE"/>
    <w:rsid w:val="00D5480D"/>
    <w:rsid w:val="00D5489B"/>
    <w:rsid w:val="00D54E7D"/>
    <w:rsid w:val="00D54EEF"/>
    <w:rsid w:val="00D55367"/>
    <w:rsid w:val="00D55444"/>
    <w:rsid w:val="00D5571D"/>
    <w:rsid w:val="00D55BD6"/>
    <w:rsid w:val="00D55E49"/>
    <w:rsid w:val="00D562B3"/>
    <w:rsid w:val="00D5638A"/>
    <w:rsid w:val="00D5687B"/>
    <w:rsid w:val="00D56B1E"/>
    <w:rsid w:val="00D56DCA"/>
    <w:rsid w:val="00D56F4F"/>
    <w:rsid w:val="00D570EB"/>
    <w:rsid w:val="00D5748A"/>
    <w:rsid w:val="00D5798C"/>
    <w:rsid w:val="00D57E2D"/>
    <w:rsid w:val="00D605F9"/>
    <w:rsid w:val="00D60FB7"/>
    <w:rsid w:val="00D616CF"/>
    <w:rsid w:val="00D61F13"/>
    <w:rsid w:val="00D62043"/>
    <w:rsid w:val="00D620B7"/>
    <w:rsid w:val="00D6214F"/>
    <w:rsid w:val="00D62ADF"/>
    <w:rsid w:val="00D639C1"/>
    <w:rsid w:val="00D63E10"/>
    <w:rsid w:val="00D63E2B"/>
    <w:rsid w:val="00D6415E"/>
    <w:rsid w:val="00D642EF"/>
    <w:rsid w:val="00D65005"/>
    <w:rsid w:val="00D65134"/>
    <w:rsid w:val="00D6554F"/>
    <w:rsid w:val="00D656EE"/>
    <w:rsid w:val="00D65924"/>
    <w:rsid w:val="00D66831"/>
    <w:rsid w:val="00D66863"/>
    <w:rsid w:val="00D66E0F"/>
    <w:rsid w:val="00D66FDE"/>
    <w:rsid w:val="00D67436"/>
    <w:rsid w:val="00D679BB"/>
    <w:rsid w:val="00D67B86"/>
    <w:rsid w:val="00D67BAC"/>
    <w:rsid w:val="00D67D60"/>
    <w:rsid w:val="00D67F1E"/>
    <w:rsid w:val="00D67F9D"/>
    <w:rsid w:val="00D70292"/>
    <w:rsid w:val="00D70297"/>
    <w:rsid w:val="00D702B3"/>
    <w:rsid w:val="00D704AC"/>
    <w:rsid w:val="00D70CF5"/>
    <w:rsid w:val="00D71948"/>
    <w:rsid w:val="00D719B6"/>
    <w:rsid w:val="00D71E2E"/>
    <w:rsid w:val="00D71F97"/>
    <w:rsid w:val="00D72362"/>
    <w:rsid w:val="00D7250C"/>
    <w:rsid w:val="00D727AD"/>
    <w:rsid w:val="00D72BFE"/>
    <w:rsid w:val="00D736EE"/>
    <w:rsid w:val="00D73E04"/>
    <w:rsid w:val="00D74033"/>
    <w:rsid w:val="00D7423F"/>
    <w:rsid w:val="00D748E0"/>
    <w:rsid w:val="00D74963"/>
    <w:rsid w:val="00D74A09"/>
    <w:rsid w:val="00D74A70"/>
    <w:rsid w:val="00D74B04"/>
    <w:rsid w:val="00D74E3F"/>
    <w:rsid w:val="00D74E9F"/>
    <w:rsid w:val="00D75E28"/>
    <w:rsid w:val="00D75F16"/>
    <w:rsid w:val="00D75FC6"/>
    <w:rsid w:val="00D760BB"/>
    <w:rsid w:val="00D7617B"/>
    <w:rsid w:val="00D771A4"/>
    <w:rsid w:val="00D772CC"/>
    <w:rsid w:val="00D7742C"/>
    <w:rsid w:val="00D778BE"/>
    <w:rsid w:val="00D77B05"/>
    <w:rsid w:val="00D77E15"/>
    <w:rsid w:val="00D80048"/>
    <w:rsid w:val="00D802EB"/>
    <w:rsid w:val="00D806E0"/>
    <w:rsid w:val="00D80903"/>
    <w:rsid w:val="00D80F79"/>
    <w:rsid w:val="00D81179"/>
    <w:rsid w:val="00D816C3"/>
    <w:rsid w:val="00D81915"/>
    <w:rsid w:val="00D8263D"/>
    <w:rsid w:val="00D82ACD"/>
    <w:rsid w:val="00D82C40"/>
    <w:rsid w:val="00D82CB1"/>
    <w:rsid w:val="00D82D30"/>
    <w:rsid w:val="00D8323D"/>
    <w:rsid w:val="00D835E5"/>
    <w:rsid w:val="00D83A6F"/>
    <w:rsid w:val="00D83D5E"/>
    <w:rsid w:val="00D84FE0"/>
    <w:rsid w:val="00D850A5"/>
    <w:rsid w:val="00D851F8"/>
    <w:rsid w:val="00D8544F"/>
    <w:rsid w:val="00D85608"/>
    <w:rsid w:val="00D857D0"/>
    <w:rsid w:val="00D85CB0"/>
    <w:rsid w:val="00D867C4"/>
    <w:rsid w:val="00D86EAB"/>
    <w:rsid w:val="00D86FF8"/>
    <w:rsid w:val="00D87429"/>
    <w:rsid w:val="00D87A2C"/>
    <w:rsid w:val="00D87D4F"/>
    <w:rsid w:val="00D9006A"/>
    <w:rsid w:val="00D90371"/>
    <w:rsid w:val="00D90598"/>
    <w:rsid w:val="00D9076C"/>
    <w:rsid w:val="00D90A1E"/>
    <w:rsid w:val="00D90A26"/>
    <w:rsid w:val="00D90BC4"/>
    <w:rsid w:val="00D912E7"/>
    <w:rsid w:val="00D918EC"/>
    <w:rsid w:val="00D91A32"/>
    <w:rsid w:val="00D91B01"/>
    <w:rsid w:val="00D91C66"/>
    <w:rsid w:val="00D91C97"/>
    <w:rsid w:val="00D91D12"/>
    <w:rsid w:val="00D920EB"/>
    <w:rsid w:val="00D922A8"/>
    <w:rsid w:val="00D92854"/>
    <w:rsid w:val="00D92F80"/>
    <w:rsid w:val="00D934B1"/>
    <w:rsid w:val="00D93657"/>
    <w:rsid w:val="00D936D9"/>
    <w:rsid w:val="00D93943"/>
    <w:rsid w:val="00D93961"/>
    <w:rsid w:val="00D940DB"/>
    <w:rsid w:val="00D94409"/>
    <w:rsid w:val="00D94462"/>
    <w:rsid w:val="00D9461C"/>
    <w:rsid w:val="00D94624"/>
    <w:rsid w:val="00D94764"/>
    <w:rsid w:val="00D94C74"/>
    <w:rsid w:val="00D94FCE"/>
    <w:rsid w:val="00D952F7"/>
    <w:rsid w:val="00D95477"/>
    <w:rsid w:val="00D957AB"/>
    <w:rsid w:val="00D959C4"/>
    <w:rsid w:val="00D95AD0"/>
    <w:rsid w:val="00D95C9C"/>
    <w:rsid w:val="00D96AFB"/>
    <w:rsid w:val="00D96B3A"/>
    <w:rsid w:val="00D96E5D"/>
    <w:rsid w:val="00D96FD9"/>
    <w:rsid w:val="00D970D3"/>
    <w:rsid w:val="00D9711F"/>
    <w:rsid w:val="00D97638"/>
    <w:rsid w:val="00D978C6"/>
    <w:rsid w:val="00D97DEF"/>
    <w:rsid w:val="00DA04E7"/>
    <w:rsid w:val="00DA087F"/>
    <w:rsid w:val="00DA1220"/>
    <w:rsid w:val="00DA1736"/>
    <w:rsid w:val="00DA1A21"/>
    <w:rsid w:val="00DA1CBC"/>
    <w:rsid w:val="00DA23D9"/>
    <w:rsid w:val="00DA24FF"/>
    <w:rsid w:val="00DA271F"/>
    <w:rsid w:val="00DA2AFE"/>
    <w:rsid w:val="00DA2BF5"/>
    <w:rsid w:val="00DA2C9A"/>
    <w:rsid w:val="00DA2EA3"/>
    <w:rsid w:val="00DA2ECA"/>
    <w:rsid w:val="00DA353F"/>
    <w:rsid w:val="00DA35E4"/>
    <w:rsid w:val="00DA37E8"/>
    <w:rsid w:val="00DA3820"/>
    <w:rsid w:val="00DA3A0C"/>
    <w:rsid w:val="00DA3C43"/>
    <w:rsid w:val="00DA3C6E"/>
    <w:rsid w:val="00DA3E4E"/>
    <w:rsid w:val="00DA3FAD"/>
    <w:rsid w:val="00DA45BB"/>
    <w:rsid w:val="00DA46F5"/>
    <w:rsid w:val="00DA4775"/>
    <w:rsid w:val="00DA4B60"/>
    <w:rsid w:val="00DA50C7"/>
    <w:rsid w:val="00DA514D"/>
    <w:rsid w:val="00DA5998"/>
    <w:rsid w:val="00DA5B50"/>
    <w:rsid w:val="00DA5DBF"/>
    <w:rsid w:val="00DA6167"/>
    <w:rsid w:val="00DA628D"/>
    <w:rsid w:val="00DA6726"/>
    <w:rsid w:val="00DA68CF"/>
    <w:rsid w:val="00DA71D1"/>
    <w:rsid w:val="00DA78A9"/>
    <w:rsid w:val="00DA7D25"/>
    <w:rsid w:val="00DA7E74"/>
    <w:rsid w:val="00DB012E"/>
    <w:rsid w:val="00DB0AD3"/>
    <w:rsid w:val="00DB0F0A"/>
    <w:rsid w:val="00DB0F24"/>
    <w:rsid w:val="00DB1214"/>
    <w:rsid w:val="00DB12CB"/>
    <w:rsid w:val="00DB14CE"/>
    <w:rsid w:val="00DB1DDF"/>
    <w:rsid w:val="00DB2035"/>
    <w:rsid w:val="00DB23DD"/>
    <w:rsid w:val="00DB298D"/>
    <w:rsid w:val="00DB2B2C"/>
    <w:rsid w:val="00DB2B3C"/>
    <w:rsid w:val="00DB3295"/>
    <w:rsid w:val="00DB3348"/>
    <w:rsid w:val="00DB33F5"/>
    <w:rsid w:val="00DB3878"/>
    <w:rsid w:val="00DB40CE"/>
    <w:rsid w:val="00DB43E7"/>
    <w:rsid w:val="00DB494E"/>
    <w:rsid w:val="00DB4B4C"/>
    <w:rsid w:val="00DB4BBD"/>
    <w:rsid w:val="00DB5001"/>
    <w:rsid w:val="00DB5608"/>
    <w:rsid w:val="00DB568A"/>
    <w:rsid w:val="00DB56BF"/>
    <w:rsid w:val="00DB5C71"/>
    <w:rsid w:val="00DB5DD4"/>
    <w:rsid w:val="00DB6779"/>
    <w:rsid w:val="00DB6A0B"/>
    <w:rsid w:val="00DB6D5F"/>
    <w:rsid w:val="00DB7299"/>
    <w:rsid w:val="00DB7664"/>
    <w:rsid w:val="00DB7677"/>
    <w:rsid w:val="00DB7C05"/>
    <w:rsid w:val="00DB7F18"/>
    <w:rsid w:val="00DB7FE7"/>
    <w:rsid w:val="00DC17AD"/>
    <w:rsid w:val="00DC1807"/>
    <w:rsid w:val="00DC1A99"/>
    <w:rsid w:val="00DC234F"/>
    <w:rsid w:val="00DC2463"/>
    <w:rsid w:val="00DC2974"/>
    <w:rsid w:val="00DC2D56"/>
    <w:rsid w:val="00DC2E60"/>
    <w:rsid w:val="00DC2F52"/>
    <w:rsid w:val="00DC3D0E"/>
    <w:rsid w:val="00DC3E4B"/>
    <w:rsid w:val="00DC466F"/>
    <w:rsid w:val="00DC4760"/>
    <w:rsid w:val="00DC4B8D"/>
    <w:rsid w:val="00DC4E15"/>
    <w:rsid w:val="00DC5244"/>
    <w:rsid w:val="00DC635B"/>
    <w:rsid w:val="00DC69F4"/>
    <w:rsid w:val="00DC6BC1"/>
    <w:rsid w:val="00DC6CE3"/>
    <w:rsid w:val="00DC6E8E"/>
    <w:rsid w:val="00DC740F"/>
    <w:rsid w:val="00DC7539"/>
    <w:rsid w:val="00DC775E"/>
    <w:rsid w:val="00DC77C2"/>
    <w:rsid w:val="00DC78B9"/>
    <w:rsid w:val="00DC7907"/>
    <w:rsid w:val="00DC790E"/>
    <w:rsid w:val="00DC7996"/>
    <w:rsid w:val="00DD059B"/>
    <w:rsid w:val="00DD08A9"/>
    <w:rsid w:val="00DD1168"/>
    <w:rsid w:val="00DD1921"/>
    <w:rsid w:val="00DD1949"/>
    <w:rsid w:val="00DD1C92"/>
    <w:rsid w:val="00DD221D"/>
    <w:rsid w:val="00DD2276"/>
    <w:rsid w:val="00DD2397"/>
    <w:rsid w:val="00DD282D"/>
    <w:rsid w:val="00DD2991"/>
    <w:rsid w:val="00DD2A39"/>
    <w:rsid w:val="00DD30E9"/>
    <w:rsid w:val="00DD3182"/>
    <w:rsid w:val="00DD36AE"/>
    <w:rsid w:val="00DD3980"/>
    <w:rsid w:val="00DD3BB3"/>
    <w:rsid w:val="00DD41A3"/>
    <w:rsid w:val="00DD42A3"/>
    <w:rsid w:val="00DD42A4"/>
    <w:rsid w:val="00DD447D"/>
    <w:rsid w:val="00DD4682"/>
    <w:rsid w:val="00DD4749"/>
    <w:rsid w:val="00DD4888"/>
    <w:rsid w:val="00DD4D68"/>
    <w:rsid w:val="00DD56EB"/>
    <w:rsid w:val="00DD5934"/>
    <w:rsid w:val="00DD5B1C"/>
    <w:rsid w:val="00DD6115"/>
    <w:rsid w:val="00DD6798"/>
    <w:rsid w:val="00DD70AA"/>
    <w:rsid w:val="00DD73BE"/>
    <w:rsid w:val="00DD77E7"/>
    <w:rsid w:val="00DD7924"/>
    <w:rsid w:val="00DD7AD2"/>
    <w:rsid w:val="00DE0479"/>
    <w:rsid w:val="00DE0726"/>
    <w:rsid w:val="00DE0872"/>
    <w:rsid w:val="00DE10A3"/>
    <w:rsid w:val="00DE1243"/>
    <w:rsid w:val="00DE1345"/>
    <w:rsid w:val="00DE1599"/>
    <w:rsid w:val="00DE17AD"/>
    <w:rsid w:val="00DE1A64"/>
    <w:rsid w:val="00DE1AB7"/>
    <w:rsid w:val="00DE1B7F"/>
    <w:rsid w:val="00DE2799"/>
    <w:rsid w:val="00DE2BE5"/>
    <w:rsid w:val="00DE34E8"/>
    <w:rsid w:val="00DE36B8"/>
    <w:rsid w:val="00DE3758"/>
    <w:rsid w:val="00DE38C3"/>
    <w:rsid w:val="00DE39FE"/>
    <w:rsid w:val="00DE3C1B"/>
    <w:rsid w:val="00DE44E9"/>
    <w:rsid w:val="00DE480B"/>
    <w:rsid w:val="00DE483B"/>
    <w:rsid w:val="00DE499D"/>
    <w:rsid w:val="00DE49F2"/>
    <w:rsid w:val="00DE4C86"/>
    <w:rsid w:val="00DE5324"/>
    <w:rsid w:val="00DE5332"/>
    <w:rsid w:val="00DE5474"/>
    <w:rsid w:val="00DE56DF"/>
    <w:rsid w:val="00DE56FB"/>
    <w:rsid w:val="00DE598E"/>
    <w:rsid w:val="00DE5C87"/>
    <w:rsid w:val="00DE5EE5"/>
    <w:rsid w:val="00DE648E"/>
    <w:rsid w:val="00DE6575"/>
    <w:rsid w:val="00DE6A9E"/>
    <w:rsid w:val="00DE6F7F"/>
    <w:rsid w:val="00DE75C6"/>
    <w:rsid w:val="00DE788C"/>
    <w:rsid w:val="00DE7B4D"/>
    <w:rsid w:val="00DE7F6C"/>
    <w:rsid w:val="00DE7FAD"/>
    <w:rsid w:val="00DF0028"/>
    <w:rsid w:val="00DF049C"/>
    <w:rsid w:val="00DF06D4"/>
    <w:rsid w:val="00DF100F"/>
    <w:rsid w:val="00DF11EF"/>
    <w:rsid w:val="00DF1712"/>
    <w:rsid w:val="00DF17F3"/>
    <w:rsid w:val="00DF1916"/>
    <w:rsid w:val="00DF23EF"/>
    <w:rsid w:val="00DF249D"/>
    <w:rsid w:val="00DF2AEA"/>
    <w:rsid w:val="00DF343F"/>
    <w:rsid w:val="00DF37C5"/>
    <w:rsid w:val="00DF3C83"/>
    <w:rsid w:val="00DF4030"/>
    <w:rsid w:val="00DF410F"/>
    <w:rsid w:val="00DF41B2"/>
    <w:rsid w:val="00DF42C6"/>
    <w:rsid w:val="00DF43B1"/>
    <w:rsid w:val="00DF48A3"/>
    <w:rsid w:val="00DF4AFD"/>
    <w:rsid w:val="00DF4B32"/>
    <w:rsid w:val="00DF4D9B"/>
    <w:rsid w:val="00DF53E5"/>
    <w:rsid w:val="00DF5422"/>
    <w:rsid w:val="00DF5D15"/>
    <w:rsid w:val="00DF6D5A"/>
    <w:rsid w:val="00DF70B3"/>
    <w:rsid w:val="00DF70CC"/>
    <w:rsid w:val="00DF75AA"/>
    <w:rsid w:val="00DF7772"/>
    <w:rsid w:val="00E003F8"/>
    <w:rsid w:val="00E00764"/>
    <w:rsid w:val="00E00D25"/>
    <w:rsid w:val="00E01AE1"/>
    <w:rsid w:val="00E01B03"/>
    <w:rsid w:val="00E01B86"/>
    <w:rsid w:val="00E01C7F"/>
    <w:rsid w:val="00E023E3"/>
    <w:rsid w:val="00E02941"/>
    <w:rsid w:val="00E02A82"/>
    <w:rsid w:val="00E02AF6"/>
    <w:rsid w:val="00E02DCB"/>
    <w:rsid w:val="00E03346"/>
    <w:rsid w:val="00E03AB8"/>
    <w:rsid w:val="00E03C9F"/>
    <w:rsid w:val="00E03E42"/>
    <w:rsid w:val="00E04007"/>
    <w:rsid w:val="00E043AB"/>
    <w:rsid w:val="00E043BC"/>
    <w:rsid w:val="00E04496"/>
    <w:rsid w:val="00E049A1"/>
    <w:rsid w:val="00E04EF5"/>
    <w:rsid w:val="00E050CF"/>
    <w:rsid w:val="00E05186"/>
    <w:rsid w:val="00E051C5"/>
    <w:rsid w:val="00E053C1"/>
    <w:rsid w:val="00E055FE"/>
    <w:rsid w:val="00E05B2A"/>
    <w:rsid w:val="00E05BBB"/>
    <w:rsid w:val="00E06073"/>
    <w:rsid w:val="00E061DF"/>
    <w:rsid w:val="00E06631"/>
    <w:rsid w:val="00E06B56"/>
    <w:rsid w:val="00E06C8F"/>
    <w:rsid w:val="00E07080"/>
    <w:rsid w:val="00E07242"/>
    <w:rsid w:val="00E0734F"/>
    <w:rsid w:val="00E0760E"/>
    <w:rsid w:val="00E07B3B"/>
    <w:rsid w:val="00E07FC0"/>
    <w:rsid w:val="00E1087D"/>
    <w:rsid w:val="00E10B76"/>
    <w:rsid w:val="00E10C75"/>
    <w:rsid w:val="00E10F1B"/>
    <w:rsid w:val="00E116AA"/>
    <w:rsid w:val="00E1180E"/>
    <w:rsid w:val="00E11F8E"/>
    <w:rsid w:val="00E12362"/>
    <w:rsid w:val="00E12829"/>
    <w:rsid w:val="00E12BE2"/>
    <w:rsid w:val="00E13052"/>
    <w:rsid w:val="00E135B9"/>
    <w:rsid w:val="00E13CE1"/>
    <w:rsid w:val="00E141DC"/>
    <w:rsid w:val="00E14483"/>
    <w:rsid w:val="00E14497"/>
    <w:rsid w:val="00E146C5"/>
    <w:rsid w:val="00E14A03"/>
    <w:rsid w:val="00E14E63"/>
    <w:rsid w:val="00E1553A"/>
    <w:rsid w:val="00E1558E"/>
    <w:rsid w:val="00E157B1"/>
    <w:rsid w:val="00E157BA"/>
    <w:rsid w:val="00E15917"/>
    <w:rsid w:val="00E168BA"/>
    <w:rsid w:val="00E168E6"/>
    <w:rsid w:val="00E16BE4"/>
    <w:rsid w:val="00E16D46"/>
    <w:rsid w:val="00E16E87"/>
    <w:rsid w:val="00E16FF9"/>
    <w:rsid w:val="00E171AC"/>
    <w:rsid w:val="00E17447"/>
    <w:rsid w:val="00E1762F"/>
    <w:rsid w:val="00E1776A"/>
    <w:rsid w:val="00E177A2"/>
    <w:rsid w:val="00E17911"/>
    <w:rsid w:val="00E17ADF"/>
    <w:rsid w:val="00E17B72"/>
    <w:rsid w:val="00E17EF8"/>
    <w:rsid w:val="00E17F5D"/>
    <w:rsid w:val="00E200CE"/>
    <w:rsid w:val="00E200CF"/>
    <w:rsid w:val="00E20114"/>
    <w:rsid w:val="00E2017B"/>
    <w:rsid w:val="00E204BF"/>
    <w:rsid w:val="00E20717"/>
    <w:rsid w:val="00E20B34"/>
    <w:rsid w:val="00E20B4E"/>
    <w:rsid w:val="00E20BDF"/>
    <w:rsid w:val="00E20DA9"/>
    <w:rsid w:val="00E213B3"/>
    <w:rsid w:val="00E219CB"/>
    <w:rsid w:val="00E2216A"/>
    <w:rsid w:val="00E221BD"/>
    <w:rsid w:val="00E22758"/>
    <w:rsid w:val="00E22799"/>
    <w:rsid w:val="00E2296D"/>
    <w:rsid w:val="00E2318D"/>
    <w:rsid w:val="00E235BF"/>
    <w:rsid w:val="00E239B9"/>
    <w:rsid w:val="00E23CEC"/>
    <w:rsid w:val="00E23E4D"/>
    <w:rsid w:val="00E23E9F"/>
    <w:rsid w:val="00E23F2F"/>
    <w:rsid w:val="00E240AB"/>
    <w:rsid w:val="00E2433D"/>
    <w:rsid w:val="00E243E1"/>
    <w:rsid w:val="00E244AC"/>
    <w:rsid w:val="00E252C1"/>
    <w:rsid w:val="00E252FF"/>
    <w:rsid w:val="00E25964"/>
    <w:rsid w:val="00E25DFD"/>
    <w:rsid w:val="00E26735"/>
    <w:rsid w:val="00E26F63"/>
    <w:rsid w:val="00E27192"/>
    <w:rsid w:val="00E2719F"/>
    <w:rsid w:val="00E272EB"/>
    <w:rsid w:val="00E27D44"/>
    <w:rsid w:val="00E27FCD"/>
    <w:rsid w:val="00E307D6"/>
    <w:rsid w:val="00E310FA"/>
    <w:rsid w:val="00E315CE"/>
    <w:rsid w:val="00E31D97"/>
    <w:rsid w:val="00E31E5A"/>
    <w:rsid w:val="00E3290F"/>
    <w:rsid w:val="00E33198"/>
    <w:rsid w:val="00E333F1"/>
    <w:rsid w:val="00E335E2"/>
    <w:rsid w:val="00E33615"/>
    <w:rsid w:val="00E33901"/>
    <w:rsid w:val="00E34412"/>
    <w:rsid w:val="00E345C1"/>
    <w:rsid w:val="00E3502E"/>
    <w:rsid w:val="00E35312"/>
    <w:rsid w:val="00E354DE"/>
    <w:rsid w:val="00E3565E"/>
    <w:rsid w:val="00E359A5"/>
    <w:rsid w:val="00E35C5E"/>
    <w:rsid w:val="00E35FBE"/>
    <w:rsid w:val="00E360B1"/>
    <w:rsid w:val="00E36391"/>
    <w:rsid w:val="00E36F7F"/>
    <w:rsid w:val="00E37A8B"/>
    <w:rsid w:val="00E40420"/>
    <w:rsid w:val="00E40529"/>
    <w:rsid w:val="00E406C7"/>
    <w:rsid w:val="00E407EC"/>
    <w:rsid w:val="00E40E41"/>
    <w:rsid w:val="00E40EC1"/>
    <w:rsid w:val="00E40EEB"/>
    <w:rsid w:val="00E40F95"/>
    <w:rsid w:val="00E4152F"/>
    <w:rsid w:val="00E418AF"/>
    <w:rsid w:val="00E41E75"/>
    <w:rsid w:val="00E42104"/>
    <w:rsid w:val="00E4214B"/>
    <w:rsid w:val="00E425F2"/>
    <w:rsid w:val="00E426F5"/>
    <w:rsid w:val="00E42FE9"/>
    <w:rsid w:val="00E4309E"/>
    <w:rsid w:val="00E43185"/>
    <w:rsid w:val="00E4340D"/>
    <w:rsid w:val="00E43C06"/>
    <w:rsid w:val="00E43EC9"/>
    <w:rsid w:val="00E444B1"/>
    <w:rsid w:val="00E4457C"/>
    <w:rsid w:val="00E4473F"/>
    <w:rsid w:val="00E448C4"/>
    <w:rsid w:val="00E449C8"/>
    <w:rsid w:val="00E44BC7"/>
    <w:rsid w:val="00E44C34"/>
    <w:rsid w:val="00E44F80"/>
    <w:rsid w:val="00E45008"/>
    <w:rsid w:val="00E458F6"/>
    <w:rsid w:val="00E45FEE"/>
    <w:rsid w:val="00E463F4"/>
    <w:rsid w:val="00E46481"/>
    <w:rsid w:val="00E46729"/>
    <w:rsid w:val="00E4673B"/>
    <w:rsid w:val="00E467F1"/>
    <w:rsid w:val="00E46C34"/>
    <w:rsid w:val="00E47279"/>
    <w:rsid w:val="00E472C7"/>
    <w:rsid w:val="00E4785A"/>
    <w:rsid w:val="00E4791F"/>
    <w:rsid w:val="00E47968"/>
    <w:rsid w:val="00E47993"/>
    <w:rsid w:val="00E47E28"/>
    <w:rsid w:val="00E47F7C"/>
    <w:rsid w:val="00E507CF"/>
    <w:rsid w:val="00E50987"/>
    <w:rsid w:val="00E50D8A"/>
    <w:rsid w:val="00E50DB8"/>
    <w:rsid w:val="00E50F30"/>
    <w:rsid w:val="00E511FF"/>
    <w:rsid w:val="00E51200"/>
    <w:rsid w:val="00E51A75"/>
    <w:rsid w:val="00E51B5D"/>
    <w:rsid w:val="00E51EDE"/>
    <w:rsid w:val="00E52101"/>
    <w:rsid w:val="00E5236D"/>
    <w:rsid w:val="00E5258A"/>
    <w:rsid w:val="00E52638"/>
    <w:rsid w:val="00E527B8"/>
    <w:rsid w:val="00E52A5B"/>
    <w:rsid w:val="00E52B2F"/>
    <w:rsid w:val="00E52B8B"/>
    <w:rsid w:val="00E52FEE"/>
    <w:rsid w:val="00E53291"/>
    <w:rsid w:val="00E53627"/>
    <w:rsid w:val="00E53A0C"/>
    <w:rsid w:val="00E53E38"/>
    <w:rsid w:val="00E53EBB"/>
    <w:rsid w:val="00E54929"/>
    <w:rsid w:val="00E5496E"/>
    <w:rsid w:val="00E54C69"/>
    <w:rsid w:val="00E54DCF"/>
    <w:rsid w:val="00E54EDD"/>
    <w:rsid w:val="00E54F10"/>
    <w:rsid w:val="00E55985"/>
    <w:rsid w:val="00E55AE6"/>
    <w:rsid w:val="00E56019"/>
    <w:rsid w:val="00E56353"/>
    <w:rsid w:val="00E56666"/>
    <w:rsid w:val="00E5669D"/>
    <w:rsid w:val="00E56B21"/>
    <w:rsid w:val="00E57B3A"/>
    <w:rsid w:val="00E57EBA"/>
    <w:rsid w:val="00E601CB"/>
    <w:rsid w:val="00E60D9F"/>
    <w:rsid w:val="00E60E3A"/>
    <w:rsid w:val="00E61237"/>
    <w:rsid w:val="00E61297"/>
    <w:rsid w:val="00E61D22"/>
    <w:rsid w:val="00E61E6B"/>
    <w:rsid w:val="00E61F0C"/>
    <w:rsid w:val="00E621D4"/>
    <w:rsid w:val="00E62462"/>
    <w:rsid w:val="00E62A6B"/>
    <w:rsid w:val="00E62E0F"/>
    <w:rsid w:val="00E63637"/>
    <w:rsid w:val="00E638B2"/>
    <w:rsid w:val="00E639C0"/>
    <w:rsid w:val="00E64481"/>
    <w:rsid w:val="00E6470C"/>
    <w:rsid w:val="00E6476B"/>
    <w:rsid w:val="00E647C5"/>
    <w:rsid w:val="00E654C2"/>
    <w:rsid w:val="00E65510"/>
    <w:rsid w:val="00E65645"/>
    <w:rsid w:val="00E65ADE"/>
    <w:rsid w:val="00E65B32"/>
    <w:rsid w:val="00E65E29"/>
    <w:rsid w:val="00E6601D"/>
    <w:rsid w:val="00E6617E"/>
    <w:rsid w:val="00E6653D"/>
    <w:rsid w:val="00E66696"/>
    <w:rsid w:val="00E668E7"/>
    <w:rsid w:val="00E66F93"/>
    <w:rsid w:val="00E674E4"/>
    <w:rsid w:val="00E675AA"/>
    <w:rsid w:val="00E678F6"/>
    <w:rsid w:val="00E67A70"/>
    <w:rsid w:val="00E67A8B"/>
    <w:rsid w:val="00E67E4C"/>
    <w:rsid w:val="00E67F3F"/>
    <w:rsid w:val="00E67F8D"/>
    <w:rsid w:val="00E7067D"/>
    <w:rsid w:val="00E70768"/>
    <w:rsid w:val="00E70B71"/>
    <w:rsid w:val="00E70D87"/>
    <w:rsid w:val="00E70D89"/>
    <w:rsid w:val="00E71442"/>
    <w:rsid w:val="00E71542"/>
    <w:rsid w:val="00E718BA"/>
    <w:rsid w:val="00E719DF"/>
    <w:rsid w:val="00E71EEF"/>
    <w:rsid w:val="00E722F4"/>
    <w:rsid w:val="00E7231F"/>
    <w:rsid w:val="00E725E1"/>
    <w:rsid w:val="00E72609"/>
    <w:rsid w:val="00E727BD"/>
    <w:rsid w:val="00E72887"/>
    <w:rsid w:val="00E72A06"/>
    <w:rsid w:val="00E72B70"/>
    <w:rsid w:val="00E72C38"/>
    <w:rsid w:val="00E72FE1"/>
    <w:rsid w:val="00E731DD"/>
    <w:rsid w:val="00E736C9"/>
    <w:rsid w:val="00E73700"/>
    <w:rsid w:val="00E737A6"/>
    <w:rsid w:val="00E7394A"/>
    <w:rsid w:val="00E73C56"/>
    <w:rsid w:val="00E73D09"/>
    <w:rsid w:val="00E73F2A"/>
    <w:rsid w:val="00E74058"/>
    <w:rsid w:val="00E7407A"/>
    <w:rsid w:val="00E7408B"/>
    <w:rsid w:val="00E74B90"/>
    <w:rsid w:val="00E74BA0"/>
    <w:rsid w:val="00E75442"/>
    <w:rsid w:val="00E75529"/>
    <w:rsid w:val="00E7661B"/>
    <w:rsid w:val="00E76C75"/>
    <w:rsid w:val="00E76CA2"/>
    <w:rsid w:val="00E76CEC"/>
    <w:rsid w:val="00E7716B"/>
    <w:rsid w:val="00E771B5"/>
    <w:rsid w:val="00E77C31"/>
    <w:rsid w:val="00E77CE8"/>
    <w:rsid w:val="00E80287"/>
    <w:rsid w:val="00E806AE"/>
    <w:rsid w:val="00E80717"/>
    <w:rsid w:val="00E8102E"/>
    <w:rsid w:val="00E81037"/>
    <w:rsid w:val="00E8120D"/>
    <w:rsid w:val="00E812FD"/>
    <w:rsid w:val="00E8144E"/>
    <w:rsid w:val="00E81A4D"/>
    <w:rsid w:val="00E81C46"/>
    <w:rsid w:val="00E81D6C"/>
    <w:rsid w:val="00E820F6"/>
    <w:rsid w:val="00E82277"/>
    <w:rsid w:val="00E8239E"/>
    <w:rsid w:val="00E826FD"/>
    <w:rsid w:val="00E82849"/>
    <w:rsid w:val="00E82992"/>
    <w:rsid w:val="00E82A8F"/>
    <w:rsid w:val="00E82BE9"/>
    <w:rsid w:val="00E82D70"/>
    <w:rsid w:val="00E83030"/>
    <w:rsid w:val="00E832A4"/>
    <w:rsid w:val="00E83748"/>
    <w:rsid w:val="00E83A05"/>
    <w:rsid w:val="00E83D4D"/>
    <w:rsid w:val="00E84025"/>
    <w:rsid w:val="00E842CC"/>
    <w:rsid w:val="00E849FB"/>
    <w:rsid w:val="00E84C03"/>
    <w:rsid w:val="00E84CC6"/>
    <w:rsid w:val="00E84D4A"/>
    <w:rsid w:val="00E84D7D"/>
    <w:rsid w:val="00E8577D"/>
    <w:rsid w:val="00E85F5C"/>
    <w:rsid w:val="00E8622F"/>
    <w:rsid w:val="00E86246"/>
    <w:rsid w:val="00E8648E"/>
    <w:rsid w:val="00E86540"/>
    <w:rsid w:val="00E86BCA"/>
    <w:rsid w:val="00E86E4A"/>
    <w:rsid w:val="00E8755C"/>
    <w:rsid w:val="00E8759F"/>
    <w:rsid w:val="00E87673"/>
    <w:rsid w:val="00E87E9E"/>
    <w:rsid w:val="00E90246"/>
    <w:rsid w:val="00E9027A"/>
    <w:rsid w:val="00E9077F"/>
    <w:rsid w:val="00E90791"/>
    <w:rsid w:val="00E9083D"/>
    <w:rsid w:val="00E90B8B"/>
    <w:rsid w:val="00E90F9E"/>
    <w:rsid w:val="00E91BE1"/>
    <w:rsid w:val="00E91EF7"/>
    <w:rsid w:val="00E925A1"/>
    <w:rsid w:val="00E927C2"/>
    <w:rsid w:val="00E92B7F"/>
    <w:rsid w:val="00E92E68"/>
    <w:rsid w:val="00E92F36"/>
    <w:rsid w:val="00E93850"/>
    <w:rsid w:val="00E938AC"/>
    <w:rsid w:val="00E94BDB"/>
    <w:rsid w:val="00E955EE"/>
    <w:rsid w:val="00E95869"/>
    <w:rsid w:val="00E95BD5"/>
    <w:rsid w:val="00E95BF1"/>
    <w:rsid w:val="00E95E3B"/>
    <w:rsid w:val="00E95F8F"/>
    <w:rsid w:val="00E96028"/>
    <w:rsid w:val="00E96261"/>
    <w:rsid w:val="00E9645D"/>
    <w:rsid w:val="00E96C6C"/>
    <w:rsid w:val="00E97000"/>
    <w:rsid w:val="00E97116"/>
    <w:rsid w:val="00E973D0"/>
    <w:rsid w:val="00E97493"/>
    <w:rsid w:val="00E97585"/>
    <w:rsid w:val="00E97600"/>
    <w:rsid w:val="00E9772E"/>
    <w:rsid w:val="00E97BD8"/>
    <w:rsid w:val="00E97C89"/>
    <w:rsid w:val="00EA0033"/>
    <w:rsid w:val="00EA015D"/>
    <w:rsid w:val="00EA03D8"/>
    <w:rsid w:val="00EA0696"/>
    <w:rsid w:val="00EA09BB"/>
    <w:rsid w:val="00EA09F9"/>
    <w:rsid w:val="00EA0A3C"/>
    <w:rsid w:val="00EA0AB0"/>
    <w:rsid w:val="00EA0E77"/>
    <w:rsid w:val="00EA10C7"/>
    <w:rsid w:val="00EA1201"/>
    <w:rsid w:val="00EA17C8"/>
    <w:rsid w:val="00EA194D"/>
    <w:rsid w:val="00EA19F3"/>
    <w:rsid w:val="00EA1ACD"/>
    <w:rsid w:val="00EA1AED"/>
    <w:rsid w:val="00EA1D66"/>
    <w:rsid w:val="00EA2686"/>
    <w:rsid w:val="00EA26DB"/>
    <w:rsid w:val="00EA291C"/>
    <w:rsid w:val="00EA2AD5"/>
    <w:rsid w:val="00EA2C9D"/>
    <w:rsid w:val="00EA30ED"/>
    <w:rsid w:val="00EA32D3"/>
    <w:rsid w:val="00EA33CF"/>
    <w:rsid w:val="00EA39D2"/>
    <w:rsid w:val="00EA409E"/>
    <w:rsid w:val="00EA43D6"/>
    <w:rsid w:val="00EA4AE9"/>
    <w:rsid w:val="00EA51C1"/>
    <w:rsid w:val="00EA59C9"/>
    <w:rsid w:val="00EA5C4E"/>
    <w:rsid w:val="00EA5D10"/>
    <w:rsid w:val="00EA5DC1"/>
    <w:rsid w:val="00EA6A90"/>
    <w:rsid w:val="00EA6AD8"/>
    <w:rsid w:val="00EA6CC1"/>
    <w:rsid w:val="00EA6ED6"/>
    <w:rsid w:val="00EA6F59"/>
    <w:rsid w:val="00EA6FDE"/>
    <w:rsid w:val="00EA792B"/>
    <w:rsid w:val="00EB0406"/>
    <w:rsid w:val="00EB0984"/>
    <w:rsid w:val="00EB09A7"/>
    <w:rsid w:val="00EB0CA8"/>
    <w:rsid w:val="00EB0EB0"/>
    <w:rsid w:val="00EB0ED8"/>
    <w:rsid w:val="00EB0F07"/>
    <w:rsid w:val="00EB11D6"/>
    <w:rsid w:val="00EB150D"/>
    <w:rsid w:val="00EB17F7"/>
    <w:rsid w:val="00EB1930"/>
    <w:rsid w:val="00EB1E09"/>
    <w:rsid w:val="00EB2708"/>
    <w:rsid w:val="00EB2830"/>
    <w:rsid w:val="00EB3013"/>
    <w:rsid w:val="00EB3196"/>
    <w:rsid w:val="00EB3694"/>
    <w:rsid w:val="00EB3700"/>
    <w:rsid w:val="00EB37D1"/>
    <w:rsid w:val="00EB3974"/>
    <w:rsid w:val="00EB3BA4"/>
    <w:rsid w:val="00EB3DCF"/>
    <w:rsid w:val="00EB449E"/>
    <w:rsid w:val="00EB4DCD"/>
    <w:rsid w:val="00EB4F33"/>
    <w:rsid w:val="00EB5022"/>
    <w:rsid w:val="00EB56A7"/>
    <w:rsid w:val="00EB58F3"/>
    <w:rsid w:val="00EB5B99"/>
    <w:rsid w:val="00EB610D"/>
    <w:rsid w:val="00EB6381"/>
    <w:rsid w:val="00EB64B1"/>
    <w:rsid w:val="00EB653C"/>
    <w:rsid w:val="00EB69CF"/>
    <w:rsid w:val="00EB6E24"/>
    <w:rsid w:val="00EB78CD"/>
    <w:rsid w:val="00EB7B26"/>
    <w:rsid w:val="00EB7B92"/>
    <w:rsid w:val="00EB7C54"/>
    <w:rsid w:val="00EB7CE6"/>
    <w:rsid w:val="00EB7DA2"/>
    <w:rsid w:val="00EC0374"/>
    <w:rsid w:val="00EC0444"/>
    <w:rsid w:val="00EC0DC6"/>
    <w:rsid w:val="00EC0DE4"/>
    <w:rsid w:val="00EC0F74"/>
    <w:rsid w:val="00EC10B6"/>
    <w:rsid w:val="00EC16EB"/>
    <w:rsid w:val="00EC173F"/>
    <w:rsid w:val="00EC1865"/>
    <w:rsid w:val="00EC1CC4"/>
    <w:rsid w:val="00EC1CCD"/>
    <w:rsid w:val="00EC1D8E"/>
    <w:rsid w:val="00EC1E0C"/>
    <w:rsid w:val="00EC23FC"/>
    <w:rsid w:val="00EC255D"/>
    <w:rsid w:val="00EC297B"/>
    <w:rsid w:val="00EC29D0"/>
    <w:rsid w:val="00EC31C9"/>
    <w:rsid w:val="00EC36B7"/>
    <w:rsid w:val="00EC3925"/>
    <w:rsid w:val="00EC3EDC"/>
    <w:rsid w:val="00EC406F"/>
    <w:rsid w:val="00EC4620"/>
    <w:rsid w:val="00EC5563"/>
    <w:rsid w:val="00EC5DA0"/>
    <w:rsid w:val="00EC61AD"/>
    <w:rsid w:val="00EC6711"/>
    <w:rsid w:val="00EC719B"/>
    <w:rsid w:val="00EC7262"/>
    <w:rsid w:val="00EC7665"/>
    <w:rsid w:val="00EC7676"/>
    <w:rsid w:val="00EC79F8"/>
    <w:rsid w:val="00ED0047"/>
    <w:rsid w:val="00ED010A"/>
    <w:rsid w:val="00ED078F"/>
    <w:rsid w:val="00ED0FDB"/>
    <w:rsid w:val="00ED1367"/>
    <w:rsid w:val="00ED1476"/>
    <w:rsid w:val="00ED17AF"/>
    <w:rsid w:val="00ED1C69"/>
    <w:rsid w:val="00ED2162"/>
    <w:rsid w:val="00ED25F4"/>
    <w:rsid w:val="00ED271F"/>
    <w:rsid w:val="00ED2982"/>
    <w:rsid w:val="00ED3174"/>
    <w:rsid w:val="00ED3246"/>
    <w:rsid w:val="00ED3857"/>
    <w:rsid w:val="00ED3929"/>
    <w:rsid w:val="00ED3DF9"/>
    <w:rsid w:val="00ED418E"/>
    <w:rsid w:val="00ED4215"/>
    <w:rsid w:val="00ED4DAB"/>
    <w:rsid w:val="00ED52A9"/>
    <w:rsid w:val="00ED55C8"/>
    <w:rsid w:val="00ED56BC"/>
    <w:rsid w:val="00ED5FD4"/>
    <w:rsid w:val="00ED61AA"/>
    <w:rsid w:val="00ED69DF"/>
    <w:rsid w:val="00ED7364"/>
    <w:rsid w:val="00ED73EA"/>
    <w:rsid w:val="00ED77ED"/>
    <w:rsid w:val="00ED7808"/>
    <w:rsid w:val="00ED7957"/>
    <w:rsid w:val="00ED7B96"/>
    <w:rsid w:val="00ED7BC4"/>
    <w:rsid w:val="00ED7BC9"/>
    <w:rsid w:val="00ED7C74"/>
    <w:rsid w:val="00ED7E6C"/>
    <w:rsid w:val="00EE04F4"/>
    <w:rsid w:val="00EE089B"/>
    <w:rsid w:val="00EE0C84"/>
    <w:rsid w:val="00EE1098"/>
    <w:rsid w:val="00EE2262"/>
    <w:rsid w:val="00EE248B"/>
    <w:rsid w:val="00EE28EB"/>
    <w:rsid w:val="00EE2995"/>
    <w:rsid w:val="00EE29C8"/>
    <w:rsid w:val="00EE3099"/>
    <w:rsid w:val="00EE35E4"/>
    <w:rsid w:val="00EE3AC1"/>
    <w:rsid w:val="00EE3AF9"/>
    <w:rsid w:val="00EE3B91"/>
    <w:rsid w:val="00EE3B97"/>
    <w:rsid w:val="00EE3C91"/>
    <w:rsid w:val="00EE3CB0"/>
    <w:rsid w:val="00EE43DF"/>
    <w:rsid w:val="00EE480F"/>
    <w:rsid w:val="00EE4ADF"/>
    <w:rsid w:val="00EE4C45"/>
    <w:rsid w:val="00EE4C48"/>
    <w:rsid w:val="00EE4DB0"/>
    <w:rsid w:val="00EE5156"/>
    <w:rsid w:val="00EE51F7"/>
    <w:rsid w:val="00EE5535"/>
    <w:rsid w:val="00EE58CA"/>
    <w:rsid w:val="00EE5A7D"/>
    <w:rsid w:val="00EE5CF9"/>
    <w:rsid w:val="00EE63A5"/>
    <w:rsid w:val="00EE6850"/>
    <w:rsid w:val="00EE730D"/>
    <w:rsid w:val="00EE7410"/>
    <w:rsid w:val="00EE7EF5"/>
    <w:rsid w:val="00EF018C"/>
    <w:rsid w:val="00EF1014"/>
    <w:rsid w:val="00EF107D"/>
    <w:rsid w:val="00EF111A"/>
    <w:rsid w:val="00EF1122"/>
    <w:rsid w:val="00EF12CE"/>
    <w:rsid w:val="00EF1617"/>
    <w:rsid w:val="00EF1DF1"/>
    <w:rsid w:val="00EF2373"/>
    <w:rsid w:val="00EF23A9"/>
    <w:rsid w:val="00EF28B7"/>
    <w:rsid w:val="00EF2D51"/>
    <w:rsid w:val="00EF2EA2"/>
    <w:rsid w:val="00EF3A65"/>
    <w:rsid w:val="00EF3A86"/>
    <w:rsid w:val="00EF411B"/>
    <w:rsid w:val="00EF429D"/>
    <w:rsid w:val="00EF433F"/>
    <w:rsid w:val="00EF446C"/>
    <w:rsid w:val="00EF47D4"/>
    <w:rsid w:val="00EF4978"/>
    <w:rsid w:val="00EF4ED7"/>
    <w:rsid w:val="00EF5027"/>
    <w:rsid w:val="00EF5363"/>
    <w:rsid w:val="00EF5642"/>
    <w:rsid w:val="00EF5798"/>
    <w:rsid w:val="00EF5C54"/>
    <w:rsid w:val="00EF5CA4"/>
    <w:rsid w:val="00EF5D37"/>
    <w:rsid w:val="00EF626C"/>
    <w:rsid w:val="00EF6390"/>
    <w:rsid w:val="00EF68E2"/>
    <w:rsid w:val="00EF6DBD"/>
    <w:rsid w:val="00EF740F"/>
    <w:rsid w:val="00EF789A"/>
    <w:rsid w:val="00EF7A88"/>
    <w:rsid w:val="00EF7BF8"/>
    <w:rsid w:val="00F00496"/>
    <w:rsid w:val="00F00CE1"/>
    <w:rsid w:val="00F00CFE"/>
    <w:rsid w:val="00F00D42"/>
    <w:rsid w:val="00F00FE3"/>
    <w:rsid w:val="00F013B5"/>
    <w:rsid w:val="00F017D2"/>
    <w:rsid w:val="00F01B1A"/>
    <w:rsid w:val="00F01BC7"/>
    <w:rsid w:val="00F01E2D"/>
    <w:rsid w:val="00F02470"/>
    <w:rsid w:val="00F02F7A"/>
    <w:rsid w:val="00F03024"/>
    <w:rsid w:val="00F03564"/>
    <w:rsid w:val="00F035BD"/>
    <w:rsid w:val="00F03884"/>
    <w:rsid w:val="00F0388F"/>
    <w:rsid w:val="00F03E41"/>
    <w:rsid w:val="00F0411F"/>
    <w:rsid w:val="00F043AC"/>
    <w:rsid w:val="00F0443B"/>
    <w:rsid w:val="00F0444D"/>
    <w:rsid w:val="00F044F5"/>
    <w:rsid w:val="00F046BF"/>
    <w:rsid w:val="00F04917"/>
    <w:rsid w:val="00F04982"/>
    <w:rsid w:val="00F04C8F"/>
    <w:rsid w:val="00F05361"/>
    <w:rsid w:val="00F057BE"/>
    <w:rsid w:val="00F058F7"/>
    <w:rsid w:val="00F05AD8"/>
    <w:rsid w:val="00F06217"/>
    <w:rsid w:val="00F06A70"/>
    <w:rsid w:val="00F06DA2"/>
    <w:rsid w:val="00F06F06"/>
    <w:rsid w:val="00F06F74"/>
    <w:rsid w:val="00F07770"/>
    <w:rsid w:val="00F100A4"/>
    <w:rsid w:val="00F10262"/>
    <w:rsid w:val="00F109F6"/>
    <w:rsid w:val="00F10CD3"/>
    <w:rsid w:val="00F1110F"/>
    <w:rsid w:val="00F11128"/>
    <w:rsid w:val="00F11377"/>
    <w:rsid w:val="00F1151D"/>
    <w:rsid w:val="00F120DB"/>
    <w:rsid w:val="00F12317"/>
    <w:rsid w:val="00F124F5"/>
    <w:rsid w:val="00F12623"/>
    <w:rsid w:val="00F12A41"/>
    <w:rsid w:val="00F12C52"/>
    <w:rsid w:val="00F12F61"/>
    <w:rsid w:val="00F1398B"/>
    <w:rsid w:val="00F13A62"/>
    <w:rsid w:val="00F13AA9"/>
    <w:rsid w:val="00F13CDD"/>
    <w:rsid w:val="00F13DA3"/>
    <w:rsid w:val="00F13E59"/>
    <w:rsid w:val="00F13E81"/>
    <w:rsid w:val="00F13FB6"/>
    <w:rsid w:val="00F14371"/>
    <w:rsid w:val="00F14439"/>
    <w:rsid w:val="00F146AD"/>
    <w:rsid w:val="00F14A25"/>
    <w:rsid w:val="00F150A4"/>
    <w:rsid w:val="00F1638E"/>
    <w:rsid w:val="00F16628"/>
    <w:rsid w:val="00F17169"/>
    <w:rsid w:val="00F175A1"/>
    <w:rsid w:val="00F178FD"/>
    <w:rsid w:val="00F17B97"/>
    <w:rsid w:val="00F17D33"/>
    <w:rsid w:val="00F208FF"/>
    <w:rsid w:val="00F20945"/>
    <w:rsid w:val="00F20C25"/>
    <w:rsid w:val="00F211EB"/>
    <w:rsid w:val="00F21269"/>
    <w:rsid w:val="00F216B8"/>
    <w:rsid w:val="00F2191A"/>
    <w:rsid w:val="00F21B4C"/>
    <w:rsid w:val="00F21BA2"/>
    <w:rsid w:val="00F21E4B"/>
    <w:rsid w:val="00F232DC"/>
    <w:rsid w:val="00F233E8"/>
    <w:rsid w:val="00F23916"/>
    <w:rsid w:val="00F23984"/>
    <w:rsid w:val="00F23EEC"/>
    <w:rsid w:val="00F24021"/>
    <w:rsid w:val="00F242E2"/>
    <w:rsid w:val="00F244A7"/>
    <w:rsid w:val="00F2481D"/>
    <w:rsid w:val="00F25284"/>
    <w:rsid w:val="00F25388"/>
    <w:rsid w:val="00F254B5"/>
    <w:rsid w:val="00F257FD"/>
    <w:rsid w:val="00F2587E"/>
    <w:rsid w:val="00F259E4"/>
    <w:rsid w:val="00F25B95"/>
    <w:rsid w:val="00F25D87"/>
    <w:rsid w:val="00F25D98"/>
    <w:rsid w:val="00F25DCB"/>
    <w:rsid w:val="00F26F7F"/>
    <w:rsid w:val="00F273FF"/>
    <w:rsid w:val="00F27656"/>
    <w:rsid w:val="00F27CD2"/>
    <w:rsid w:val="00F3008B"/>
    <w:rsid w:val="00F305C5"/>
    <w:rsid w:val="00F3070A"/>
    <w:rsid w:val="00F309F3"/>
    <w:rsid w:val="00F30AB8"/>
    <w:rsid w:val="00F30C11"/>
    <w:rsid w:val="00F30E3E"/>
    <w:rsid w:val="00F30FB8"/>
    <w:rsid w:val="00F3176A"/>
    <w:rsid w:val="00F3177C"/>
    <w:rsid w:val="00F31801"/>
    <w:rsid w:val="00F31E7A"/>
    <w:rsid w:val="00F321D0"/>
    <w:rsid w:val="00F32735"/>
    <w:rsid w:val="00F32A47"/>
    <w:rsid w:val="00F32F64"/>
    <w:rsid w:val="00F33576"/>
    <w:rsid w:val="00F33871"/>
    <w:rsid w:val="00F34564"/>
    <w:rsid w:val="00F3489E"/>
    <w:rsid w:val="00F34BF4"/>
    <w:rsid w:val="00F34D31"/>
    <w:rsid w:val="00F34D3A"/>
    <w:rsid w:val="00F352CC"/>
    <w:rsid w:val="00F354B5"/>
    <w:rsid w:val="00F35BB3"/>
    <w:rsid w:val="00F35F25"/>
    <w:rsid w:val="00F360FF"/>
    <w:rsid w:val="00F36711"/>
    <w:rsid w:val="00F36823"/>
    <w:rsid w:val="00F36B53"/>
    <w:rsid w:val="00F37008"/>
    <w:rsid w:val="00F3783A"/>
    <w:rsid w:val="00F37B48"/>
    <w:rsid w:val="00F37BA6"/>
    <w:rsid w:val="00F37BBF"/>
    <w:rsid w:val="00F37C02"/>
    <w:rsid w:val="00F40F43"/>
    <w:rsid w:val="00F40F6B"/>
    <w:rsid w:val="00F41420"/>
    <w:rsid w:val="00F4194E"/>
    <w:rsid w:val="00F4219F"/>
    <w:rsid w:val="00F423B7"/>
    <w:rsid w:val="00F42C0E"/>
    <w:rsid w:val="00F43094"/>
    <w:rsid w:val="00F4370C"/>
    <w:rsid w:val="00F43D56"/>
    <w:rsid w:val="00F43E46"/>
    <w:rsid w:val="00F43F3E"/>
    <w:rsid w:val="00F444BD"/>
    <w:rsid w:val="00F44787"/>
    <w:rsid w:val="00F44A2B"/>
    <w:rsid w:val="00F4512B"/>
    <w:rsid w:val="00F451FD"/>
    <w:rsid w:val="00F45665"/>
    <w:rsid w:val="00F45870"/>
    <w:rsid w:val="00F458EB"/>
    <w:rsid w:val="00F45BA6"/>
    <w:rsid w:val="00F45DCF"/>
    <w:rsid w:val="00F45E5B"/>
    <w:rsid w:val="00F4618F"/>
    <w:rsid w:val="00F46455"/>
    <w:rsid w:val="00F4675E"/>
    <w:rsid w:val="00F469AB"/>
    <w:rsid w:val="00F46B2F"/>
    <w:rsid w:val="00F46B37"/>
    <w:rsid w:val="00F46B62"/>
    <w:rsid w:val="00F46F40"/>
    <w:rsid w:val="00F47BC3"/>
    <w:rsid w:val="00F47DF8"/>
    <w:rsid w:val="00F47EC4"/>
    <w:rsid w:val="00F47F7C"/>
    <w:rsid w:val="00F50252"/>
    <w:rsid w:val="00F5036C"/>
    <w:rsid w:val="00F5051D"/>
    <w:rsid w:val="00F50754"/>
    <w:rsid w:val="00F50772"/>
    <w:rsid w:val="00F50F40"/>
    <w:rsid w:val="00F5127A"/>
    <w:rsid w:val="00F519A7"/>
    <w:rsid w:val="00F51A09"/>
    <w:rsid w:val="00F5215A"/>
    <w:rsid w:val="00F52179"/>
    <w:rsid w:val="00F521B2"/>
    <w:rsid w:val="00F52456"/>
    <w:rsid w:val="00F524F8"/>
    <w:rsid w:val="00F5251C"/>
    <w:rsid w:val="00F5266A"/>
    <w:rsid w:val="00F53059"/>
    <w:rsid w:val="00F5307C"/>
    <w:rsid w:val="00F53139"/>
    <w:rsid w:val="00F53507"/>
    <w:rsid w:val="00F537C0"/>
    <w:rsid w:val="00F53814"/>
    <w:rsid w:val="00F538AA"/>
    <w:rsid w:val="00F538CD"/>
    <w:rsid w:val="00F53C12"/>
    <w:rsid w:val="00F543E0"/>
    <w:rsid w:val="00F548B4"/>
    <w:rsid w:val="00F5496D"/>
    <w:rsid w:val="00F54B91"/>
    <w:rsid w:val="00F54EAA"/>
    <w:rsid w:val="00F5532C"/>
    <w:rsid w:val="00F55C4F"/>
    <w:rsid w:val="00F55FBA"/>
    <w:rsid w:val="00F56412"/>
    <w:rsid w:val="00F56501"/>
    <w:rsid w:val="00F568FA"/>
    <w:rsid w:val="00F56DEC"/>
    <w:rsid w:val="00F57046"/>
    <w:rsid w:val="00F5707E"/>
    <w:rsid w:val="00F5727F"/>
    <w:rsid w:val="00F57935"/>
    <w:rsid w:val="00F57B81"/>
    <w:rsid w:val="00F57F65"/>
    <w:rsid w:val="00F60299"/>
    <w:rsid w:val="00F602BB"/>
    <w:rsid w:val="00F60422"/>
    <w:rsid w:val="00F6127E"/>
    <w:rsid w:val="00F61345"/>
    <w:rsid w:val="00F615C3"/>
    <w:rsid w:val="00F615F6"/>
    <w:rsid w:val="00F61AB2"/>
    <w:rsid w:val="00F61B65"/>
    <w:rsid w:val="00F61CCA"/>
    <w:rsid w:val="00F623A1"/>
    <w:rsid w:val="00F6249D"/>
    <w:rsid w:val="00F62943"/>
    <w:rsid w:val="00F62D56"/>
    <w:rsid w:val="00F62F0F"/>
    <w:rsid w:val="00F62FCE"/>
    <w:rsid w:val="00F62FF2"/>
    <w:rsid w:val="00F6320C"/>
    <w:rsid w:val="00F63382"/>
    <w:rsid w:val="00F63528"/>
    <w:rsid w:val="00F63740"/>
    <w:rsid w:val="00F63BA6"/>
    <w:rsid w:val="00F63EA5"/>
    <w:rsid w:val="00F64804"/>
    <w:rsid w:val="00F64AE0"/>
    <w:rsid w:val="00F65255"/>
    <w:rsid w:val="00F65440"/>
    <w:rsid w:val="00F65A27"/>
    <w:rsid w:val="00F665FB"/>
    <w:rsid w:val="00F66BB2"/>
    <w:rsid w:val="00F66DC0"/>
    <w:rsid w:val="00F671F3"/>
    <w:rsid w:val="00F67670"/>
    <w:rsid w:val="00F6774F"/>
    <w:rsid w:val="00F67CF0"/>
    <w:rsid w:val="00F705A3"/>
    <w:rsid w:val="00F70871"/>
    <w:rsid w:val="00F70CAC"/>
    <w:rsid w:val="00F70D62"/>
    <w:rsid w:val="00F7131B"/>
    <w:rsid w:val="00F713EA"/>
    <w:rsid w:val="00F715E7"/>
    <w:rsid w:val="00F716E2"/>
    <w:rsid w:val="00F717F3"/>
    <w:rsid w:val="00F72086"/>
    <w:rsid w:val="00F73151"/>
    <w:rsid w:val="00F732C2"/>
    <w:rsid w:val="00F73388"/>
    <w:rsid w:val="00F733E1"/>
    <w:rsid w:val="00F73500"/>
    <w:rsid w:val="00F73540"/>
    <w:rsid w:val="00F73A7A"/>
    <w:rsid w:val="00F73AF2"/>
    <w:rsid w:val="00F73D59"/>
    <w:rsid w:val="00F743E4"/>
    <w:rsid w:val="00F747FA"/>
    <w:rsid w:val="00F7482B"/>
    <w:rsid w:val="00F74F94"/>
    <w:rsid w:val="00F754A6"/>
    <w:rsid w:val="00F757E6"/>
    <w:rsid w:val="00F76011"/>
    <w:rsid w:val="00F764BB"/>
    <w:rsid w:val="00F76AB9"/>
    <w:rsid w:val="00F77142"/>
    <w:rsid w:val="00F77897"/>
    <w:rsid w:val="00F77AE7"/>
    <w:rsid w:val="00F77C39"/>
    <w:rsid w:val="00F77CF3"/>
    <w:rsid w:val="00F80069"/>
    <w:rsid w:val="00F8013D"/>
    <w:rsid w:val="00F80224"/>
    <w:rsid w:val="00F803CD"/>
    <w:rsid w:val="00F804B7"/>
    <w:rsid w:val="00F80793"/>
    <w:rsid w:val="00F80CDA"/>
    <w:rsid w:val="00F81145"/>
    <w:rsid w:val="00F81651"/>
    <w:rsid w:val="00F81666"/>
    <w:rsid w:val="00F818AF"/>
    <w:rsid w:val="00F81E60"/>
    <w:rsid w:val="00F82323"/>
    <w:rsid w:val="00F82AF8"/>
    <w:rsid w:val="00F82D29"/>
    <w:rsid w:val="00F83750"/>
    <w:rsid w:val="00F8453D"/>
    <w:rsid w:val="00F84750"/>
    <w:rsid w:val="00F84949"/>
    <w:rsid w:val="00F84F49"/>
    <w:rsid w:val="00F8557F"/>
    <w:rsid w:val="00F8599C"/>
    <w:rsid w:val="00F86885"/>
    <w:rsid w:val="00F870F9"/>
    <w:rsid w:val="00F8777F"/>
    <w:rsid w:val="00F908E1"/>
    <w:rsid w:val="00F90ADD"/>
    <w:rsid w:val="00F914C0"/>
    <w:rsid w:val="00F9175C"/>
    <w:rsid w:val="00F91907"/>
    <w:rsid w:val="00F91A13"/>
    <w:rsid w:val="00F91BC5"/>
    <w:rsid w:val="00F91CCF"/>
    <w:rsid w:val="00F92C78"/>
    <w:rsid w:val="00F92DC9"/>
    <w:rsid w:val="00F9306B"/>
    <w:rsid w:val="00F93195"/>
    <w:rsid w:val="00F9319A"/>
    <w:rsid w:val="00F9337F"/>
    <w:rsid w:val="00F9372D"/>
    <w:rsid w:val="00F938EC"/>
    <w:rsid w:val="00F93901"/>
    <w:rsid w:val="00F93F36"/>
    <w:rsid w:val="00F93FCB"/>
    <w:rsid w:val="00F94BC3"/>
    <w:rsid w:val="00F94C71"/>
    <w:rsid w:val="00F94EC9"/>
    <w:rsid w:val="00F95807"/>
    <w:rsid w:val="00F958B8"/>
    <w:rsid w:val="00F95C1D"/>
    <w:rsid w:val="00F95E59"/>
    <w:rsid w:val="00F9653D"/>
    <w:rsid w:val="00F970C8"/>
    <w:rsid w:val="00F978DE"/>
    <w:rsid w:val="00F97E1F"/>
    <w:rsid w:val="00FA04F1"/>
    <w:rsid w:val="00FA04F3"/>
    <w:rsid w:val="00FA08E2"/>
    <w:rsid w:val="00FA0EF2"/>
    <w:rsid w:val="00FA15D7"/>
    <w:rsid w:val="00FA15FB"/>
    <w:rsid w:val="00FA200D"/>
    <w:rsid w:val="00FA21E6"/>
    <w:rsid w:val="00FA2533"/>
    <w:rsid w:val="00FA31FC"/>
    <w:rsid w:val="00FA3486"/>
    <w:rsid w:val="00FA3633"/>
    <w:rsid w:val="00FA3C68"/>
    <w:rsid w:val="00FA40CA"/>
    <w:rsid w:val="00FA41D7"/>
    <w:rsid w:val="00FA438D"/>
    <w:rsid w:val="00FA4837"/>
    <w:rsid w:val="00FA4F83"/>
    <w:rsid w:val="00FA5133"/>
    <w:rsid w:val="00FA53B3"/>
    <w:rsid w:val="00FA5BE0"/>
    <w:rsid w:val="00FA600A"/>
    <w:rsid w:val="00FA637C"/>
    <w:rsid w:val="00FA63DB"/>
    <w:rsid w:val="00FA685E"/>
    <w:rsid w:val="00FA6A55"/>
    <w:rsid w:val="00FA6B7B"/>
    <w:rsid w:val="00FA6D94"/>
    <w:rsid w:val="00FA7087"/>
    <w:rsid w:val="00FA728E"/>
    <w:rsid w:val="00FA72EB"/>
    <w:rsid w:val="00FA75EA"/>
    <w:rsid w:val="00FA767D"/>
    <w:rsid w:val="00FA77CF"/>
    <w:rsid w:val="00FB018A"/>
    <w:rsid w:val="00FB0205"/>
    <w:rsid w:val="00FB0B2A"/>
    <w:rsid w:val="00FB0D98"/>
    <w:rsid w:val="00FB112C"/>
    <w:rsid w:val="00FB165B"/>
    <w:rsid w:val="00FB2105"/>
    <w:rsid w:val="00FB2145"/>
    <w:rsid w:val="00FB2297"/>
    <w:rsid w:val="00FB23C1"/>
    <w:rsid w:val="00FB248D"/>
    <w:rsid w:val="00FB2691"/>
    <w:rsid w:val="00FB2CFB"/>
    <w:rsid w:val="00FB322E"/>
    <w:rsid w:val="00FB3DD3"/>
    <w:rsid w:val="00FB3F07"/>
    <w:rsid w:val="00FB3F6F"/>
    <w:rsid w:val="00FB42FA"/>
    <w:rsid w:val="00FB43E8"/>
    <w:rsid w:val="00FB4522"/>
    <w:rsid w:val="00FB49A1"/>
    <w:rsid w:val="00FB4D47"/>
    <w:rsid w:val="00FB4D4E"/>
    <w:rsid w:val="00FB4E87"/>
    <w:rsid w:val="00FB531B"/>
    <w:rsid w:val="00FB564D"/>
    <w:rsid w:val="00FB5809"/>
    <w:rsid w:val="00FB5AA9"/>
    <w:rsid w:val="00FB5AEC"/>
    <w:rsid w:val="00FB5C87"/>
    <w:rsid w:val="00FB5F5C"/>
    <w:rsid w:val="00FB640B"/>
    <w:rsid w:val="00FB64A3"/>
    <w:rsid w:val="00FB6A55"/>
    <w:rsid w:val="00FB6A8A"/>
    <w:rsid w:val="00FB6C25"/>
    <w:rsid w:val="00FB705A"/>
    <w:rsid w:val="00FB7229"/>
    <w:rsid w:val="00FB7CEE"/>
    <w:rsid w:val="00FB7D43"/>
    <w:rsid w:val="00FB7DEE"/>
    <w:rsid w:val="00FB7FEF"/>
    <w:rsid w:val="00FC0454"/>
    <w:rsid w:val="00FC0FDA"/>
    <w:rsid w:val="00FC1212"/>
    <w:rsid w:val="00FC1397"/>
    <w:rsid w:val="00FC16FF"/>
    <w:rsid w:val="00FC1F55"/>
    <w:rsid w:val="00FC22FF"/>
    <w:rsid w:val="00FC2893"/>
    <w:rsid w:val="00FC2A8F"/>
    <w:rsid w:val="00FC2F39"/>
    <w:rsid w:val="00FC32D8"/>
    <w:rsid w:val="00FC33FF"/>
    <w:rsid w:val="00FC3E5E"/>
    <w:rsid w:val="00FC41C6"/>
    <w:rsid w:val="00FC432A"/>
    <w:rsid w:val="00FC4368"/>
    <w:rsid w:val="00FC44D7"/>
    <w:rsid w:val="00FC4D34"/>
    <w:rsid w:val="00FC4DBA"/>
    <w:rsid w:val="00FC502D"/>
    <w:rsid w:val="00FC5269"/>
    <w:rsid w:val="00FC5499"/>
    <w:rsid w:val="00FC54A3"/>
    <w:rsid w:val="00FC56A8"/>
    <w:rsid w:val="00FC581A"/>
    <w:rsid w:val="00FC5A57"/>
    <w:rsid w:val="00FC5E71"/>
    <w:rsid w:val="00FC5FE1"/>
    <w:rsid w:val="00FC618F"/>
    <w:rsid w:val="00FC641A"/>
    <w:rsid w:val="00FC68B4"/>
    <w:rsid w:val="00FC738B"/>
    <w:rsid w:val="00FC75C5"/>
    <w:rsid w:val="00FC78C7"/>
    <w:rsid w:val="00FC79BA"/>
    <w:rsid w:val="00FC7A2C"/>
    <w:rsid w:val="00FC7B26"/>
    <w:rsid w:val="00FD042B"/>
    <w:rsid w:val="00FD0533"/>
    <w:rsid w:val="00FD056E"/>
    <w:rsid w:val="00FD0925"/>
    <w:rsid w:val="00FD0D7D"/>
    <w:rsid w:val="00FD0F5B"/>
    <w:rsid w:val="00FD107C"/>
    <w:rsid w:val="00FD15CB"/>
    <w:rsid w:val="00FD197C"/>
    <w:rsid w:val="00FD1B56"/>
    <w:rsid w:val="00FD20CF"/>
    <w:rsid w:val="00FD27A5"/>
    <w:rsid w:val="00FD2A77"/>
    <w:rsid w:val="00FD2BBD"/>
    <w:rsid w:val="00FD3123"/>
    <w:rsid w:val="00FD31FC"/>
    <w:rsid w:val="00FD3401"/>
    <w:rsid w:val="00FD3907"/>
    <w:rsid w:val="00FD3A86"/>
    <w:rsid w:val="00FD4237"/>
    <w:rsid w:val="00FD47C8"/>
    <w:rsid w:val="00FD4951"/>
    <w:rsid w:val="00FD4EF5"/>
    <w:rsid w:val="00FD5638"/>
    <w:rsid w:val="00FD5D89"/>
    <w:rsid w:val="00FD5FE0"/>
    <w:rsid w:val="00FD6488"/>
    <w:rsid w:val="00FD66E4"/>
    <w:rsid w:val="00FD6727"/>
    <w:rsid w:val="00FD6AC9"/>
    <w:rsid w:val="00FD6B5A"/>
    <w:rsid w:val="00FD6EEF"/>
    <w:rsid w:val="00FD755E"/>
    <w:rsid w:val="00FD7861"/>
    <w:rsid w:val="00FD786F"/>
    <w:rsid w:val="00FD7A8E"/>
    <w:rsid w:val="00FE0349"/>
    <w:rsid w:val="00FE0A25"/>
    <w:rsid w:val="00FE0B87"/>
    <w:rsid w:val="00FE0BB6"/>
    <w:rsid w:val="00FE0E95"/>
    <w:rsid w:val="00FE0F43"/>
    <w:rsid w:val="00FE11D4"/>
    <w:rsid w:val="00FE120E"/>
    <w:rsid w:val="00FE1263"/>
    <w:rsid w:val="00FE12AA"/>
    <w:rsid w:val="00FE1304"/>
    <w:rsid w:val="00FE1873"/>
    <w:rsid w:val="00FE1B42"/>
    <w:rsid w:val="00FE1BD2"/>
    <w:rsid w:val="00FE1C2A"/>
    <w:rsid w:val="00FE23BE"/>
    <w:rsid w:val="00FE268C"/>
    <w:rsid w:val="00FE2851"/>
    <w:rsid w:val="00FE2BF7"/>
    <w:rsid w:val="00FE2FBE"/>
    <w:rsid w:val="00FE339A"/>
    <w:rsid w:val="00FE3704"/>
    <w:rsid w:val="00FE39F6"/>
    <w:rsid w:val="00FE3ADC"/>
    <w:rsid w:val="00FE3F1C"/>
    <w:rsid w:val="00FE4079"/>
    <w:rsid w:val="00FE46B4"/>
    <w:rsid w:val="00FE484C"/>
    <w:rsid w:val="00FE4C45"/>
    <w:rsid w:val="00FE4CF1"/>
    <w:rsid w:val="00FE4CFE"/>
    <w:rsid w:val="00FE50B8"/>
    <w:rsid w:val="00FE56EF"/>
    <w:rsid w:val="00FE5D12"/>
    <w:rsid w:val="00FE5DE6"/>
    <w:rsid w:val="00FE5EA2"/>
    <w:rsid w:val="00FE5FDC"/>
    <w:rsid w:val="00FE60A1"/>
    <w:rsid w:val="00FE64E6"/>
    <w:rsid w:val="00FE7023"/>
    <w:rsid w:val="00FE72A0"/>
    <w:rsid w:val="00FE7D95"/>
    <w:rsid w:val="00FE7E7A"/>
    <w:rsid w:val="00FF0282"/>
    <w:rsid w:val="00FF0775"/>
    <w:rsid w:val="00FF07B7"/>
    <w:rsid w:val="00FF0C96"/>
    <w:rsid w:val="00FF1154"/>
    <w:rsid w:val="00FF12FD"/>
    <w:rsid w:val="00FF130D"/>
    <w:rsid w:val="00FF172C"/>
    <w:rsid w:val="00FF21B2"/>
    <w:rsid w:val="00FF2723"/>
    <w:rsid w:val="00FF27B1"/>
    <w:rsid w:val="00FF282C"/>
    <w:rsid w:val="00FF2945"/>
    <w:rsid w:val="00FF2B1D"/>
    <w:rsid w:val="00FF2C8C"/>
    <w:rsid w:val="00FF2DAD"/>
    <w:rsid w:val="00FF451D"/>
    <w:rsid w:val="00FF4CE8"/>
    <w:rsid w:val="00FF4E66"/>
    <w:rsid w:val="00FF4F3C"/>
    <w:rsid w:val="00FF5252"/>
    <w:rsid w:val="00FF531A"/>
    <w:rsid w:val="00FF5543"/>
    <w:rsid w:val="00FF5562"/>
    <w:rsid w:val="00FF5714"/>
    <w:rsid w:val="00FF5765"/>
    <w:rsid w:val="00FF5F29"/>
    <w:rsid w:val="00FF6019"/>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636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498"/>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734BA5"/>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D127A8"/>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A13D67"/>
    <w:pPr>
      <w:ind w:left="1760"/>
    </w:pPr>
    <w:rPr>
      <w:sz w:val="144"/>
      <w:szCs w:val="144"/>
    </w:r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aliases w:val="Recommendation,List Paragraph1,List Paragraph11,L,Bullet point,Bullet table"/>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734BA5"/>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semiHidden/>
    <w:rsid w:val="0001307B"/>
    <w:rPr>
      <w:rFonts w:ascii="Tahoma" w:hAnsi="Tahoma" w:cs="Tahoma"/>
      <w:sz w:val="16"/>
      <w:szCs w:val="16"/>
    </w:rPr>
  </w:style>
  <w:style w:type="character" w:customStyle="1" w:styleId="CommentSubjectChar">
    <w:name w:val="Comment Subject Char"/>
    <w:basedOn w:val="CommentTextChar"/>
    <w:link w:val="CommentSubject"/>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521BT-Roman" w:hAnsi="Humanist521BT-Roman"/>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521BT-Roman" w:hAnsi="Humanist521BT-Roman"/>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customStyle="1" w:styleId="TableGrid3">
    <w:name w:val="Table Grid3"/>
    <w:basedOn w:val="TableNormal"/>
    <w:next w:val="TableGrid"/>
    <w:uiPriority w:val="59"/>
    <w:rsid w:val="009F4008"/>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3CED"/>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3CED"/>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B6AD6"/>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B6AD6"/>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B6AD6"/>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62BB1"/>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62BB1"/>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68AD"/>
    <w:pPr>
      <w:spacing w:after="120"/>
      <w:jc w:val="both"/>
    </w:pPr>
    <w:rPr>
      <w:rFonts w:ascii="Calibri" w:eastAsia="Calibri" w:hAnsi="Calibri"/>
      <w:sz w:val="18"/>
      <w:szCs w:val="22"/>
      <w:lang w:eastAsia="en-US"/>
    </w:rPr>
  </w:style>
  <w:style w:type="character" w:customStyle="1" w:styleId="SmallBold">
    <w:name w:val="Small Bold"/>
    <w:basedOn w:val="DefaultParagraphFont"/>
    <w:uiPriority w:val="4"/>
    <w:qFormat/>
    <w:rsid w:val="00593C4E"/>
    <w:rPr>
      <w:rFonts w:ascii="Calibri" w:hAnsi="Calibri"/>
      <w:b/>
      <w:sz w:val="20"/>
      <w:lang w:val="en-AU"/>
    </w:rPr>
  </w:style>
  <w:style w:type="paragraph" w:customStyle="1" w:styleId="TableStyle2">
    <w:name w:val="Table Style2"/>
    <w:basedOn w:val="Normal"/>
    <w:qFormat/>
    <w:rsid w:val="00E359A5"/>
    <w:pPr>
      <w:spacing w:after="0" w:line="240" w:lineRule="auto"/>
      <w:jc w:val="left"/>
    </w:pPr>
    <w:rPr>
      <w:rFonts w:asciiTheme="minorHAnsi" w:eastAsiaTheme="minorHAnsi" w:hAnsiTheme="minorHAnsi" w:cstheme="minorBidi"/>
      <w:sz w:val="20"/>
      <w:lang w:eastAsia="en-US"/>
    </w:rPr>
  </w:style>
  <w:style w:type="paragraph" w:customStyle="1" w:styleId="EndNoteBibliographyTitle">
    <w:name w:val="EndNote Bibliography Title"/>
    <w:basedOn w:val="Normal"/>
    <w:link w:val="EndNoteBibliographyTitleChar"/>
    <w:rsid w:val="005E483F"/>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5E483F"/>
    <w:rPr>
      <w:rFonts w:ascii="Tahoma" w:hAnsi="Tahoma" w:cs="Tahoma"/>
      <w:noProof/>
      <w:sz w:val="22"/>
      <w:szCs w:val="22"/>
    </w:rPr>
  </w:style>
  <w:style w:type="paragraph" w:customStyle="1" w:styleId="EndNoteBibliography">
    <w:name w:val="EndNote Bibliography"/>
    <w:basedOn w:val="Normal"/>
    <w:link w:val="EndNoteBibliographyChar"/>
    <w:rsid w:val="005E483F"/>
    <w:pPr>
      <w:spacing w:line="240" w:lineRule="auto"/>
    </w:pPr>
    <w:rPr>
      <w:rFonts w:ascii="Tahoma" w:hAnsi="Tahoma"/>
      <w:noProof/>
    </w:rPr>
  </w:style>
  <w:style w:type="character" w:customStyle="1" w:styleId="EndNoteBibliographyChar">
    <w:name w:val="EndNote Bibliography Char"/>
    <w:basedOn w:val="DefaultParagraphFont"/>
    <w:link w:val="EndNoteBibliography"/>
    <w:rsid w:val="005E483F"/>
    <w:rPr>
      <w:rFonts w:ascii="Tahoma" w:hAnsi="Tahoma" w:cs="Tahoma"/>
      <w:noProof/>
      <w:sz w:val="22"/>
      <w:szCs w:val="22"/>
    </w:r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5A2158"/>
    <w:rPr>
      <w:rFonts w:ascii="Calibri" w:hAnsi="Calibri" w:cs="Tahoma"/>
      <w:sz w:val="22"/>
      <w:szCs w:val="22"/>
    </w:rPr>
  </w:style>
  <w:style w:type="character" w:customStyle="1" w:styleId="Heading6Char">
    <w:name w:val="Heading 6 Char"/>
    <w:basedOn w:val="DefaultParagraphFont"/>
    <w:link w:val="Heading6"/>
    <w:rsid w:val="00DD08A9"/>
    <w:rPr>
      <w:rFonts w:ascii="Calibri" w:hAnsi="Calibri" w:cs="Tahoma"/>
      <w:sz w:val="22"/>
      <w:szCs w:val="22"/>
      <w:u w:val="single"/>
    </w:rPr>
  </w:style>
  <w:style w:type="character" w:customStyle="1" w:styleId="Heading7Char">
    <w:name w:val="Heading 7 Char"/>
    <w:basedOn w:val="DefaultParagraphFont"/>
    <w:link w:val="Heading7"/>
    <w:rsid w:val="00DD08A9"/>
    <w:rPr>
      <w:rFonts w:ascii="Calibri" w:hAnsi="Calibri" w:cs="Tahoma"/>
      <w:i/>
      <w:sz w:val="22"/>
      <w:szCs w:val="22"/>
    </w:rPr>
  </w:style>
  <w:style w:type="character" w:customStyle="1" w:styleId="Heading8Char">
    <w:name w:val="Heading 8 Char"/>
    <w:basedOn w:val="DefaultParagraphFont"/>
    <w:link w:val="Heading8"/>
    <w:rsid w:val="00DD08A9"/>
    <w:rPr>
      <w:rFonts w:ascii="Calibri" w:hAnsi="Calibri" w:cs="Tahoma"/>
      <w:sz w:val="22"/>
      <w:szCs w:val="22"/>
      <w:u w:val="single"/>
    </w:rPr>
  </w:style>
  <w:style w:type="character" w:customStyle="1" w:styleId="Heading9Char">
    <w:name w:val="Heading 9 Char"/>
    <w:basedOn w:val="DefaultParagraphFont"/>
    <w:link w:val="Heading9"/>
    <w:rsid w:val="00DD08A9"/>
    <w:rPr>
      <w:rFonts w:ascii="Calibri" w:hAnsi="Calibri" w:cs="Tahoma"/>
      <w:sz w:val="22"/>
      <w:szCs w:val="22"/>
    </w:rPr>
  </w:style>
  <w:style w:type="character" w:customStyle="1" w:styleId="DateChar">
    <w:name w:val="Date Char"/>
    <w:basedOn w:val="DefaultParagraphFont"/>
    <w:link w:val="Date"/>
    <w:rsid w:val="00DD08A9"/>
    <w:rPr>
      <w:rFonts w:ascii="Arial" w:hAnsi="Arial" w:cs="Tahoma"/>
      <w:b/>
      <w:sz w:val="36"/>
      <w:szCs w:val="22"/>
    </w:rPr>
  </w:style>
  <w:style w:type="character" w:customStyle="1" w:styleId="TitleChar">
    <w:name w:val="Title Char"/>
    <w:basedOn w:val="DefaultParagraphFont"/>
    <w:link w:val="Title"/>
    <w:rsid w:val="00DD08A9"/>
    <w:rPr>
      <w:rFonts w:ascii="Arial" w:hAnsi="Arial" w:cs="Tahoma"/>
      <w:b/>
      <w:smallCaps/>
      <w:sz w:val="44"/>
      <w:szCs w:val="22"/>
    </w:rPr>
  </w:style>
  <w:style w:type="character" w:customStyle="1" w:styleId="QuoteChar">
    <w:name w:val="Quote Char"/>
    <w:basedOn w:val="DefaultParagraphFont"/>
    <w:link w:val="Quote"/>
    <w:rsid w:val="00DD08A9"/>
    <w:rPr>
      <w:rFonts w:ascii="Calibri" w:hAnsi="Calibri" w:cs="Tahoma"/>
      <w:sz w:val="22"/>
      <w:szCs w:val="22"/>
    </w:rPr>
  </w:style>
  <w:style w:type="table" w:customStyle="1" w:styleId="TableGrid11">
    <w:name w:val="Table Grid11"/>
    <w:basedOn w:val="TableNormal"/>
    <w:next w:val="TableGrid"/>
    <w:uiPriority w:val="39"/>
    <w:rsid w:val="00C44F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54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075994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96878051">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29316372">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47351755">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288509026">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43118654">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28752713">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66775171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2733768">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27344380">
      <w:bodyDiv w:val="1"/>
      <w:marLeft w:val="0"/>
      <w:marRight w:val="0"/>
      <w:marTop w:val="0"/>
      <w:marBottom w:val="0"/>
      <w:divBdr>
        <w:top w:val="none" w:sz="0" w:space="0" w:color="auto"/>
        <w:left w:val="none" w:sz="0" w:space="0" w:color="auto"/>
        <w:bottom w:val="none" w:sz="0" w:space="0" w:color="auto"/>
        <w:right w:val="none" w:sz="0" w:space="0" w:color="auto"/>
      </w:divBdr>
    </w:div>
    <w:div w:id="937177735">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57028495">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2081834">
      <w:bodyDiv w:val="1"/>
      <w:marLeft w:val="0"/>
      <w:marRight w:val="0"/>
      <w:marTop w:val="0"/>
      <w:marBottom w:val="0"/>
      <w:divBdr>
        <w:top w:val="none" w:sz="0" w:space="0" w:color="auto"/>
        <w:left w:val="none" w:sz="0" w:space="0" w:color="auto"/>
        <w:bottom w:val="none" w:sz="0" w:space="0" w:color="auto"/>
        <w:right w:val="none" w:sz="0" w:space="0" w:color="auto"/>
      </w:divBdr>
    </w:div>
    <w:div w:id="999894996">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5065766">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51344019">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8595991">
      <w:bodyDiv w:val="1"/>
      <w:marLeft w:val="0"/>
      <w:marRight w:val="0"/>
      <w:marTop w:val="0"/>
      <w:marBottom w:val="0"/>
      <w:divBdr>
        <w:top w:val="none" w:sz="0" w:space="0" w:color="auto"/>
        <w:left w:val="none" w:sz="0" w:space="0" w:color="auto"/>
        <w:bottom w:val="none" w:sz="0" w:space="0" w:color="auto"/>
        <w:right w:val="none" w:sz="0" w:space="0" w:color="auto"/>
      </w:divBdr>
    </w:div>
    <w:div w:id="1193156186">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15922058">
      <w:bodyDiv w:val="1"/>
      <w:marLeft w:val="0"/>
      <w:marRight w:val="0"/>
      <w:marTop w:val="0"/>
      <w:marBottom w:val="0"/>
      <w:divBdr>
        <w:top w:val="none" w:sz="0" w:space="0" w:color="auto"/>
        <w:left w:val="none" w:sz="0" w:space="0" w:color="auto"/>
        <w:bottom w:val="none" w:sz="0" w:space="0" w:color="auto"/>
        <w:right w:val="none" w:sz="0" w:space="0" w:color="auto"/>
      </w:divBdr>
    </w:div>
    <w:div w:id="1225679322">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4464877">
      <w:bodyDiv w:val="1"/>
      <w:marLeft w:val="0"/>
      <w:marRight w:val="0"/>
      <w:marTop w:val="0"/>
      <w:marBottom w:val="0"/>
      <w:divBdr>
        <w:top w:val="none" w:sz="0" w:space="0" w:color="auto"/>
        <w:left w:val="none" w:sz="0" w:space="0" w:color="auto"/>
        <w:bottom w:val="none" w:sz="0" w:space="0" w:color="auto"/>
        <w:right w:val="none" w:sz="0" w:space="0" w:color="auto"/>
      </w:divBdr>
    </w:div>
    <w:div w:id="1289506633">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3363260">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2654563">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82963421">
      <w:bodyDiv w:val="1"/>
      <w:marLeft w:val="0"/>
      <w:marRight w:val="0"/>
      <w:marTop w:val="0"/>
      <w:marBottom w:val="0"/>
      <w:divBdr>
        <w:top w:val="none" w:sz="0" w:space="0" w:color="auto"/>
        <w:left w:val="none" w:sz="0" w:space="0" w:color="auto"/>
        <w:bottom w:val="none" w:sz="0" w:space="0" w:color="auto"/>
        <w:right w:val="none" w:sz="0" w:space="0" w:color="auto"/>
      </w:divBdr>
    </w:div>
    <w:div w:id="1494567587">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54523757">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63797869">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90411250">
      <w:bodyDiv w:val="1"/>
      <w:marLeft w:val="0"/>
      <w:marRight w:val="0"/>
      <w:marTop w:val="0"/>
      <w:marBottom w:val="0"/>
      <w:divBdr>
        <w:top w:val="none" w:sz="0" w:space="0" w:color="auto"/>
        <w:left w:val="none" w:sz="0" w:space="0" w:color="auto"/>
        <w:bottom w:val="none" w:sz="0" w:space="0" w:color="auto"/>
        <w:right w:val="none" w:sz="0" w:space="0" w:color="auto"/>
      </w:divBdr>
    </w:div>
    <w:div w:id="1904441244">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39413118">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62056238">
      <w:bodyDiv w:val="1"/>
      <w:marLeft w:val="0"/>
      <w:marRight w:val="0"/>
      <w:marTop w:val="0"/>
      <w:marBottom w:val="0"/>
      <w:divBdr>
        <w:top w:val="none" w:sz="0" w:space="0" w:color="auto"/>
        <w:left w:val="none" w:sz="0" w:space="0" w:color="auto"/>
        <w:bottom w:val="none" w:sz="0" w:space="0" w:color="auto"/>
        <w:right w:val="none" w:sz="0" w:space="0" w:color="auto"/>
      </w:divBdr>
    </w:div>
    <w:div w:id="2076929053">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blood.gov.au/national-product-list" TargetMode="External"/><Relationship Id="rId26" Type="http://schemas.openxmlformats.org/officeDocument/2006/relationships/header" Target="header5.xml"/><Relationship Id="rId39" Type="http://schemas.openxmlformats.org/officeDocument/2006/relationships/hyperlink" Target="http://stat.data.abs.gov.au/Index.aspx?DatasetCode=ERP_QUARTERLY"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eader" Target="header9.xml"/><Relationship Id="rId50"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riteria.blood.gov.au/MedicalCondition/View/2558" TargetMode="External"/><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chart" Target="charts/chart1.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7.xm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yperlink" Target="https://www.criteria.blood.gov.au/MedicalCondition/View/2558" TargetMode="External"/><Relationship Id="rId31" Type="http://schemas.openxmlformats.org/officeDocument/2006/relationships/image" Target="media/image10.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footer" Target="footer5.xml"/><Relationship Id="rId8" Type="http://schemas.openxmlformats.org/officeDocument/2006/relationships/hyperlink" Target="http://www.msac.gov.au/"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Sheet1!$H$15</c:f>
              <c:strCache>
                <c:ptCount val="1"/>
                <c:pt idx="0">
                  <c:v>Average grams per patient</c:v>
                </c:pt>
              </c:strCache>
              <c:extLst xmlns:c15="http://schemas.microsoft.com/office/drawing/2012/chart"/>
            </c:strRef>
          </c:tx>
          <c:spPr>
            <a:ln w="19050" cap="rnd">
              <a:noFill/>
              <a:round/>
            </a:ln>
            <a:effectLst/>
          </c:spPr>
          <c:marker>
            <c:symbol val="circle"/>
            <c:size val="5"/>
            <c:spPr>
              <a:solidFill>
                <a:schemeClr val="accent1"/>
              </a:solidFill>
              <a:ln w="9525">
                <a:solidFill>
                  <a:schemeClr val="accent1"/>
                </a:solidFill>
              </a:ln>
              <a:effectLst/>
            </c:spPr>
          </c:marker>
          <c:xVal>
            <c:numRef>
              <c:f>Sheet1!$I$13:$N$13</c:f>
              <c:numCache>
                <c:formatCode>General</c:formatCode>
                <c:ptCount val="6"/>
                <c:pt idx="0">
                  <c:v>2014</c:v>
                </c:pt>
                <c:pt idx="1">
                  <c:v>2015</c:v>
                </c:pt>
                <c:pt idx="2">
                  <c:v>2016</c:v>
                </c:pt>
                <c:pt idx="3">
                  <c:v>2017</c:v>
                </c:pt>
                <c:pt idx="4">
                  <c:v>2018</c:v>
                </c:pt>
                <c:pt idx="5">
                  <c:v>2019</c:v>
                </c:pt>
              </c:numCache>
              <c:extLst xmlns:c15="http://schemas.microsoft.com/office/drawing/2012/chart"/>
            </c:numRef>
          </c:xVal>
          <c:yVal>
            <c:numRef>
              <c:f>Sheet1!$I$15:$N$15</c:f>
              <c:numCache>
                <c:formatCode>_-* #,##0_-;\-* #,##0_-;_-* "-"??_-;_-@_-</c:formatCode>
                <c:ptCount val="6"/>
                <c:pt idx="0">
                  <c:v>547.46803652968038</c:v>
                </c:pt>
                <c:pt idx="1">
                  <c:v>576.66891891891896</c:v>
                </c:pt>
                <c:pt idx="2">
                  <c:v>591.64919354838707</c:v>
                </c:pt>
                <c:pt idx="3">
                  <c:v>628.36242884250476</c:v>
                </c:pt>
                <c:pt idx="4">
                  <c:v>632.91785714285709</c:v>
                </c:pt>
                <c:pt idx="5">
                  <c:v>625.62919463087246</c:v>
                </c:pt>
              </c:numCache>
              <c:extLst xmlns:c15="http://schemas.microsoft.com/office/drawing/2012/chart"/>
            </c:numRef>
          </c:yVal>
          <c:smooth val="0"/>
          <c:extLst>
            <c:ext xmlns:c16="http://schemas.microsoft.com/office/drawing/2014/chart" uri="{C3380CC4-5D6E-409C-BE32-E72D297353CC}">
              <c16:uniqueId val="{00000000-1B11-4A12-9D2D-74EE22F8AC5A}"/>
            </c:ext>
          </c:extLst>
        </c:ser>
        <c:ser>
          <c:idx val="3"/>
          <c:order val="3"/>
          <c:tx>
            <c:strRef>
              <c:f>Sheet1!$O$11</c:f>
              <c:strCache>
                <c:ptCount val="1"/>
                <c:pt idx="0">
                  <c:v>Prejected average grams per patient</c:v>
                </c:pt>
              </c:strCache>
            </c:strRef>
          </c:tx>
          <c:spPr>
            <a:ln w="25400" cap="rnd">
              <a:noFill/>
              <a:round/>
            </a:ln>
            <a:effectLst/>
          </c:spPr>
          <c:marker>
            <c:symbol val="triangle"/>
            <c:size val="5"/>
            <c:spPr>
              <a:solidFill>
                <a:srgbClr val="FF0000"/>
              </a:solidFill>
              <a:ln w="9525">
                <a:noFill/>
              </a:ln>
              <a:effectLst/>
            </c:spPr>
          </c:marker>
          <c:xVal>
            <c:numRef>
              <c:f>Sheet1!$O$13:$S$13</c:f>
              <c:numCache>
                <c:formatCode>General</c:formatCode>
                <c:ptCount val="5"/>
                <c:pt idx="0">
                  <c:v>2020</c:v>
                </c:pt>
                <c:pt idx="1">
                  <c:v>2021</c:v>
                </c:pt>
                <c:pt idx="2">
                  <c:v>2022</c:v>
                </c:pt>
                <c:pt idx="3">
                  <c:v>2023</c:v>
                </c:pt>
                <c:pt idx="4">
                  <c:v>2024</c:v>
                </c:pt>
              </c:numCache>
            </c:numRef>
          </c:xVal>
          <c:yVal>
            <c:numRef>
              <c:f>Sheet1!$O$15:$S$15</c:f>
              <c:numCache>
                <c:formatCode>_-* #,##0_-;\-* #,##0_-;_-* "-"??_-;_-@_-</c:formatCode>
                <c:ptCount val="5"/>
                <c:pt idx="0">
                  <c:v>626</c:v>
                </c:pt>
                <c:pt idx="1">
                  <c:v>626</c:v>
                </c:pt>
                <c:pt idx="2">
                  <c:v>626</c:v>
                </c:pt>
                <c:pt idx="3">
                  <c:v>626</c:v>
                </c:pt>
                <c:pt idx="4">
                  <c:v>626</c:v>
                </c:pt>
              </c:numCache>
            </c:numRef>
          </c:yVal>
          <c:smooth val="0"/>
          <c:extLst>
            <c:ext xmlns:c16="http://schemas.microsoft.com/office/drawing/2014/chart" uri="{C3380CC4-5D6E-409C-BE32-E72D297353CC}">
              <c16:uniqueId val="{00000001-1B11-4A12-9D2D-74EE22F8AC5A}"/>
            </c:ext>
          </c:extLst>
        </c:ser>
        <c:dLbls>
          <c:showLegendKey val="0"/>
          <c:showVal val="0"/>
          <c:showCatName val="0"/>
          <c:showSerName val="0"/>
          <c:showPercent val="0"/>
          <c:showBubbleSize val="0"/>
        </c:dLbls>
        <c:axId val="49919488"/>
        <c:axId val="307261440"/>
        <c:extLst>
          <c:ext xmlns:c15="http://schemas.microsoft.com/office/drawing/2012/chart" uri="{02D57815-91ED-43cb-92C2-25804820EDAC}">
            <c15:filteredScatterSeries>
              <c15:ser>
                <c:idx val="0"/>
                <c:order val="0"/>
                <c:tx>
                  <c:strRef>
                    <c:extLst>
                      <c:ext uri="{02D57815-91ED-43cb-92C2-25804820EDAC}">
                        <c15:formulaRef>
                          <c15:sqref>Sheet1!$H$14</c15:sqref>
                        </c15:formulaRef>
                      </c:ext>
                    </c:extLst>
                    <c:strCache>
                      <c:ptCount val="1"/>
                      <c:pt idx="0">
                        <c:v>Oberved prevalent MMN patients</c:v>
                      </c:pt>
                    </c:strCache>
                  </c:strRef>
                </c:tx>
                <c:spPr>
                  <a:ln w="1905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Sheet1!$I$13:$N$13</c15:sqref>
                        </c15:formulaRef>
                      </c:ext>
                    </c:extLst>
                    <c:numCache>
                      <c:formatCode>General</c:formatCode>
                      <c:ptCount val="6"/>
                      <c:pt idx="0">
                        <c:v>2014</c:v>
                      </c:pt>
                      <c:pt idx="1">
                        <c:v>2015</c:v>
                      </c:pt>
                      <c:pt idx="2">
                        <c:v>2016</c:v>
                      </c:pt>
                      <c:pt idx="3">
                        <c:v>2017</c:v>
                      </c:pt>
                      <c:pt idx="4">
                        <c:v>2018</c:v>
                      </c:pt>
                      <c:pt idx="5">
                        <c:v>2019</c:v>
                      </c:pt>
                    </c:numCache>
                  </c:numRef>
                </c:xVal>
                <c:yVal>
                  <c:numRef>
                    <c:extLst>
                      <c:ext uri="{02D57815-91ED-43cb-92C2-25804820EDAC}">
                        <c15:formulaRef>
                          <c15:sqref>Sheet1!$I$14:$N$14</c15:sqref>
                        </c15:formulaRef>
                      </c:ext>
                    </c:extLst>
                    <c:numCache>
                      <c:formatCode>_-* #,##0_-;\-* #,##0_-;_-* "-"??_-;_-@_-</c:formatCode>
                      <c:ptCount val="6"/>
                      <c:pt idx="0">
                        <c:v>438</c:v>
                      </c:pt>
                      <c:pt idx="1">
                        <c:v>444</c:v>
                      </c:pt>
                      <c:pt idx="2">
                        <c:v>496</c:v>
                      </c:pt>
                      <c:pt idx="3">
                        <c:v>527</c:v>
                      </c:pt>
                      <c:pt idx="4">
                        <c:v>560</c:v>
                      </c:pt>
                      <c:pt idx="5">
                        <c:v>596</c:v>
                      </c:pt>
                    </c:numCache>
                  </c:numRef>
                </c:yVal>
                <c:smooth val="0"/>
                <c:extLst>
                  <c:ext xmlns:c16="http://schemas.microsoft.com/office/drawing/2014/chart" uri="{C3380CC4-5D6E-409C-BE32-E72D297353CC}">
                    <c16:uniqueId val="{00000002-1B11-4A12-9D2D-74EE22F8AC5A}"/>
                  </c:ext>
                </c:extLst>
              </c15:ser>
            </c15:filteredScatterSeries>
            <c15:filteredScatterSeries>
              <c15:ser>
                <c:idx val="2"/>
                <c:order val="2"/>
                <c:tx>
                  <c:v>Projected prevalent cases</c:v>
                </c:tx>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Sheet1!$O$13:$T$13</c15:sqref>
                        </c15:formulaRef>
                      </c:ext>
                    </c:extLst>
                    <c:numCache>
                      <c:formatCode>General</c:formatCode>
                      <c:ptCount val="6"/>
                      <c:pt idx="0">
                        <c:v>2020</c:v>
                      </c:pt>
                      <c:pt idx="1">
                        <c:v>2021</c:v>
                      </c:pt>
                      <c:pt idx="2">
                        <c:v>2022</c:v>
                      </c:pt>
                      <c:pt idx="3">
                        <c:v>2023</c:v>
                      </c:pt>
                      <c:pt idx="4">
                        <c:v>2024</c:v>
                      </c:pt>
                      <c:pt idx="5">
                        <c:v>2025</c:v>
                      </c:pt>
                    </c:numCache>
                  </c:numRef>
                </c:xVal>
                <c:yVal>
                  <c:numRef>
                    <c:extLst xmlns:c15="http://schemas.microsoft.com/office/drawing/2012/chart">
                      <c:ext xmlns:c15="http://schemas.microsoft.com/office/drawing/2012/chart" uri="{02D57815-91ED-43cb-92C2-25804820EDAC}">
                        <c15:formulaRef>
                          <c15:sqref>Sheet1!$O$14:$T$14</c15:sqref>
                        </c15:formulaRef>
                      </c:ext>
                    </c:extLst>
                    <c:numCache>
                      <c:formatCode>_-* #,##0_-;\-* #,##0_-;_-* "-"??_-;_-@_-</c:formatCode>
                      <c:ptCount val="6"/>
                      <c:pt idx="0">
                        <c:v>627.06666666668025</c:v>
                      </c:pt>
                      <c:pt idx="1">
                        <c:v>660.46666666667443</c:v>
                      </c:pt>
                      <c:pt idx="2">
                        <c:v>693.86666666668316</c:v>
                      </c:pt>
                      <c:pt idx="3">
                        <c:v>727.26666666667734</c:v>
                      </c:pt>
                      <c:pt idx="4">
                        <c:v>760.66666666667152</c:v>
                      </c:pt>
                      <c:pt idx="5">
                        <c:v>794.06666666668025</c:v>
                      </c:pt>
                    </c:numCache>
                  </c:numRef>
                </c:yVal>
                <c:smooth val="0"/>
                <c:extLst xmlns:c15="http://schemas.microsoft.com/office/drawing/2012/chart">
                  <c:ext xmlns:c16="http://schemas.microsoft.com/office/drawing/2014/chart" uri="{C3380CC4-5D6E-409C-BE32-E72D297353CC}">
                    <c16:uniqueId val="{00000003-1B11-4A12-9D2D-74EE22F8AC5A}"/>
                  </c:ext>
                </c:extLst>
              </c15:ser>
            </c15:filteredScatterSeries>
          </c:ext>
        </c:extLst>
      </c:scatterChart>
      <c:valAx>
        <c:axId val="49919488"/>
        <c:scaling>
          <c:orientation val="minMax"/>
          <c:max val="20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261440"/>
        <c:crosses val="autoZero"/>
        <c:crossBetween val="midCat"/>
      </c:valAx>
      <c:valAx>
        <c:axId val="307261440"/>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a:t>
                </a:r>
                <a:r>
                  <a:rPr lang="en-AU" baseline="0"/>
                  <a:t>grams per patient</a:t>
                </a:r>
                <a:endParaRPr lang="en-AU"/>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194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22023-1BA0-4FB5-AC44-E39E3C07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88708</Words>
  <Characters>505637</Characters>
  <Application>Microsoft Office Word</Application>
  <DocSecurity>0</DocSecurity>
  <Lines>4213</Lines>
  <Paragraphs>1186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593159</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2020-08-10T04:13:00Z</dcterms:created>
  <dcterms:modified xsi:type="dcterms:W3CDTF">2020-08-10T04:13:00Z</dcterms:modified>
</cp:coreProperties>
</file>