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472CC"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43460BE" wp14:editId="587015A4">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4E64D127"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0CB8A53B" w14:textId="77777777" w:rsidR="00BC1364" w:rsidRPr="00F715D1" w:rsidRDefault="00BC1364" w:rsidP="00F715D1">
      <w:pPr>
        <w:pStyle w:val="Subtitle"/>
      </w:pPr>
      <w:r w:rsidRPr="00F715D1">
        <w:t xml:space="preserve">Application No. </w:t>
      </w:r>
      <w:r w:rsidR="002F2195" w:rsidRPr="002F2195">
        <w:t>1519.1 – Tisagenlecleucel (CTL019) for treatment of relapsed or refractory diffuse large B-cell lymphoma (DLBCL)</w:t>
      </w:r>
    </w:p>
    <w:p w14:paraId="22A776AB"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F2195" w:rsidRPr="002F2195">
        <w:rPr>
          <w:rFonts w:ascii="Arial" w:hAnsi="Arial" w:cs="Arial"/>
          <w:b/>
          <w:szCs w:val="24"/>
        </w:rPr>
        <w:t>Novartis Pharmaceuticals Australia Pty Ltd</w:t>
      </w:r>
    </w:p>
    <w:p w14:paraId="0D80345F"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2F2195">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8F75C2">
        <w:rPr>
          <w:rFonts w:ascii="Arial" w:hAnsi="Arial" w:cs="Arial"/>
          <w:b/>
          <w:szCs w:val="24"/>
        </w:rPr>
        <w:t>1-2 August 2019</w:t>
      </w:r>
    </w:p>
    <w:p w14:paraId="0A65E779"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026DC0F6" w14:textId="77777777" w:rsidR="003D7F29" w:rsidRPr="00F715D1" w:rsidRDefault="003D7F29" w:rsidP="00F715D1">
      <w:pPr>
        <w:pStyle w:val="Heading1"/>
      </w:pPr>
      <w:r w:rsidRPr="00F715D1">
        <w:t>Purpose of application</w:t>
      </w:r>
      <w:r w:rsidR="00822C7E" w:rsidRPr="00F715D1">
        <w:t xml:space="preserve"> </w:t>
      </w:r>
    </w:p>
    <w:p w14:paraId="47905317" w14:textId="77777777" w:rsidR="002F2195" w:rsidRDefault="002F2195" w:rsidP="000F6762">
      <w:pPr>
        <w:spacing w:after="240"/>
        <w:rPr>
          <w:iCs/>
        </w:rPr>
      </w:pPr>
      <w:r>
        <w:t xml:space="preserve">A revised application (resubmission) was received from </w:t>
      </w:r>
      <w:r w:rsidRPr="008E37FF">
        <w:rPr>
          <w:iCs/>
        </w:rPr>
        <w:t xml:space="preserve">Novartis by the Department of Health for </w:t>
      </w:r>
      <w:r>
        <w:rPr>
          <w:iCs/>
        </w:rPr>
        <w:t>tisagenlecleucel</w:t>
      </w:r>
      <w:r w:rsidRPr="008E37FF">
        <w:rPr>
          <w:iCs/>
        </w:rPr>
        <w:t xml:space="preserve"> </w:t>
      </w:r>
      <w:r>
        <w:rPr>
          <w:iCs/>
        </w:rPr>
        <w:t>(</w:t>
      </w:r>
      <w:r w:rsidRPr="008E37FF">
        <w:rPr>
          <w:iCs/>
        </w:rPr>
        <w:t>TIS</w:t>
      </w:r>
      <w:r>
        <w:rPr>
          <w:iCs/>
        </w:rPr>
        <w:t>)</w:t>
      </w:r>
      <w:r w:rsidRPr="008E37FF">
        <w:rPr>
          <w:iCs/>
        </w:rPr>
        <w:t xml:space="preserve"> for</w:t>
      </w:r>
      <w:r>
        <w:rPr>
          <w:iCs/>
        </w:rPr>
        <w:t xml:space="preserve"> </w:t>
      </w:r>
      <w:r w:rsidRPr="00847C36">
        <w:rPr>
          <w:iCs/>
        </w:rPr>
        <w:t>adult patients with confirmed relapsed/refractory</w:t>
      </w:r>
      <w:r>
        <w:rPr>
          <w:iCs/>
        </w:rPr>
        <w:t xml:space="preserve"> (r/r)</w:t>
      </w:r>
      <w:r w:rsidRPr="00847C36">
        <w:rPr>
          <w:iCs/>
        </w:rPr>
        <w:t xml:space="preserve"> </w:t>
      </w:r>
      <w:r w:rsidRPr="008E37FF">
        <w:rPr>
          <w:iCs/>
        </w:rPr>
        <w:t>diffuse large B-cell lymphoma (DLBCL)</w:t>
      </w:r>
      <w:r>
        <w:rPr>
          <w:iCs/>
        </w:rPr>
        <w:t>.</w:t>
      </w:r>
    </w:p>
    <w:p w14:paraId="06D07C44" w14:textId="77777777" w:rsidR="00E32A5D" w:rsidRDefault="002F2195" w:rsidP="000F6762">
      <w:pPr>
        <w:tabs>
          <w:tab w:val="left" w:pos="1140"/>
        </w:tabs>
        <w:spacing w:after="240"/>
      </w:pPr>
      <w:r>
        <w:t xml:space="preserve">TIS </w:t>
      </w:r>
      <w:r w:rsidRPr="005A727F">
        <w:t>is an</w:t>
      </w:r>
      <w:r>
        <w:t xml:space="preserve"> individualised single-delivery</w:t>
      </w:r>
      <w:r w:rsidRPr="005A727F">
        <w:t xml:space="preserve"> immunocellular therapy </w:t>
      </w:r>
      <w:r>
        <w:t>using</w:t>
      </w:r>
      <w:r w:rsidRPr="005A727F">
        <w:t xml:space="preserve"> autologous T cells </w:t>
      </w:r>
      <w:r>
        <w:t>which</w:t>
      </w:r>
      <w:r w:rsidRPr="005A727F">
        <w:t xml:space="preserve"> are genetically </w:t>
      </w:r>
      <w:r>
        <w:t xml:space="preserve">reprogrammed with a </w:t>
      </w:r>
      <w:r w:rsidRPr="005A727F">
        <w:t>chimeric antigen receptor (CAR)</w:t>
      </w:r>
      <w:r>
        <w:t xml:space="preserve"> that identifies and destroys CD19-expressing (malignant and non-malignant) B-cells. TIS is a chimeric antigen receptor T-cell (CAR-T) therapy and a </w:t>
      </w:r>
      <w:r w:rsidR="002051A9">
        <w:t xml:space="preserve">Class </w:t>
      </w:r>
      <w:r>
        <w:t xml:space="preserve">4 Biological Product. </w:t>
      </w:r>
      <w:r w:rsidRPr="00B824E5">
        <w:rPr>
          <w:szCs w:val="24"/>
        </w:rPr>
        <w:t>CAR-T therapy cannot be easily defined as a service or a medicine; it is a process to genetically modify a patient’s T-cells.</w:t>
      </w:r>
      <w:r>
        <w:rPr>
          <w:szCs w:val="24"/>
        </w:rPr>
        <w:t xml:space="preserve"> </w:t>
      </w:r>
      <w:r>
        <w:t>It is therefore not suitable for reimbursement through the Medicare Benefits Schedule (MBS) or the Pharmaceutical Benefits Scheme (PBS).</w:t>
      </w:r>
    </w:p>
    <w:p w14:paraId="073BFE32" w14:textId="77777777" w:rsidR="000F6762" w:rsidRDefault="00E32A5D" w:rsidP="000F6762">
      <w:pPr>
        <w:spacing w:after="240"/>
      </w:pPr>
      <w:r w:rsidRPr="00E32A5D">
        <w:t xml:space="preserve">TIS is currently </w:t>
      </w:r>
      <w:r w:rsidRPr="00802A13">
        <w:t>being jointly funded by the Commonwealth and the States under the National Health Reform Arrangements (NHRA) for use in relapsed and refractory acute lymphoblastic leukaemia in children and young adults up to age 25 years.</w:t>
      </w:r>
    </w:p>
    <w:tbl>
      <w:tblPr>
        <w:tblStyle w:val="TableGrid"/>
        <w:tblW w:w="0" w:type="auto"/>
        <w:tblLook w:val="04A0" w:firstRow="1" w:lastRow="0" w:firstColumn="1" w:lastColumn="0" w:noHBand="0" w:noVBand="1"/>
        <w:tblDescription w:val="Consumer summary of MSAC consideration"/>
      </w:tblPr>
      <w:tblGrid>
        <w:gridCol w:w="9016"/>
      </w:tblGrid>
      <w:tr w:rsidR="000F6762" w14:paraId="69F7708B" w14:textId="77777777" w:rsidTr="000F6762">
        <w:trPr>
          <w:tblHeader/>
        </w:trPr>
        <w:tc>
          <w:tcPr>
            <w:tcW w:w="9016" w:type="dxa"/>
          </w:tcPr>
          <w:p w14:paraId="23936E33" w14:textId="77777777" w:rsidR="000F6762" w:rsidRDefault="000F6762" w:rsidP="000F6762">
            <w:pPr>
              <w:spacing w:before="120" w:after="120"/>
            </w:pPr>
            <w:r w:rsidRPr="003A48A9">
              <w:rPr>
                <w:rFonts w:ascii="Times New Roman" w:hAnsi="Times New Roman" w:cs="Times New Roman"/>
                <w:b/>
              </w:rPr>
              <w:t>Consumer summary</w:t>
            </w:r>
          </w:p>
        </w:tc>
      </w:tr>
      <w:tr w:rsidR="000F6762" w14:paraId="6B3D7D9F" w14:textId="77777777" w:rsidTr="000F6762">
        <w:tc>
          <w:tcPr>
            <w:tcW w:w="9016" w:type="dxa"/>
          </w:tcPr>
          <w:p w14:paraId="54A5726A" w14:textId="77777777" w:rsidR="000F6762" w:rsidRPr="000F6762" w:rsidRDefault="000F6762" w:rsidP="000F6762">
            <w:pPr>
              <w:spacing w:before="120" w:after="240"/>
              <w:rPr>
                <w:rFonts w:ascii="Times New Roman" w:hAnsi="Times New Roman" w:cs="Times New Roman"/>
              </w:rPr>
            </w:pPr>
            <w:r w:rsidRPr="000F6762">
              <w:rPr>
                <w:rFonts w:ascii="Times New Roman" w:hAnsi="Times New Roman" w:cs="Times New Roman"/>
              </w:rPr>
              <w:t>Tisagenlecleucel (TIS) is a type of chimeric antigen receptor T cell (CAR-T) therapy. CAR-T therapy is used when patients with some types of cancer, such as lymphoma or leukaemia, don’t respond to (otherwise known as refractory), or relapse after, other types of treatment, such as chemotherapy. CAR-T therapy involves taking some of the patient’s own blood, and sending it to a laboratory where the T cells are extracted and altered so that they can attack cancer cells. The patient’s changed T cell are infused back into them to target and kill the cancer cells in the patient’s body.</w:t>
            </w:r>
          </w:p>
          <w:p w14:paraId="6A233841" w14:textId="77777777" w:rsidR="000F6762" w:rsidRPr="000F6762" w:rsidRDefault="000F6762" w:rsidP="000F6762">
            <w:pPr>
              <w:spacing w:after="240"/>
              <w:rPr>
                <w:rFonts w:ascii="Times New Roman" w:hAnsi="Times New Roman" w:cs="Times New Roman"/>
              </w:rPr>
            </w:pPr>
            <w:r w:rsidRPr="000F6762">
              <w:rPr>
                <w:rFonts w:ascii="Times New Roman" w:hAnsi="Times New Roman" w:cs="Times New Roman"/>
              </w:rPr>
              <w:t>This application requested public funding for TIS for patients with relapsed or refractory diffuse large B-cell lymphoma, or DLBCL.</w:t>
            </w:r>
          </w:p>
          <w:p w14:paraId="6431F718" w14:textId="77777777" w:rsidR="000F6762" w:rsidRPr="000A0160" w:rsidRDefault="000F6762" w:rsidP="000F6762">
            <w:pPr>
              <w:spacing w:after="120"/>
              <w:rPr>
                <w:rFonts w:ascii="Times New Roman" w:hAnsi="Times New Roman" w:cs="Times New Roman"/>
                <w:b/>
              </w:rPr>
            </w:pPr>
            <w:r w:rsidRPr="000A0160">
              <w:rPr>
                <w:rFonts w:ascii="Times New Roman" w:hAnsi="Times New Roman" w:cs="Times New Roman"/>
                <w:b/>
              </w:rPr>
              <w:lastRenderedPageBreak/>
              <w:t>MSAC’s recommendation to the Commonwealth Health Minister</w:t>
            </w:r>
          </w:p>
          <w:p w14:paraId="6BE1399E" w14:textId="77777777" w:rsidR="000F6762" w:rsidRPr="000F6762" w:rsidRDefault="000F6762" w:rsidP="000F6762">
            <w:pPr>
              <w:spacing w:after="240"/>
              <w:rPr>
                <w:rFonts w:ascii="Times New Roman" w:hAnsi="Times New Roman" w:cs="Times New Roman"/>
              </w:rPr>
            </w:pPr>
            <w:r w:rsidRPr="000F6762">
              <w:rPr>
                <w:rFonts w:ascii="Times New Roman" w:hAnsi="Times New Roman" w:cs="Times New Roman"/>
              </w:rPr>
              <w:t xml:space="preserve">MSAC did not support public funding for TIS for DLBCL at this time because, based on the information in the application, it is not sure how well TIS works for people with DLBCL and the sponsor has asked for a very high price for TIS. TIS can be a very toxic therapy and it can’t be used in all patients with DLBCL. MSAC felt that more work needs to be done to help doctors and patients choose whether to use TIS. </w:t>
            </w:r>
          </w:p>
          <w:p w14:paraId="3A6C63CD" w14:textId="77777777" w:rsidR="000F6762" w:rsidRPr="000F6762" w:rsidRDefault="000F6762" w:rsidP="000F6762">
            <w:pPr>
              <w:spacing w:after="120"/>
              <w:rPr>
                <w:rFonts w:ascii="Times New Roman" w:hAnsi="Times New Roman" w:cs="Times New Roman"/>
              </w:rPr>
            </w:pPr>
            <w:r w:rsidRPr="000F6762">
              <w:rPr>
                <w:rFonts w:ascii="Times New Roman" w:hAnsi="Times New Roman" w:cs="Times New Roman"/>
              </w:rPr>
              <w:t>MSAC did not accept parts of the sponsor’s economic evaluation of TIS treatment. MSAC also could not calculate how many people might need TIS each year, so it could not estimate the financial impact of funding. MSAC has asked the sponsor to do more work to address these issues.</w:t>
            </w:r>
          </w:p>
        </w:tc>
      </w:tr>
    </w:tbl>
    <w:p w14:paraId="310927E9" w14:textId="77777777" w:rsidR="00FF1DCF" w:rsidRPr="00F715D1" w:rsidRDefault="00FF1DCF" w:rsidP="00FF1DCF">
      <w:pPr>
        <w:pStyle w:val="Heading1"/>
      </w:pPr>
      <w:r w:rsidRPr="00F715D1">
        <w:lastRenderedPageBreak/>
        <w:t>MSAC’s advice to the Minister</w:t>
      </w:r>
    </w:p>
    <w:p w14:paraId="474CE5E5" w14:textId="77777777" w:rsidR="001925B9" w:rsidRPr="00AB75A3" w:rsidRDefault="00FF1DCF" w:rsidP="00AB75A3">
      <w:r w:rsidRPr="00AB75A3">
        <w:t xml:space="preserve">After considering the strength of the available evidence in relation to comparative safety, clinical effectiveness and cost-effectiveness, MSAC did not support public funding for tisagenlecleucel for the treatment of adults with confirmed relapsed/refractory diffuse large B-cell lymphoma (r/r DLBCL). MSAC recognised the unmet clinical need and accepted that tisagenlecleucel had been shown to be clinically effective in some patients. However, MSAC considered more work is needed to identify the patients most likely to benefit from treatment and, based on the outcomes of that work, to refine the estimates of number of patients and financial impact of subsidy. MSAC continued to have some concerns regarding </w:t>
      </w:r>
      <w:r w:rsidR="002051A9" w:rsidRPr="00AB75A3">
        <w:t xml:space="preserve">the </w:t>
      </w:r>
      <w:r w:rsidRPr="00AB75A3">
        <w:t>effectiveness and cost-effectiveness</w:t>
      </w:r>
      <w:r w:rsidR="002051A9" w:rsidRPr="00AB75A3">
        <w:t xml:space="preserve"> of tisagenlecleucel</w:t>
      </w:r>
      <w:r w:rsidRPr="00AB75A3">
        <w:t>.</w:t>
      </w:r>
    </w:p>
    <w:p w14:paraId="6C1C4A45" w14:textId="77777777" w:rsidR="00550354" w:rsidRPr="00F715D1" w:rsidRDefault="00550354" w:rsidP="00F715D1">
      <w:pPr>
        <w:pStyle w:val="Heading1"/>
      </w:pPr>
      <w:r w:rsidRPr="00F715D1">
        <w:t xml:space="preserve">Summary of consideration and rationale for MSAC’s advice </w:t>
      </w:r>
    </w:p>
    <w:p w14:paraId="145A2F3B" w14:textId="77777777" w:rsidR="001925B9" w:rsidRPr="000F6762" w:rsidRDefault="001925B9" w:rsidP="000F6762">
      <w:pPr>
        <w:spacing w:after="240"/>
      </w:pPr>
      <w:r>
        <w:t>This application was a resubmission for t</w:t>
      </w:r>
      <w:r w:rsidRPr="00554F97">
        <w:t>isagenlecleucel (</w:t>
      </w:r>
      <w:r>
        <w:t>TIS</w:t>
      </w:r>
      <w:r w:rsidRPr="00554F97">
        <w:t xml:space="preserve">) for treatment of relapsed or refractory </w:t>
      </w:r>
      <w:r>
        <w:t>DLBCL</w:t>
      </w:r>
      <w:r w:rsidR="00F824E9">
        <w:t>.</w:t>
      </w:r>
    </w:p>
    <w:p w14:paraId="62D2AF24" w14:textId="77777777" w:rsidR="001925B9" w:rsidRPr="00AB75A3" w:rsidRDefault="001925B9" w:rsidP="00AB75A3">
      <w:pPr>
        <w:pStyle w:val="Heading2"/>
      </w:pPr>
      <w:r w:rsidRPr="00AB75A3">
        <w:t>Applicant hearing</w:t>
      </w:r>
    </w:p>
    <w:p w14:paraId="4795E792" w14:textId="77777777" w:rsidR="00E32A5D" w:rsidRDefault="001925B9" w:rsidP="000F6762">
      <w:pPr>
        <w:spacing w:after="240"/>
      </w:pPr>
      <w:r>
        <w:t>The applicant was granted a hearing, which included a slide p</w:t>
      </w:r>
      <w:r w:rsidR="000F6762">
        <w:t>resentation.</w:t>
      </w:r>
    </w:p>
    <w:p w14:paraId="5CE1B0AB" w14:textId="77777777" w:rsidR="00F8279B" w:rsidRDefault="0036260D" w:rsidP="000F6762">
      <w:pPr>
        <w:spacing w:after="240"/>
      </w:pPr>
      <w:r>
        <w:t xml:space="preserve">MSAC first heard from an Australia clinician who has treated a number of </w:t>
      </w:r>
      <w:r w:rsidR="007A7B8F">
        <w:t xml:space="preserve">r/r </w:t>
      </w:r>
      <w:r>
        <w:t>DLBCL patients with TIS. The clinician described their experience using this therapy and presented clinical vignettes for two patients. Overall</w:t>
      </w:r>
      <w:r w:rsidR="00FF1DCF">
        <w:t>,</w:t>
      </w:r>
      <w:r>
        <w:t xml:space="preserve"> the clinician considered TIS </w:t>
      </w:r>
      <w:r w:rsidR="007A7B8F">
        <w:t>provides an important new therapeutic option for patients with r/r DLBCL</w:t>
      </w:r>
      <w:r w:rsidR="00FF1DCF">
        <w:t xml:space="preserve"> who have limited other treatment options</w:t>
      </w:r>
      <w:r w:rsidR="000F6762">
        <w:t>.</w:t>
      </w:r>
    </w:p>
    <w:p w14:paraId="594367C9" w14:textId="77777777" w:rsidR="001925B9" w:rsidRDefault="001925B9" w:rsidP="000F6762">
      <w:pPr>
        <w:spacing w:after="240"/>
      </w:pPr>
      <w:r>
        <w:t xml:space="preserve">The applicant </w:t>
      </w:r>
      <w:r w:rsidR="00E32A5D">
        <w:t xml:space="preserve">focussed on </w:t>
      </w:r>
      <w:r>
        <w:t>the</w:t>
      </w:r>
      <w:r w:rsidR="0036260D">
        <w:t xml:space="preserve"> </w:t>
      </w:r>
      <w:r>
        <w:t xml:space="preserve">use of the spline versus lognormal </w:t>
      </w:r>
      <w:r w:rsidR="00E32A5D">
        <w:t>extrapolation</w:t>
      </w:r>
      <w:r w:rsidR="00F8279B">
        <w:t xml:space="preserve"> methods</w:t>
      </w:r>
      <w:r w:rsidR="00E32A5D">
        <w:t xml:space="preserve"> </w:t>
      </w:r>
      <w:r>
        <w:t xml:space="preserve">in the </w:t>
      </w:r>
      <w:r w:rsidR="00E32A5D">
        <w:t xml:space="preserve">modelled </w:t>
      </w:r>
      <w:r>
        <w:t xml:space="preserve">economic evaluation, and </w:t>
      </w:r>
      <w:r w:rsidR="00E32A5D">
        <w:t>argu</w:t>
      </w:r>
      <w:r w:rsidR="00F8279B">
        <w:t>ed</w:t>
      </w:r>
      <w:r>
        <w:t xml:space="preserve"> that </w:t>
      </w:r>
      <w:r w:rsidR="00F8279B">
        <w:t>a</w:t>
      </w:r>
      <w:r>
        <w:t xml:space="preserve"> spline </w:t>
      </w:r>
      <w:r w:rsidR="00F8279B">
        <w:t xml:space="preserve">extrapolation method </w:t>
      </w:r>
      <w:r>
        <w:t xml:space="preserve">was </w:t>
      </w:r>
      <w:r w:rsidR="002051A9">
        <w:t xml:space="preserve">better </w:t>
      </w:r>
      <w:r>
        <w:t xml:space="preserve">suited to the data than </w:t>
      </w:r>
      <w:r w:rsidR="00F8279B">
        <w:t xml:space="preserve">a </w:t>
      </w:r>
      <w:r>
        <w:t xml:space="preserve">lognormal </w:t>
      </w:r>
      <w:r w:rsidR="00F8279B">
        <w:t>extrapolation method</w:t>
      </w:r>
      <w:r>
        <w:t xml:space="preserve">. </w:t>
      </w:r>
      <w:r w:rsidR="00F8279B">
        <w:t xml:space="preserve">The </w:t>
      </w:r>
      <w:r w:rsidR="004722CD">
        <w:t xml:space="preserve">applicant </w:t>
      </w:r>
      <w:r w:rsidR="00F8279B">
        <w:t xml:space="preserve"> considered </w:t>
      </w:r>
      <w:r w:rsidR="002051A9">
        <w:t xml:space="preserve">that the </w:t>
      </w:r>
      <w:r w:rsidR="00F8279B">
        <w:t>l</w:t>
      </w:r>
      <w:r>
        <w:t xml:space="preserve">ognormal </w:t>
      </w:r>
      <w:r w:rsidR="00F8279B">
        <w:t xml:space="preserve">extrapolation </w:t>
      </w:r>
      <w:r w:rsidR="002051A9">
        <w:t xml:space="preserve">was </w:t>
      </w:r>
      <w:r w:rsidR="00F8279B">
        <w:t xml:space="preserve">overly </w:t>
      </w:r>
      <w:r>
        <w:t>conservative and inconsistent with the observed data to date, and</w:t>
      </w:r>
      <w:r w:rsidR="00F8279B">
        <w:t xml:space="preserve"> </w:t>
      </w:r>
      <w:r w:rsidR="00FF4F7F">
        <w:t xml:space="preserve">expressed the view that a lognormal extrapolation </w:t>
      </w:r>
      <w:r>
        <w:t>un</w:t>
      </w:r>
      <w:r w:rsidR="000F6762">
        <w:t>derestimates the effect of TIS.</w:t>
      </w:r>
    </w:p>
    <w:p w14:paraId="09F177CB" w14:textId="77777777" w:rsidR="001925B9" w:rsidRDefault="001925B9" w:rsidP="000F6762">
      <w:pPr>
        <w:spacing w:after="240"/>
      </w:pPr>
      <w:r>
        <w:t xml:space="preserve">MSAC asked the applicant about the proportion of </w:t>
      </w:r>
      <w:r w:rsidR="007A7B8F">
        <w:t xml:space="preserve">r/r DLBCL </w:t>
      </w:r>
      <w:r>
        <w:t xml:space="preserve">patients who might be </w:t>
      </w:r>
      <w:r w:rsidR="007A7B8F">
        <w:t xml:space="preserve">treated with </w:t>
      </w:r>
      <w:r>
        <w:t xml:space="preserve">TIS </w:t>
      </w:r>
      <w:r w:rsidR="00FF1DCF">
        <w:t xml:space="preserve">in Australia </w:t>
      </w:r>
      <w:r w:rsidR="007A7B8F">
        <w:t xml:space="preserve">if the conditions of subsidy were aligned with </w:t>
      </w:r>
      <w:r>
        <w:t xml:space="preserve">the Therapeutic Goods Administration (TGA) </w:t>
      </w:r>
      <w:r w:rsidR="007A7B8F">
        <w:t>approved indication</w:t>
      </w:r>
      <w:r>
        <w:t xml:space="preserve">. The </w:t>
      </w:r>
      <w:r w:rsidR="007A7B8F">
        <w:t>clinic</w:t>
      </w:r>
      <w:r w:rsidR="00F47A97">
        <w:t>i</w:t>
      </w:r>
      <w:r w:rsidR="007A7B8F">
        <w:t>an</w:t>
      </w:r>
      <w:r>
        <w:t xml:space="preserve"> noted that</w:t>
      </w:r>
      <w:r w:rsidR="007A7B8F">
        <w:t xml:space="preserve"> in practice</w:t>
      </w:r>
      <w:r>
        <w:t xml:space="preserve"> </w:t>
      </w:r>
      <w:r w:rsidR="007A7B8F">
        <w:t>patient suitability for TIS will be</w:t>
      </w:r>
      <w:r>
        <w:t xml:space="preserve"> based on</w:t>
      </w:r>
      <w:r w:rsidR="007A7B8F">
        <w:t xml:space="preserve"> considerations including the patient</w:t>
      </w:r>
      <w:r w:rsidR="00FF4F7F">
        <w:t>’</w:t>
      </w:r>
      <w:r w:rsidR="007A7B8F">
        <w:t>s</w:t>
      </w:r>
      <w:r>
        <w:t xml:space="preserve"> performance status</w:t>
      </w:r>
      <w:r w:rsidR="007A7B8F">
        <w:t xml:space="preserve"> and</w:t>
      </w:r>
      <w:r>
        <w:t xml:space="preserve"> renal function. Older patients are more likely to have comorbidities that would render them </w:t>
      </w:r>
      <w:r w:rsidR="007A7B8F">
        <w:t>unsuitable</w:t>
      </w:r>
      <w:r>
        <w:t xml:space="preserve"> for TIS. </w:t>
      </w:r>
      <w:r w:rsidR="007A7B8F">
        <w:t>However,</w:t>
      </w:r>
      <w:r w:rsidR="004A79E5">
        <w:t xml:space="preserve"> </w:t>
      </w:r>
      <w:r w:rsidR="007A7B8F">
        <w:t xml:space="preserve">the clinician considered </w:t>
      </w:r>
      <w:r w:rsidR="003E7734">
        <w:t xml:space="preserve">it likely </w:t>
      </w:r>
      <w:r w:rsidR="007A7B8F">
        <w:t xml:space="preserve">that in Australian clinical </w:t>
      </w:r>
      <w:r w:rsidR="007A7B8F" w:rsidRPr="00B516BD">
        <w:lastRenderedPageBreak/>
        <w:t>practice</w:t>
      </w:r>
      <w:r w:rsidR="004F7FEF" w:rsidRPr="00B516BD">
        <w:t xml:space="preserve"> slightly</w:t>
      </w:r>
      <w:r w:rsidR="007A7B8F" w:rsidRPr="00B516BD">
        <w:t xml:space="preserve"> more patients would be found suitable for therapy than in the </w:t>
      </w:r>
      <w:r w:rsidRPr="00B516BD">
        <w:t xml:space="preserve">JULIET </w:t>
      </w:r>
      <w:r w:rsidR="007A7B8F" w:rsidRPr="00B516BD">
        <w:t xml:space="preserve">clinical </w:t>
      </w:r>
      <w:r w:rsidRPr="00B516BD">
        <w:t>trial</w:t>
      </w:r>
      <w:r w:rsidR="00F47A97" w:rsidRPr="00B516BD">
        <w:t>,</w:t>
      </w:r>
      <w:r w:rsidR="007A7B8F" w:rsidRPr="00B516BD">
        <w:t xml:space="preserve"> where less than half of all screened patients went on to receive TIS (see also Figure </w:t>
      </w:r>
      <w:r w:rsidR="00FF1DCF" w:rsidRPr="00B516BD">
        <w:t>1 below</w:t>
      </w:r>
      <w:r w:rsidR="004A79E5" w:rsidRPr="00B516BD">
        <w:t xml:space="preserve">). In their experience, more patients who begin manufacturing turn out to receive treatment. </w:t>
      </w:r>
      <w:r w:rsidR="004F7FEF" w:rsidRPr="00B516BD">
        <w:t>This was due to improvements in manufacturing turnaround and capacity in the commercial setting, as compared to the trial setting.</w:t>
      </w:r>
    </w:p>
    <w:p w14:paraId="0F8D5E32" w14:textId="77777777" w:rsidR="001925B9" w:rsidRDefault="001925B9" w:rsidP="000F6762">
      <w:pPr>
        <w:spacing w:after="240"/>
      </w:pPr>
      <w:r>
        <w:t xml:space="preserve">MSAC </w:t>
      </w:r>
      <w:r w:rsidR="002051A9">
        <w:t xml:space="preserve">asked </w:t>
      </w:r>
      <w:r w:rsidR="00F47A97">
        <w:t xml:space="preserve">why </w:t>
      </w:r>
      <w:r w:rsidR="00FF4F7F">
        <w:t xml:space="preserve">the modelled ICERs were similar for the DLBCL and </w:t>
      </w:r>
      <w:r w:rsidR="00EB4895" w:rsidRPr="00740F16">
        <w:t>p</w:t>
      </w:r>
      <w:r w:rsidR="00EB4895">
        <w:t>a</w:t>
      </w:r>
      <w:r w:rsidR="00EB4895" w:rsidRPr="00740F16">
        <w:t>ediatric acute lymphoblastic leukemia</w:t>
      </w:r>
      <w:r w:rsidR="00EB4895">
        <w:t xml:space="preserve"> (</w:t>
      </w:r>
      <w:r w:rsidR="00FF4F7F">
        <w:t>pALL</w:t>
      </w:r>
      <w:r w:rsidR="00EB4895">
        <w:t>)</w:t>
      </w:r>
      <w:r w:rsidR="00FF4F7F">
        <w:t xml:space="preserve"> populations despite the large differences i</w:t>
      </w:r>
      <w:r w:rsidR="003724B7">
        <w:t xml:space="preserve">n </w:t>
      </w:r>
      <w:r w:rsidR="00FF4F7F">
        <w:t xml:space="preserve">modelled life-years </w:t>
      </w:r>
      <w:r w:rsidR="003724B7">
        <w:t xml:space="preserve">(LYs) </w:t>
      </w:r>
      <w:r w:rsidR="00FF4F7F">
        <w:t>gained</w:t>
      </w:r>
      <w:r w:rsidR="003724B7">
        <w:t>.</w:t>
      </w:r>
      <w:r w:rsidR="00FF4F7F">
        <w:t xml:space="preserve"> </w:t>
      </w:r>
      <w:r w:rsidR="003724B7">
        <w:t xml:space="preserve">MSAC noted that the economic model for the pALL population (for which funding was considered and accepted by MSAC in April 2019) estimated 6.8 life-years gained and an incremental cost-effectiveness ratio (ICER) of about </w:t>
      </w:r>
      <w:r w:rsidR="003724B7" w:rsidRPr="000F6762">
        <w:t>$</w:t>
      </w:r>
      <w:r w:rsidR="000F6762" w:rsidRPr="000F6762">
        <w:rPr>
          <w:b/>
        </w:rPr>
        <w:t>redacted</w:t>
      </w:r>
      <w:r w:rsidR="003724B7">
        <w:t xml:space="preserve"> per QALY.</w:t>
      </w:r>
      <w:r>
        <w:t xml:space="preserve"> </w:t>
      </w:r>
      <w:r w:rsidR="003724B7">
        <w:t>By contrast t</w:t>
      </w:r>
      <w:r>
        <w:t xml:space="preserve">he </w:t>
      </w:r>
      <w:r w:rsidR="003724B7">
        <w:t xml:space="preserve">economic model for the </w:t>
      </w:r>
      <w:r>
        <w:t xml:space="preserve">DLBCL </w:t>
      </w:r>
      <w:r w:rsidR="003724B7">
        <w:t>population</w:t>
      </w:r>
      <w:r w:rsidR="00F47A97">
        <w:t xml:space="preserve"> estimated </w:t>
      </w:r>
      <w:r>
        <w:t xml:space="preserve">an increment of 1.4 LYs and an ICER of </w:t>
      </w:r>
      <w:r w:rsidRPr="000F6762">
        <w:t>$</w:t>
      </w:r>
      <w:r w:rsidR="000F6762" w:rsidRPr="000F6762">
        <w:rPr>
          <w:b/>
        </w:rPr>
        <w:t>redacted</w:t>
      </w:r>
      <w:r w:rsidRPr="000F6762">
        <w:rPr>
          <w:b/>
        </w:rPr>
        <w:t xml:space="preserve"> </w:t>
      </w:r>
      <w:r>
        <w:t>per QALY</w:t>
      </w:r>
      <w:r w:rsidR="0016194B">
        <w:t>. The applicant was unable to provide an explanation for this at the hearing</w:t>
      </w:r>
      <w:r w:rsidR="004F7FEF">
        <w:t xml:space="preserve"> which satisfied the MSAC</w:t>
      </w:r>
      <w:r w:rsidR="0016194B">
        <w:t xml:space="preserve">. </w:t>
      </w:r>
      <w:r w:rsidR="005730A7">
        <w:t xml:space="preserve">This point is discussed </w:t>
      </w:r>
      <w:r w:rsidR="0016194B">
        <w:t xml:space="preserve">further </w:t>
      </w:r>
      <w:r w:rsidR="005730A7">
        <w:t>below.</w:t>
      </w:r>
    </w:p>
    <w:p w14:paraId="3D636786" w14:textId="77777777" w:rsidR="001925B9" w:rsidRDefault="001011DD" w:rsidP="000F6762">
      <w:pPr>
        <w:spacing w:after="240"/>
      </w:pPr>
      <w:r>
        <w:t>In response to being asked whether there are any randomised controlled studies being conducted in this patient population, t</w:t>
      </w:r>
      <w:r w:rsidR="001925B9">
        <w:t xml:space="preserve">he applicant </w:t>
      </w:r>
      <w:r>
        <w:t xml:space="preserve">indicated </w:t>
      </w:r>
      <w:r w:rsidR="001925B9">
        <w:t xml:space="preserve">there are three international multicentre randomised controlled trials currently looking at CAR-T </w:t>
      </w:r>
      <w:r>
        <w:t xml:space="preserve">therapy </w:t>
      </w:r>
      <w:r w:rsidR="001925B9">
        <w:t>compared with autologous stem cell transplant in DLBCL patients who relapse within 12</w:t>
      </w:r>
      <w:r w:rsidR="002051A9">
        <w:t xml:space="preserve"> </w:t>
      </w:r>
      <w:r w:rsidR="001925B9">
        <w:t xml:space="preserve">months of diagnosis. However, </w:t>
      </w:r>
      <w:r>
        <w:t xml:space="preserve">these </w:t>
      </w:r>
      <w:r w:rsidR="001925B9">
        <w:t>trials are still</w:t>
      </w:r>
      <w:r>
        <w:t xml:space="preserve"> in the</w:t>
      </w:r>
      <w:r w:rsidR="001925B9">
        <w:t xml:space="preserve"> recruit</w:t>
      </w:r>
      <w:r>
        <w:t>ment stage. The applicant stated it was not aware of any ongoing randomised controlled studies in patients whose disease has relapsed after</w:t>
      </w:r>
      <w:r w:rsidRPr="001011DD">
        <w:t xml:space="preserve"> autologous stem cell transplant</w:t>
      </w:r>
      <w:r w:rsidR="00FF1DCF">
        <w:t>, ie the majority of the population in whom subsidy is currently proposed</w:t>
      </w:r>
      <w:r>
        <w:t>.</w:t>
      </w:r>
    </w:p>
    <w:p w14:paraId="298764D6" w14:textId="77777777" w:rsidR="001925B9" w:rsidRPr="000F6762" w:rsidRDefault="001925B9" w:rsidP="000F6762">
      <w:pPr>
        <w:pStyle w:val="Heading3"/>
        <w:spacing w:before="0" w:after="120"/>
        <w:rPr>
          <w:rFonts w:ascii="Times New Roman" w:hAnsi="Times New Roman" w:cs="Times New Roman"/>
          <w:b/>
          <w:color w:val="auto"/>
        </w:rPr>
      </w:pPr>
      <w:r w:rsidRPr="006318D8">
        <w:rPr>
          <w:rFonts w:ascii="Times New Roman" w:hAnsi="Times New Roman" w:cs="Times New Roman"/>
          <w:b/>
          <w:color w:val="auto"/>
        </w:rPr>
        <w:t>MSAC discussion</w:t>
      </w:r>
    </w:p>
    <w:p w14:paraId="4A342176" w14:textId="77777777" w:rsidR="004C4107" w:rsidRDefault="00B227E9" w:rsidP="000F6762">
      <w:pPr>
        <w:spacing w:after="240"/>
      </w:pPr>
      <w:r>
        <w:t xml:space="preserve">The MSAC noted that the population treated in the key clinical study, JULIET (C2201) was narrower </w:t>
      </w:r>
      <w:r w:rsidR="00EB4895">
        <w:t xml:space="preserve">than </w:t>
      </w:r>
      <w:r>
        <w:t xml:space="preserve">the population for whom subsidy is proposed, </w:t>
      </w:r>
      <w:r w:rsidR="001936EC">
        <w:t xml:space="preserve">as </w:t>
      </w:r>
      <w:r>
        <w:t>a significant proportion of the</w:t>
      </w:r>
      <w:r w:rsidR="002051A9">
        <w:t xml:space="preserve"> screened</w:t>
      </w:r>
      <w:r>
        <w:t xml:space="preserve"> patient</w:t>
      </w:r>
      <w:r w:rsidR="001936EC">
        <w:t xml:space="preserve"> population did</w:t>
      </w:r>
      <w:r>
        <w:t xml:space="preserve"> not meet the eligibility criteria (see Figure 1)</w:t>
      </w:r>
      <w:r w:rsidR="00FF1DCF">
        <w:t>. The MSAC further noted the JULIET eligibility criteria</w:t>
      </w:r>
      <w:r w:rsidR="004C4107">
        <w:t xml:space="preserve"> </w:t>
      </w:r>
      <w:r w:rsidR="001936EC">
        <w:t>considered</w:t>
      </w:r>
      <w:r w:rsidR="004C4107">
        <w:t xml:space="preserve"> the fitness of the patient to receive treatment with TIS</w:t>
      </w:r>
      <w:r w:rsidR="00FF1DCF">
        <w:t>, and consequently are highly relevant to establishing the conditions of use of TIS in Australia.</w:t>
      </w:r>
    </w:p>
    <w:p w14:paraId="4CF47CCA" w14:textId="77777777" w:rsidR="004C4107" w:rsidRDefault="00B227E9" w:rsidP="001925B9">
      <w:r>
        <w:t xml:space="preserve">In addition, even amongst those patients eligible to enrol in the </w:t>
      </w:r>
      <w:r w:rsidR="004C4107">
        <w:t xml:space="preserve">JULIET </w:t>
      </w:r>
      <w:r>
        <w:t xml:space="preserve">study, around </w:t>
      </w:r>
      <w:r w:rsidR="00FF1DCF">
        <w:t>one-third</w:t>
      </w:r>
      <w:r>
        <w:t xml:space="preserve"> did not go on to receive treatment with TIS</w:t>
      </w:r>
      <w:r w:rsidR="004C4107">
        <w:t>; including 16/165 patients who died</w:t>
      </w:r>
      <w:r w:rsidR="00FF1DCF" w:rsidRPr="00FF1DCF">
        <w:t>, between enrolment and infusion</w:t>
      </w:r>
      <w:r w:rsidR="00FF1DCF">
        <w:t>,</w:t>
      </w:r>
      <w:r w:rsidR="00FF1DCF" w:rsidRPr="00FF1DCF">
        <w:t xml:space="preserve"> </w:t>
      </w:r>
      <w:r w:rsidR="004C4107">
        <w:t xml:space="preserve">and a further 16/165 who </w:t>
      </w:r>
      <w:r w:rsidR="00EA046C" w:rsidRPr="004C4107">
        <w:t>had their treating physician decide against further participation</w:t>
      </w:r>
      <w:r w:rsidR="004C4107">
        <w:t xml:space="preserve"> between enrolment and infusion.</w:t>
      </w:r>
    </w:p>
    <w:p w14:paraId="5A6431D0" w14:textId="77777777" w:rsidR="00B227E9" w:rsidRPr="000F6762" w:rsidRDefault="00B227E9" w:rsidP="000F6762">
      <w:pPr>
        <w:keepNext/>
        <w:keepLines/>
        <w:rPr>
          <w:rFonts w:ascii="Arial Narrow" w:hAnsi="Arial Narrow"/>
          <w:b/>
          <w:sz w:val="20"/>
        </w:rPr>
      </w:pPr>
      <w:r w:rsidRPr="000F6762">
        <w:rPr>
          <w:rFonts w:ascii="Arial Narrow" w:hAnsi="Arial Narrow"/>
          <w:b/>
          <w:sz w:val="20"/>
        </w:rPr>
        <w:lastRenderedPageBreak/>
        <w:t>Figure 1: Patient disposition, JULIET study</w:t>
      </w:r>
    </w:p>
    <w:p w14:paraId="50D7EFFF" w14:textId="77777777" w:rsidR="004C4107" w:rsidRDefault="00B227E9" w:rsidP="000F6762">
      <w:pPr>
        <w:keepNext/>
        <w:keepLines/>
        <w:spacing w:after="240"/>
      </w:pPr>
      <w:r w:rsidRPr="00B227E9">
        <w:rPr>
          <w:noProof/>
        </w:rPr>
        <w:drawing>
          <wp:inline distT="0" distB="0" distL="0" distR="0" wp14:anchorId="5EFB0C64" wp14:editId="60175408">
            <wp:extent cx="3425825" cy="2948729"/>
            <wp:effectExtent l="0" t="0" r="3175" b="4445"/>
            <wp:docPr id="4" name="Picture 3" descr="Flow chart for patients from eligibility screening to study enrolment to receiving an infusion" title="Patient disposition, JULIET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31407" cy="2953534"/>
                    </a:xfrm>
                    <a:prstGeom prst="rect">
                      <a:avLst/>
                    </a:prstGeom>
                  </pic:spPr>
                </pic:pic>
              </a:graphicData>
            </a:graphic>
          </wp:inline>
        </w:drawing>
      </w:r>
    </w:p>
    <w:p w14:paraId="071EF803" w14:textId="77777777" w:rsidR="004C4107" w:rsidRDefault="004C4107" w:rsidP="000F6762">
      <w:pPr>
        <w:spacing w:after="240"/>
      </w:pPr>
      <w:r>
        <w:t>MSAC acknowledged the comments made by the clinician in the sponsor hearing</w:t>
      </w:r>
      <w:r w:rsidR="00F1418D">
        <w:t xml:space="preserve"> that it was likely that Australian clinicians would want to treat a broader population than in the </w:t>
      </w:r>
      <w:r w:rsidR="00FF1DCF">
        <w:t xml:space="preserve">JULIET </w:t>
      </w:r>
      <w:r w:rsidR="00F1418D">
        <w:t>trial. However, MSAC noted evidence is currently only available for the trial population and the effectiveness and toxicity of TIS has not been established in a broader population</w:t>
      </w:r>
      <w:r w:rsidR="007C04FB">
        <w:t xml:space="preserve">, which </w:t>
      </w:r>
      <w:r w:rsidR="00F1418D">
        <w:t xml:space="preserve">will include patients </w:t>
      </w:r>
      <w:r w:rsidR="003E7734">
        <w:t xml:space="preserve">who were </w:t>
      </w:r>
      <w:r w:rsidR="00F1418D">
        <w:t xml:space="preserve">considered </w:t>
      </w:r>
      <w:r w:rsidR="007C04FB">
        <w:t xml:space="preserve">too </w:t>
      </w:r>
      <w:r w:rsidR="00F1418D">
        <w:t xml:space="preserve">unwell for treatment in JULIET. MSAC considered it </w:t>
      </w:r>
      <w:r>
        <w:t xml:space="preserve">critically important that </w:t>
      </w:r>
      <w:r w:rsidR="00F1418D">
        <w:t xml:space="preserve">treatment with TIS is </w:t>
      </w:r>
      <w:r w:rsidR="00486DE6">
        <w:t>used only in patients likely to be fit enough to tolerate</w:t>
      </w:r>
      <w:r w:rsidR="001936EC">
        <w:t xml:space="preserve"> the treatment</w:t>
      </w:r>
      <w:r w:rsidR="00F1418D">
        <w:t>. MSAC recommended the Department convene a discussion with relevant stakeholders including treating clinicians, consumers, and representatives of the sponsor</w:t>
      </w:r>
      <w:r w:rsidR="007C04FB">
        <w:t>,</w:t>
      </w:r>
      <w:r w:rsidR="00F1418D">
        <w:t xml:space="preserve"> Commonwealth and State/Territory governments to </w:t>
      </w:r>
      <w:r w:rsidR="007C04FB">
        <w:t xml:space="preserve">consider </w:t>
      </w:r>
      <w:r w:rsidR="00F1418D">
        <w:t xml:space="preserve">the criteria for eligibility for </w:t>
      </w:r>
      <w:r w:rsidR="003E7734">
        <w:t xml:space="preserve">CAR-T </w:t>
      </w:r>
      <w:r w:rsidR="00F1418D">
        <w:t>t</w:t>
      </w:r>
      <w:r w:rsidR="003E7734">
        <w:t xml:space="preserve">herapy. </w:t>
      </w:r>
      <w:r w:rsidR="007C04FB">
        <w:t>MSAC considered the outcomes of that discussion should inform any future subsidy proposal made by the sponsor.</w:t>
      </w:r>
    </w:p>
    <w:p w14:paraId="4A1D2D8E" w14:textId="38E1F987" w:rsidR="002C71D0" w:rsidRPr="006A6212" w:rsidRDefault="001925B9" w:rsidP="000F6762">
      <w:pPr>
        <w:spacing w:after="240"/>
      </w:pPr>
      <w:r>
        <w:t xml:space="preserve">MSAC noted the inclusion of the December 2018 data </w:t>
      </w:r>
      <w:r w:rsidR="00486DE6">
        <w:t xml:space="preserve">cut </w:t>
      </w:r>
      <w:r>
        <w:t xml:space="preserve">from the JULIET trial </w:t>
      </w:r>
      <w:r w:rsidR="007C04FB">
        <w:t xml:space="preserve">in the resubmission </w:t>
      </w:r>
      <w:r>
        <w:t>had minimal effects on the observed overall survival (OS) and progression-free survival (P</w:t>
      </w:r>
      <w:r w:rsidRPr="003E7734">
        <w:t>FS)</w:t>
      </w:r>
      <w:r w:rsidR="001936EC" w:rsidRPr="003E7734">
        <w:t>.</w:t>
      </w:r>
      <w:r w:rsidRPr="003E7734">
        <w:t xml:space="preserve"> </w:t>
      </w:r>
      <w:r w:rsidR="00493DC8" w:rsidRPr="003E7734">
        <w:t xml:space="preserve">In the December 2018 data cut, median PFS </w:t>
      </w:r>
      <w:r w:rsidR="00493DC8" w:rsidRPr="006A6212">
        <w:t>was 4.6 months (95% CI: 3.7, 5.2) which was the same as the May 2018 data cut (4.6 months [3.68, 5.19]). The median overall survival in the December 2018 data cut was 8.2 (5.8, 11.7 months) compared to 8.25</w:t>
      </w:r>
      <w:r w:rsidR="00037C4B">
        <w:t> </w:t>
      </w:r>
      <w:r w:rsidR="00493DC8" w:rsidRPr="006A6212">
        <w:t xml:space="preserve">months (5.82, 11.7 months) in the May 2018 </w:t>
      </w:r>
      <w:r w:rsidR="002C71D0" w:rsidRPr="006A6212">
        <w:t>results presented at the November 2018 meeting</w:t>
      </w:r>
      <w:r w:rsidR="00FC5330" w:rsidRPr="006A6212">
        <w:t>.</w:t>
      </w:r>
    </w:p>
    <w:p w14:paraId="5C698FB4" w14:textId="77777777" w:rsidR="00493DC8" w:rsidRPr="003E7734" w:rsidRDefault="002C71D0" w:rsidP="001925B9">
      <w:r w:rsidRPr="006A6212">
        <w:t xml:space="preserve">MSAC agreed </w:t>
      </w:r>
      <w:r w:rsidR="001925B9" w:rsidRPr="006A6212">
        <w:t>TIS shows a</w:t>
      </w:r>
      <w:r w:rsidR="008318A9" w:rsidRPr="006A6212">
        <w:t>n overall</w:t>
      </w:r>
      <w:r w:rsidR="001925B9" w:rsidRPr="006A6212">
        <w:t xml:space="preserve"> </w:t>
      </w:r>
      <w:r w:rsidR="00E303F7" w:rsidRPr="006A6212">
        <w:t>benefit</w:t>
      </w:r>
      <w:r w:rsidR="001925B9" w:rsidRPr="006A6212">
        <w:t xml:space="preserve"> compared with </w:t>
      </w:r>
      <w:r w:rsidR="00877CCF" w:rsidRPr="006A6212">
        <w:t>sa</w:t>
      </w:r>
      <w:r w:rsidR="00877CCF">
        <w:t>lvage chemotherapy regimen</w:t>
      </w:r>
      <w:r w:rsidR="008F75C2">
        <w:t xml:space="preserve"> (</w:t>
      </w:r>
      <w:r w:rsidR="001925B9" w:rsidRPr="003E7734">
        <w:t>SCR</w:t>
      </w:r>
      <w:r w:rsidR="008F75C2">
        <w:t>)</w:t>
      </w:r>
      <w:r w:rsidR="00493DC8" w:rsidRPr="003E7734">
        <w:t xml:space="preserve">; however noted that the </w:t>
      </w:r>
      <w:r w:rsidR="00486DE6" w:rsidRPr="003E7734">
        <w:t xml:space="preserve">evidence of benefit is </w:t>
      </w:r>
      <w:r w:rsidR="00493DC8" w:rsidRPr="003E7734">
        <w:t xml:space="preserve">derived from a single arm trial in which the overall duration of follow-up remains short and the number of patients small (see Figure </w:t>
      </w:r>
      <w:r w:rsidR="007C04FB" w:rsidRPr="003E7734">
        <w:t>2</w:t>
      </w:r>
      <w:r w:rsidR="00493DC8" w:rsidRPr="003E7734">
        <w:t xml:space="preserve">). Overall the results </w:t>
      </w:r>
      <w:r w:rsidR="00486DE6" w:rsidRPr="003E7734">
        <w:t>for</w:t>
      </w:r>
      <w:r w:rsidR="00493DC8" w:rsidRPr="003E7734">
        <w:t xml:space="preserve"> TIS</w:t>
      </w:r>
      <w:r w:rsidR="00486DE6" w:rsidRPr="003E7734">
        <w:t xml:space="preserve"> in treat</w:t>
      </w:r>
      <w:r w:rsidR="00EB4895" w:rsidRPr="003E7734">
        <w:t>ing</w:t>
      </w:r>
      <w:r w:rsidR="00486DE6" w:rsidRPr="003E7734">
        <w:t xml:space="preserve"> DLBCL</w:t>
      </w:r>
      <w:r w:rsidR="00493DC8" w:rsidRPr="003E7734">
        <w:t xml:space="preserve"> are not as promising as those seen for the pALL population (proportion alive at 12 months post-infusion 40% versus 71%</w:t>
      </w:r>
      <w:r w:rsidR="001936EC" w:rsidRPr="003E7734">
        <w:t xml:space="preserve"> for the pALL population</w:t>
      </w:r>
      <w:r w:rsidR="00493DC8" w:rsidRPr="003E7734">
        <w:t>)</w:t>
      </w:r>
      <w:r w:rsidR="00486DE6" w:rsidRPr="003E7734">
        <w:t>.</w:t>
      </w:r>
    </w:p>
    <w:p w14:paraId="58BAD48A" w14:textId="77777777" w:rsidR="00493DC8" w:rsidRPr="006A6212" w:rsidRDefault="00493DC8" w:rsidP="00493DC8">
      <w:pPr>
        <w:keepNext/>
      </w:pPr>
      <w:bookmarkStart w:id="1" w:name="_Ref3976087"/>
      <w:r w:rsidRPr="006A6212">
        <w:rPr>
          <w:rFonts w:ascii="Arial Narrow" w:hAnsi="Arial Narrow" w:cs="Arial"/>
          <w:b/>
          <w:bCs/>
          <w:color w:val="000000"/>
          <w:sz w:val="20"/>
        </w:rPr>
        <w:lastRenderedPageBreak/>
        <w:t>Figure</w:t>
      </w:r>
      <w:r w:rsidR="007C04FB" w:rsidRPr="006A6212">
        <w:rPr>
          <w:rFonts w:ascii="Arial Narrow" w:hAnsi="Arial Narrow" w:cs="Arial"/>
          <w:b/>
          <w:bCs/>
          <w:color w:val="000000"/>
          <w:sz w:val="20"/>
        </w:rPr>
        <w:t xml:space="preserve"> 2</w:t>
      </w:r>
      <w:bookmarkEnd w:id="1"/>
      <w:r w:rsidRPr="006A6212">
        <w:rPr>
          <w:rFonts w:ascii="Arial Narrow" w:hAnsi="Arial Narrow"/>
          <w:b/>
          <w:color w:val="000000" w:themeColor="text1"/>
          <w:sz w:val="20"/>
        </w:rPr>
        <w:t>: Kaplan Meier plot of Overall Survival (enrolled set) for December 2018 Data cut</w:t>
      </w:r>
    </w:p>
    <w:p w14:paraId="12789E68" w14:textId="77777777" w:rsidR="00493DC8" w:rsidRPr="00F9204A" w:rsidRDefault="00493DC8" w:rsidP="00493DC8">
      <w:r w:rsidRPr="00F9204A">
        <w:rPr>
          <w:noProof/>
        </w:rPr>
        <w:drawing>
          <wp:inline distT="0" distB="0" distL="0" distR="0" wp14:anchorId="79FFB2D6" wp14:editId="617CA637">
            <wp:extent cx="5324475" cy="3656026"/>
            <wp:effectExtent l="0" t="0" r="0" b="1905"/>
            <wp:docPr id="13" name="Picture 13" descr="/var/folders/2f/zhm6z3dj30sf_8n5mpxmrs1w0000gn/T/com.microsoft.Word/WebArchiveCopyPasteTempFiles/cidimage001.png@01D4DE5A.0A5F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2f/zhm6z3dj30sf_8n5mpxmrs1w0000gn/T/com.microsoft.Word/WebArchiveCopyPasteTempFiles/cidimage001.png@01D4DE5A.0A5F7D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254" cy="3662741"/>
                    </a:xfrm>
                    <a:prstGeom prst="rect">
                      <a:avLst/>
                    </a:prstGeom>
                    <a:noFill/>
                    <a:ln>
                      <a:noFill/>
                    </a:ln>
                  </pic:spPr>
                </pic:pic>
              </a:graphicData>
            </a:graphic>
          </wp:inline>
        </w:drawing>
      </w:r>
    </w:p>
    <w:p w14:paraId="3861C151" w14:textId="77777777" w:rsidR="00493DC8" w:rsidRPr="000F6762" w:rsidRDefault="00493DC8" w:rsidP="000F6762">
      <w:pPr>
        <w:spacing w:after="240"/>
        <w:rPr>
          <w:rFonts w:ascii="Arial Narrow" w:hAnsi="Arial Narrow"/>
          <w:sz w:val="16"/>
          <w:szCs w:val="16"/>
        </w:rPr>
      </w:pPr>
      <w:r w:rsidRPr="00F9204A">
        <w:rPr>
          <w:rFonts w:ascii="Arial Narrow" w:hAnsi="Arial Narrow"/>
          <w:sz w:val="16"/>
          <w:szCs w:val="16"/>
        </w:rPr>
        <w:t xml:space="preserve">Source: Figure </w:t>
      </w:r>
      <w:r w:rsidRPr="00F9204A">
        <w:rPr>
          <w:rFonts w:ascii="Arial Narrow" w:hAnsi="Arial Narrow"/>
          <w:bCs/>
          <w:color w:val="454545"/>
          <w:sz w:val="16"/>
          <w:szCs w:val="16"/>
        </w:rPr>
        <w:t>F142_7_04.rtf file in the update DLBCL_20 Feb folder</w:t>
      </w:r>
    </w:p>
    <w:p w14:paraId="1942097C" w14:textId="77777777" w:rsidR="008F4BA2" w:rsidRPr="003E7734" w:rsidRDefault="001925B9" w:rsidP="000F6762">
      <w:pPr>
        <w:spacing w:after="240"/>
      </w:pPr>
      <w:r w:rsidRPr="003E7734">
        <w:t xml:space="preserve">MSAC noted the calculated differences seen in the LYs and ICERs for the pALL and DLBCL populations. </w:t>
      </w:r>
      <w:r w:rsidR="008F4BA2" w:rsidRPr="003E7734">
        <w:t>In the absence of an explanation from the sponsor during the hearing</w:t>
      </w:r>
      <w:r w:rsidR="004F7FEF">
        <w:t xml:space="preserve"> which satisfied the MSAC</w:t>
      </w:r>
      <w:r w:rsidR="008F4BA2" w:rsidRPr="003E7734">
        <w:t xml:space="preserve">, </w:t>
      </w:r>
      <w:r w:rsidR="001936EC" w:rsidRPr="003E7734">
        <w:t>an analysis was undertaken</w:t>
      </w:r>
      <w:r w:rsidR="008F4BA2" w:rsidRPr="003E7734">
        <w:t xml:space="preserve"> to </w:t>
      </w:r>
      <w:r w:rsidR="001936EC" w:rsidRPr="003E7734">
        <w:t>clarify this issue</w:t>
      </w:r>
      <w:r w:rsidR="008F4BA2" w:rsidRPr="003E7734">
        <w:t>:</w:t>
      </w:r>
    </w:p>
    <w:p w14:paraId="15729159" w14:textId="77777777" w:rsidR="00A85B71" w:rsidRDefault="008F4BA2" w:rsidP="000F6762">
      <w:pPr>
        <w:spacing w:after="240"/>
        <w:ind w:left="720" w:hanging="720"/>
      </w:pPr>
      <w:r w:rsidRPr="003E7734">
        <w:tab/>
      </w:r>
      <w:r w:rsidR="001D2CC8" w:rsidRPr="003E7734">
        <w:t>Assuming that different extrapolation</w:t>
      </w:r>
      <w:r w:rsidR="00983BC2" w:rsidRPr="003E7734">
        <w:t>s</w:t>
      </w:r>
      <w:r w:rsidR="001D2CC8" w:rsidRPr="003E7734">
        <w:t xml:space="preserve"> are appropriate for the two populations (lognormal for the pALL population and spline for the DLBCL population), then the higher number of LYs in the pALL population (6.8) relative to the DLBCL population (1.4) are consistent with the higher observed response rate and younger age of the pALL population. </w:t>
      </w:r>
      <w:r w:rsidR="001925B9" w:rsidRPr="003E7734">
        <w:t xml:space="preserve"> </w:t>
      </w:r>
      <w:r w:rsidRPr="003E7734">
        <w:t xml:space="preserve">Thus, </w:t>
      </w:r>
      <w:r w:rsidR="001925B9" w:rsidRPr="003E7734">
        <w:t xml:space="preserve">the extrapolation methods, and the inclusion of different </w:t>
      </w:r>
      <w:r w:rsidR="00F94F7A" w:rsidRPr="003E7734">
        <w:t xml:space="preserve">treatment-related </w:t>
      </w:r>
      <w:r w:rsidR="001925B9" w:rsidRPr="003E7734">
        <w:t>cost</w:t>
      </w:r>
      <w:r w:rsidR="00F94F7A" w:rsidRPr="003E7734">
        <w:t>s</w:t>
      </w:r>
      <w:r w:rsidR="001925B9" w:rsidRPr="003E7734">
        <w:t xml:space="preserve">  </w:t>
      </w:r>
      <w:r w:rsidR="001936EC" w:rsidRPr="003E7734">
        <w:t xml:space="preserve">must </w:t>
      </w:r>
      <w:r w:rsidR="001925B9" w:rsidRPr="003E7734">
        <w:t>explain the</w:t>
      </w:r>
      <w:r w:rsidR="001936EC" w:rsidRPr="003E7734">
        <w:t xml:space="preserve"> similar ICER for the two diseases. </w:t>
      </w:r>
      <w:r w:rsidR="005730A7" w:rsidRPr="003E7734">
        <w:t xml:space="preserve">At a TIS price of </w:t>
      </w:r>
      <w:r w:rsidR="005730A7" w:rsidRPr="000F6762">
        <w:t>$</w:t>
      </w:r>
      <w:r w:rsidR="000F6762" w:rsidRPr="000F6762">
        <w:rPr>
          <w:b/>
        </w:rPr>
        <w:t>redacted</w:t>
      </w:r>
      <w:r w:rsidR="005730A7" w:rsidRPr="003E7734">
        <w:t xml:space="preserve"> the additional costs for treating DLBCL would be </w:t>
      </w:r>
      <w:r w:rsidR="005730A7" w:rsidRPr="000F6762">
        <w:t>$</w:t>
      </w:r>
      <w:r w:rsidR="000F6762" w:rsidRPr="000F6762">
        <w:rPr>
          <w:b/>
        </w:rPr>
        <w:t>redacted</w:t>
      </w:r>
      <w:r w:rsidR="005730A7" w:rsidRPr="003E7734">
        <w:t xml:space="preserve"> vs around </w:t>
      </w:r>
      <w:r w:rsidR="005730A7" w:rsidRPr="000F6762">
        <w:t>$</w:t>
      </w:r>
      <w:r w:rsidR="000F6762" w:rsidRPr="000F6762">
        <w:rPr>
          <w:b/>
        </w:rPr>
        <w:t>redacted</w:t>
      </w:r>
      <w:r w:rsidR="005730A7" w:rsidRPr="003E7734">
        <w:t xml:space="preserve"> for pALL. </w:t>
      </w:r>
      <w:r w:rsidR="00983BC2" w:rsidRPr="003E7734">
        <w:t>Thus MSAC considered the explanation for these differences must lie in a significant difference in treatment costs for D</w:t>
      </w:r>
      <w:r w:rsidR="002F700C">
        <w:t>LBCL. However, it</w:t>
      </w:r>
      <w:r w:rsidR="005730A7" w:rsidRPr="003E7734">
        <w:t xml:space="preserve"> was not clear </w:t>
      </w:r>
      <w:r w:rsidR="003F0BD9" w:rsidRPr="003E7734">
        <w:t xml:space="preserve">to MSAC </w:t>
      </w:r>
      <w:r w:rsidR="005730A7" w:rsidRPr="003E7734">
        <w:t xml:space="preserve">whether </w:t>
      </w:r>
      <w:r w:rsidR="00F94F7A" w:rsidRPr="003E7734">
        <w:t>the cost differences in the TIS arms of the m</w:t>
      </w:r>
      <w:r w:rsidRPr="003E7734">
        <w:t>o</w:t>
      </w:r>
      <w:r w:rsidR="00F94F7A" w:rsidRPr="003E7734">
        <w:t>dels are an accurate reflection of differences in disease management for DLBCL relative to pALL</w:t>
      </w:r>
      <w:r w:rsidR="000F6762">
        <w:t>.</w:t>
      </w:r>
    </w:p>
    <w:p w14:paraId="673EB8C1" w14:textId="77777777" w:rsidR="001925B9" w:rsidRDefault="00A85B71" w:rsidP="000F6762">
      <w:pPr>
        <w:spacing w:after="240"/>
      </w:pPr>
      <w:r>
        <w:t xml:space="preserve">MSAC noted the revised economic analysis provided by the applicant </w:t>
      </w:r>
      <w:r w:rsidR="00545564">
        <w:t xml:space="preserve">with this application </w:t>
      </w:r>
      <w:r w:rsidR="00977225">
        <w:t xml:space="preserve">resulted in a base case incremental cost per quality adjusted life year of </w:t>
      </w:r>
      <w:r w:rsidR="00977225" w:rsidRPr="000F6762">
        <w:t>$</w:t>
      </w:r>
      <w:r w:rsidR="000F6762" w:rsidRPr="000F6762">
        <w:rPr>
          <w:b/>
        </w:rPr>
        <w:t>redacted</w:t>
      </w:r>
      <w:r w:rsidR="000F6762">
        <w:t xml:space="preserve"> </w:t>
      </w:r>
      <w:r w:rsidR="00977225">
        <w:t xml:space="preserve">which is </w:t>
      </w:r>
      <w:r w:rsidR="003F0BD9">
        <w:t xml:space="preserve">somewhat </w:t>
      </w:r>
      <w:r w:rsidR="00977225">
        <w:t>higher than is usually acceptable and likely, for the reasons set out by the ESC, to be underestimated.</w:t>
      </w:r>
    </w:p>
    <w:p w14:paraId="6C42B182" w14:textId="77777777" w:rsidR="00D909BB" w:rsidRDefault="001925B9" w:rsidP="000F6762">
      <w:pPr>
        <w:spacing w:after="240"/>
      </w:pPr>
      <w:r>
        <w:t xml:space="preserve">MSAC </w:t>
      </w:r>
      <w:r w:rsidR="003F0BD9">
        <w:t xml:space="preserve">further </w:t>
      </w:r>
      <w:r>
        <w:t>noted the</w:t>
      </w:r>
      <w:r w:rsidR="00977225">
        <w:t xml:space="preserve"> outcomes of the economic model are most sensitive to the price of TIS, the method of extrapolation and the starting age of the model</w:t>
      </w:r>
      <w:r>
        <w:t xml:space="preserve"> and any reasonable variations of these give rise to unacceptably high </w:t>
      </w:r>
      <w:r w:rsidR="00977225">
        <w:t>cost effectiveness ratios</w:t>
      </w:r>
      <w:r>
        <w:t>.</w:t>
      </w:r>
    </w:p>
    <w:p w14:paraId="55A0A98F" w14:textId="77777777" w:rsidR="001925B9" w:rsidRDefault="00D909BB" w:rsidP="001925B9">
      <w:r>
        <w:t xml:space="preserve">MSAC was concerned that if treatment in Australia is </w:t>
      </w:r>
      <w:r w:rsidR="00545564">
        <w:t xml:space="preserve">given </w:t>
      </w:r>
      <w:r>
        <w:t xml:space="preserve">to a much wider population than included in the JULIET trial </w:t>
      </w:r>
      <w:r w:rsidR="00545564">
        <w:t>t</w:t>
      </w:r>
      <w:r>
        <w:t xml:space="preserve">hereby </w:t>
      </w:r>
      <w:r w:rsidR="00545564">
        <w:t xml:space="preserve">including </w:t>
      </w:r>
      <w:r>
        <w:t>less fit patients, this would also have an unfavourable impact on the cost-effectiveness of treatment.</w:t>
      </w:r>
      <w:r w:rsidR="00977225">
        <w:t xml:space="preserve"> </w:t>
      </w:r>
    </w:p>
    <w:p w14:paraId="0F95AAFE" w14:textId="77777777" w:rsidR="005A4E9D" w:rsidRDefault="005A4E9D" w:rsidP="000F6762">
      <w:pPr>
        <w:spacing w:after="240"/>
      </w:pPr>
      <w:r>
        <w:lastRenderedPageBreak/>
        <w:t>MSAC considered the n</w:t>
      </w:r>
      <w:r w:rsidR="00A85B71">
        <w:t>umber of patients likely to be infused in Australia is a key issue that has not been resolved by the resubmission.</w:t>
      </w:r>
      <w:r>
        <w:t xml:space="preserve"> MSAC considered the sponsor</w:t>
      </w:r>
      <w:r w:rsidR="00545564">
        <w:t>’</w:t>
      </w:r>
      <w:r>
        <w:t>s revised estimates of patient numbers</w:t>
      </w:r>
      <w:r w:rsidR="00545564">
        <w:t xml:space="preserve"> </w:t>
      </w:r>
      <w:r>
        <w:t>and financial impact</w:t>
      </w:r>
      <w:r w:rsidR="000A2CB8">
        <w:t xml:space="preserve"> of subsidy</w:t>
      </w:r>
      <w:r>
        <w:t xml:space="preserve"> presented with the pre-MSAC response remain </w:t>
      </w:r>
      <w:r w:rsidR="00545564">
        <w:t xml:space="preserve">implausibly </w:t>
      </w:r>
      <w:r>
        <w:t>high, although acknowledged that the NHS England patient number estimates referred in Addendum 2 to the critique are an underestimate.</w:t>
      </w:r>
    </w:p>
    <w:p w14:paraId="7BCD9628" w14:textId="77777777" w:rsidR="00C54290" w:rsidRPr="002B501C" w:rsidRDefault="005A4E9D" w:rsidP="00C54290">
      <w:pPr>
        <w:rPr>
          <w:sz w:val="22"/>
        </w:rPr>
      </w:pPr>
      <w:r w:rsidRPr="002B501C">
        <w:t xml:space="preserve">MSAC </w:t>
      </w:r>
      <w:r w:rsidR="00C54290" w:rsidRPr="002B501C">
        <w:t xml:space="preserve">considered the patient numbers and financial impacts of </w:t>
      </w:r>
      <w:r w:rsidR="000A2CB8" w:rsidRPr="002B501C">
        <w:t>subsidising TIS for r/r DLBCL</w:t>
      </w:r>
      <w:r w:rsidR="00C54290" w:rsidRPr="002B501C">
        <w:t xml:space="preserve"> would be more accurate if they were amended so:</w:t>
      </w:r>
    </w:p>
    <w:p w14:paraId="19066C1A" w14:textId="77777777" w:rsidR="00C54290" w:rsidRPr="002B501C" w:rsidRDefault="00C54290" w:rsidP="00C54290">
      <w:pPr>
        <w:pStyle w:val="ListParagraph"/>
        <w:numPr>
          <w:ilvl w:val="0"/>
          <w:numId w:val="36"/>
        </w:numPr>
        <w:contextualSpacing w:val="0"/>
      </w:pPr>
      <w:r w:rsidRPr="002B501C">
        <w:t xml:space="preserve">AIHW </w:t>
      </w:r>
      <w:hyperlink r:id="rId12" w:history="1">
        <w:r w:rsidRPr="002B501C">
          <w:rPr>
            <w:rStyle w:val="Hyperlink"/>
            <w:color w:val="auto"/>
          </w:rPr>
          <w:t>Australian Cancer Database</w:t>
        </w:r>
      </w:hyperlink>
      <w:r w:rsidRPr="002B501C">
        <w:t xml:space="preserve"> figures are used to project the population diagnosed with NHL. This includes registry data for new diagnosed cases from all states and territories to 2015.</w:t>
      </w:r>
    </w:p>
    <w:p w14:paraId="266DE6C2" w14:textId="77777777" w:rsidR="003459AD" w:rsidRPr="00D66327" w:rsidRDefault="00C54290" w:rsidP="00D66327">
      <w:pPr>
        <w:pStyle w:val="ListParagraph"/>
        <w:numPr>
          <w:ilvl w:val="0"/>
          <w:numId w:val="36"/>
        </w:numPr>
        <w:spacing w:after="240"/>
        <w:rPr>
          <w:sz w:val="22"/>
          <w:szCs w:val="22"/>
        </w:rPr>
      </w:pPr>
      <w:r w:rsidRPr="002B501C">
        <w:t>Patients unfit for TIS are excluded. MSAC considered that the proportion of patients over age 80 in the Victorian Cancer Registry</w:t>
      </w:r>
      <w:r w:rsidR="004B7444" w:rsidRPr="002B501C">
        <w:t xml:space="preserve"> (</w:t>
      </w:r>
      <w:r w:rsidRPr="002B501C">
        <w:t>Wong Doo et al. (2019), Table 1, p4</w:t>
      </w:r>
      <w:r w:rsidR="004B7444" w:rsidRPr="002B501C">
        <w:t>)</w:t>
      </w:r>
      <w:r w:rsidR="00D66327">
        <w:t xml:space="preserve"> </w:t>
      </w:r>
      <w:r w:rsidR="004B7444" w:rsidRPr="002B501C">
        <w:t>could be used as a proxy for estimating the proportion of patients of all a</w:t>
      </w:r>
      <w:r w:rsidR="00D66327">
        <w:t xml:space="preserve">ges unfit for TIS; with the </w:t>
      </w:r>
      <w:r w:rsidR="004B7444" w:rsidRPr="002B501C">
        <w:t>addition of the proportion having an</w:t>
      </w:r>
      <w:r w:rsidRPr="002B501C">
        <w:t xml:space="preserve"> ECOG more than 2 </w:t>
      </w:r>
      <w:r w:rsidR="004B7444" w:rsidRPr="002B501C">
        <w:t xml:space="preserve">in </w:t>
      </w:r>
      <w:r w:rsidR="004B7444" w:rsidRPr="002B501C">
        <w:rPr>
          <w:sz w:val="22"/>
          <w:szCs w:val="22"/>
        </w:rPr>
        <w:t>Crump 2017 (Table 1 p1803)</w:t>
      </w:r>
      <w:r w:rsidR="00D66327">
        <w:rPr>
          <w:sz w:val="22"/>
          <w:szCs w:val="22"/>
        </w:rPr>
        <w:t>.</w:t>
      </w:r>
    </w:p>
    <w:p w14:paraId="613A54A0" w14:textId="77777777" w:rsidR="003459AD" w:rsidRPr="002B501C" w:rsidRDefault="003459AD" w:rsidP="00D66327">
      <w:pPr>
        <w:spacing w:after="240"/>
      </w:pPr>
      <w:r w:rsidRPr="002B501C">
        <w:t>Incorporating these changes into the sponsor’s estimates results in a total number of TIS treated patients over 6 year</w:t>
      </w:r>
      <w:r w:rsidR="000A2CB8" w:rsidRPr="002B501C">
        <w:t>s</w:t>
      </w:r>
      <w:r w:rsidRPr="002B501C">
        <w:t xml:space="preserve"> of </w:t>
      </w:r>
      <w:r w:rsidRPr="004F7FEF">
        <w:t>1084</w:t>
      </w:r>
      <w:r w:rsidRPr="002B501C">
        <w:t xml:space="preserve"> at a total cost </w:t>
      </w:r>
      <w:r w:rsidR="000A2CB8" w:rsidRPr="002B501C">
        <w:t xml:space="preserve">of </w:t>
      </w:r>
      <w:r w:rsidRPr="00D66327">
        <w:t>$</w:t>
      </w:r>
      <w:r w:rsidR="00D66327" w:rsidRPr="000F6762">
        <w:rPr>
          <w:b/>
        </w:rPr>
        <w:t>redacted</w:t>
      </w:r>
      <w:r w:rsidR="00D66327" w:rsidRPr="002B501C">
        <w:t xml:space="preserve"> </w:t>
      </w:r>
      <w:r w:rsidRPr="002B501C">
        <w:t>(TIS component of therapy only (see Table 1).</w:t>
      </w:r>
    </w:p>
    <w:p w14:paraId="15CD6827" w14:textId="77777777" w:rsidR="003459AD" w:rsidRPr="006753E4" w:rsidRDefault="00EA046C" w:rsidP="003459AD">
      <w:pPr>
        <w:rPr>
          <w:rFonts w:ascii="Arial Narrow" w:hAnsi="Arial Narrow"/>
          <w:b/>
          <w:sz w:val="20"/>
        </w:rPr>
      </w:pPr>
      <w:r w:rsidRPr="006753E4">
        <w:rPr>
          <w:rFonts w:ascii="Arial Narrow" w:hAnsi="Arial Narrow"/>
          <w:b/>
          <w:sz w:val="20"/>
        </w:rPr>
        <w:t>Table 1</w:t>
      </w:r>
      <w:r w:rsidR="006753E4">
        <w:rPr>
          <w:rFonts w:ascii="Arial Narrow" w:hAnsi="Arial Narrow"/>
          <w:b/>
          <w:sz w:val="20"/>
        </w:rPr>
        <w:tab/>
        <w:t>Estimate</w:t>
      </w:r>
      <w:r w:rsidR="00036E0B">
        <w:rPr>
          <w:rFonts w:ascii="Arial Narrow" w:hAnsi="Arial Narrow"/>
          <w:b/>
          <w:sz w:val="20"/>
        </w:rPr>
        <w:t>d</w:t>
      </w:r>
      <w:r w:rsidR="006753E4">
        <w:rPr>
          <w:rFonts w:ascii="Arial Narrow" w:hAnsi="Arial Narrow"/>
          <w:b/>
          <w:sz w:val="20"/>
        </w:rPr>
        <w:t xml:space="preserve"> costs for infused patients</w:t>
      </w:r>
    </w:p>
    <w:tbl>
      <w:tblPr>
        <w:tblStyle w:val="TableGrid"/>
        <w:tblW w:w="0" w:type="auto"/>
        <w:tblLook w:val="04A0" w:firstRow="1" w:lastRow="0" w:firstColumn="1" w:lastColumn="0" w:noHBand="0" w:noVBand="1"/>
        <w:tblDescription w:val="Estimate of costs for infused patients"/>
      </w:tblPr>
      <w:tblGrid>
        <w:gridCol w:w="1606"/>
        <w:gridCol w:w="1036"/>
        <w:gridCol w:w="1095"/>
        <w:gridCol w:w="1053"/>
        <w:gridCol w:w="1053"/>
        <w:gridCol w:w="1061"/>
        <w:gridCol w:w="1034"/>
        <w:gridCol w:w="1078"/>
      </w:tblGrid>
      <w:tr w:rsidR="002B501C" w:rsidRPr="002B501C" w14:paraId="2F34E0DD" w14:textId="77777777" w:rsidTr="009976D8">
        <w:trPr>
          <w:trHeight w:val="570"/>
          <w:tblHeader/>
        </w:trPr>
        <w:tc>
          <w:tcPr>
            <w:tcW w:w="6680" w:type="dxa"/>
            <w:hideMark/>
          </w:tcPr>
          <w:p w14:paraId="04215479" w14:textId="77777777" w:rsidR="003459AD" w:rsidRPr="002B501C" w:rsidRDefault="003459AD">
            <w:pPr>
              <w:rPr>
                <w:rFonts w:ascii="Arial Narrow" w:hAnsi="Arial Narrow"/>
                <w:b/>
                <w:bCs/>
                <w:sz w:val="20"/>
              </w:rPr>
            </w:pPr>
            <w:r w:rsidRPr="002B501C">
              <w:rPr>
                <w:rFonts w:ascii="Arial Narrow" w:hAnsi="Arial Narrow"/>
                <w:b/>
                <w:bCs/>
                <w:sz w:val="20"/>
              </w:rPr>
              <w:t>DLBCL</w:t>
            </w:r>
          </w:p>
        </w:tc>
        <w:tc>
          <w:tcPr>
            <w:tcW w:w="1600" w:type="dxa"/>
            <w:hideMark/>
          </w:tcPr>
          <w:p w14:paraId="0DB25132" w14:textId="77777777" w:rsidR="003459AD" w:rsidRPr="002B501C" w:rsidRDefault="003459AD" w:rsidP="003459AD">
            <w:pPr>
              <w:rPr>
                <w:rFonts w:ascii="Arial Narrow" w:hAnsi="Arial Narrow"/>
                <w:b/>
                <w:bCs/>
                <w:sz w:val="20"/>
              </w:rPr>
            </w:pPr>
            <w:r w:rsidRPr="002B501C">
              <w:rPr>
                <w:rFonts w:ascii="Arial Narrow" w:hAnsi="Arial Narrow"/>
                <w:b/>
                <w:bCs/>
                <w:sz w:val="20"/>
              </w:rPr>
              <w:t>Year 1</w:t>
            </w:r>
          </w:p>
        </w:tc>
        <w:tc>
          <w:tcPr>
            <w:tcW w:w="2020" w:type="dxa"/>
            <w:hideMark/>
          </w:tcPr>
          <w:p w14:paraId="0CE1973A" w14:textId="77777777" w:rsidR="003459AD" w:rsidRPr="002B501C" w:rsidRDefault="003459AD" w:rsidP="003459AD">
            <w:pPr>
              <w:rPr>
                <w:rFonts w:ascii="Arial Narrow" w:hAnsi="Arial Narrow"/>
                <w:b/>
                <w:bCs/>
                <w:sz w:val="20"/>
              </w:rPr>
            </w:pPr>
            <w:r w:rsidRPr="002B501C">
              <w:rPr>
                <w:rFonts w:ascii="Arial Narrow" w:hAnsi="Arial Narrow"/>
                <w:b/>
                <w:bCs/>
                <w:sz w:val="20"/>
              </w:rPr>
              <w:t>Year 2</w:t>
            </w:r>
          </w:p>
        </w:tc>
        <w:tc>
          <w:tcPr>
            <w:tcW w:w="1720" w:type="dxa"/>
            <w:hideMark/>
          </w:tcPr>
          <w:p w14:paraId="4573380E" w14:textId="77777777" w:rsidR="003459AD" w:rsidRPr="002B501C" w:rsidRDefault="003459AD" w:rsidP="003459AD">
            <w:pPr>
              <w:rPr>
                <w:rFonts w:ascii="Arial Narrow" w:hAnsi="Arial Narrow"/>
                <w:b/>
                <w:bCs/>
                <w:sz w:val="20"/>
              </w:rPr>
            </w:pPr>
            <w:r w:rsidRPr="002B501C">
              <w:rPr>
                <w:rFonts w:ascii="Arial Narrow" w:hAnsi="Arial Narrow"/>
                <w:b/>
                <w:bCs/>
                <w:sz w:val="20"/>
              </w:rPr>
              <w:t>Year 3</w:t>
            </w:r>
          </w:p>
        </w:tc>
        <w:tc>
          <w:tcPr>
            <w:tcW w:w="1720" w:type="dxa"/>
            <w:hideMark/>
          </w:tcPr>
          <w:p w14:paraId="703A3C76" w14:textId="77777777" w:rsidR="003459AD" w:rsidRPr="002B501C" w:rsidRDefault="003459AD" w:rsidP="003459AD">
            <w:pPr>
              <w:rPr>
                <w:rFonts w:ascii="Arial Narrow" w:hAnsi="Arial Narrow"/>
                <w:b/>
                <w:bCs/>
                <w:sz w:val="20"/>
              </w:rPr>
            </w:pPr>
            <w:r w:rsidRPr="002B501C">
              <w:rPr>
                <w:rFonts w:ascii="Arial Narrow" w:hAnsi="Arial Narrow"/>
                <w:b/>
                <w:bCs/>
                <w:sz w:val="20"/>
              </w:rPr>
              <w:t>Year 4</w:t>
            </w:r>
          </w:p>
        </w:tc>
        <w:tc>
          <w:tcPr>
            <w:tcW w:w="1780" w:type="dxa"/>
            <w:hideMark/>
          </w:tcPr>
          <w:p w14:paraId="052E70BC" w14:textId="77777777" w:rsidR="003459AD" w:rsidRPr="002B501C" w:rsidRDefault="003459AD" w:rsidP="003459AD">
            <w:pPr>
              <w:rPr>
                <w:rFonts w:ascii="Arial Narrow" w:hAnsi="Arial Narrow"/>
                <w:b/>
                <w:bCs/>
                <w:sz w:val="20"/>
              </w:rPr>
            </w:pPr>
            <w:r w:rsidRPr="002B501C">
              <w:rPr>
                <w:rFonts w:ascii="Arial Narrow" w:hAnsi="Arial Narrow"/>
                <w:b/>
                <w:bCs/>
                <w:sz w:val="20"/>
              </w:rPr>
              <w:t>Year 5</w:t>
            </w:r>
          </w:p>
        </w:tc>
        <w:tc>
          <w:tcPr>
            <w:tcW w:w="1580" w:type="dxa"/>
            <w:hideMark/>
          </w:tcPr>
          <w:p w14:paraId="61A78522" w14:textId="77777777" w:rsidR="003459AD" w:rsidRPr="002B501C" w:rsidRDefault="003459AD" w:rsidP="003459AD">
            <w:pPr>
              <w:rPr>
                <w:rFonts w:ascii="Arial Narrow" w:hAnsi="Arial Narrow"/>
                <w:b/>
                <w:bCs/>
                <w:sz w:val="20"/>
              </w:rPr>
            </w:pPr>
            <w:r w:rsidRPr="002B501C">
              <w:rPr>
                <w:rFonts w:ascii="Arial Narrow" w:hAnsi="Arial Narrow"/>
                <w:b/>
                <w:bCs/>
                <w:sz w:val="20"/>
              </w:rPr>
              <w:t>Year 6</w:t>
            </w:r>
          </w:p>
        </w:tc>
        <w:tc>
          <w:tcPr>
            <w:tcW w:w="1900" w:type="dxa"/>
            <w:hideMark/>
          </w:tcPr>
          <w:p w14:paraId="72AB42F7" w14:textId="77777777" w:rsidR="003459AD" w:rsidRPr="002B501C" w:rsidRDefault="003459AD" w:rsidP="003459AD">
            <w:pPr>
              <w:rPr>
                <w:rFonts w:ascii="Arial Narrow" w:hAnsi="Arial Narrow"/>
                <w:b/>
                <w:bCs/>
                <w:sz w:val="20"/>
              </w:rPr>
            </w:pPr>
            <w:r w:rsidRPr="002B501C">
              <w:rPr>
                <w:rFonts w:ascii="Arial Narrow" w:hAnsi="Arial Narrow"/>
                <w:b/>
                <w:bCs/>
                <w:sz w:val="20"/>
              </w:rPr>
              <w:t>Total</w:t>
            </w:r>
          </w:p>
        </w:tc>
      </w:tr>
      <w:tr w:rsidR="002B501C" w:rsidRPr="002B501C" w14:paraId="04871797" w14:textId="77777777" w:rsidTr="003459AD">
        <w:trPr>
          <w:trHeight w:val="300"/>
        </w:trPr>
        <w:tc>
          <w:tcPr>
            <w:tcW w:w="6680" w:type="dxa"/>
            <w:hideMark/>
          </w:tcPr>
          <w:p w14:paraId="1AA33DC1" w14:textId="77777777" w:rsidR="003459AD" w:rsidRPr="002B501C" w:rsidRDefault="003459AD">
            <w:pPr>
              <w:rPr>
                <w:rFonts w:ascii="Arial Narrow" w:hAnsi="Arial Narrow"/>
                <w:sz w:val="20"/>
              </w:rPr>
            </w:pPr>
            <w:r w:rsidRPr="002B501C">
              <w:rPr>
                <w:rFonts w:ascii="Arial Narrow" w:hAnsi="Arial Narrow"/>
                <w:sz w:val="20"/>
              </w:rPr>
              <w:t>Total infused patients</w:t>
            </w:r>
          </w:p>
        </w:tc>
        <w:tc>
          <w:tcPr>
            <w:tcW w:w="1600" w:type="dxa"/>
            <w:hideMark/>
          </w:tcPr>
          <w:p w14:paraId="0384C2D3" w14:textId="77777777" w:rsidR="003459AD" w:rsidRPr="004F7FEF" w:rsidRDefault="003459AD" w:rsidP="003459AD">
            <w:pPr>
              <w:rPr>
                <w:rFonts w:ascii="Arial Narrow" w:hAnsi="Arial Narrow"/>
                <w:sz w:val="20"/>
              </w:rPr>
            </w:pPr>
            <w:r w:rsidRPr="004F7FEF">
              <w:rPr>
                <w:rFonts w:ascii="Arial Narrow" w:hAnsi="Arial Narrow"/>
                <w:sz w:val="20"/>
              </w:rPr>
              <w:t>132</w:t>
            </w:r>
          </w:p>
        </w:tc>
        <w:tc>
          <w:tcPr>
            <w:tcW w:w="2020" w:type="dxa"/>
            <w:hideMark/>
          </w:tcPr>
          <w:p w14:paraId="1732C47D" w14:textId="77777777" w:rsidR="003459AD" w:rsidRPr="004F7FEF" w:rsidRDefault="003459AD" w:rsidP="003459AD">
            <w:pPr>
              <w:rPr>
                <w:rFonts w:ascii="Arial Narrow" w:hAnsi="Arial Narrow"/>
                <w:sz w:val="20"/>
              </w:rPr>
            </w:pPr>
            <w:r w:rsidRPr="004F7FEF">
              <w:rPr>
                <w:rFonts w:ascii="Arial Narrow" w:hAnsi="Arial Narrow"/>
                <w:sz w:val="20"/>
              </w:rPr>
              <w:t>199</w:t>
            </w:r>
          </w:p>
        </w:tc>
        <w:tc>
          <w:tcPr>
            <w:tcW w:w="1720" w:type="dxa"/>
            <w:hideMark/>
          </w:tcPr>
          <w:p w14:paraId="11A8ACDB" w14:textId="77777777" w:rsidR="003459AD" w:rsidRPr="004F7FEF" w:rsidRDefault="003459AD" w:rsidP="003459AD">
            <w:pPr>
              <w:rPr>
                <w:rFonts w:ascii="Arial Narrow" w:hAnsi="Arial Narrow"/>
                <w:sz w:val="20"/>
              </w:rPr>
            </w:pPr>
            <w:r w:rsidRPr="004F7FEF">
              <w:rPr>
                <w:rFonts w:ascii="Arial Narrow" w:hAnsi="Arial Narrow"/>
                <w:sz w:val="20"/>
              </w:rPr>
              <w:t>194</w:t>
            </w:r>
          </w:p>
        </w:tc>
        <w:tc>
          <w:tcPr>
            <w:tcW w:w="1720" w:type="dxa"/>
            <w:hideMark/>
          </w:tcPr>
          <w:p w14:paraId="0EFBFEF1" w14:textId="77777777" w:rsidR="003459AD" w:rsidRPr="004F7FEF" w:rsidRDefault="003459AD" w:rsidP="003459AD">
            <w:pPr>
              <w:rPr>
                <w:rFonts w:ascii="Arial Narrow" w:hAnsi="Arial Narrow"/>
                <w:sz w:val="20"/>
              </w:rPr>
            </w:pPr>
            <w:r w:rsidRPr="004F7FEF">
              <w:rPr>
                <w:rFonts w:ascii="Arial Narrow" w:hAnsi="Arial Narrow"/>
                <w:sz w:val="20"/>
              </w:rPr>
              <w:t>186</w:t>
            </w:r>
          </w:p>
        </w:tc>
        <w:tc>
          <w:tcPr>
            <w:tcW w:w="1780" w:type="dxa"/>
            <w:hideMark/>
          </w:tcPr>
          <w:p w14:paraId="74700B8F" w14:textId="77777777" w:rsidR="003459AD" w:rsidRPr="004F7FEF" w:rsidRDefault="003459AD" w:rsidP="003459AD">
            <w:pPr>
              <w:rPr>
                <w:rFonts w:ascii="Arial Narrow" w:hAnsi="Arial Narrow"/>
                <w:sz w:val="20"/>
              </w:rPr>
            </w:pPr>
            <w:r w:rsidRPr="004F7FEF">
              <w:rPr>
                <w:rFonts w:ascii="Arial Narrow" w:hAnsi="Arial Narrow"/>
                <w:sz w:val="20"/>
              </w:rPr>
              <w:t>186</w:t>
            </w:r>
          </w:p>
        </w:tc>
        <w:tc>
          <w:tcPr>
            <w:tcW w:w="1580" w:type="dxa"/>
            <w:hideMark/>
          </w:tcPr>
          <w:p w14:paraId="09786D01" w14:textId="77777777" w:rsidR="003459AD" w:rsidRPr="004F7FEF" w:rsidRDefault="003459AD" w:rsidP="003459AD">
            <w:pPr>
              <w:rPr>
                <w:rFonts w:ascii="Arial Narrow" w:hAnsi="Arial Narrow"/>
                <w:sz w:val="20"/>
              </w:rPr>
            </w:pPr>
            <w:r w:rsidRPr="004F7FEF">
              <w:rPr>
                <w:rFonts w:ascii="Arial Narrow" w:hAnsi="Arial Narrow"/>
                <w:sz w:val="20"/>
              </w:rPr>
              <w:t>188</w:t>
            </w:r>
          </w:p>
        </w:tc>
        <w:tc>
          <w:tcPr>
            <w:tcW w:w="1900" w:type="dxa"/>
            <w:hideMark/>
          </w:tcPr>
          <w:p w14:paraId="6BFA832C" w14:textId="77777777" w:rsidR="003459AD" w:rsidRPr="004F7FEF" w:rsidRDefault="003459AD" w:rsidP="003459AD">
            <w:pPr>
              <w:rPr>
                <w:rFonts w:ascii="Arial Narrow" w:hAnsi="Arial Narrow"/>
                <w:sz w:val="20"/>
              </w:rPr>
            </w:pPr>
            <w:r w:rsidRPr="004F7FEF">
              <w:rPr>
                <w:rFonts w:ascii="Arial Narrow" w:hAnsi="Arial Narrow"/>
                <w:sz w:val="20"/>
              </w:rPr>
              <w:t>1084</w:t>
            </w:r>
          </w:p>
        </w:tc>
      </w:tr>
      <w:tr w:rsidR="002B501C" w:rsidRPr="002B501C" w14:paraId="2732BDA8" w14:textId="77777777" w:rsidTr="003459AD">
        <w:trPr>
          <w:trHeight w:val="300"/>
        </w:trPr>
        <w:tc>
          <w:tcPr>
            <w:tcW w:w="6680" w:type="dxa"/>
            <w:hideMark/>
          </w:tcPr>
          <w:p w14:paraId="4DA09ED9" w14:textId="77777777" w:rsidR="003459AD" w:rsidRPr="002B501C" w:rsidRDefault="003459AD">
            <w:pPr>
              <w:rPr>
                <w:rFonts w:ascii="Arial Narrow" w:hAnsi="Arial Narrow"/>
                <w:sz w:val="20"/>
              </w:rPr>
            </w:pPr>
            <w:r w:rsidRPr="002B501C">
              <w:rPr>
                <w:rFonts w:ascii="Arial Narrow" w:hAnsi="Arial Narrow"/>
                <w:sz w:val="20"/>
              </w:rPr>
              <w:t>TIS cost per infused patient</w:t>
            </w:r>
          </w:p>
        </w:tc>
        <w:tc>
          <w:tcPr>
            <w:tcW w:w="1600" w:type="dxa"/>
            <w:hideMark/>
          </w:tcPr>
          <w:p w14:paraId="25FABE01" w14:textId="77777777" w:rsidR="003459AD" w:rsidRPr="00EA5AF8" w:rsidRDefault="003459AD" w:rsidP="00D66327">
            <w:pPr>
              <w:rPr>
                <w:rFonts w:ascii="Arial Narrow" w:hAnsi="Arial Narrow"/>
                <w:sz w:val="20"/>
                <w:highlight w:val="green"/>
              </w:rPr>
            </w:pPr>
            <w:r w:rsidRPr="00D66327">
              <w:rPr>
                <w:rFonts w:ascii="Arial Narrow" w:hAnsi="Arial Narrow"/>
                <w:sz w:val="20"/>
              </w:rPr>
              <w:t>$</w:t>
            </w:r>
            <w:r w:rsidR="00D66327" w:rsidRPr="00D66327">
              <w:rPr>
                <w:rFonts w:ascii="Arial Narrow" w:hAnsi="Arial Narrow"/>
                <w:sz w:val="20"/>
              </w:rPr>
              <w:t>redacted</w:t>
            </w:r>
          </w:p>
        </w:tc>
        <w:tc>
          <w:tcPr>
            <w:tcW w:w="2020" w:type="dxa"/>
            <w:hideMark/>
          </w:tcPr>
          <w:p w14:paraId="1F57F7AB"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720" w:type="dxa"/>
            <w:hideMark/>
          </w:tcPr>
          <w:p w14:paraId="0CC523A8"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720" w:type="dxa"/>
            <w:hideMark/>
          </w:tcPr>
          <w:p w14:paraId="01F590EB"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780" w:type="dxa"/>
            <w:hideMark/>
          </w:tcPr>
          <w:p w14:paraId="44C53347"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580" w:type="dxa"/>
            <w:hideMark/>
          </w:tcPr>
          <w:p w14:paraId="5C4D1591"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900" w:type="dxa"/>
            <w:hideMark/>
          </w:tcPr>
          <w:p w14:paraId="1441464D"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r>
      <w:tr w:rsidR="002B501C" w:rsidRPr="002B501C" w14:paraId="007C6B5B" w14:textId="77777777" w:rsidTr="003459AD">
        <w:trPr>
          <w:trHeight w:val="300"/>
        </w:trPr>
        <w:tc>
          <w:tcPr>
            <w:tcW w:w="6680" w:type="dxa"/>
            <w:hideMark/>
          </w:tcPr>
          <w:p w14:paraId="60A2AD05" w14:textId="77777777" w:rsidR="003459AD" w:rsidRPr="002B501C" w:rsidRDefault="003459AD">
            <w:pPr>
              <w:rPr>
                <w:rFonts w:ascii="Arial Narrow" w:hAnsi="Arial Narrow"/>
                <w:sz w:val="20"/>
              </w:rPr>
            </w:pPr>
            <w:r w:rsidRPr="002B501C">
              <w:rPr>
                <w:rFonts w:ascii="Arial Narrow" w:hAnsi="Arial Narrow"/>
                <w:sz w:val="20"/>
              </w:rPr>
              <w:t>Total cost - infused patients</w:t>
            </w:r>
          </w:p>
        </w:tc>
        <w:tc>
          <w:tcPr>
            <w:tcW w:w="1600" w:type="dxa"/>
            <w:hideMark/>
          </w:tcPr>
          <w:p w14:paraId="5BD49499"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2020" w:type="dxa"/>
            <w:hideMark/>
          </w:tcPr>
          <w:p w14:paraId="05558E1F"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720" w:type="dxa"/>
            <w:hideMark/>
          </w:tcPr>
          <w:p w14:paraId="3E39FB40"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720" w:type="dxa"/>
            <w:hideMark/>
          </w:tcPr>
          <w:p w14:paraId="5168A4BC"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780" w:type="dxa"/>
            <w:hideMark/>
          </w:tcPr>
          <w:p w14:paraId="36849C03"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580" w:type="dxa"/>
            <w:hideMark/>
          </w:tcPr>
          <w:p w14:paraId="1861DF28"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c>
          <w:tcPr>
            <w:tcW w:w="1900" w:type="dxa"/>
            <w:hideMark/>
          </w:tcPr>
          <w:p w14:paraId="7DBAC09E" w14:textId="77777777" w:rsidR="003459AD" w:rsidRPr="00EA5AF8" w:rsidRDefault="00D66327" w:rsidP="003459AD">
            <w:pPr>
              <w:rPr>
                <w:rFonts w:ascii="Arial Narrow" w:hAnsi="Arial Narrow"/>
                <w:sz w:val="20"/>
                <w:highlight w:val="green"/>
              </w:rPr>
            </w:pPr>
            <w:r w:rsidRPr="00D66327">
              <w:rPr>
                <w:rFonts w:ascii="Arial Narrow" w:hAnsi="Arial Narrow"/>
                <w:sz w:val="20"/>
              </w:rPr>
              <w:t>$redacted</w:t>
            </w:r>
          </w:p>
        </w:tc>
      </w:tr>
    </w:tbl>
    <w:p w14:paraId="402F4292" w14:textId="77777777" w:rsidR="005A4E9D" w:rsidRDefault="003459AD" w:rsidP="00D66327">
      <w:pPr>
        <w:spacing w:before="240" w:after="240"/>
      </w:pPr>
      <w:r>
        <w:t>MSAC recognised these estimates could require further review based on the final a</w:t>
      </w:r>
      <w:r w:rsidR="00D66327">
        <w:t>greed TIS eligibility criteria.</w:t>
      </w:r>
    </w:p>
    <w:p w14:paraId="7019C3F0" w14:textId="77777777" w:rsidR="001925B9" w:rsidRDefault="001925B9" w:rsidP="00D66327">
      <w:pPr>
        <w:spacing w:after="240"/>
      </w:pPr>
      <w:r>
        <w:t xml:space="preserve">MSAC </w:t>
      </w:r>
      <w:r w:rsidR="00545564">
        <w:t xml:space="preserve">considered </w:t>
      </w:r>
      <w:r>
        <w:t xml:space="preserve">that, for this application to be successful, a risk-sharing agreement similar to the one put </w:t>
      </w:r>
      <w:r w:rsidR="000A2CB8">
        <w:t>in place</w:t>
      </w:r>
      <w:r>
        <w:t xml:space="preserve"> for the pALL population need</w:t>
      </w:r>
      <w:r w:rsidR="002B501C">
        <w:t>s</w:t>
      </w:r>
      <w:r>
        <w:t xml:space="preserve"> to </w:t>
      </w:r>
      <w:r w:rsidR="00D82A00">
        <w:t>developed</w:t>
      </w:r>
      <w:r w:rsidR="00545564">
        <w:t>.</w:t>
      </w:r>
      <w:r w:rsidR="00D82A00">
        <w:t xml:space="preserve"> MSAC considered the risk-sharing arrangement should </w:t>
      </w:r>
      <w:r>
        <w:t xml:space="preserve">include </w:t>
      </w:r>
      <w:r w:rsidR="00D66327" w:rsidRPr="000F6762">
        <w:rPr>
          <w:b/>
        </w:rPr>
        <w:t>redacted</w:t>
      </w:r>
      <w:r w:rsidR="00D82A00">
        <w:t xml:space="preserve">, data collection </w:t>
      </w:r>
      <w:r w:rsidR="000A2CB8">
        <w:t xml:space="preserve">requirements </w:t>
      </w:r>
      <w:r w:rsidR="00D82A00">
        <w:t>and arrangements for further review(s) by MSAC</w:t>
      </w:r>
      <w:r>
        <w:t xml:space="preserve">. </w:t>
      </w:r>
      <w:r w:rsidR="00D66327">
        <w:rPr>
          <w:b/>
        </w:rPr>
        <w:t>R</w:t>
      </w:r>
      <w:r w:rsidR="00D66327" w:rsidRPr="000F6762">
        <w:rPr>
          <w:b/>
        </w:rPr>
        <w:t>edacted</w:t>
      </w:r>
      <w:r w:rsidR="00D82A00" w:rsidRPr="00D66327">
        <w:t>.</w:t>
      </w:r>
    </w:p>
    <w:p w14:paraId="277EBEE2" w14:textId="77777777" w:rsidR="001925B9" w:rsidRDefault="001925B9" w:rsidP="00D66327">
      <w:pPr>
        <w:spacing w:after="240"/>
      </w:pPr>
      <w:r>
        <w:t xml:space="preserve">MSAC </w:t>
      </w:r>
      <w:r w:rsidR="00D82A00">
        <w:t>noted t</w:t>
      </w:r>
      <w:r>
        <w:t>he final JULIET data would be available in 2023</w:t>
      </w:r>
      <w:r w:rsidR="00D82A00">
        <w:t xml:space="preserve">, and considered this might be an appropriate trigger for an MSAC review, although it may also be necessary to schedule an earlier review around 2 years after </w:t>
      </w:r>
      <w:r w:rsidR="00EA046C">
        <w:t>the commencement of subsidy.</w:t>
      </w:r>
    </w:p>
    <w:p w14:paraId="446D9EC5" w14:textId="77777777" w:rsidR="001925B9" w:rsidRPr="00A12700" w:rsidRDefault="001925B9" w:rsidP="000F6762">
      <w:pPr>
        <w:spacing w:after="240"/>
      </w:pPr>
      <w:r>
        <w:t xml:space="preserve">MSAC </w:t>
      </w:r>
      <w:r w:rsidR="005A4E9D">
        <w:t xml:space="preserve">considered </w:t>
      </w:r>
      <w:r>
        <w:t>that any resubmission could bypass ESC.</w:t>
      </w:r>
    </w:p>
    <w:p w14:paraId="3C70CE06" w14:textId="77777777" w:rsidR="002C71D0" w:rsidRPr="003700A9" w:rsidRDefault="002C71D0" w:rsidP="002C71D0">
      <w:pPr>
        <w:pStyle w:val="Heading1"/>
        <w:spacing w:before="0" w:after="0"/>
      </w:pPr>
      <w:r w:rsidRPr="003700A9">
        <w:t>Background</w:t>
      </w:r>
    </w:p>
    <w:p w14:paraId="4E9C8994" w14:textId="77777777" w:rsidR="002C71D0" w:rsidRPr="00B02E35" w:rsidRDefault="002C71D0" w:rsidP="00D66327">
      <w:pPr>
        <w:spacing w:before="240" w:after="240"/>
        <w:rPr>
          <w:szCs w:val="24"/>
        </w:rPr>
      </w:pPr>
      <w:r>
        <w:t xml:space="preserve">This is the first resubmission for TIS for r/r diffuse </w:t>
      </w:r>
      <w:r>
        <w:rPr>
          <w:iCs/>
        </w:rPr>
        <w:t xml:space="preserve">DLBCL. At the November 2018 meeting, </w:t>
      </w:r>
      <w:r>
        <w:t xml:space="preserve">MSAC previously </w:t>
      </w:r>
      <w:r w:rsidRPr="007176F4">
        <w:t xml:space="preserve">did not support public funding for TIS for adults with confirmed </w:t>
      </w:r>
      <w:r>
        <w:t xml:space="preserve">r/r </w:t>
      </w:r>
      <w:r w:rsidRPr="007176F4">
        <w:t>DLBCL.</w:t>
      </w:r>
      <w:r>
        <w:t xml:space="preserve"> Specifically, MSAC requested the </w:t>
      </w:r>
      <w:r w:rsidRPr="006C64BA">
        <w:t>definition of the appropriate eligible population needed to be redefined</w:t>
      </w:r>
      <w:r>
        <w:rPr>
          <w:szCs w:val="24"/>
        </w:rPr>
        <w:t xml:space="preserve">, as well as amendments made to the economic evaluation and </w:t>
      </w:r>
      <w:r w:rsidRPr="00760018">
        <w:rPr>
          <w:szCs w:val="24"/>
        </w:rPr>
        <w:t xml:space="preserve">a reduced price for </w:t>
      </w:r>
      <w:r>
        <w:rPr>
          <w:szCs w:val="24"/>
        </w:rPr>
        <w:t>TIS</w:t>
      </w:r>
      <w:r w:rsidRPr="00760018">
        <w:rPr>
          <w:szCs w:val="24"/>
        </w:rPr>
        <w:t xml:space="preserve"> ascertained</w:t>
      </w:r>
      <w:r>
        <w:t xml:space="preserve"> </w:t>
      </w:r>
      <w:r w:rsidRPr="00760018">
        <w:rPr>
          <w:szCs w:val="24"/>
        </w:rPr>
        <w:t>at which it is acceptably cost-effective</w:t>
      </w:r>
      <w:r>
        <w:rPr>
          <w:szCs w:val="24"/>
        </w:rPr>
        <w:t xml:space="preserve"> [Final Public Summary Document (PSD) Application No. 1519, 2018, 201</w:t>
      </w:r>
      <w:r w:rsidR="00D66327">
        <w:rPr>
          <w:szCs w:val="24"/>
        </w:rPr>
        <w:t>9, p6].</w:t>
      </w:r>
    </w:p>
    <w:p w14:paraId="6656E4F4" w14:textId="77777777" w:rsidR="002C71D0" w:rsidRDefault="002C71D0" w:rsidP="002C71D0">
      <w:pPr>
        <w:pStyle w:val="Heading1"/>
        <w:spacing w:before="0" w:after="0"/>
      </w:pPr>
      <w:r w:rsidRPr="00B02E35">
        <w:lastRenderedPageBreak/>
        <w:t>Prerequisites to implementation of any funding advice</w:t>
      </w:r>
    </w:p>
    <w:p w14:paraId="2E9A5DF3" w14:textId="77777777" w:rsidR="002C71D0" w:rsidRPr="00B02E35" w:rsidRDefault="002C71D0" w:rsidP="00D66327">
      <w:pPr>
        <w:spacing w:before="240" w:after="240"/>
      </w:pPr>
      <w:r>
        <w:t>This was unchanged, refer to Application 1519 Final PSD</w:t>
      </w:r>
      <w:r w:rsidRPr="000C582B">
        <w:t xml:space="preserve"> </w:t>
      </w:r>
      <w:r>
        <w:t>2018, 2019, p9.</w:t>
      </w:r>
    </w:p>
    <w:p w14:paraId="73131009" w14:textId="77777777" w:rsidR="002C71D0" w:rsidRDefault="002C71D0" w:rsidP="002C71D0">
      <w:pPr>
        <w:pStyle w:val="Heading1"/>
        <w:spacing w:before="0" w:after="0"/>
      </w:pPr>
      <w:r w:rsidRPr="00B02E35">
        <w:t>Proposal for public funding</w:t>
      </w:r>
    </w:p>
    <w:p w14:paraId="3D5B2487" w14:textId="77777777" w:rsidR="002C71D0" w:rsidRDefault="002C71D0" w:rsidP="00D66327">
      <w:pPr>
        <w:spacing w:before="240" w:after="240"/>
      </w:pPr>
      <w:r>
        <w:t>The previous submission requested creation of a new national funding mechanism, suitable for providing equitable and affordable patient access to this highly specialised and individualised hybrid genetic therapeutic process, ac</w:t>
      </w:r>
      <w:r w:rsidR="00D66327">
        <w:t>ross both approved indications.</w:t>
      </w:r>
    </w:p>
    <w:p w14:paraId="6C95213D" w14:textId="77777777" w:rsidR="002C71D0" w:rsidRPr="00D66327" w:rsidRDefault="002C71D0" w:rsidP="00D66327">
      <w:pPr>
        <w:spacing w:after="240"/>
        <w:rPr>
          <w:szCs w:val="24"/>
        </w:rPr>
      </w:pPr>
      <w:r>
        <w:t>However, MSAC considered that the funding model for the proposed pALL population should reflect the current Commonwealth–state agreements for funding through public hospitals and that in the future, a Nationally Funded Centres Program model could be considered.  For the r/r DLBCL population, it was suggested that a centre would subsequently be required in every state due to the larger patient numbers [</w:t>
      </w:r>
      <w:r>
        <w:rPr>
          <w:szCs w:val="24"/>
        </w:rPr>
        <w:t>PSD Application No. 1519, 2018, 2019, p8].</w:t>
      </w:r>
    </w:p>
    <w:p w14:paraId="302904F7" w14:textId="77777777" w:rsidR="002C71D0" w:rsidRDefault="002C71D0" w:rsidP="00413CD4">
      <w:pPr>
        <w:spacing w:after="240"/>
      </w:pPr>
      <w:r>
        <w:t>The resubmission stated that issues around the appropriate funding model for CAR-T therapies lie beyond the expertise of the applicant or scope of the resubmission.  However, as noted previously, Novartis is willing to work closely with MSAC, the Department of Health and broader Australian Government to develop a suitable program that addresses these general principles and ensures timely and affordable access to this important new therapeutic process.</w:t>
      </w:r>
    </w:p>
    <w:p w14:paraId="30B04F79" w14:textId="77777777" w:rsidR="002C71D0" w:rsidRPr="00413CD4" w:rsidRDefault="002C71D0" w:rsidP="00413CD4">
      <w:pPr>
        <w:pStyle w:val="Heading2"/>
        <w:spacing w:after="0"/>
        <w:rPr>
          <w:b w:val="0"/>
          <w:i/>
        </w:rPr>
      </w:pPr>
      <w:r w:rsidRPr="00413CD4">
        <w:rPr>
          <w:b w:val="0"/>
          <w:i/>
        </w:rPr>
        <w:t>Requested price</w:t>
      </w:r>
    </w:p>
    <w:p w14:paraId="76E5A354" w14:textId="77777777" w:rsidR="002C71D0" w:rsidRPr="00D66327" w:rsidRDefault="002C71D0" w:rsidP="00D66327">
      <w:pPr>
        <w:spacing w:after="240"/>
      </w:pPr>
      <w:r w:rsidRPr="0079129A">
        <w:t xml:space="preserve">The </w:t>
      </w:r>
      <w:r>
        <w:t>resubmission</w:t>
      </w:r>
      <w:r w:rsidRPr="0079129A">
        <w:t xml:space="preserve"> proposed a reduced effective price for the </w:t>
      </w:r>
      <w:r>
        <w:t xml:space="preserve">r/r </w:t>
      </w:r>
      <w:r w:rsidRPr="0079129A">
        <w:t xml:space="preserve">DLBCL indication of </w:t>
      </w:r>
      <w:r w:rsidR="00D66327" w:rsidRPr="000F6762">
        <w:rPr>
          <w:b/>
        </w:rPr>
        <w:t>redacted</w:t>
      </w:r>
      <w:r w:rsidRPr="00D66327">
        <w:t>.</w:t>
      </w:r>
    </w:p>
    <w:p w14:paraId="62B7CD91" w14:textId="77777777" w:rsidR="002C71D0" w:rsidRPr="00B02E35" w:rsidRDefault="002C71D0" w:rsidP="002C71D0">
      <w:pPr>
        <w:pStyle w:val="Heading1"/>
        <w:spacing w:before="0" w:after="0"/>
      </w:pPr>
      <w:r w:rsidRPr="00B02E35">
        <w:t>Summary of Public Consultation Feedback/Consumer Issues</w:t>
      </w:r>
    </w:p>
    <w:p w14:paraId="40561DD9" w14:textId="77777777" w:rsidR="002C71D0" w:rsidRPr="00D66327" w:rsidRDefault="002C71D0" w:rsidP="00D66327">
      <w:pPr>
        <w:spacing w:before="240" w:after="240"/>
      </w:pPr>
      <w:r>
        <w:t>This was unchanged, refer to Application 1519 Final PSD</w:t>
      </w:r>
      <w:r w:rsidRPr="000C582B">
        <w:t xml:space="preserve"> </w:t>
      </w:r>
      <w:r>
        <w:t>2018, 2019, p10.</w:t>
      </w:r>
    </w:p>
    <w:p w14:paraId="42C3F66F" w14:textId="77777777" w:rsidR="002C71D0" w:rsidRDefault="002C71D0" w:rsidP="002C71D0">
      <w:pPr>
        <w:pStyle w:val="Heading1"/>
        <w:spacing w:before="0" w:after="0"/>
      </w:pPr>
      <w:r w:rsidRPr="00BF0DFE">
        <w:t>Proposed intervention’s place in clinical management</w:t>
      </w:r>
    </w:p>
    <w:p w14:paraId="72D1C9AD" w14:textId="77777777" w:rsidR="002C71D0" w:rsidRDefault="002C71D0" w:rsidP="00D66327">
      <w:pPr>
        <w:spacing w:before="240"/>
      </w:pPr>
      <w:r>
        <w:t>This was unchanged; refer to Application 1519 Final</w:t>
      </w:r>
      <w:r w:rsidDel="00B60538">
        <w:t xml:space="preserve"> </w:t>
      </w:r>
      <w:r>
        <w:t>PSD</w:t>
      </w:r>
      <w:r w:rsidRPr="000C582B">
        <w:t xml:space="preserve"> </w:t>
      </w:r>
      <w:r>
        <w:t>2018, 2019, p10</w:t>
      </w:r>
      <w:r w:rsidR="00EA046C">
        <w:t>.</w:t>
      </w:r>
    </w:p>
    <w:p w14:paraId="7532EB61" w14:textId="77777777" w:rsidR="00D66327" w:rsidRDefault="00D66327" w:rsidP="00D66327">
      <w:pPr>
        <w:pStyle w:val="Caption"/>
        <w:keepNext/>
        <w:keepLines/>
      </w:pPr>
      <w:r>
        <w:lastRenderedPageBreak/>
        <w:t>Figure 3:</w:t>
      </w:r>
      <w:r>
        <w:tab/>
        <w:t>Current and proposed management algorithm for DLBCL</w:t>
      </w:r>
    </w:p>
    <w:p w14:paraId="3D7CDA0E" w14:textId="77777777" w:rsidR="002C71D0" w:rsidRPr="000F3CB1" w:rsidRDefault="002C71D0" w:rsidP="00D66327">
      <w:pPr>
        <w:keepNext/>
        <w:keepLines/>
      </w:pPr>
      <w:r>
        <w:rPr>
          <w:noProof/>
        </w:rPr>
        <w:drawing>
          <wp:inline distT="0" distB="0" distL="0" distR="0" wp14:anchorId="06016A2B" wp14:editId="7F52B375">
            <wp:extent cx="5314315" cy="6029325"/>
            <wp:effectExtent l="0" t="0" r="635" b="9525"/>
            <wp:docPr id="1" name="Picture 1" descr="Current and proposed managment algorithm for DLBCL"/>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3" cstate="print">
                      <a:extLst>
                        <a:ext uri="{28A0092B-C50C-407E-A947-70E740481C1C}">
                          <a14:useLocalDpi xmlns:a14="http://schemas.microsoft.com/office/drawing/2010/main" val="0"/>
                        </a:ext>
                      </a:extLst>
                    </a:blip>
                    <a:srcRect l="33071" t="3383"/>
                    <a:stretch/>
                  </pic:blipFill>
                  <pic:spPr bwMode="auto">
                    <a:xfrm>
                      <a:off x="0" y="0"/>
                      <a:ext cx="5314315" cy="6029325"/>
                    </a:xfrm>
                    <a:prstGeom prst="rect">
                      <a:avLst/>
                    </a:prstGeom>
                    <a:ln>
                      <a:noFill/>
                    </a:ln>
                    <a:extLst>
                      <a:ext uri="{53640926-AAD7-44D8-BBD7-CCE9431645EC}">
                        <a14:shadowObscured xmlns:a14="http://schemas.microsoft.com/office/drawing/2010/main"/>
                      </a:ext>
                    </a:extLst>
                  </pic:spPr>
                </pic:pic>
              </a:graphicData>
            </a:graphic>
          </wp:inline>
        </w:drawing>
      </w:r>
    </w:p>
    <w:p w14:paraId="79C621A0" w14:textId="77777777" w:rsidR="002C71D0" w:rsidRPr="00813E31" w:rsidRDefault="002C71D0" w:rsidP="002C71D0">
      <w:pPr>
        <w:pStyle w:val="CaptionFootnote"/>
        <w:rPr>
          <w:rFonts w:asciiTheme="minorHAnsi" w:hAnsiTheme="minorHAnsi"/>
          <w:sz w:val="22"/>
        </w:rPr>
      </w:pPr>
      <w:r>
        <w:t xml:space="preserve">The solid lines represent current pathways, and dotted lines the proposed changes with the addition of tisagenlecleucel; </w:t>
      </w:r>
    </w:p>
    <w:p w14:paraId="4104EF76" w14:textId="77777777" w:rsidR="002C71D0" w:rsidRPr="00813E31" w:rsidRDefault="002C71D0" w:rsidP="002C71D0">
      <w:pPr>
        <w:pStyle w:val="CaptionFootnote"/>
        <w:rPr>
          <w:rFonts w:asciiTheme="minorHAnsi" w:hAnsiTheme="minorHAnsi"/>
          <w:sz w:val="22"/>
        </w:rPr>
      </w:pPr>
      <w:r>
        <w:t>The circles indicate the patient subgroups suggested in the PICO Confirmation and the diamonds the potential comparators for each of these</w:t>
      </w:r>
    </w:p>
    <w:p w14:paraId="756350EA" w14:textId="77777777" w:rsidR="002C71D0" w:rsidRPr="00B02E35" w:rsidRDefault="002C71D0" w:rsidP="006753E4">
      <w:pPr>
        <w:pStyle w:val="CaptionFootnote"/>
        <w:spacing w:after="240"/>
      </w:pPr>
      <w:r>
        <w:t>Options following tisagenlecleucel treatment are also shown, noting that patients would not be eligible to return for a secon</w:t>
      </w:r>
      <w:r w:rsidR="006753E4">
        <w:t>d infusion.</w:t>
      </w:r>
    </w:p>
    <w:p w14:paraId="7E24130C" w14:textId="77777777" w:rsidR="002C71D0" w:rsidRDefault="002C71D0" w:rsidP="002C71D0">
      <w:pPr>
        <w:pStyle w:val="Heading1"/>
        <w:spacing w:before="0" w:after="0"/>
      </w:pPr>
      <w:r w:rsidRPr="00D55F83">
        <w:t xml:space="preserve">Other </w:t>
      </w:r>
      <w:r w:rsidRPr="00D55F83">
        <w:rPr>
          <w:szCs w:val="24"/>
        </w:rPr>
        <w:t>options</w:t>
      </w:r>
      <w:r w:rsidRPr="00D55F83">
        <w:t xml:space="preserve"> for MSAC consideration</w:t>
      </w:r>
    </w:p>
    <w:p w14:paraId="48FB9EE2" w14:textId="77777777" w:rsidR="002C71D0" w:rsidRPr="006753E4" w:rsidRDefault="002C71D0" w:rsidP="006753E4">
      <w:pPr>
        <w:spacing w:before="240" w:after="240"/>
      </w:pPr>
      <w:r>
        <w:t>Nil.</w:t>
      </w:r>
    </w:p>
    <w:p w14:paraId="780B10C0" w14:textId="77777777" w:rsidR="002C71D0" w:rsidRDefault="002C71D0" w:rsidP="002C71D0">
      <w:pPr>
        <w:pStyle w:val="Heading1"/>
        <w:spacing w:before="0" w:after="0"/>
      </w:pPr>
      <w:r w:rsidRPr="00D55F83">
        <w:t>Comparator to the proposed intervention</w:t>
      </w:r>
    </w:p>
    <w:p w14:paraId="5B8E8EFC" w14:textId="77777777" w:rsidR="002C71D0" w:rsidRDefault="002C71D0" w:rsidP="006753E4">
      <w:pPr>
        <w:spacing w:before="240" w:after="240"/>
      </w:pPr>
      <w:r>
        <w:t xml:space="preserve">Consistent with the previous submission, the main comparator was </w:t>
      </w:r>
      <w:r w:rsidR="003B5D81">
        <w:t>SCR</w:t>
      </w:r>
      <w:r>
        <w:t>. MSAC previously accepted the proposed comparators Application 1519 Final</w:t>
      </w:r>
      <w:r w:rsidDel="00B60538">
        <w:t xml:space="preserve"> </w:t>
      </w:r>
      <w:r>
        <w:t>PSD</w:t>
      </w:r>
      <w:r w:rsidRPr="000C582B">
        <w:t xml:space="preserve"> </w:t>
      </w:r>
      <w:r>
        <w:t>2018, 201</w:t>
      </w:r>
      <w:r w:rsidR="006753E4">
        <w:t>9, p10.</w:t>
      </w:r>
    </w:p>
    <w:p w14:paraId="07102F7E" w14:textId="77777777" w:rsidR="002C71D0" w:rsidRPr="006753E4" w:rsidRDefault="002C71D0" w:rsidP="006753E4">
      <w:pPr>
        <w:spacing w:after="240"/>
      </w:pPr>
      <w:r>
        <w:t>However, MSAC also considered that the r/r DLBCL population has other treatment options available to them, and the comparative effectiveness of TIS against these options had not been adequately explored [Final</w:t>
      </w:r>
      <w:r w:rsidDel="00B60538">
        <w:t xml:space="preserve"> </w:t>
      </w:r>
      <w:r>
        <w:t xml:space="preserve">PSD, p9]. The resubmission stated </w:t>
      </w:r>
      <w:r w:rsidRPr="009A1314">
        <w:t xml:space="preserve">there are no other therapeutic options commercially available in Australia for </w:t>
      </w:r>
      <w:r>
        <w:t xml:space="preserve">r/r </w:t>
      </w:r>
      <w:r w:rsidRPr="009A1314">
        <w:t xml:space="preserve">DLBCL for which clinical </w:t>
      </w:r>
      <w:r w:rsidRPr="009A1314">
        <w:lastRenderedPageBreak/>
        <w:t>effectiveness, safety or cost is significantly different to those regimens canvassed in the submission</w:t>
      </w:r>
      <w:r>
        <w:t>; hence the resubmission proposed the same comparator previously assessed by MSAC [Resubmission 1519.1 2019, p28].</w:t>
      </w:r>
    </w:p>
    <w:p w14:paraId="12FAB55D" w14:textId="77777777" w:rsidR="002C71D0" w:rsidRDefault="002C71D0" w:rsidP="002C71D0">
      <w:pPr>
        <w:pStyle w:val="Heading1"/>
        <w:spacing w:before="0" w:after="0"/>
      </w:pPr>
      <w:r w:rsidRPr="00B02E35">
        <w:t>Comparative safety</w:t>
      </w:r>
    </w:p>
    <w:p w14:paraId="370C7A4A" w14:textId="77777777" w:rsidR="002C71D0" w:rsidRDefault="002C71D0" w:rsidP="006753E4">
      <w:pPr>
        <w:spacing w:before="240" w:after="240"/>
      </w:pPr>
      <w:r>
        <w:t xml:space="preserve">The resubmission relied on results from the </w:t>
      </w:r>
      <w:r w:rsidRPr="0079129A">
        <w:t>data cut date of 21 May 2018</w:t>
      </w:r>
      <w:r>
        <w:t xml:space="preserve"> from the JULIET trial (intention-to-treat (ITT) N=167; Infused N=115). Specifically, the resubmission presented </w:t>
      </w:r>
      <w:r w:rsidRPr="0079129A">
        <w:t>‘non-CSR’ safety analyses</w:t>
      </w:r>
      <w:r>
        <w:t>, which the Critique highlighted the non-CSR analyses did not defined adverse events (AE)s in same terms (relative to CSR-based AEs in previous submission). However, the Critique stated that it was unlikely this difference in defi</w:t>
      </w:r>
      <w:r w:rsidR="006753E4">
        <w:t>nition made a large difference.</w:t>
      </w:r>
    </w:p>
    <w:p w14:paraId="74BC49FD" w14:textId="77777777" w:rsidR="002C71D0" w:rsidRPr="006753E4" w:rsidRDefault="002C71D0" w:rsidP="006753E4">
      <w:pPr>
        <w:spacing w:after="240"/>
      </w:pPr>
      <w:r>
        <w:t xml:space="preserve">The Critique stated overall, no substantial changes in the proportion of patients with adverse events was presented in the updated JULIET data (note Table </w:t>
      </w:r>
      <w:r w:rsidR="00EA046C">
        <w:t>2</w:t>
      </w:r>
      <w:r w:rsidR="006753E4">
        <w:t xml:space="preserve"> summarises safety outcomes).</w:t>
      </w:r>
    </w:p>
    <w:p w14:paraId="766F5855" w14:textId="77777777" w:rsidR="002C71D0" w:rsidRDefault="002C71D0" w:rsidP="002C71D0">
      <w:pPr>
        <w:pStyle w:val="Heading1"/>
        <w:spacing w:before="0" w:after="0"/>
      </w:pPr>
      <w:r w:rsidRPr="00B02E35">
        <w:t>Comparative effectiveness</w:t>
      </w:r>
    </w:p>
    <w:p w14:paraId="289CA499" w14:textId="77777777" w:rsidR="002C71D0" w:rsidRDefault="002C71D0" w:rsidP="006753E4">
      <w:pPr>
        <w:spacing w:before="240" w:after="240"/>
      </w:pPr>
      <w:r>
        <w:t xml:space="preserve">The resubmission relied on results from the </w:t>
      </w:r>
      <w:r w:rsidRPr="0079129A">
        <w:t>data cut date of 21 May 2018</w:t>
      </w:r>
      <w:r>
        <w:t xml:space="preserve"> from the JULIET trial (Table </w:t>
      </w:r>
      <w:r w:rsidR="00EA046C">
        <w:t>3</w:t>
      </w:r>
      <w:r w:rsidR="006753E4">
        <w:t>).</w:t>
      </w:r>
    </w:p>
    <w:p w14:paraId="1C6354D4" w14:textId="77777777" w:rsidR="002C71D0" w:rsidRDefault="002C71D0" w:rsidP="002C71D0">
      <w:pPr>
        <w:pStyle w:val="Caption"/>
      </w:pPr>
      <w:r>
        <w:t xml:space="preserve">Table </w:t>
      </w:r>
      <w:r w:rsidR="00EA046C">
        <w:t>3</w:t>
      </w:r>
      <w:r>
        <w:tab/>
      </w:r>
      <w:r w:rsidRPr="00C22503">
        <w:t>Comparative summary results from the DLBCL trials</w:t>
      </w:r>
    </w:p>
    <w:tbl>
      <w:tblPr>
        <w:tblStyle w:val="TableGrid1"/>
        <w:tblW w:w="9634" w:type="dxa"/>
        <w:tblCellMar>
          <w:left w:w="28" w:type="dxa"/>
          <w:right w:w="28" w:type="dxa"/>
        </w:tblCellMar>
        <w:tblLook w:val="04A0" w:firstRow="1" w:lastRow="0" w:firstColumn="1" w:lastColumn="0" w:noHBand="0" w:noVBand="1"/>
        <w:tblDescription w:val="Comparative summary of results from the DLBCL trials - JULIET, U-PEN, SCHOLAR, CORAL_E1, CORAL_E2"/>
      </w:tblPr>
      <w:tblGrid>
        <w:gridCol w:w="1835"/>
        <w:gridCol w:w="1348"/>
        <w:gridCol w:w="1348"/>
        <w:gridCol w:w="1418"/>
        <w:gridCol w:w="1276"/>
        <w:gridCol w:w="992"/>
        <w:gridCol w:w="283"/>
        <w:gridCol w:w="1134"/>
      </w:tblGrid>
      <w:tr w:rsidR="002C71D0" w:rsidRPr="009D6759" w14:paraId="0BE99009" w14:textId="77777777" w:rsidTr="009976D8">
        <w:trPr>
          <w:tblHeader/>
        </w:trPr>
        <w:tc>
          <w:tcPr>
            <w:tcW w:w="1835" w:type="dxa"/>
            <w:shd w:val="clear" w:color="auto" w:fill="A6A6A6" w:themeFill="background1" w:themeFillShade="A6"/>
          </w:tcPr>
          <w:p w14:paraId="29BA1B4A" w14:textId="77777777" w:rsidR="002C71D0" w:rsidRPr="009D6759" w:rsidRDefault="002C71D0" w:rsidP="002C71D0">
            <w:pPr>
              <w:pStyle w:val="Table"/>
              <w:rPr>
                <w:rStyle w:val="Small"/>
              </w:rPr>
            </w:pPr>
            <w:r>
              <w:rPr>
                <w:rStyle w:val="Small"/>
              </w:rPr>
              <w:t>Outcome</w:t>
            </w:r>
          </w:p>
        </w:tc>
        <w:tc>
          <w:tcPr>
            <w:tcW w:w="2696" w:type="dxa"/>
            <w:gridSpan w:val="2"/>
            <w:shd w:val="clear" w:color="auto" w:fill="A6A6A6" w:themeFill="background1" w:themeFillShade="A6"/>
          </w:tcPr>
          <w:p w14:paraId="63B5AA4A" w14:textId="77777777" w:rsidR="002C71D0" w:rsidRDefault="002C71D0" w:rsidP="002C71D0">
            <w:pPr>
              <w:pStyle w:val="TableCentre"/>
              <w:rPr>
                <w:rStyle w:val="Small"/>
              </w:rPr>
            </w:pPr>
            <w:r>
              <w:rPr>
                <w:rStyle w:val="Small"/>
              </w:rPr>
              <w:t>JULIET (May 2018)</w:t>
            </w:r>
          </w:p>
        </w:tc>
        <w:tc>
          <w:tcPr>
            <w:tcW w:w="1418" w:type="dxa"/>
            <w:shd w:val="clear" w:color="auto" w:fill="A6A6A6" w:themeFill="background1" w:themeFillShade="A6"/>
          </w:tcPr>
          <w:p w14:paraId="4B52D2DE" w14:textId="77777777" w:rsidR="002C71D0" w:rsidRPr="009D6759" w:rsidRDefault="002C71D0" w:rsidP="002C71D0">
            <w:pPr>
              <w:pStyle w:val="TableCentre"/>
              <w:rPr>
                <w:rStyle w:val="Small"/>
              </w:rPr>
            </w:pPr>
            <w:r>
              <w:rPr>
                <w:rStyle w:val="Small"/>
              </w:rPr>
              <w:t>U-PEN</w:t>
            </w:r>
          </w:p>
        </w:tc>
        <w:tc>
          <w:tcPr>
            <w:tcW w:w="1276" w:type="dxa"/>
            <w:shd w:val="clear" w:color="auto" w:fill="A6A6A6" w:themeFill="background1" w:themeFillShade="A6"/>
          </w:tcPr>
          <w:p w14:paraId="43705D66" w14:textId="77777777" w:rsidR="002C71D0" w:rsidRPr="009D6759" w:rsidRDefault="002C71D0" w:rsidP="002C71D0">
            <w:pPr>
              <w:pStyle w:val="TableCentre"/>
              <w:rPr>
                <w:rStyle w:val="Small"/>
              </w:rPr>
            </w:pPr>
            <w:r>
              <w:rPr>
                <w:rStyle w:val="Small"/>
              </w:rPr>
              <w:t>SCHOLAR</w:t>
            </w:r>
          </w:p>
        </w:tc>
        <w:tc>
          <w:tcPr>
            <w:tcW w:w="1275" w:type="dxa"/>
            <w:gridSpan w:val="2"/>
            <w:shd w:val="clear" w:color="auto" w:fill="A6A6A6" w:themeFill="background1" w:themeFillShade="A6"/>
          </w:tcPr>
          <w:p w14:paraId="48BBE839" w14:textId="77777777" w:rsidR="002C71D0" w:rsidRDefault="002C71D0" w:rsidP="002C71D0">
            <w:pPr>
              <w:pStyle w:val="TableCentre"/>
              <w:rPr>
                <w:rStyle w:val="Small"/>
              </w:rPr>
            </w:pPr>
            <w:r>
              <w:rPr>
                <w:rStyle w:val="Small"/>
              </w:rPr>
              <w:t>CORAL_E1</w:t>
            </w:r>
          </w:p>
        </w:tc>
        <w:tc>
          <w:tcPr>
            <w:tcW w:w="1134" w:type="dxa"/>
            <w:shd w:val="clear" w:color="auto" w:fill="A6A6A6" w:themeFill="background1" w:themeFillShade="A6"/>
          </w:tcPr>
          <w:p w14:paraId="6BC8A833" w14:textId="77777777" w:rsidR="002C71D0" w:rsidRDefault="002C71D0" w:rsidP="002C71D0">
            <w:pPr>
              <w:pStyle w:val="TableCentre"/>
              <w:rPr>
                <w:rStyle w:val="Small"/>
              </w:rPr>
            </w:pPr>
            <w:r>
              <w:rPr>
                <w:rStyle w:val="Small"/>
              </w:rPr>
              <w:t>CORAL_E2</w:t>
            </w:r>
          </w:p>
        </w:tc>
      </w:tr>
      <w:tr w:rsidR="002C71D0" w:rsidRPr="009D6759" w14:paraId="430BCB5A" w14:textId="77777777" w:rsidTr="002C71D0">
        <w:tc>
          <w:tcPr>
            <w:tcW w:w="1835" w:type="dxa"/>
            <w:shd w:val="clear" w:color="auto" w:fill="BFBFBF" w:themeFill="background1" w:themeFillShade="BF"/>
          </w:tcPr>
          <w:p w14:paraId="1A476524" w14:textId="77777777" w:rsidR="002C71D0" w:rsidRPr="009D6759" w:rsidRDefault="002C71D0" w:rsidP="002C71D0">
            <w:pPr>
              <w:pStyle w:val="Table"/>
              <w:rPr>
                <w:rStyle w:val="Small"/>
              </w:rPr>
            </w:pPr>
            <w:r>
              <w:rPr>
                <w:rStyle w:val="Small"/>
              </w:rPr>
              <w:t>Efficacy outcomes</w:t>
            </w:r>
          </w:p>
        </w:tc>
        <w:tc>
          <w:tcPr>
            <w:tcW w:w="1348" w:type="dxa"/>
            <w:shd w:val="clear" w:color="auto" w:fill="BFBFBF" w:themeFill="background1" w:themeFillShade="BF"/>
          </w:tcPr>
          <w:p w14:paraId="3FFFCE93" w14:textId="77777777" w:rsidR="002C71D0" w:rsidRDefault="002C71D0" w:rsidP="002C71D0">
            <w:pPr>
              <w:pStyle w:val="TableCentre"/>
              <w:rPr>
                <w:rStyle w:val="Small"/>
              </w:rPr>
            </w:pPr>
            <w:r>
              <w:rPr>
                <w:rStyle w:val="Small"/>
              </w:rPr>
              <w:t>Enrolled: N=167</w:t>
            </w:r>
          </w:p>
        </w:tc>
        <w:tc>
          <w:tcPr>
            <w:tcW w:w="1348" w:type="dxa"/>
            <w:shd w:val="clear" w:color="auto" w:fill="BFBFBF" w:themeFill="background1" w:themeFillShade="BF"/>
          </w:tcPr>
          <w:p w14:paraId="53A4B598" w14:textId="77777777" w:rsidR="002C71D0" w:rsidRDefault="002C71D0" w:rsidP="002C71D0">
            <w:pPr>
              <w:pStyle w:val="TableCentre"/>
              <w:rPr>
                <w:rStyle w:val="Small"/>
              </w:rPr>
            </w:pPr>
            <w:r>
              <w:rPr>
                <w:rStyle w:val="Small"/>
              </w:rPr>
              <w:t>Infused: N=115</w:t>
            </w:r>
          </w:p>
        </w:tc>
        <w:tc>
          <w:tcPr>
            <w:tcW w:w="1418" w:type="dxa"/>
            <w:shd w:val="clear" w:color="auto" w:fill="BFBFBF" w:themeFill="background1" w:themeFillShade="BF"/>
          </w:tcPr>
          <w:p w14:paraId="70D75A0A" w14:textId="77777777" w:rsidR="002C71D0" w:rsidRPr="009D6759" w:rsidRDefault="002C71D0" w:rsidP="002C71D0">
            <w:pPr>
              <w:pStyle w:val="TableCentre"/>
              <w:rPr>
                <w:rStyle w:val="Small"/>
              </w:rPr>
            </w:pPr>
            <w:r>
              <w:rPr>
                <w:rStyle w:val="Small"/>
              </w:rPr>
              <w:t>N=14 (DLBCL)</w:t>
            </w:r>
          </w:p>
        </w:tc>
        <w:tc>
          <w:tcPr>
            <w:tcW w:w="1276" w:type="dxa"/>
            <w:shd w:val="clear" w:color="auto" w:fill="BFBFBF" w:themeFill="background1" w:themeFillShade="BF"/>
          </w:tcPr>
          <w:p w14:paraId="10A618F6" w14:textId="77777777" w:rsidR="002C71D0" w:rsidRPr="009D6759" w:rsidRDefault="002C71D0" w:rsidP="002C71D0">
            <w:pPr>
              <w:pStyle w:val="TableCentre"/>
              <w:rPr>
                <w:rStyle w:val="Small"/>
              </w:rPr>
            </w:pPr>
            <w:r>
              <w:rPr>
                <w:rStyle w:val="Small"/>
              </w:rPr>
              <w:t>N=523</w:t>
            </w:r>
          </w:p>
        </w:tc>
        <w:tc>
          <w:tcPr>
            <w:tcW w:w="1275" w:type="dxa"/>
            <w:gridSpan w:val="2"/>
            <w:shd w:val="clear" w:color="auto" w:fill="BFBFBF" w:themeFill="background1" w:themeFillShade="BF"/>
          </w:tcPr>
          <w:p w14:paraId="4F185B6D" w14:textId="77777777" w:rsidR="002C71D0" w:rsidRPr="009D6759" w:rsidRDefault="002C71D0" w:rsidP="002C71D0">
            <w:pPr>
              <w:pStyle w:val="TableCentre"/>
              <w:rPr>
                <w:rStyle w:val="Small"/>
              </w:rPr>
            </w:pPr>
            <w:r>
              <w:rPr>
                <w:rStyle w:val="Small"/>
              </w:rPr>
              <w:t>N=203</w:t>
            </w:r>
          </w:p>
        </w:tc>
        <w:tc>
          <w:tcPr>
            <w:tcW w:w="1134" w:type="dxa"/>
            <w:shd w:val="clear" w:color="auto" w:fill="BFBFBF" w:themeFill="background1" w:themeFillShade="BF"/>
          </w:tcPr>
          <w:p w14:paraId="74783811" w14:textId="77777777" w:rsidR="002C71D0" w:rsidRPr="009D6759" w:rsidRDefault="002C71D0" w:rsidP="002C71D0">
            <w:pPr>
              <w:pStyle w:val="TableCentre"/>
              <w:rPr>
                <w:rStyle w:val="Small"/>
              </w:rPr>
            </w:pPr>
            <w:r>
              <w:rPr>
                <w:rStyle w:val="Small"/>
              </w:rPr>
              <w:t>N=75</w:t>
            </w:r>
          </w:p>
        </w:tc>
      </w:tr>
      <w:tr w:rsidR="002C71D0" w:rsidRPr="009D6759" w14:paraId="238FBC12" w14:textId="77777777" w:rsidTr="002C71D0">
        <w:tc>
          <w:tcPr>
            <w:tcW w:w="1835" w:type="dxa"/>
          </w:tcPr>
          <w:p w14:paraId="36851A2E" w14:textId="77777777" w:rsidR="002C71D0" w:rsidRDefault="002C71D0" w:rsidP="002C71D0">
            <w:pPr>
              <w:pStyle w:val="Table"/>
              <w:rPr>
                <w:rStyle w:val="Small"/>
              </w:rPr>
            </w:pPr>
            <w:r w:rsidRPr="009D6759">
              <w:rPr>
                <w:rStyle w:val="Small"/>
              </w:rPr>
              <w:t>ORR</w:t>
            </w:r>
            <w:r>
              <w:rPr>
                <w:rStyle w:val="Small"/>
              </w:rPr>
              <w:t>, n/N (%)</w:t>
            </w:r>
          </w:p>
          <w:p w14:paraId="2B4A326D" w14:textId="77777777" w:rsidR="002C71D0" w:rsidRPr="009D6759" w:rsidRDefault="002C71D0" w:rsidP="002C71D0">
            <w:pPr>
              <w:pStyle w:val="Table"/>
              <w:rPr>
                <w:rStyle w:val="Small"/>
              </w:rPr>
            </w:pPr>
            <w:r>
              <w:rPr>
                <w:rStyle w:val="Small"/>
              </w:rPr>
              <w:t>[95% CI]</w:t>
            </w:r>
          </w:p>
        </w:tc>
        <w:tc>
          <w:tcPr>
            <w:tcW w:w="1348" w:type="dxa"/>
            <w:shd w:val="clear" w:color="auto" w:fill="auto"/>
          </w:tcPr>
          <w:p w14:paraId="587D3FA9" w14:textId="77777777" w:rsidR="002C71D0" w:rsidRDefault="002C71D0" w:rsidP="002C71D0">
            <w:pPr>
              <w:pStyle w:val="TableCentre"/>
              <w:rPr>
                <w:rStyle w:val="Small"/>
              </w:rPr>
            </w:pPr>
            <w:r>
              <w:rPr>
                <w:rStyle w:val="Small"/>
              </w:rPr>
              <w:t>53/147 (36.1)</w:t>
            </w:r>
          </w:p>
          <w:p w14:paraId="58001BD9" w14:textId="77777777" w:rsidR="002C71D0" w:rsidRDefault="002C71D0" w:rsidP="002C71D0">
            <w:pPr>
              <w:pStyle w:val="TableCentre"/>
              <w:rPr>
                <w:rStyle w:val="Small"/>
              </w:rPr>
            </w:pPr>
            <w:r>
              <w:rPr>
                <w:rStyle w:val="Small"/>
              </w:rPr>
              <w:t>[28.3; 44.4]</w:t>
            </w:r>
          </w:p>
        </w:tc>
        <w:tc>
          <w:tcPr>
            <w:tcW w:w="1348" w:type="dxa"/>
            <w:shd w:val="clear" w:color="auto" w:fill="auto"/>
          </w:tcPr>
          <w:p w14:paraId="17392B6D" w14:textId="77777777" w:rsidR="002C71D0" w:rsidRDefault="002C71D0" w:rsidP="002C71D0">
            <w:pPr>
              <w:pStyle w:val="TableCentre"/>
              <w:rPr>
                <w:rStyle w:val="Small"/>
              </w:rPr>
            </w:pPr>
            <w:r>
              <w:rPr>
                <w:rStyle w:val="Small"/>
              </w:rPr>
              <w:t>53/99 (53.5)</w:t>
            </w:r>
          </w:p>
          <w:p w14:paraId="0743B50A" w14:textId="77777777" w:rsidR="002C71D0" w:rsidRDefault="002C71D0" w:rsidP="002C71D0">
            <w:pPr>
              <w:pStyle w:val="TableCentre"/>
              <w:rPr>
                <w:rStyle w:val="Small"/>
              </w:rPr>
            </w:pPr>
            <w:r>
              <w:rPr>
                <w:rStyle w:val="Small"/>
              </w:rPr>
              <w:t>[43.2;63.6]</w:t>
            </w:r>
          </w:p>
        </w:tc>
        <w:tc>
          <w:tcPr>
            <w:tcW w:w="1418" w:type="dxa"/>
          </w:tcPr>
          <w:p w14:paraId="4B84FC33" w14:textId="77777777" w:rsidR="002C71D0" w:rsidRDefault="002C71D0" w:rsidP="002C71D0">
            <w:pPr>
              <w:pStyle w:val="TableCentre"/>
              <w:rPr>
                <w:rStyle w:val="Small"/>
              </w:rPr>
            </w:pPr>
            <w:r>
              <w:rPr>
                <w:rStyle w:val="Small"/>
              </w:rPr>
              <w:t>7 (50)</w:t>
            </w:r>
          </w:p>
          <w:p w14:paraId="47CC19E0" w14:textId="77777777" w:rsidR="002C71D0" w:rsidRPr="009D6759" w:rsidRDefault="002C71D0" w:rsidP="002C71D0">
            <w:pPr>
              <w:pStyle w:val="TableCentre"/>
              <w:rPr>
                <w:rStyle w:val="Small"/>
              </w:rPr>
            </w:pPr>
            <w:r>
              <w:rPr>
                <w:rStyle w:val="Small"/>
              </w:rPr>
              <w:t>NR</w:t>
            </w:r>
          </w:p>
        </w:tc>
        <w:tc>
          <w:tcPr>
            <w:tcW w:w="1276" w:type="dxa"/>
          </w:tcPr>
          <w:p w14:paraId="7C098F0C" w14:textId="77777777" w:rsidR="002C71D0" w:rsidRDefault="002C71D0" w:rsidP="002C71D0">
            <w:pPr>
              <w:pStyle w:val="TableCentre"/>
              <w:rPr>
                <w:rStyle w:val="Small"/>
              </w:rPr>
            </w:pPr>
            <w:r>
              <w:rPr>
                <w:rStyle w:val="Small"/>
              </w:rPr>
              <w:t>134 (26.0)</w:t>
            </w:r>
          </w:p>
          <w:p w14:paraId="15C1B60C" w14:textId="77777777" w:rsidR="002C71D0" w:rsidRPr="009D6759" w:rsidRDefault="002C71D0" w:rsidP="002C71D0">
            <w:pPr>
              <w:pStyle w:val="TableCentre"/>
              <w:rPr>
                <w:rStyle w:val="Small"/>
              </w:rPr>
            </w:pPr>
            <w:r>
              <w:rPr>
                <w:rStyle w:val="Small"/>
              </w:rPr>
              <w:t xml:space="preserve">[21.9,29.6] </w:t>
            </w:r>
          </w:p>
        </w:tc>
        <w:tc>
          <w:tcPr>
            <w:tcW w:w="1275" w:type="dxa"/>
            <w:gridSpan w:val="2"/>
          </w:tcPr>
          <w:p w14:paraId="4371B969" w14:textId="77777777" w:rsidR="002C71D0" w:rsidRDefault="002C71D0" w:rsidP="002C71D0">
            <w:pPr>
              <w:pStyle w:val="TableCentre"/>
              <w:rPr>
                <w:rStyle w:val="Small"/>
              </w:rPr>
            </w:pPr>
            <w:r>
              <w:rPr>
                <w:rStyle w:val="Small"/>
              </w:rPr>
              <w:t>79 (38.9)</w:t>
            </w:r>
          </w:p>
          <w:p w14:paraId="7CE2BCD2" w14:textId="77777777" w:rsidR="002C71D0" w:rsidRDefault="002C71D0" w:rsidP="002C71D0">
            <w:pPr>
              <w:pStyle w:val="TableCentre"/>
              <w:rPr>
                <w:rStyle w:val="Small"/>
              </w:rPr>
            </w:pPr>
            <w:r>
              <w:rPr>
                <w:rStyle w:val="Small"/>
              </w:rPr>
              <w:t>[32.2, 46.0]</w:t>
            </w:r>
          </w:p>
        </w:tc>
        <w:tc>
          <w:tcPr>
            <w:tcW w:w="1134" w:type="dxa"/>
          </w:tcPr>
          <w:p w14:paraId="2172AFAA" w14:textId="77777777" w:rsidR="002C71D0" w:rsidRDefault="002C71D0" w:rsidP="002C71D0">
            <w:pPr>
              <w:pStyle w:val="TableCentre"/>
              <w:rPr>
                <w:rStyle w:val="Small"/>
              </w:rPr>
            </w:pPr>
            <w:r>
              <w:rPr>
                <w:rStyle w:val="Small"/>
              </w:rPr>
              <w:t>33 (44.0)</w:t>
            </w:r>
          </w:p>
          <w:p w14:paraId="47C9CB79" w14:textId="77777777" w:rsidR="002C71D0" w:rsidRDefault="002C71D0" w:rsidP="002C71D0">
            <w:pPr>
              <w:pStyle w:val="TableCentre"/>
              <w:rPr>
                <w:rStyle w:val="Small"/>
              </w:rPr>
            </w:pPr>
            <w:r>
              <w:rPr>
                <w:rStyle w:val="Small"/>
              </w:rPr>
              <w:t>[32.5, 55.9]</w:t>
            </w:r>
          </w:p>
        </w:tc>
      </w:tr>
      <w:tr w:rsidR="002C71D0" w:rsidRPr="009D6759" w14:paraId="40D6E811" w14:textId="77777777" w:rsidTr="002C71D0">
        <w:tc>
          <w:tcPr>
            <w:tcW w:w="1835" w:type="dxa"/>
          </w:tcPr>
          <w:p w14:paraId="5C2ED395" w14:textId="77777777" w:rsidR="002C71D0" w:rsidRDefault="002C71D0" w:rsidP="002C71D0">
            <w:pPr>
              <w:pStyle w:val="Table"/>
              <w:rPr>
                <w:rStyle w:val="Small"/>
              </w:rPr>
            </w:pPr>
            <w:r w:rsidRPr="009D6759">
              <w:rPr>
                <w:rStyle w:val="Small"/>
              </w:rPr>
              <w:t>Median</w:t>
            </w:r>
            <w:r>
              <w:rPr>
                <w:rStyle w:val="Small"/>
              </w:rPr>
              <w:t xml:space="preserve"> PFS (months)</w:t>
            </w:r>
          </w:p>
          <w:p w14:paraId="0B77DB31" w14:textId="77777777" w:rsidR="002C71D0" w:rsidRPr="009D6759" w:rsidRDefault="002C71D0" w:rsidP="002C71D0">
            <w:pPr>
              <w:pStyle w:val="Table"/>
              <w:rPr>
                <w:rStyle w:val="Small"/>
              </w:rPr>
            </w:pPr>
            <w:r>
              <w:rPr>
                <w:rStyle w:val="Small"/>
              </w:rPr>
              <w:t>[95% CI]</w:t>
            </w:r>
          </w:p>
        </w:tc>
        <w:tc>
          <w:tcPr>
            <w:tcW w:w="1348" w:type="dxa"/>
            <w:shd w:val="clear" w:color="auto" w:fill="auto"/>
          </w:tcPr>
          <w:p w14:paraId="10209509" w14:textId="77777777" w:rsidR="002C71D0" w:rsidRDefault="002C71D0" w:rsidP="002C71D0">
            <w:pPr>
              <w:pStyle w:val="TableCentre"/>
              <w:rPr>
                <w:rStyle w:val="Small"/>
              </w:rPr>
            </w:pPr>
            <w:r>
              <w:rPr>
                <w:rStyle w:val="Small"/>
              </w:rPr>
              <w:t>4.6</w:t>
            </w:r>
          </w:p>
          <w:p w14:paraId="4D023084" w14:textId="77777777" w:rsidR="002C71D0" w:rsidRDefault="002C71D0" w:rsidP="002C71D0">
            <w:pPr>
              <w:pStyle w:val="TableCentre"/>
              <w:rPr>
                <w:rStyle w:val="Small"/>
              </w:rPr>
            </w:pPr>
            <w:r>
              <w:rPr>
                <w:rStyle w:val="Small"/>
              </w:rPr>
              <w:t>[3.7;5.2]</w:t>
            </w:r>
          </w:p>
        </w:tc>
        <w:tc>
          <w:tcPr>
            <w:tcW w:w="1348" w:type="dxa"/>
            <w:shd w:val="clear" w:color="auto" w:fill="auto"/>
          </w:tcPr>
          <w:p w14:paraId="680C2545" w14:textId="77777777" w:rsidR="002C71D0" w:rsidRDefault="002C71D0" w:rsidP="002C71D0">
            <w:pPr>
              <w:pStyle w:val="TableCentre"/>
              <w:rPr>
                <w:rStyle w:val="Small"/>
              </w:rPr>
            </w:pPr>
            <w:r>
              <w:rPr>
                <w:rStyle w:val="Small"/>
              </w:rPr>
              <w:t>2.9</w:t>
            </w:r>
          </w:p>
          <w:p w14:paraId="34FEC8CB" w14:textId="77777777" w:rsidR="002C71D0" w:rsidRDefault="002C71D0" w:rsidP="002C71D0">
            <w:pPr>
              <w:pStyle w:val="TableCentre"/>
              <w:rPr>
                <w:rStyle w:val="Small"/>
              </w:rPr>
            </w:pPr>
            <w:r>
              <w:rPr>
                <w:rStyle w:val="Small"/>
              </w:rPr>
              <w:t>[2.3;4.2]</w:t>
            </w:r>
          </w:p>
        </w:tc>
        <w:tc>
          <w:tcPr>
            <w:tcW w:w="1418" w:type="dxa"/>
          </w:tcPr>
          <w:p w14:paraId="2D69EFD6" w14:textId="77777777" w:rsidR="002C71D0" w:rsidRDefault="002C71D0" w:rsidP="002C71D0">
            <w:pPr>
              <w:pStyle w:val="TableCentre"/>
              <w:rPr>
                <w:rStyle w:val="Small"/>
              </w:rPr>
            </w:pPr>
            <w:r>
              <w:rPr>
                <w:rStyle w:val="Small"/>
              </w:rPr>
              <w:t xml:space="preserve">3.2 </w:t>
            </w:r>
          </w:p>
          <w:p w14:paraId="5422A149" w14:textId="77777777" w:rsidR="002C71D0" w:rsidRPr="009D6759" w:rsidRDefault="002C71D0" w:rsidP="002C71D0">
            <w:pPr>
              <w:pStyle w:val="TableCentre"/>
              <w:rPr>
                <w:rStyle w:val="Small"/>
              </w:rPr>
            </w:pPr>
            <w:r>
              <w:rPr>
                <w:rStyle w:val="Small"/>
              </w:rPr>
              <w:t>[0.9, NE]</w:t>
            </w:r>
          </w:p>
        </w:tc>
        <w:tc>
          <w:tcPr>
            <w:tcW w:w="1276" w:type="dxa"/>
          </w:tcPr>
          <w:p w14:paraId="4F923E5E" w14:textId="77777777" w:rsidR="002C71D0" w:rsidRPr="009D6759" w:rsidRDefault="002C71D0" w:rsidP="002C71D0">
            <w:pPr>
              <w:pStyle w:val="TableCentre"/>
              <w:rPr>
                <w:rStyle w:val="Small"/>
              </w:rPr>
            </w:pPr>
            <w:r>
              <w:rPr>
                <w:rStyle w:val="Small"/>
              </w:rPr>
              <w:t>NR</w:t>
            </w:r>
          </w:p>
        </w:tc>
        <w:tc>
          <w:tcPr>
            <w:tcW w:w="1275" w:type="dxa"/>
            <w:gridSpan w:val="2"/>
          </w:tcPr>
          <w:p w14:paraId="386F759D" w14:textId="77777777" w:rsidR="002C71D0" w:rsidRPr="009D6759" w:rsidRDefault="002C71D0" w:rsidP="002C71D0">
            <w:pPr>
              <w:pStyle w:val="TableCentre"/>
              <w:rPr>
                <w:rStyle w:val="Small"/>
              </w:rPr>
            </w:pPr>
            <w:r>
              <w:rPr>
                <w:rStyle w:val="Small"/>
              </w:rPr>
              <w:t>NR</w:t>
            </w:r>
          </w:p>
        </w:tc>
        <w:tc>
          <w:tcPr>
            <w:tcW w:w="1134" w:type="dxa"/>
          </w:tcPr>
          <w:p w14:paraId="26FFDD3B" w14:textId="77777777" w:rsidR="002C71D0" w:rsidRPr="009D6759" w:rsidRDefault="002C71D0" w:rsidP="002C71D0">
            <w:pPr>
              <w:pStyle w:val="TableCentre"/>
              <w:rPr>
                <w:rStyle w:val="Small"/>
              </w:rPr>
            </w:pPr>
            <w:r>
              <w:rPr>
                <w:rStyle w:val="Small"/>
              </w:rPr>
              <w:t>NR</w:t>
            </w:r>
          </w:p>
        </w:tc>
      </w:tr>
      <w:tr w:rsidR="002C71D0" w:rsidRPr="009D6759" w14:paraId="0E3099AA" w14:textId="77777777" w:rsidTr="002C71D0">
        <w:tc>
          <w:tcPr>
            <w:tcW w:w="1835" w:type="dxa"/>
          </w:tcPr>
          <w:p w14:paraId="0F91A088" w14:textId="77777777" w:rsidR="002C71D0" w:rsidRDefault="002C71D0" w:rsidP="002C71D0">
            <w:pPr>
              <w:pStyle w:val="Table"/>
              <w:rPr>
                <w:rStyle w:val="Small"/>
              </w:rPr>
            </w:pPr>
            <w:r w:rsidRPr="009D6759">
              <w:rPr>
                <w:rStyle w:val="Small"/>
              </w:rPr>
              <w:t>Median</w:t>
            </w:r>
            <w:r>
              <w:rPr>
                <w:rStyle w:val="Small"/>
              </w:rPr>
              <w:t xml:space="preserve"> OS</w:t>
            </w:r>
            <w:r w:rsidRPr="009D6759">
              <w:rPr>
                <w:rStyle w:val="Small"/>
              </w:rPr>
              <w:t xml:space="preserve"> (months)</w:t>
            </w:r>
          </w:p>
          <w:p w14:paraId="60C83867" w14:textId="77777777" w:rsidR="002C71D0" w:rsidRPr="009D6759" w:rsidRDefault="002C71D0" w:rsidP="002C71D0">
            <w:pPr>
              <w:pStyle w:val="Table"/>
              <w:rPr>
                <w:rStyle w:val="Small"/>
              </w:rPr>
            </w:pPr>
            <w:r>
              <w:rPr>
                <w:rStyle w:val="Small"/>
              </w:rPr>
              <w:t>[95% CI]</w:t>
            </w:r>
          </w:p>
        </w:tc>
        <w:tc>
          <w:tcPr>
            <w:tcW w:w="1348" w:type="dxa"/>
            <w:shd w:val="clear" w:color="auto" w:fill="auto"/>
          </w:tcPr>
          <w:p w14:paraId="7C28ADB1" w14:textId="77777777" w:rsidR="002C71D0" w:rsidRDefault="002C71D0" w:rsidP="002C71D0">
            <w:pPr>
              <w:pStyle w:val="TableCentre"/>
              <w:rPr>
                <w:rStyle w:val="Small"/>
              </w:rPr>
            </w:pPr>
            <w:r>
              <w:rPr>
                <w:rStyle w:val="Small"/>
              </w:rPr>
              <w:t>8.25</w:t>
            </w:r>
          </w:p>
          <w:p w14:paraId="3F9C5D2E" w14:textId="77777777" w:rsidR="002C71D0" w:rsidRDefault="002C71D0" w:rsidP="002C71D0">
            <w:pPr>
              <w:pStyle w:val="TableCentre"/>
              <w:rPr>
                <w:rStyle w:val="Small"/>
              </w:rPr>
            </w:pPr>
            <w:r>
              <w:rPr>
                <w:rStyle w:val="Small"/>
              </w:rPr>
              <w:t>[5.8;11.7]</w:t>
            </w:r>
          </w:p>
        </w:tc>
        <w:tc>
          <w:tcPr>
            <w:tcW w:w="1348" w:type="dxa"/>
            <w:shd w:val="clear" w:color="auto" w:fill="auto"/>
          </w:tcPr>
          <w:p w14:paraId="6CAF8D8B" w14:textId="77777777" w:rsidR="002C71D0" w:rsidRDefault="002C71D0" w:rsidP="002C71D0">
            <w:pPr>
              <w:pStyle w:val="TableCentre"/>
              <w:rPr>
                <w:rStyle w:val="Small"/>
              </w:rPr>
            </w:pPr>
            <w:r>
              <w:rPr>
                <w:rStyle w:val="Small"/>
              </w:rPr>
              <w:t>11.1</w:t>
            </w:r>
          </w:p>
          <w:p w14:paraId="25D5F38D" w14:textId="77777777" w:rsidR="002C71D0" w:rsidRDefault="002C71D0" w:rsidP="002C71D0">
            <w:pPr>
              <w:pStyle w:val="TableCentre"/>
              <w:rPr>
                <w:rStyle w:val="Small"/>
              </w:rPr>
            </w:pPr>
            <w:r>
              <w:rPr>
                <w:rStyle w:val="Small"/>
              </w:rPr>
              <w:t>[6.6; NE]</w:t>
            </w:r>
          </w:p>
        </w:tc>
        <w:tc>
          <w:tcPr>
            <w:tcW w:w="1418" w:type="dxa"/>
          </w:tcPr>
          <w:p w14:paraId="1BED2AFC" w14:textId="77777777" w:rsidR="002C71D0" w:rsidRDefault="002C71D0" w:rsidP="002C71D0">
            <w:pPr>
              <w:pStyle w:val="TableCentre"/>
              <w:rPr>
                <w:rStyle w:val="Small"/>
              </w:rPr>
            </w:pPr>
            <w:r>
              <w:rPr>
                <w:rStyle w:val="Small"/>
              </w:rPr>
              <w:t>22.2</w:t>
            </w:r>
          </w:p>
          <w:p w14:paraId="7496D950" w14:textId="77777777" w:rsidR="002C71D0" w:rsidRPr="009D6759" w:rsidRDefault="002C71D0" w:rsidP="002C71D0">
            <w:pPr>
              <w:pStyle w:val="TableCentre"/>
              <w:rPr>
                <w:rStyle w:val="Small"/>
              </w:rPr>
            </w:pPr>
            <w:r>
              <w:rPr>
                <w:rStyle w:val="Small"/>
              </w:rPr>
              <w:t>[NR]</w:t>
            </w:r>
          </w:p>
        </w:tc>
        <w:tc>
          <w:tcPr>
            <w:tcW w:w="1276" w:type="dxa"/>
          </w:tcPr>
          <w:p w14:paraId="5A1BD51C" w14:textId="77777777" w:rsidR="002C71D0" w:rsidRDefault="002C71D0" w:rsidP="002C71D0">
            <w:pPr>
              <w:pStyle w:val="TableCentre"/>
              <w:rPr>
                <w:rStyle w:val="Small"/>
              </w:rPr>
            </w:pPr>
            <w:r>
              <w:rPr>
                <w:rStyle w:val="Small"/>
              </w:rPr>
              <w:t xml:space="preserve">6.3 </w:t>
            </w:r>
          </w:p>
          <w:p w14:paraId="78CB8788" w14:textId="77777777" w:rsidR="002C71D0" w:rsidRPr="009D6759" w:rsidRDefault="002C71D0" w:rsidP="002C71D0">
            <w:pPr>
              <w:pStyle w:val="TableCentre"/>
              <w:rPr>
                <w:rStyle w:val="Small"/>
              </w:rPr>
            </w:pPr>
            <w:r>
              <w:rPr>
                <w:rStyle w:val="Small"/>
              </w:rPr>
              <w:t>[5.9,7.0]</w:t>
            </w:r>
          </w:p>
        </w:tc>
        <w:tc>
          <w:tcPr>
            <w:tcW w:w="1275" w:type="dxa"/>
            <w:gridSpan w:val="2"/>
          </w:tcPr>
          <w:p w14:paraId="331B6FFB" w14:textId="77777777" w:rsidR="002C71D0" w:rsidRDefault="002C71D0" w:rsidP="002C71D0">
            <w:pPr>
              <w:pStyle w:val="TableCentre"/>
              <w:rPr>
                <w:rStyle w:val="Small"/>
              </w:rPr>
            </w:pPr>
            <w:r>
              <w:rPr>
                <w:rStyle w:val="Small"/>
              </w:rPr>
              <w:t>4.4</w:t>
            </w:r>
          </w:p>
          <w:p w14:paraId="3EA3C886" w14:textId="77777777" w:rsidR="002C71D0" w:rsidRPr="009D6759" w:rsidRDefault="002C71D0" w:rsidP="002C71D0">
            <w:pPr>
              <w:pStyle w:val="TableCentre"/>
              <w:rPr>
                <w:rStyle w:val="Small"/>
              </w:rPr>
            </w:pPr>
            <w:r>
              <w:rPr>
                <w:rStyle w:val="Small"/>
              </w:rPr>
              <w:t>[NR]</w:t>
            </w:r>
          </w:p>
        </w:tc>
        <w:tc>
          <w:tcPr>
            <w:tcW w:w="1134" w:type="dxa"/>
          </w:tcPr>
          <w:p w14:paraId="2C509C71" w14:textId="77777777" w:rsidR="002C71D0" w:rsidRDefault="002C71D0" w:rsidP="002C71D0">
            <w:pPr>
              <w:pStyle w:val="TableCentre"/>
              <w:rPr>
                <w:rStyle w:val="Small"/>
              </w:rPr>
            </w:pPr>
            <w:r>
              <w:rPr>
                <w:rStyle w:val="Small"/>
              </w:rPr>
              <w:t>10.0</w:t>
            </w:r>
          </w:p>
          <w:p w14:paraId="2B8E53C6" w14:textId="77777777" w:rsidR="002C71D0" w:rsidRPr="009D6759" w:rsidRDefault="002C71D0" w:rsidP="002C71D0">
            <w:pPr>
              <w:pStyle w:val="TableCentre"/>
              <w:rPr>
                <w:rStyle w:val="Small"/>
              </w:rPr>
            </w:pPr>
            <w:r>
              <w:rPr>
                <w:rStyle w:val="Small"/>
              </w:rPr>
              <w:t>[NR]</w:t>
            </w:r>
          </w:p>
        </w:tc>
      </w:tr>
      <w:tr w:rsidR="002C71D0" w:rsidRPr="009D6759" w14:paraId="70E2C22B" w14:textId="77777777" w:rsidTr="002C71D0">
        <w:tc>
          <w:tcPr>
            <w:tcW w:w="1835" w:type="dxa"/>
            <w:shd w:val="clear" w:color="auto" w:fill="BFBFBF" w:themeFill="background1" w:themeFillShade="BF"/>
          </w:tcPr>
          <w:p w14:paraId="7983D437" w14:textId="77777777" w:rsidR="002C71D0" w:rsidRPr="009D6759" w:rsidRDefault="002C71D0" w:rsidP="002C71D0">
            <w:pPr>
              <w:pStyle w:val="Table"/>
              <w:rPr>
                <w:rStyle w:val="Small"/>
              </w:rPr>
            </w:pPr>
            <w:r w:rsidRPr="009D6759">
              <w:rPr>
                <w:rStyle w:val="Small"/>
              </w:rPr>
              <w:t>Safety</w:t>
            </w:r>
            <w:r>
              <w:rPr>
                <w:rStyle w:val="Small"/>
              </w:rPr>
              <w:t xml:space="preserve"> outcomes</w:t>
            </w:r>
          </w:p>
        </w:tc>
        <w:tc>
          <w:tcPr>
            <w:tcW w:w="2696" w:type="dxa"/>
            <w:gridSpan w:val="2"/>
            <w:shd w:val="clear" w:color="auto" w:fill="BFBFBF" w:themeFill="background1" w:themeFillShade="BF"/>
          </w:tcPr>
          <w:p w14:paraId="51712A6E" w14:textId="77777777" w:rsidR="002C71D0" w:rsidRPr="009D6759" w:rsidRDefault="002C71D0" w:rsidP="002C71D0">
            <w:pPr>
              <w:pStyle w:val="TableCentre"/>
              <w:rPr>
                <w:rStyle w:val="Small"/>
              </w:rPr>
            </w:pPr>
            <w:r>
              <w:rPr>
                <w:rStyle w:val="Small"/>
              </w:rPr>
              <w:t>Infused: N = 115</w:t>
            </w:r>
          </w:p>
        </w:tc>
        <w:tc>
          <w:tcPr>
            <w:tcW w:w="1418" w:type="dxa"/>
            <w:shd w:val="clear" w:color="auto" w:fill="BFBFBF" w:themeFill="background1" w:themeFillShade="BF"/>
          </w:tcPr>
          <w:p w14:paraId="7D759FE4" w14:textId="77777777" w:rsidR="002C71D0" w:rsidRPr="009D6759" w:rsidRDefault="002C71D0" w:rsidP="002C71D0">
            <w:pPr>
              <w:pStyle w:val="TableCentre"/>
              <w:rPr>
                <w:rStyle w:val="Small"/>
              </w:rPr>
            </w:pPr>
          </w:p>
        </w:tc>
        <w:tc>
          <w:tcPr>
            <w:tcW w:w="3685" w:type="dxa"/>
            <w:gridSpan w:val="4"/>
            <w:shd w:val="clear" w:color="auto" w:fill="BFBFBF" w:themeFill="background1" w:themeFillShade="BF"/>
          </w:tcPr>
          <w:p w14:paraId="2483D72E" w14:textId="77777777" w:rsidR="002C71D0" w:rsidRPr="009D6759" w:rsidRDefault="002C71D0" w:rsidP="002C71D0">
            <w:pPr>
              <w:pStyle w:val="TableCentre"/>
              <w:rPr>
                <w:rStyle w:val="Small"/>
              </w:rPr>
            </w:pPr>
            <w:r>
              <w:rPr>
                <w:rStyle w:val="Small"/>
              </w:rPr>
              <w:t>Corazelli 2009: Patients = 62; Courses = 291</w:t>
            </w:r>
          </w:p>
        </w:tc>
      </w:tr>
      <w:tr w:rsidR="002C71D0" w:rsidRPr="009256AB" w14:paraId="70F5558F" w14:textId="77777777" w:rsidTr="002C71D0">
        <w:tc>
          <w:tcPr>
            <w:tcW w:w="1835" w:type="dxa"/>
          </w:tcPr>
          <w:p w14:paraId="463FF03E" w14:textId="77777777" w:rsidR="002C71D0" w:rsidRPr="009256AB" w:rsidRDefault="002C71D0" w:rsidP="002C71D0">
            <w:pPr>
              <w:pStyle w:val="Table"/>
              <w:rPr>
                <w:rStyle w:val="Small"/>
              </w:rPr>
            </w:pPr>
            <w:r>
              <w:rPr>
                <w:rStyle w:val="Small"/>
              </w:rPr>
              <w:t>Patients with AEs</w:t>
            </w:r>
            <w:r w:rsidRPr="009256AB">
              <w:rPr>
                <w:rStyle w:val="Small"/>
              </w:rPr>
              <w:t>, n(%)</w:t>
            </w:r>
          </w:p>
        </w:tc>
        <w:tc>
          <w:tcPr>
            <w:tcW w:w="2696" w:type="dxa"/>
            <w:gridSpan w:val="2"/>
          </w:tcPr>
          <w:p w14:paraId="1DF067D9" w14:textId="77777777" w:rsidR="002C71D0" w:rsidRPr="009256AB" w:rsidRDefault="002C71D0" w:rsidP="002C71D0">
            <w:pPr>
              <w:pStyle w:val="TableCentre"/>
              <w:rPr>
                <w:rStyle w:val="Small"/>
              </w:rPr>
            </w:pPr>
            <w:r>
              <w:rPr>
                <w:rStyle w:val="Small"/>
              </w:rPr>
              <w:t>115 (100)</w:t>
            </w:r>
          </w:p>
        </w:tc>
        <w:tc>
          <w:tcPr>
            <w:tcW w:w="1418" w:type="dxa"/>
          </w:tcPr>
          <w:p w14:paraId="2ACCA3D5" w14:textId="77777777" w:rsidR="002C71D0" w:rsidRPr="009256AB" w:rsidRDefault="002C71D0" w:rsidP="002C71D0">
            <w:pPr>
              <w:pStyle w:val="TableCentre"/>
              <w:rPr>
                <w:rStyle w:val="Small"/>
              </w:rPr>
            </w:pPr>
            <w:r w:rsidRPr="009256AB">
              <w:rPr>
                <w:rStyle w:val="Small"/>
              </w:rPr>
              <w:t>NR</w:t>
            </w:r>
          </w:p>
        </w:tc>
        <w:tc>
          <w:tcPr>
            <w:tcW w:w="2268" w:type="dxa"/>
            <w:gridSpan w:val="2"/>
          </w:tcPr>
          <w:p w14:paraId="07B5FE78" w14:textId="77777777" w:rsidR="002C71D0" w:rsidRPr="00C22503" w:rsidRDefault="002C71D0" w:rsidP="002C71D0">
            <w:pPr>
              <w:pStyle w:val="Table"/>
              <w:rPr>
                <w:rFonts w:ascii="Arial Narrow" w:hAnsi="Arial Narrow"/>
              </w:rPr>
            </w:pPr>
            <w:r w:rsidRPr="00C22503">
              <w:rPr>
                <w:rFonts w:ascii="Arial Narrow" w:hAnsi="Arial Narrow"/>
              </w:rPr>
              <w:t>Total AEs n (n per course)</w:t>
            </w:r>
          </w:p>
        </w:tc>
        <w:tc>
          <w:tcPr>
            <w:tcW w:w="1417" w:type="dxa"/>
            <w:gridSpan w:val="2"/>
          </w:tcPr>
          <w:p w14:paraId="6BEFFE22" w14:textId="77777777" w:rsidR="002C71D0" w:rsidRPr="00C22503" w:rsidRDefault="002C71D0" w:rsidP="002C71D0">
            <w:pPr>
              <w:pStyle w:val="TableCentre"/>
              <w:rPr>
                <w:rFonts w:ascii="Arial Narrow" w:hAnsi="Arial Narrow"/>
              </w:rPr>
            </w:pPr>
            <w:r w:rsidRPr="00C22503">
              <w:rPr>
                <w:rFonts w:ascii="Arial Narrow" w:hAnsi="Arial Narrow"/>
              </w:rPr>
              <w:t>1,629 (5.6)</w:t>
            </w:r>
          </w:p>
        </w:tc>
      </w:tr>
      <w:tr w:rsidR="002C71D0" w:rsidRPr="009256AB" w14:paraId="75AFABDA" w14:textId="77777777" w:rsidTr="002C71D0">
        <w:trPr>
          <w:trHeight w:val="154"/>
        </w:trPr>
        <w:tc>
          <w:tcPr>
            <w:tcW w:w="1835" w:type="dxa"/>
          </w:tcPr>
          <w:p w14:paraId="0EE04EDB" w14:textId="77777777" w:rsidR="002C71D0" w:rsidRPr="009256AB" w:rsidRDefault="002C71D0" w:rsidP="002C71D0">
            <w:pPr>
              <w:pStyle w:val="Table"/>
              <w:rPr>
                <w:rStyle w:val="Small"/>
              </w:rPr>
            </w:pPr>
            <w:r>
              <w:rPr>
                <w:rStyle w:val="Small"/>
              </w:rPr>
              <w:t xml:space="preserve">  </w:t>
            </w:r>
            <w:r w:rsidRPr="009256AB">
              <w:rPr>
                <w:rStyle w:val="Small"/>
              </w:rPr>
              <w:t xml:space="preserve">Grade </w:t>
            </w:r>
            <w:r>
              <w:rPr>
                <w:rStyle w:val="Small"/>
              </w:rPr>
              <w:t>¾</w:t>
            </w:r>
          </w:p>
        </w:tc>
        <w:tc>
          <w:tcPr>
            <w:tcW w:w="2696" w:type="dxa"/>
            <w:gridSpan w:val="2"/>
          </w:tcPr>
          <w:p w14:paraId="4E3DDD6E" w14:textId="77777777" w:rsidR="002C71D0" w:rsidRPr="009256AB" w:rsidRDefault="002C71D0" w:rsidP="002C71D0">
            <w:pPr>
              <w:pStyle w:val="TableCentre"/>
              <w:rPr>
                <w:rStyle w:val="Small"/>
              </w:rPr>
            </w:pPr>
            <w:r>
              <w:rPr>
                <w:rStyle w:val="Small"/>
              </w:rPr>
              <w:t>104 (90.4)</w:t>
            </w:r>
          </w:p>
        </w:tc>
        <w:tc>
          <w:tcPr>
            <w:tcW w:w="1418" w:type="dxa"/>
          </w:tcPr>
          <w:p w14:paraId="3664B5CE" w14:textId="77777777" w:rsidR="002C71D0" w:rsidRPr="009256AB" w:rsidRDefault="002C71D0" w:rsidP="002C71D0">
            <w:pPr>
              <w:pStyle w:val="TableCentre"/>
              <w:rPr>
                <w:rStyle w:val="Small"/>
              </w:rPr>
            </w:pPr>
            <w:r w:rsidRPr="009256AB">
              <w:rPr>
                <w:rStyle w:val="Small"/>
              </w:rPr>
              <w:t>NR</w:t>
            </w:r>
          </w:p>
        </w:tc>
        <w:tc>
          <w:tcPr>
            <w:tcW w:w="2268" w:type="dxa"/>
            <w:gridSpan w:val="2"/>
          </w:tcPr>
          <w:p w14:paraId="509F6871" w14:textId="77777777" w:rsidR="002C71D0" w:rsidRPr="00C22503" w:rsidRDefault="002C71D0" w:rsidP="002C71D0">
            <w:pPr>
              <w:pStyle w:val="Table"/>
              <w:rPr>
                <w:rFonts w:ascii="Arial Narrow" w:hAnsi="Arial Narrow"/>
              </w:rPr>
            </w:pPr>
            <w:r w:rsidRPr="00C22503">
              <w:rPr>
                <w:rFonts w:ascii="Arial Narrow" w:hAnsi="Arial Narrow"/>
              </w:rPr>
              <w:t xml:space="preserve">   Grade </w:t>
            </w:r>
            <w:r>
              <w:rPr>
                <w:rFonts w:ascii="Arial Narrow" w:hAnsi="Arial Narrow"/>
              </w:rPr>
              <w:t>¾</w:t>
            </w:r>
          </w:p>
        </w:tc>
        <w:tc>
          <w:tcPr>
            <w:tcW w:w="1417" w:type="dxa"/>
            <w:gridSpan w:val="2"/>
          </w:tcPr>
          <w:p w14:paraId="0E769145" w14:textId="77777777" w:rsidR="002C71D0" w:rsidRPr="00C22503" w:rsidRDefault="002C71D0" w:rsidP="002C71D0">
            <w:pPr>
              <w:pStyle w:val="TableCentre"/>
              <w:rPr>
                <w:rFonts w:ascii="Arial Narrow" w:hAnsi="Arial Narrow"/>
              </w:rPr>
            </w:pPr>
            <w:r w:rsidRPr="00C22503">
              <w:rPr>
                <w:rFonts w:ascii="Arial Narrow" w:hAnsi="Arial Narrow"/>
              </w:rPr>
              <w:t>368 (1.3)</w:t>
            </w:r>
          </w:p>
        </w:tc>
      </w:tr>
      <w:tr w:rsidR="002C71D0" w:rsidRPr="009256AB" w14:paraId="3DDE1973" w14:textId="77777777" w:rsidTr="002C71D0">
        <w:tc>
          <w:tcPr>
            <w:tcW w:w="1835" w:type="dxa"/>
          </w:tcPr>
          <w:p w14:paraId="6F60B557" w14:textId="77777777" w:rsidR="002C71D0" w:rsidRPr="009256AB" w:rsidRDefault="002C71D0" w:rsidP="002C71D0">
            <w:pPr>
              <w:pStyle w:val="Table"/>
              <w:rPr>
                <w:rStyle w:val="Small"/>
              </w:rPr>
            </w:pPr>
            <w:r>
              <w:rPr>
                <w:rStyle w:val="Small"/>
              </w:rPr>
              <w:t xml:space="preserve">  </w:t>
            </w:r>
            <w:r w:rsidRPr="009256AB">
              <w:rPr>
                <w:rStyle w:val="Small"/>
              </w:rPr>
              <w:t>Drug-related</w:t>
            </w:r>
          </w:p>
        </w:tc>
        <w:tc>
          <w:tcPr>
            <w:tcW w:w="2696" w:type="dxa"/>
            <w:gridSpan w:val="2"/>
          </w:tcPr>
          <w:p w14:paraId="6C19C137" w14:textId="77777777" w:rsidR="002C71D0" w:rsidRPr="009256AB" w:rsidRDefault="002C71D0" w:rsidP="002C71D0">
            <w:pPr>
              <w:pStyle w:val="TableCentre"/>
              <w:rPr>
                <w:rStyle w:val="Small"/>
              </w:rPr>
            </w:pPr>
            <w:r>
              <w:rPr>
                <w:rStyle w:val="Small"/>
              </w:rPr>
              <w:t>102 (88.7)</w:t>
            </w:r>
          </w:p>
        </w:tc>
        <w:tc>
          <w:tcPr>
            <w:tcW w:w="1418" w:type="dxa"/>
          </w:tcPr>
          <w:p w14:paraId="33164980" w14:textId="77777777" w:rsidR="002C71D0" w:rsidRPr="009256AB" w:rsidRDefault="002C71D0" w:rsidP="002C71D0">
            <w:pPr>
              <w:pStyle w:val="TableCentre"/>
              <w:rPr>
                <w:rStyle w:val="Small"/>
              </w:rPr>
            </w:pPr>
            <w:r w:rsidRPr="009256AB">
              <w:rPr>
                <w:rStyle w:val="Small"/>
              </w:rPr>
              <w:t>NR</w:t>
            </w:r>
          </w:p>
        </w:tc>
        <w:tc>
          <w:tcPr>
            <w:tcW w:w="3685" w:type="dxa"/>
            <w:gridSpan w:val="4"/>
            <w:vMerge w:val="restart"/>
            <w:vAlign w:val="center"/>
          </w:tcPr>
          <w:p w14:paraId="790E8A57" w14:textId="77777777" w:rsidR="002C71D0" w:rsidRPr="00C22503" w:rsidRDefault="002C71D0" w:rsidP="002C71D0">
            <w:pPr>
              <w:pStyle w:val="TableCentre"/>
              <w:rPr>
                <w:rFonts w:ascii="Arial Narrow" w:hAnsi="Arial Narrow"/>
              </w:rPr>
            </w:pPr>
            <w:r w:rsidRPr="00C22503">
              <w:rPr>
                <w:rFonts w:ascii="Arial Narrow" w:hAnsi="Arial Narrow"/>
              </w:rPr>
              <w:t>NR</w:t>
            </w:r>
          </w:p>
        </w:tc>
      </w:tr>
      <w:tr w:rsidR="002C71D0" w:rsidRPr="009256AB" w14:paraId="654C2E4D" w14:textId="77777777" w:rsidTr="002C71D0">
        <w:tc>
          <w:tcPr>
            <w:tcW w:w="1835" w:type="dxa"/>
          </w:tcPr>
          <w:p w14:paraId="0C8335B6" w14:textId="77777777" w:rsidR="002C71D0" w:rsidRPr="009256AB" w:rsidRDefault="002C71D0" w:rsidP="002C71D0">
            <w:pPr>
              <w:pStyle w:val="Table"/>
              <w:rPr>
                <w:rStyle w:val="Small"/>
              </w:rPr>
            </w:pPr>
            <w:r>
              <w:rPr>
                <w:rStyle w:val="Small"/>
              </w:rPr>
              <w:t xml:space="preserve">  </w:t>
            </w:r>
            <w:r w:rsidRPr="009256AB">
              <w:rPr>
                <w:rStyle w:val="Small"/>
              </w:rPr>
              <w:t>Serious AEs</w:t>
            </w:r>
          </w:p>
        </w:tc>
        <w:tc>
          <w:tcPr>
            <w:tcW w:w="2696" w:type="dxa"/>
            <w:gridSpan w:val="2"/>
          </w:tcPr>
          <w:p w14:paraId="20B02DEF" w14:textId="77777777" w:rsidR="002C71D0" w:rsidRPr="009256AB" w:rsidRDefault="002C71D0" w:rsidP="002C71D0">
            <w:pPr>
              <w:pStyle w:val="TableCentre"/>
              <w:rPr>
                <w:rStyle w:val="Small"/>
              </w:rPr>
            </w:pPr>
            <w:r>
              <w:rPr>
                <w:rStyle w:val="Small"/>
              </w:rPr>
              <w:t>79 (68.7)</w:t>
            </w:r>
          </w:p>
        </w:tc>
        <w:tc>
          <w:tcPr>
            <w:tcW w:w="1418" w:type="dxa"/>
          </w:tcPr>
          <w:p w14:paraId="21DEE0C0" w14:textId="77777777" w:rsidR="002C71D0" w:rsidRPr="009256AB" w:rsidRDefault="002C71D0" w:rsidP="002C71D0">
            <w:pPr>
              <w:pStyle w:val="TableCentre"/>
              <w:rPr>
                <w:rStyle w:val="Small"/>
              </w:rPr>
            </w:pPr>
            <w:r w:rsidRPr="009256AB">
              <w:rPr>
                <w:rStyle w:val="Small"/>
              </w:rPr>
              <w:t>NR</w:t>
            </w:r>
          </w:p>
        </w:tc>
        <w:tc>
          <w:tcPr>
            <w:tcW w:w="3685" w:type="dxa"/>
            <w:gridSpan w:val="4"/>
            <w:vMerge/>
          </w:tcPr>
          <w:p w14:paraId="7E60DEB1" w14:textId="77777777" w:rsidR="002C71D0" w:rsidRPr="00C22503" w:rsidRDefault="002C71D0" w:rsidP="002C71D0">
            <w:pPr>
              <w:pStyle w:val="TableCentre"/>
              <w:rPr>
                <w:rFonts w:ascii="Arial Narrow" w:hAnsi="Arial Narrow"/>
              </w:rPr>
            </w:pPr>
          </w:p>
        </w:tc>
      </w:tr>
      <w:tr w:rsidR="002C71D0" w:rsidRPr="009256AB" w14:paraId="31C97775" w14:textId="77777777" w:rsidTr="002C71D0">
        <w:tc>
          <w:tcPr>
            <w:tcW w:w="1835" w:type="dxa"/>
          </w:tcPr>
          <w:p w14:paraId="36991F82" w14:textId="77777777" w:rsidR="002C71D0" w:rsidRPr="009256AB" w:rsidRDefault="002C71D0" w:rsidP="002C71D0">
            <w:pPr>
              <w:pStyle w:val="Table"/>
              <w:rPr>
                <w:rStyle w:val="Small"/>
              </w:rPr>
            </w:pPr>
            <w:r w:rsidRPr="009256AB">
              <w:rPr>
                <w:rStyle w:val="Small"/>
              </w:rPr>
              <w:t>Deaths</w:t>
            </w:r>
          </w:p>
        </w:tc>
        <w:tc>
          <w:tcPr>
            <w:tcW w:w="2696" w:type="dxa"/>
            <w:gridSpan w:val="2"/>
          </w:tcPr>
          <w:p w14:paraId="2B5A8868" w14:textId="77777777" w:rsidR="002C71D0" w:rsidRPr="009256AB" w:rsidRDefault="002C71D0" w:rsidP="002C71D0">
            <w:pPr>
              <w:pStyle w:val="TableCentre"/>
              <w:rPr>
                <w:rStyle w:val="Small"/>
              </w:rPr>
            </w:pPr>
            <w:r>
              <w:rPr>
                <w:rStyle w:val="Small"/>
              </w:rPr>
              <w:t>3 (2.6) *</w:t>
            </w:r>
          </w:p>
        </w:tc>
        <w:tc>
          <w:tcPr>
            <w:tcW w:w="1418" w:type="dxa"/>
          </w:tcPr>
          <w:p w14:paraId="4B2FD0E0" w14:textId="77777777" w:rsidR="002C71D0" w:rsidRPr="009256AB" w:rsidRDefault="002C71D0" w:rsidP="002C71D0">
            <w:pPr>
              <w:pStyle w:val="TableCentre"/>
              <w:rPr>
                <w:rStyle w:val="Small"/>
              </w:rPr>
            </w:pPr>
            <w:r w:rsidRPr="009256AB">
              <w:rPr>
                <w:rStyle w:val="Small"/>
              </w:rPr>
              <w:t>NR</w:t>
            </w:r>
          </w:p>
        </w:tc>
        <w:tc>
          <w:tcPr>
            <w:tcW w:w="2268" w:type="dxa"/>
            <w:gridSpan w:val="2"/>
          </w:tcPr>
          <w:p w14:paraId="046D0C14" w14:textId="77777777" w:rsidR="002C71D0" w:rsidRPr="00C22503" w:rsidRDefault="002C71D0" w:rsidP="002C71D0">
            <w:pPr>
              <w:pStyle w:val="Table"/>
              <w:rPr>
                <w:rFonts w:ascii="Arial Narrow" w:hAnsi="Arial Narrow"/>
              </w:rPr>
            </w:pPr>
            <w:r w:rsidRPr="00C22503">
              <w:rPr>
                <w:rFonts w:ascii="Arial Narrow" w:hAnsi="Arial Narrow"/>
              </w:rPr>
              <w:t>Deaths n(%)</w:t>
            </w:r>
          </w:p>
        </w:tc>
        <w:tc>
          <w:tcPr>
            <w:tcW w:w="1417" w:type="dxa"/>
            <w:gridSpan w:val="2"/>
          </w:tcPr>
          <w:p w14:paraId="6675018D" w14:textId="77777777" w:rsidR="002C71D0" w:rsidRPr="00C22503" w:rsidRDefault="002C71D0" w:rsidP="002C71D0">
            <w:pPr>
              <w:pStyle w:val="TableCentre"/>
              <w:rPr>
                <w:rFonts w:ascii="Arial Narrow" w:hAnsi="Arial Narrow"/>
              </w:rPr>
            </w:pPr>
            <w:r w:rsidRPr="00C22503">
              <w:rPr>
                <w:rFonts w:ascii="Arial Narrow" w:hAnsi="Arial Narrow"/>
              </w:rPr>
              <w:t>1 (1.7)</w:t>
            </w:r>
          </w:p>
        </w:tc>
      </w:tr>
      <w:tr w:rsidR="002C71D0" w:rsidRPr="009256AB" w14:paraId="3BADBD9E" w14:textId="77777777" w:rsidTr="002C71D0">
        <w:tc>
          <w:tcPr>
            <w:tcW w:w="1835" w:type="dxa"/>
          </w:tcPr>
          <w:p w14:paraId="18F8994D" w14:textId="77777777" w:rsidR="002C71D0" w:rsidRPr="009256AB" w:rsidRDefault="002C71D0" w:rsidP="002C71D0">
            <w:pPr>
              <w:pStyle w:val="Table"/>
              <w:rPr>
                <w:rStyle w:val="Small"/>
              </w:rPr>
            </w:pPr>
            <w:r w:rsidRPr="009256AB">
              <w:rPr>
                <w:rStyle w:val="Small"/>
              </w:rPr>
              <w:t>CRS (any grade)</w:t>
            </w:r>
          </w:p>
        </w:tc>
        <w:tc>
          <w:tcPr>
            <w:tcW w:w="2696" w:type="dxa"/>
            <w:gridSpan w:val="2"/>
          </w:tcPr>
          <w:p w14:paraId="141DD1A1" w14:textId="77777777" w:rsidR="002C71D0" w:rsidRPr="009256AB" w:rsidRDefault="002C71D0" w:rsidP="002C71D0">
            <w:pPr>
              <w:pStyle w:val="TableCentre"/>
              <w:rPr>
                <w:rStyle w:val="Small"/>
              </w:rPr>
            </w:pPr>
            <w:r>
              <w:rPr>
                <w:rStyle w:val="Small"/>
              </w:rPr>
              <w:t>66 (57.4)</w:t>
            </w:r>
          </w:p>
        </w:tc>
        <w:tc>
          <w:tcPr>
            <w:tcW w:w="1418" w:type="dxa"/>
          </w:tcPr>
          <w:p w14:paraId="56FFB8DF" w14:textId="77777777" w:rsidR="002C71D0" w:rsidRPr="009256AB" w:rsidRDefault="002C71D0" w:rsidP="002C71D0">
            <w:pPr>
              <w:pStyle w:val="TableCentre"/>
              <w:rPr>
                <w:rStyle w:val="Small"/>
              </w:rPr>
            </w:pPr>
            <w:r w:rsidRPr="009256AB">
              <w:rPr>
                <w:rStyle w:val="Small"/>
              </w:rPr>
              <w:t>16 (57.0)</w:t>
            </w:r>
          </w:p>
        </w:tc>
        <w:tc>
          <w:tcPr>
            <w:tcW w:w="3685" w:type="dxa"/>
            <w:gridSpan w:val="4"/>
            <w:vAlign w:val="center"/>
          </w:tcPr>
          <w:p w14:paraId="2B64235F" w14:textId="77777777" w:rsidR="002C71D0" w:rsidRPr="00C22503" w:rsidRDefault="002C71D0" w:rsidP="002C71D0">
            <w:pPr>
              <w:pStyle w:val="TableCentre"/>
              <w:rPr>
                <w:rFonts w:ascii="Arial Narrow" w:hAnsi="Arial Narrow"/>
              </w:rPr>
            </w:pPr>
            <w:r w:rsidRPr="00C22503">
              <w:rPr>
                <w:rFonts w:ascii="Arial Narrow" w:hAnsi="Arial Narrow"/>
              </w:rPr>
              <w:t>NR</w:t>
            </w:r>
          </w:p>
        </w:tc>
      </w:tr>
    </w:tbl>
    <w:p w14:paraId="13502287" w14:textId="77777777" w:rsidR="002C71D0" w:rsidRDefault="002C71D0" w:rsidP="006753E4">
      <w:pPr>
        <w:pStyle w:val="CaptionFootnote"/>
        <w:spacing w:after="240"/>
      </w:pPr>
      <w:r>
        <w:t>Abbreviations: ORR = overall response rate; PFS = Progression Free Survival; OS = Overall Survival; AE = Adverse Event; CRS = Cytokine release syndrome; NE = Not evaluable; NR = not reported; CI = Confidence Interval; * Deaths w</w:t>
      </w:r>
      <w:r w:rsidR="006753E4">
        <w:t>ithin 30 days post TIS infusion</w:t>
      </w:r>
    </w:p>
    <w:p w14:paraId="04495D81" w14:textId="77777777" w:rsidR="006E319A" w:rsidRPr="00B02E35" w:rsidRDefault="002C71D0" w:rsidP="006753E4">
      <w:pPr>
        <w:spacing w:after="240"/>
      </w:pPr>
      <w:r>
        <w:t xml:space="preserve">The Critique provided a comparison of results from 11 December 2018 data cut-off with resubmission’s May 2018 data cut, noting the updated results indicated similar estimates of effect size for progression free survival (PFS) and overall survival (OS). Specifically, </w:t>
      </w:r>
      <w:r w:rsidRPr="0079129A">
        <w:t>the main new OS evidence presented is approx</w:t>
      </w:r>
      <w:r>
        <w:t>imately 6 months more of follow-</w:t>
      </w:r>
      <w:r w:rsidRPr="0079129A">
        <w:t>up, indicating a similar survival trend.</w:t>
      </w:r>
    </w:p>
    <w:p w14:paraId="0D94C3C8" w14:textId="77777777" w:rsidR="002C71D0" w:rsidRDefault="002C71D0" w:rsidP="002C71D0">
      <w:pPr>
        <w:pStyle w:val="Heading1"/>
        <w:spacing w:before="0" w:after="0"/>
      </w:pPr>
      <w:r w:rsidRPr="00451310">
        <w:t>Economic evaluation</w:t>
      </w:r>
    </w:p>
    <w:p w14:paraId="1F277FB0" w14:textId="77777777" w:rsidR="006753E4" w:rsidRDefault="002C71D0" w:rsidP="006753E4">
      <w:pPr>
        <w:spacing w:before="240" w:after="240"/>
      </w:pPr>
      <w:r>
        <w:t xml:space="preserve">The resubmission presented a cost-utility analysis, using a similar model structure as previous submission. A summary of the key issues and how they were addressed in resubmission’s revised base case is provided in Table </w:t>
      </w:r>
      <w:r w:rsidR="00EA046C">
        <w:t>4</w:t>
      </w:r>
      <w:r w:rsidR="006753E4">
        <w:t>.</w:t>
      </w:r>
      <w:r w:rsidR="006753E4">
        <w:br w:type="page"/>
      </w:r>
    </w:p>
    <w:p w14:paraId="495A46F9" w14:textId="77777777" w:rsidR="002C71D0" w:rsidRDefault="002C71D0" w:rsidP="002C71D0">
      <w:pPr>
        <w:pStyle w:val="Caption"/>
      </w:pPr>
      <w:r>
        <w:lastRenderedPageBreak/>
        <w:t xml:space="preserve">Table </w:t>
      </w:r>
      <w:r w:rsidR="00EA046C">
        <w:t>4</w:t>
      </w:r>
      <w:r>
        <w:tab/>
      </w:r>
      <w:r w:rsidRPr="00BF0C99">
        <w:t>Summary of issues raised and how they have been addressed</w:t>
      </w:r>
    </w:p>
    <w:tbl>
      <w:tblPr>
        <w:tblStyle w:val="TableGrid"/>
        <w:tblW w:w="0" w:type="auto"/>
        <w:tblLook w:val="04A0" w:firstRow="1" w:lastRow="0" w:firstColumn="1" w:lastColumn="0" w:noHBand="0" w:noVBand="1"/>
        <w:tblDescription w:val="Summary of the issues raised and how they have been addressed"/>
      </w:tblPr>
      <w:tblGrid>
        <w:gridCol w:w="2324"/>
        <w:gridCol w:w="6692"/>
      </w:tblGrid>
      <w:tr w:rsidR="002C71D0" w:rsidRPr="00BC2755" w14:paraId="69B2587B" w14:textId="77777777" w:rsidTr="009976D8">
        <w:trPr>
          <w:tblHeader/>
        </w:trPr>
        <w:tc>
          <w:tcPr>
            <w:tcW w:w="2405" w:type="dxa"/>
            <w:shd w:val="clear" w:color="auto" w:fill="BFBFBF" w:themeFill="background1" w:themeFillShade="BF"/>
          </w:tcPr>
          <w:p w14:paraId="2761959A" w14:textId="77777777" w:rsidR="002C71D0" w:rsidRPr="00BF0C99" w:rsidRDefault="002C71D0" w:rsidP="002C71D0">
            <w:pPr>
              <w:pStyle w:val="Table"/>
              <w:rPr>
                <w:rStyle w:val="SmallBold"/>
                <w:rFonts w:ascii="Arial Narrow" w:hAnsi="Arial Narrow"/>
              </w:rPr>
            </w:pPr>
            <w:r w:rsidRPr="00BF0C99">
              <w:rPr>
                <w:rStyle w:val="SmallBold"/>
                <w:rFonts w:ascii="Arial Narrow" w:hAnsi="Arial Narrow"/>
              </w:rPr>
              <w:t>Issue</w:t>
            </w:r>
          </w:p>
        </w:tc>
        <w:tc>
          <w:tcPr>
            <w:tcW w:w="7223" w:type="dxa"/>
            <w:shd w:val="clear" w:color="auto" w:fill="BFBFBF" w:themeFill="background1" w:themeFillShade="BF"/>
          </w:tcPr>
          <w:p w14:paraId="65B4F1EF" w14:textId="77777777" w:rsidR="002C71D0" w:rsidRPr="00BF0C99" w:rsidRDefault="002C71D0" w:rsidP="002C71D0">
            <w:pPr>
              <w:pStyle w:val="Table"/>
              <w:rPr>
                <w:rStyle w:val="SmallBold"/>
                <w:rFonts w:ascii="Arial Narrow" w:hAnsi="Arial Narrow"/>
              </w:rPr>
            </w:pPr>
            <w:r w:rsidRPr="00BF0C99">
              <w:rPr>
                <w:rStyle w:val="SmallBold"/>
                <w:rFonts w:ascii="Arial Narrow" w:hAnsi="Arial Narrow"/>
              </w:rPr>
              <w:t>Response</w:t>
            </w:r>
          </w:p>
        </w:tc>
      </w:tr>
      <w:tr w:rsidR="002C71D0" w14:paraId="1FD45ACF" w14:textId="77777777" w:rsidTr="002C71D0">
        <w:tc>
          <w:tcPr>
            <w:tcW w:w="2405" w:type="dxa"/>
          </w:tcPr>
          <w:p w14:paraId="79F94DC8" w14:textId="77777777" w:rsidR="002C71D0" w:rsidRPr="00BF0C99" w:rsidRDefault="002C71D0" w:rsidP="002C71D0">
            <w:pPr>
              <w:pStyle w:val="Table"/>
              <w:rPr>
                <w:rFonts w:ascii="Arial Narrow" w:hAnsi="Arial Narrow"/>
              </w:rPr>
            </w:pPr>
            <w:r w:rsidRPr="00BF0C99">
              <w:rPr>
                <w:rFonts w:ascii="Arial Narrow" w:hAnsi="Arial Narrow"/>
              </w:rPr>
              <w:t>Naïve indirect comparisons of single arm trials</w:t>
            </w:r>
          </w:p>
        </w:tc>
        <w:tc>
          <w:tcPr>
            <w:tcW w:w="7223" w:type="dxa"/>
          </w:tcPr>
          <w:p w14:paraId="6C29EF75" w14:textId="77777777" w:rsidR="002C71D0" w:rsidRPr="00BF0C99" w:rsidRDefault="002C71D0" w:rsidP="002C71D0">
            <w:pPr>
              <w:pStyle w:val="Table"/>
              <w:rPr>
                <w:rFonts w:ascii="Arial Narrow" w:hAnsi="Arial Narrow"/>
              </w:rPr>
            </w:pPr>
            <w:r w:rsidRPr="00BF0C99">
              <w:rPr>
                <w:rFonts w:ascii="Arial Narrow" w:hAnsi="Arial Narrow"/>
              </w:rPr>
              <w:t>No change, with the revised base case continuing to be informed by a naïve indirect comparison of results from the TIS trials with those of the SCHOLAR meta-analysis.  No direct or indirect randomised trials have (or are likely to) become available which would facilitate a more formal comparison.  Results of an updated MAIC analysis are presented in Section B of the resubmission, however this is considered an experimental approach and would require a likely-invalid assumption of proportional hazards in order to be incorporated in the</w:t>
            </w:r>
            <w:r w:rsidR="006753E4">
              <w:rPr>
                <w:rFonts w:ascii="Arial Narrow" w:hAnsi="Arial Narrow"/>
              </w:rPr>
              <w:t xml:space="preserve"> economic evaluation.</w:t>
            </w:r>
          </w:p>
        </w:tc>
      </w:tr>
      <w:tr w:rsidR="002C71D0" w14:paraId="35DA1598" w14:textId="77777777" w:rsidTr="002C71D0">
        <w:tc>
          <w:tcPr>
            <w:tcW w:w="2405" w:type="dxa"/>
          </w:tcPr>
          <w:p w14:paraId="30AC820E" w14:textId="77777777" w:rsidR="002C71D0" w:rsidRPr="00BF0C99" w:rsidRDefault="002C71D0" w:rsidP="002C71D0">
            <w:pPr>
              <w:pStyle w:val="Table"/>
              <w:rPr>
                <w:rFonts w:ascii="Arial Narrow" w:hAnsi="Arial Narrow"/>
              </w:rPr>
            </w:pPr>
            <w:r w:rsidRPr="00BF0C99">
              <w:rPr>
                <w:rFonts w:ascii="Arial Narrow" w:hAnsi="Arial Narrow"/>
              </w:rPr>
              <w:t>Maturity of evidence from TIS trials</w:t>
            </w:r>
          </w:p>
        </w:tc>
        <w:tc>
          <w:tcPr>
            <w:tcW w:w="7223" w:type="dxa"/>
          </w:tcPr>
          <w:p w14:paraId="6506182B" w14:textId="77777777" w:rsidR="002C71D0" w:rsidRPr="00BF0C99" w:rsidRDefault="002C71D0" w:rsidP="002C71D0">
            <w:pPr>
              <w:pStyle w:val="Table"/>
              <w:rPr>
                <w:rFonts w:ascii="Arial Narrow" w:hAnsi="Arial Narrow"/>
              </w:rPr>
            </w:pPr>
            <w:r w:rsidRPr="00BF0C99">
              <w:rPr>
                <w:rFonts w:ascii="Arial Narrow" w:hAnsi="Arial Narrow"/>
              </w:rPr>
              <w:t xml:space="preserve">The revised base case is informed by updated results from most recent available analysis of the JULIET trial (May 2018) in which the median time from infusion to the data cut-off was 19.3 months. </w:t>
            </w:r>
          </w:p>
        </w:tc>
      </w:tr>
      <w:tr w:rsidR="002C71D0" w14:paraId="36894DFA" w14:textId="77777777" w:rsidTr="002C71D0">
        <w:tc>
          <w:tcPr>
            <w:tcW w:w="2405" w:type="dxa"/>
          </w:tcPr>
          <w:p w14:paraId="0A7B383F" w14:textId="77777777" w:rsidR="002C71D0" w:rsidRPr="00BF0C99" w:rsidRDefault="002C71D0" w:rsidP="002C71D0">
            <w:pPr>
              <w:pStyle w:val="Table"/>
              <w:rPr>
                <w:rFonts w:ascii="Arial Narrow" w:hAnsi="Arial Narrow"/>
              </w:rPr>
            </w:pPr>
            <w:r w:rsidRPr="00BF0C99">
              <w:rPr>
                <w:rFonts w:ascii="Arial Narrow" w:hAnsi="Arial Narrow"/>
              </w:rPr>
              <w:t>Intention to treat analysis</w:t>
            </w:r>
          </w:p>
        </w:tc>
        <w:tc>
          <w:tcPr>
            <w:tcW w:w="7223" w:type="dxa"/>
          </w:tcPr>
          <w:p w14:paraId="34297C10" w14:textId="77777777" w:rsidR="002C71D0" w:rsidRPr="00BF0C99" w:rsidRDefault="002C71D0" w:rsidP="002C71D0">
            <w:pPr>
              <w:pStyle w:val="Table"/>
              <w:rPr>
                <w:rFonts w:ascii="Arial Narrow" w:hAnsi="Arial Narrow"/>
              </w:rPr>
            </w:pPr>
            <w:r w:rsidRPr="00BF0C99">
              <w:rPr>
                <w:rFonts w:ascii="Arial Narrow" w:hAnsi="Arial Narrow"/>
              </w:rPr>
              <w:t>Whilst Novartis maintains the infused population is most appropriate, acknowledging the strong views expressed by the evaluators, the resubmission adopts the ITT population in the base case analysis. The revised base case is informed by PFS and OS outcomes for the total enrolled population from the above analysis of JULIET, under an extremely conservative assumption that observed rates of non-infusion in that trial will be replicated in the real-world commercial setting. Estimated costs for this proxy ITT cohort are adjusted for the proportion of patients who do not receive TIS, under the reasonable assumption that such patients would likely receive an alternative s</w:t>
            </w:r>
            <w:r w:rsidR="006753E4">
              <w:rPr>
                <w:rFonts w:ascii="Arial Narrow" w:hAnsi="Arial Narrow"/>
              </w:rPr>
              <w:t>tandard chemotherapy regimen.</w:t>
            </w:r>
          </w:p>
        </w:tc>
      </w:tr>
      <w:tr w:rsidR="002C71D0" w14:paraId="3ED8E426" w14:textId="77777777" w:rsidTr="002C71D0">
        <w:tc>
          <w:tcPr>
            <w:tcW w:w="2405" w:type="dxa"/>
          </w:tcPr>
          <w:p w14:paraId="4C813355" w14:textId="77777777" w:rsidR="002C71D0" w:rsidRPr="00BF0C99" w:rsidRDefault="002C71D0" w:rsidP="002C71D0">
            <w:pPr>
              <w:pStyle w:val="Table"/>
              <w:rPr>
                <w:rFonts w:ascii="Arial Narrow" w:hAnsi="Arial Narrow"/>
              </w:rPr>
            </w:pPr>
            <w:r w:rsidRPr="00BF0C99">
              <w:rPr>
                <w:rFonts w:ascii="Arial Narrow" w:hAnsi="Arial Narrow"/>
              </w:rPr>
              <w:t>Unclear/uncertain extrapolation of survival curves</w:t>
            </w:r>
          </w:p>
        </w:tc>
        <w:tc>
          <w:tcPr>
            <w:tcW w:w="7223" w:type="dxa"/>
          </w:tcPr>
          <w:p w14:paraId="139B109C" w14:textId="77777777" w:rsidR="002C71D0" w:rsidRPr="00BF0C99" w:rsidRDefault="002C71D0" w:rsidP="002C71D0">
            <w:pPr>
              <w:pStyle w:val="Table"/>
              <w:rPr>
                <w:rFonts w:ascii="Arial Narrow" w:hAnsi="Arial Narrow"/>
              </w:rPr>
            </w:pPr>
            <w:r w:rsidRPr="00BF0C99">
              <w:rPr>
                <w:rFonts w:ascii="Arial Narrow" w:hAnsi="Arial Narrow"/>
              </w:rPr>
              <w:t>The revised base case is informed by data from JULIET only, as opposed to the POOLED dataset including pseudo individual patient level data from U-PEN. Furthermore, model selection is based on the best fitting parametric model for each PFS/OS dataset for TIS and SCR, as opposed to the probability weighted approach presented in the original submission. Based on these criteria, flexible cubic spline models with either 1 or 2 knots have been used to extrapolate outcomes from the observed trial period of approximately 20 months until the assumed application of a common long term mort</w:t>
            </w:r>
            <w:r w:rsidR="006753E4">
              <w:rPr>
                <w:rFonts w:ascii="Arial Narrow" w:hAnsi="Arial Narrow"/>
              </w:rPr>
              <w:t>ality rate as discussed below.</w:t>
            </w:r>
          </w:p>
        </w:tc>
      </w:tr>
      <w:tr w:rsidR="002C71D0" w14:paraId="55F96057" w14:textId="77777777" w:rsidTr="002C71D0">
        <w:tc>
          <w:tcPr>
            <w:tcW w:w="2405" w:type="dxa"/>
          </w:tcPr>
          <w:p w14:paraId="21B5577B" w14:textId="77777777" w:rsidR="002C71D0" w:rsidRPr="00BF0C99" w:rsidRDefault="002C71D0" w:rsidP="002C71D0">
            <w:pPr>
              <w:pStyle w:val="Table"/>
              <w:rPr>
                <w:rFonts w:ascii="Arial Narrow" w:hAnsi="Arial Narrow"/>
              </w:rPr>
            </w:pPr>
            <w:r w:rsidRPr="00BF0C99">
              <w:rPr>
                <w:rFonts w:ascii="Arial Narrow" w:hAnsi="Arial Narrow"/>
              </w:rPr>
              <w:t>Long term mortality</w:t>
            </w:r>
          </w:p>
        </w:tc>
        <w:tc>
          <w:tcPr>
            <w:tcW w:w="7223" w:type="dxa"/>
          </w:tcPr>
          <w:p w14:paraId="44E9BCB6" w14:textId="77777777" w:rsidR="002C71D0" w:rsidRPr="00BF0C99" w:rsidRDefault="002C71D0" w:rsidP="002C71D0">
            <w:pPr>
              <w:pStyle w:val="Table"/>
              <w:rPr>
                <w:rFonts w:ascii="Arial Narrow" w:hAnsi="Arial Narrow"/>
              </w:rPr>
            </w:pPr>
            <w:r w:rsidRPr="00BF0C99">
              <w:rPr>
                <w:rFonts w:ascii="Arial Narrow" w:hAnsi="Arial Narrow"/>
              </w:rPr>
              <w:t xml:space="preserve">The common long-term survival model in the revised base case uses general age based Australian mortality rates with a standardised mortality ratio for DLBCL survivors.  The model is applied from 36 months reflecting available literature suggesting that DLBCL patients achieve an effective cure after around 24 months of PFS </w:t>
            </w:r>
            <w:r w:rsidRPr="00BF0C99">
              <w:rPr>
                <w:rFonts w:ascii="Arial Narrow" w:hAnsi="Arial Narrow"/>
              </w:rPr>
              <w:fldChar w:fldCharType="begin">
                <w:fldData xml:space="preserve">PEVuZE5vdGU+PENpdGU+PEF1dGhvcj5NYXVyZXI8L0F1dGhvcj48WWVhcj4yMDE0PC9ZZWFyPjxS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ZGljYWw+PHBhZ2VzPjEwNjYtNzM8L3BhZ2VzPjx2b2x1bWU+MzI8L3ZvbHVtZT48bnVtYmVyPjEw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</w:fldData>
              </w:fldChar>
            </w:r>
            <w:r w:rsidRPr="00BF0C99">
              <w:rPr>
                <w:rFonts w:ascii="Arial Narrow" w:hAnsi="Arial Narrow"/>
              </w:rPr>
              <w:instrText xml:space="preserve"> ADDIN EN.CITE </w:instrText>
            </w:r>
            <w:r w:rsidRPr="00BF0C99">
              <w:rPr>
                <w:rFonts w:ascii="Arial Narrow" w:hAnsi="Arial Narrow"/>
              </w:rPr>
              <w:fldChar w:fldCharType="begin">
                <w:fldData xml:space="preserve">PEVuZE5vdGU+PENpdGU+PEF1dGhvcj5NYXVyZXI8L0F1dGhvcj48WWVhcj4yMDE0PC9ZZWFyPjxS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ZGljYWw+PHBhZ2VzPjEwNjYtNzM8L3BhZ2VzPjx2b2x1bWU+MzI8L3ZvbHVtZT48bnVtYmVyPjEw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</w:fldData>
              </w:fldChar>
            </w:r>
            <w:r w:rsidRPr="00BF0C99">
              <w:rPr>
                <w:rFonts w:ascii="Arial Narrow" w:hAnsi="Arial Narrow"/>
              </w:rPr>
              <w:instrText xml:space="preserve"> ADDIN EN.CITE.DATA </w:instrText>
            </w:r>
            <w:r w:rsidRPr="00BF0C99">
              <w:rPr>
                <w:rFonts w:ascii="Arial Narrow" w:hAnsi="Arial Narrow"/>
              </w:rPr>
            </w:r>
            <w:r w:rsidRPr="00BF0C99">
              <w:rPr>
                <w:rFonts w:ascii="Arial Narrow" w:hAnsi="Arial Narrow"/>
              </w:rPr>
              <w:fldChar w:fldCharType="end"/>
            </w:r>
            <w:r w:rsidRPr="00BF0C99">
              <w:rPr>
                <w:rFonts w:ascii="Arial Narrow" w:hAnsi="Arial Narrow"/>
              </w:rPr>
            </w:r>
            <w:r w:rsidRPr="00BF0C99">
              <w:rPr>
                <w:rFonts w:ascii="Arial Narrow" w:hAnsi="Arial Narrow"/>
              </w:rPr>
              <w:fldChar w:fldCharType="separate"/>
            </w:r>
            <w:r w:rsidRPr="00BF0C99">
              <w:rPr>
                <w:rFonts w:ascii="Arial Narrow" w:hAnsi="Arial Narrow"/>
                <w:noProof/>
              </w:rPr>
              <w:t>(Maurer, Ghesquieres et al. 2014)</w:t>
            </w:r>
            <w:r w:rsidRPr="00BF0C99">
              <w:rPr>
                <w:rFonts w:ascii="Arial Narrow" w:hAnsi="Arial Narrow"/>
              </w:rPr>
              <w:fldChar w:fldCharType="end"/>
            </w:r>
            <w:r w:rsidRPr="00BF0C99">
              <w:rPr>
                <w:rFonts w:ascii="Arial Narrow" w:hAnsi="Arial Narrow"/>
              </w:rPr>
              <w:t xml:space="preserve">.  The observed OS curve for SCR in the SCHOLAR study also flattens out after approximately 3 years, suggesting that this is where SMR adjusted mortality rates should begin to apply. </w:t>
            </w:r>
          </w:p>
        </w:tc>
      </w:tr>
      <w:tr w:rsidR="002C71D0" w14:paraId="581E2FF5" w14:textId="77777777" w:rsidTr="002C71D0">
        <w:tc>
          <w:tcPr>
            <w:tcW w:w="2405" w:type="dxa"/>
          </w:tcPr>
          <w:p w14:paraId="5AF1DBB8" w14:textId="77777777" w:rsidR="002C71D0" w:rsidRPr="00BF0C99" w:rsidRDefault="002C71D0" w:rsidP="002C71D0">
            <w:pPr>
              <w:pStyle w:val="Table"/>
              <w:rPr>
                <w:rFonts w:ascii="Arial Narrow" w:hAnsi="Arial Narrow"/>
              </w:rPr>
            </w:pPr>
            <w:r w:rsidRPr="00BF0C99">
              <w:rPr>
                <w:rFonts w:ascii="Arial Narrow" w:hAnsi="Arial Narrow"/>
              </w:rPr>
              <w:t>Consideration of SCT following TIS</w:t>
            </w:r>
          </w:p>
        </w:tc>
        <w:tc>
          <w:tcPr>
            <w:tcW w:w="7223" w:type="dxa"/>
          </w:tcPr>
          <w:p w14:paraId="0B871430" w14:textId="77777777" w:rsidR="002C71D0" w:rsidRPr="00BF0C99" w:rsidRDefault="002C71D0" w:rsidP="002C71D0">
            <w:pPr>
              <w:pStyle w:val="Table"/>
              <w:rPr>
                <w:rFonts w:ascii="Arial Narrow" w:hAnsi="Arial Narrow"/>
              </w:rPr>
            </w:pPr>
            <w:r w:rsidRPr="00BF0C99">
              <w:rPr>
                <w:rFonts w:ascii="Arial Narrow" w:hAnsi="Arial Narrow"/>
              </w:rPr>
              <w:t>Costs and potential quality of life effects of subsequent SCT following either TIS or SCR were included in the original model and have been retained here. Comparative rates of SCT have been obtained from the respective clinical trials. Survival outcomes drawn from the same trials are inclusive of any additional effects from these downstream procedures. However, there are insufficient data with which to separately model the effects of alternative rates of su</w:t>
            </w:r>
            <w:r w:rsidR="006753E4">
              <w:rPr>
                <w:rFonts w:ascii="Arial Narrow" w:hAnsi="Arial Narrow"/>
              </w:rPr>
              <w:t>bsequent SCT post TIS or SCR.</w:t>
            </w:r>
          </w:p>
        </w:tc>
      </w:tr>
      <w:tr w:rsidR="002C71D0" w14:paraId="059E4B3C" w14:textId="77777777" w:rsidTr="002C71D0">
        <w:tc>
          <w:tcPr>
            <w:tcW w:w="2405" w:type="dxa"/>
          </w:tcPr>
          <w:p w14:paraId="19229E87" w14:textId="77777777" w:rsidR="002C71D0" w:rsidRPr="00BF0C99" w:rsidRDefault="002C71D0" w:rsidP="002C71D0">
            <w:pPr>
              <w:pStyle w:val="Table"/>
              <w:rPr>
                <w:rFonts w:ascii="Arial Narrow" w:hAnsi="Arial Narrow"/>
              </w:rPr>
            </w:pPr>
            <w:r w:rsidRPr="00BF0C99">
              <w:rPr>
                <w:rFonts w:ascii="Arial Narrow" w:hAnsi="Arial Narrow"/>
              </w:rPr>
              <w:t>Average age of patients in the trials vs. Australian population</w:t>
            </w:r>
          </w:p>
        </w:tc>
        <w:tc>
          <w:tcPr>
            <w:tcW w:w="7223" w:type="dxa"/>
          </w:tcPr>
          <w:p w14:paraId="60285052" w14:textId="77777777" w:rsidR="002C71D0" w:rsidRPr="00BF0C99" w:rsidRDefault="002C71D0" w:rsidP="006753E4">
            <w:pPr>
              <w:pStyle w:val="Table"/>
              <w:rPr>
                <w:rFonts w:ascii="Arial Narrow" w:hAnsi="Arial Narrow"/>
              </w:rPr>
            </w:pPr>
            <w:r w:rsidRPr="00BF0C99">
              <w:rPr>
                <w:rFonts w:ascii="Arial Narrow" w:hAnsi="Arial Narrow"/>
              </w:rPr>
              <w:t xml:space="preserve">The starting age of patients remains estimated based on the mean age of patients in the relevant TIS dataset; 56 years as per the enrolled population in the May 2018 analysis of JULIET. Subgroup analyses key outcomes by age presented in Section B of the resubmission did not suggest that this was an important short-term treatment effect modifier.  While the potential longer term survival benefits obtained as a result of TIS treatment would theoretically be less in an older population, it is uncertain that Australian patients will be materially older or have worse life expectancy than those in JULIET.  Furthermore, an </w:t>
            </w:r>
            <w:r w:rsidR="006753E4" w:rsidRPr="006753E4">
              <w:rPr>
                <w:rFonts w:ascii="Arial Narrow" w:hAnsi="Arial Narrow"/>
                <w:b/>
              </w:rPr>
              <w:t>redacted</w:t>
            </w:r>
            <w:r w:rsidRPr="00BF0C99">
              <w:rPr>
                <w:rFonts w:ascii="Arial Narrow" w:hAnsi="Arial Narrow"/>
              </w:rPr>
              <w:t xml:space="preserve"> is being proposed which will substantively address this unce</w:t>
            </w:r>
            <w:r w:rsidR="006753E4">
              <w:rPr>
                <w:rFonts w:ascii="Arial Narrow" w:hAnsi="Arial Narrow"/>
              </w:rPr>
              <w:t>rtainty.</w:t>
            </w:r>
            <w:r w:rsidRPr="00BF0C99">
              <w:rPr>
                <w:rFonts w:ascii="Arial Narrow" w:hAnsi="Arial Narrow"/>
              </w:rPr>
              <w:t xml:space="preserve"> </w:t>
            </w:r>
          </w:p>
        </w:tc>
      </w:tr>
      <w:tr w:rsidR="002C71D0" w14:paraId="3333B59E" w14:textId="77777777" w:rsidTr="002C71D0">
        <w:tc>
          <w:tcPr>
            <w:tcW w:w="2405" w:type="dxa"/>
          </w:tcPr>
          <w:p w14:paraId="24B8F06D" w14:textId="77777777" w:rsidR="002C71D0" w:rsidRPr="00BF0C99" w:rsidRDefault="002C71D0" w:rsidP="002C71D0">
            <w:pPr>
              <w:pStyle w:val="Table"/>
              <w:rPr>
                <w:rFonts w:ascii="Arial Narrow" w:hAnsi="Arial Narrow"/>
              </w:rPr>
            </w:pPr>
            <w:r w:rsidRPr="00BF0C99">
              <w:rPr>
                <w:rFonts w:ascii="Arial Narrow" w:hAnsi="Arial Narrow"/>
              </w:rPr>
              <w:t>Oversimplified costing of adverse events</w:t>
            </w:r>
          </w:p>
        </w:tc>
        <w:tc>
          <w:tcPr>
            <w:tcW w:w="7223" w:type="dxa"/>
          </w:tcPr>
          <w:p w14:paraId="65EC3ED7" w14:textId="77777777" w:rsidR="002C71D0" w:rsidRPr="00BF0C99" w:rsidRDefault="002C71D0" w:rsidP="002C71D0">
            <w:pPr>
              <w:pStyle w:val="Table"/>
              <w:rPr>
                <w:rFonts w:ascii="Arial Narrow" w:hAnsi="Arial Narrow"/>
              </w:rPr>
            </w:pPr>
            <w:r w:rsidRPr="00BF0C99">
              <w:rPr>
                <w:rFonts w:ascii="Arial Narrow" w:hAnsi="Arial Narrow"/>
              </w:rPr>
              <w:t>A more comprehensive trial-based approach to the costing of adverse events has been implemented, which separately and discretely considers all reported Grade 3/4 events occurring at a frequency &lt;4% in either group.  This is considered an extremely conservative approach, as many of these events would be reported and managed concurrently, often within the context of the initial treatment episode.  However, this is balanced by the absence of any reliable information on longer</w:t>
            </w:r>
            <w:r w:rsidR="006753E4">
              <w:rPr>
                <w:rFonts w:ascii="Arial Narrow" w:hAnsi="Arial Narrow"/>
              </w:rPr>
              <w:t xml:space="preserve"> term adverse outcomes of TIS.</w:t>
            </w:r>
          </w:p>
        </w:tc>
      </w:tr>
      <w:tr w:rsidR="002C71D0" w14:paraId="5366539F" w14:textId="77777777" w:rsidTr="002C71D0">
        <w:tc>
          <w:tcPr>
            <w:tcW w:w="2405" w:type="dxa"/>
          </w:tcPr>
          <w:p w14:paraId="61CB3D5F" w14:textId="77777777" w:rsidR="002C71D0" w:rsidRPr="00BF0C99" w:rsidRDefault="002C71D0" w:rsidP="002C71D0">
            <w:pPr>
              <w:pStyle w:val="Table"/>
              <w:rPr>
                <w:rFonts w:ascii="Arial Narrow" w:hAnsi="Arial Narrow"/>
              </w:rPr>
            </w:pPr>
            <w:r w:rsidRPr="00BF0C99">
              <w:rPr>
                <w:rFonts w:ascii="Arial Narrow" w:hAnsi="Arial Narrow"/>
              </w:rPr>
              <w:t>Underestimation of IVIg use</w:t>
            </w:r>
          </w:p>
        </w:tc>
        <w:tc>
          <w:tcPr>
            <w:tcW w:w="7223" w:type="dxa"/>
          </w:tcPr>
          <w:p w14:paraId="4CFE5095" w14:textId="77777777" w:rsidR="002C71D0" w:rsidRPr="00BF0C99" w:rsidRDefault="002C71D0" w:rsidP="002C71D0">
            <w:pPr>
              <w:pStyle w:val="Table"/>
              <w:rPr>
                <w:rFonts w:ascii="Arial Narrow" w:hAnsi="Arial Narrow"/>
              </w:rPr>
            </w:pPr>
            <w:r w:rsidRPr="00BF0C99">
              <w:rPr>
                <w:rFonts w:ascii="Arial Narrow" w:hAnsi="Arial Narrow"/>
              </w:rPr>
              <w:t xml:space="preserve">The assumed mean duration of IVIg use has been increased from </w:t>
            </w:r>
            <w:r w:rsidR="006753E4" w:rsidRPr="006753E4">
              <w:rPr>
                <w:rFonts w:ascii="Arial Narrow" w:hAnsi="Arial Narrow"/>
                <w:b/>
              </w:rPr>
              <w:t>redacted</w:t>
            </w:r>
            <w:r w:rsidR="006753E4" w:rsidRPr="00BF0C99">
              <w:rPr>
                <w:rFonts w:ascii="Arial Narrow" w:hAnsi="Arial Narrow"/>
              </w:rPr>
              <w:t xml:space="preserve"> </w:t>
            </w:r>
            <w:r w:rsidRPr="004F7FEF">
              <w:rPr>
                <w:rFonts w:ascii="Arial Narrow" w:hAnsi="Arial Narrow"/>
              </w:rPr>
              <w:t>to 15</w:t>
            </w:r>
            <w:r w:rsidRPr="00BF0C99">
              <w:rPr>
                <w:rFonts w:ascii="Arial Narrow" w:hAnsi="Arial Narrow"/>
              </w:rPr>
              <w:t xml:space="preserve"> months in line with evolving clinical opinion and experience. Additional sensitivity analyses are </w:t>
            </w:r>
            <w:r w:rsidR="006753E4">
              <w:rPr>
                <w:rFonts w:ascii="Arial Narrow" w:hAnsi="Arial Narrow"/>
              </w:rPr>
              <w:t>also presented.</w:t>
            </w:r>
          </w:p>
        </w:tc>
      </w:tr>
      <w:tr w:rsidR="002C71D0" w14:paraId="4424BC0B" w14:textId="77777777" w:rsidTr="002C71D0">
        <w:tc>
          <w:tcPr>
            <w:tcW w:w="2405" w:type="dxa"/>
          </w:tcPr>
          <w:p w14:paraId="17A2DF65" w14:textId="77777777" w:rsidR="002C71D0" w:rsidRPr="00BF0C99" w:rsidRDefault="002C71D0" w:rsidP="002C71D0">
            <w:pPr>
              <w:pStyle w:val="Table"/>
              <w:rPr>
                <w:rFonts w:ascii="Arial Narrow" w:hAnsi="Arial Narrow"/>
              </w:rPr>
            </w:pPr>
            <w:r w:rsidRPr="00BF0C99">
              <w:rPr>
                <w:rFonts w:ascii="Arial Narrow" w:hAnsi="Arial Narrow"/>
              </w:rPr>
              <w:lastRenderedPageBreak/>
              <w:t>Constant health state utility weights</w:t>
            </w:r>
          </w:p>
        </w:tc>
        <w:tc>
          <w:tcPr>
            <w:tcW w:w="7223" w:type="dxa"/>
          </w:tcPr>
          <w:p w14:paraId="5E60D6FE" w14:textId="77777777" w:rsidR="002C71D0" w:rsidRPr="00BF0C99" w:rsidRDefault="002C71D0" w:rsidP="002C71D0">
            <w:pPr>
              <w:pStyle w:val="Table"/>
              <w:rPr>
                <w:rFonts w:ascii="Arial Narrow" w:hAnsi="Arial Narrow"/>
              </w:rPr>
            </w:pPr>
            <w:r w:rsidRPr="00BF0C99">
              <w:rPr>
                <w:rFonts w:ascii="Arial Narrow" w:hAnsi="Arial Narrow"/>
              </w:rPr>
              <w:t xml:space="preserve">A time-based reduction in health state utilities has been added into the evaluation, as previously described in the AGCR.  For the revised base case, this has been set at </w:t>
            </w:r>
            <w:r w:rsidRPr="004F7FEF">
              <w:rPr>
                <w:rFonts w:ascii="Arial Narrow" w:hAnsi="Arial Narrow"/>
              </w:rPr>
              <w:t>0.0005</w:t>
            </w:r>
            <w:r w:rsidRPr="00BF0C99">
              <w:rPr>
                <w:rFonts w:ascii="Arial Narrow" w:hAnsi="Arial Narrow"/>
              </w:rPr>
              <w:t xml:space="preserve"> per cycle, or approximately </w:t>
            </w:r>
            <w:r w:rsidRPr="004F7FEF">
              <w:rPr>
                <w:rFonts w:ascii="Arial Narrow" w:hAnsi="Arial Narrow"/>
              </w:rPr>
              <w:t>0.06</w:t>
            </w:r>
            <w:r w:rsidR="006753E4">
              <w:rPr>
                <w:rFonts w:ascii="Arial Narrow" w:hAnsi="Arial Narrow"/>
              </w:rPr>
              <w:t xml:space="preserve"> over 10 years.</w:t>
            </w:r>
          </w:p>
        </w:tc>
      </w:tr>
    </w:tbl>
    <w:p w14:paraId="504ECFCE" w14:textId="77777777" w:rsidR="002C71D0" w:rsidRDefault="002C71D0" w:rsidP="00AB75A3">
      <w:pPr>
        <w:spacing w:before="240" w:after="120"/>
      </w:pPr>
      <w:r>
        <w:t xml:space="preserve">The results of </w:t>
      </w:r>
      <w:r w:rsidRPr="00BF0C99">
        <w:t xml:space="preserve">discounted total and incremental costs, outcomes and </w:t>
      </w:r>
      <w:r>
        <w:t xml:space="preserve">incremental </w:t>
      </w:r>
      <w:r w:rsidRPr="00BF0C99">
        <w:t>cost-effectiveness ratios</w:t>
      </w:r>
      <w:r>
        <w:t xml:space="preserve"> (ICER)s</w:t>
      </w:r>
      <w:r w:rsidRPr="00BF0C99">
        <w:t xml:space="preserve"> for the revised evaluation are provided in Table</w:t>
      </w:r>
      <w:r>
        <w:t xml:space="preserve"> </w:t>
      </w:r>
      <w:r w:rsidR="00EA046C">
        <w:t>5</w:t>
      </w:r>
      <w:r w:rsidR="006753E4">
        <w:t>.</w:t>
      </w:r>
    </w:p>
    <w:p w14:paraId="7A86FB8E" w14:textId="77777777" w:rsidR="002C71D0" w:rsidRDefault="002C71D0" w:rsidP="002C71D0">
      <w:pPr>
        <w:pStyle w:val="Caption"/>
      </w:pPr>
      <w:r>
        <w:t xml:space="preserve">Table </w:t>
      </w:r>
      <w:r w:rsidR="00EA046C">
        <w:t>5</w:t>
      </w:r>
      <w:r>
        <w:t>: Summary of discounted incremental results</w:t>
      </w:r>
    </w:p>
    <w:tbl>
      <w:tblPr>
        <w:tblStyle w:val="Submissionstandard"/>
        <w:tblW w:w="9067" w:type="dxa"/>
        <w:tblLook w:val="04A0" w:firstRow="1" w:lastRow="0" w:firstColumn="1" w:lastColumn="0" w:noHBand="0" w:noVBand="1"/>
        <w:tblDescription w:val="Summary of discounted incremental results"/>
      </w:tblPr>
      <w:tblGrid>
        <w:gridCol w:w="2160"/>
        <w:gridCol w:w="2371"/>
        <w:gridCol w:w="2268"/>
        <w:gridCol w:w="2268"/>
      </w:tblGrid>
      <w:tr w:rsidR="002C71D0" w:rsidRPr="001546DF" w14:paraId="793538BC" w14:textId="77777777" w:rsidTr="00037C4B">
        <w:trPr>
          <w:cnfStyle w:val="100000000000" w:firstRow="1" w:lastRow="0" w:firstColumn="0" w:lastColumn="0" w:oddVBand="0" w:evenVBand="0" w:oddHBand="0" w:evenHBand="0" w:firstRowFirstColumn="0" w:firstRowLastColumn="0" w:lastRowFirstColumn="0" w:lastRowLastColumn="0"/>
          <w:trHeight w:val="118"/>
          <w:tblHeader/>
        </w:trPr>
        <w:tc>
          <w:tcPr>
            <w:tcW w:w="2160" w:type="dxa"/>
            <w:noWrap/>
            <w:hideMark/>
          </w:tcPr>
          <w:p w14:paraId="276D821B" w14:textId="77777777" w:rsidR="002C71D0" w:rsidRPr="001546DF" w:rsidRDefault="002C71D0" w:rsidP="002C71D0">
            <w:pPr>
              <w:keepNext/>
              <w:rPr>
                <w:rFonts w:ascii="Arial Narrow" w:hAnsi="Arial Narrow" w:cs="Calibri"/>
                <w:b w:val="0"/>
                <w:bCs/>
              </w:rPr>
            </w:pPr>
            <w:r w:rsidRPr="001546DF">
              <w:rPr>
                <w:rFonts w:ascii="Arial Narrow" w:hAnsi="Arial Narrow" w:cs="Calibri"/>
                <w:b w:val="0"/>
                <w:bCs/>
              </w:rPr>
              <w:t>Outcome</w:t>
            </w:r>
          </w:p>
        </w:tc>
        <w:tc>
          <w:tcPr>
            <w:tcW w:w="2371" w:type="dxa"/>
            <w:noWrap/>
            <w:hideMark/>
          </w:tcPr>
          <w:p w14:paraId="2F2501AD" w14:textId="77777777" w:rsidR="002C71D0" w:rsidRPr="001546DF" w:rsidRDefault="002C71D0" w:rsidP="002C71D0">
            <w:pPr>
              <w:keepNext/>
              <w:jc w:val="center"/>
              <w:rPr>
                <w:rFonts w:ascii="Arial Narrow" w:hAnsi="Arial Narrow" w:cs="Calibri"/>
                <w:b w:val="0"/>
                <w:bCs/>
              </w:rPr>
            </w:pPr>
            <w:r w:rsidRPr="001546DF">
              <w:rPr>
                <w:rFonts w:ascii="Arial Narrow" w:hAnsi="Arial Narrow" w:cs="Calibri"/>
                <w:b w:val="0"/>
                <w:bCs/>
              </w:rPr>
              <w:t>TIS</w:t>
            </w:r>
          </w:p>
        </w:tc>
        <w:tc>
          <w:tcPr>
            <w:tcW w:w="2268" w:type="dxa"/>
            <w:noWrap/>
            <w:hideMark/>
          </w:tcPr>
          <w:p w14:paraId="39BE28B5" w14:textId="77777777" w:rsidR="002C71D0" w:rsidRPr="001546DF" w:rsidRDefault="002C71D0" w:rsidP="002C71D0">
            <w:pPr>
              <w:keepNext/>
              <w:jc w:val="center"/>
              <w:rPr>
                <w:rFonts w:ascii="Arial Narrow" w:hAnsi="Arial Narrow" w:cs="Calibri"/>
                <w:b w:val="0"/>
                <w:bCs/>
              </w:rPr>
            </w:pPr>
            <w:r w:rsidRPr="001546DF">
              <w:rPr>
                <w:rFonts w:ascii="Arial Narrow" w:hAnsi="Arial Narrow" w:cs="Calibri"/>
                <w:b w:val="0"/>
                <w:bCs/>
              </w:rPr>
              <w:t>SCR</w:t>
            </w:r>
          </w:p>
        </w:tc>
        <w:tc>
          <w:tcPr>
            <w:tcW w:w="2268" w:type="dxa"/>
            <w:noWrap/>
            <w:hideMark/>
          </w:tcPr>
          <w:p w14:paraId="4F2C7FF2" w14:textId="77777777" w:rsidR="002C71D0" w:rsidRPr="001546DF" w:rsidRDefault="002C71D0" w:rsidP="002C71D0">
            <w:pPr>
              <w:keepNext/>
              <w:jc w:val="center"/>
              <w:rPr>
                <w:rFonts w:ascii="Arial Narrow" w:hAnsi="Arial Narrow" w:cs="Calibri"/>
                <w:b w:val="0"/>
                <w:bCs/>
              </w:rPr>
            </w:pPr>
            <w:r w:rsidRPr="001546DF">
              <w:rPr>
                <w:rFonts w:ascii="Arial Narrow" w:hAnsi="Arial Narrow" w:cs="Calibri"/>
                <w:b w:val="0"/>
                <w:bCs/>
              </w:rPr>
              <w:t>Incremental</w:t>
            </w:r>
          </w:p>
        </w:tc>
      </w:tr>
      <w:tr w:rsidR="002C71D0" w:rsidRPr="002E1C91" w14:paraId="73F2FCE4" w14:textId="77777777" w:rsidTr="00037C4B">
        <w:trPr>
          <w:trHeight w:val="198"/>
        </w:trPr>
        <w:tc>
          <w:tcPr>
            <w:tcW w:w="2160" w:type="dxa"/>
            <w:noWrap/>
          </w:tcPr>
          <w:p w14:paraId="09CE6BA0" w14:textId="77777777" w:rsidR="002C71D0" w:rsidRPr="00BF0C99" w:rsidRDefault="002C71D0" w:rsidP="002C71D0">
            <w:pPr>
              <w:pStyle w:val="Table"/>
              <w:keepNext/>
              <w:rPr>
                <w:rFonts w:ascii="Arial Narrow" w:hAnsi="Arial Narrow"/>
                <w:color w:val="000000"/>
              </w:rPr>
            </w:pPr>
            <w:r w:rsidRPr="00BF0C99">
              <w:rPr>
                <w:rFonts w:ascii="Arial Narrow" w:hAnsi="Arial Narrow"/>
              </w:rPr>
              <w:t>Median PFS (months)</w:t>
            </w:r>
          </w:p>
        </w:tc>
        <w:tc>
          <w:tcPr>
            <w:tcW w:w="2371" w:type="dxa"/>
            <w:noWrap/>
          </w:tcPr>
          <w:p w14:paraId="4F039F2F" w14:textId="77777777" w:rsidR="002C71D0" w:rsidRPr="004F7FEF" w:rsidRDefault="002C71D0" w:rsidP="002C71D0">
            <w:pPr>
              <w:pStyle w:val="TableCentre"/>
              <w:keepNext/>
              <w:rPr>
                <w:rFonts w:ascii="Arial Narrow" w:hAnsi="Arial Narrow"/>
              </w:rPr>
            </w:pPr>
            <w:r w:rsidRPr="004F7FEF">
              <w:rPr>
                <w:rFonts w:ascii="Arial Narrow" w:hAnsi="Arial Narrow"/>
              </w:rPr>
              <w:t>4.000</w:t>
            </w:r>
          </w:p>
        </w:tc>
        <w:tc>
          <w:tcPr>
            <w:tcW w:w="2268" w:type="dxa"/>
            <w:noWrap/>
          </w:tcPr>
          <w:p w14:paraId="58FEA18B" w14:textId="77777777" w:rsidR="002C71D0" w:rsidRPr="004F7FEF" w:rsidRDefault="002C71D0" w:rsidP="002C71D0">
            <w:pPr>
              <w:pStyle w:val="TableCentre"/>
              <w:keepNext/>
              <w:rPr>
                <w:rFonts w:ascii="Arial Narrow" w:hAnsi="Arial Narrow"/>
              </w:rPr>
            </w:pPr>
            <w:r w:rsidRPr="004F7FEF">
              <w:rPr>
                <w:rFonts w:ascii="Arial Narrow" w:hAnsi="Arial Narrow"/>
              </w:rPr>
              <w:t xml:space="preserve">4.000 </w:t>
            </w:r>
          </w:p>
        </w:tc>
        <w:tc>
          <w:tcPr>
            <w:tcW w:w="2268" w:type="dxa"/>
            <w:noWrap/>
          </w:tcPr>
          <w:p w14:paraId="3B8838AC" w14:textId="77777777" w:rsidR="002C71D0" w:rsidRPr="004F7FEF" w:rsidRDefault="002C71D0" w:rsidP="002C71D0">
            <w:pPr>
              <w:pStyle w:val="TableCentre"/>
              <w:keepNext/>
              <w:rPr>
                <w:rFonts w:ascii="Arial Narrow" w:hAnsi="Arial Narrow"/>
              </w:rPr>
            </w:pPr>
            <w:r w:rsidRPr="004F7FEF">
              <w:rPr>
                <w:rFonts w:ascii="Arial Narrow" w:hAnsi="Arial Narrow"/>
              </w:rPr>
              <w:t>0.000</w:t>
            </w:r>
          </w:p>
        </w:tc>
      </w:tr>
      <w:tr w:rsidR="002C71D0" w:rsidRPr="002E1C91" w14:paraId="42C2CF15" w14:textId="77777777" w:rsidTr="00037C4B">
        <w:trPr>
          <w:trHeight w:val="198"/>
        </w:trPr>
        <w:tc>
          <w:tcPr>
            <w:tcW w:w="2160" w:type="dxa"/>
            <w:noWrap/>
          </w:tcPr>
          <w:p w14:paraId="4BDCB1EF" w14:textId="77777777" w:rsidR="002C71D0" w:rsidRPr="00BF0C99" w:rsidRDefault="002C71D0" w:rsidP="002C71D0">
            <w:pPr>
              <w:pStyle w:val="Table"/>
              <w:keepNext/>
              <w:rPr>
                <w:rFonts w:ascii="Arial Narrow" w:hAnsi="Arial Narrow"/>
                <w:color w:val="000000"/>
              </w:rPr>
            </w:pPr>
            <w:r w:rsidRPr="00BF0C99">
              <w:rPr>
                <w:rFonts w:ascii="Arial Narrow" w:hAnsi="Arial Narrow"/>
              </w:rPr>
              <w:t>Median OS (months)</w:t>
            </w:r>
          </w:p>
        </w:tc>
        <w:tc>
          <w:tcPr>
            <w:tcW w:w="2371" w:type="dxa"/>
            <w:noWrap/>
          </w:tcPr>
          <w:p w14:paraId="6CA30872" w14:textId="77777777" w:rsidR="002C71D0" w:rsidRPr="004F7FEF" w:rsidRDefault="002C71D0" w:rsidP="002C71D0">
            <w:pPr>
              <w:pStyle w:val="TableCentre"/>
              <w:keepNext/>
              <w:rPr>
                <w:rFonts w:ascii="Arial Narrow" w:hAnsi="Arial Narrow"/>
              </w:rPr>
            </w:pPr>
            <w:r w:rsidRPr="004F7FEF">
              <w:rPr>
                <w:rFonts w:ascii="Arial Narrow" w:hAnsi="Arial Narrow"/>
              </w:rPr>
              <w:t>8.000</w:t>
            </w:r>
          </w:p>
        </w:tc>
        <w:tc>
          <w:tcPr>
            <w:tcW w:w="2268" w:type="dxa"/>
            <w:noWrap/>
          </w:tcPr>
          <w:p w14:paraId="4587E976" w14:textId="77777777" w:rsidR="002C71D0" w:rsidRPr="004F7FEF" w:rsidRDefault="002C71D0" w:rsidP="002C71D0">
            <w:pPr>
              <w:pStyle w:val="TableCentre"/>
              <w:keepNext/>
              <w:rPr>
                <w:rFonts w:ascii="Arial Narrow" w:hAnsi="Arial Narrow"/>
              </w:rPr>
            </w:pPr>
            <w:r w:rsidRPr="004F7FEF">
              <w:rPr>
                <w:rFonts w:ascii="Arial Narrow" w:hAnsi="Arial Narrow"/>
              </w:rPr>
              <w:t xml:space="preserve">6.000  </w:t>
            </w:r>
          </w:p>
        </w:tc>
        <w:tc>
          <w:tcPr>
            <w:tcW w:w="2268" w:type="dxa"/>
            <w:noWrap/>
          </w:tcPr>
          <w:p w14:paraId="0A142B03" w14:textId="77777777" w:rsidR="002C71D0" w:rsidRPr="004F7FEF" w:rsidRDefault="002C71D0" w:rsidP="002C71D0">
            <w:pPr>
              <w:pStyle w:val="TableCentre"/>
              <w:keepNext/>
              <w:rPr>
                <w:rFonts w:ascii="Arial Narrow" w:hAnsi="Arial Narrow"/>
              </w:rPr>
            </w:pPr>
            <w:r w:rsidRPr="004F7FEF">
              <w:rPr>
                <w:rFonts w:ascii="Arial Narrow" w:hAnsi="Arial Narrow"/>
              </w:rPr>
              <w:t>2.000</w:t>
            </w:r>
          </w:p>
        </w:tc>
      </w:tr>
      <w:tr w:rsidR="002C71D0" w:rsidRPr="002E1C91" w14:paraId="390F693B" w14:textId="77777777" w:rsidTr="00037C4B">
        <w:trPr>
          <w:trHeight w:val="198"/>
        </w:trPr>
        <w:tc>
          <w:tcPr>
            <w:tcW w:w="2160" w:type="dxa"/>
            <w:noWrap/>
            <w:hideMark/>
          </w:tcPr>
          <w:p w14:paraId="468F2CEC" w14:textId="77777777" w:rsidR="002C71D0" w:rsidRPr="00BF0C99" w:rsidRDefault="002C71D0" w:rsidP="002C71D0">
            <w:pPr>
              <w:pStyle w:val="Table"/>
              <w:keepNext/>
              <w:rPr>
                <w:rFonts w:ascii="Arial Narrow" w:hAnsi="Arial Narrow"/>
                <w:color w:val="000000"/>
              </w:rPr>
            </w:pPr>
            <w:r w:rsidRPr="00BF0C99">
              <w:rPr>
                <w:rFonts w:ascii="Arial Narrow" w:hAnsi="Arial Narrow"/>
                <w:color w:val="000000"/>
              </w:rPr>
              <w:t>Discounted Costs</w:t>
            </w:r>
          </w:p>
        </w:tc>
        <w:tc>
          <w:tcPr>
            <w:tcW w:w="2371" w:type="dxa"/>
            <w:noWrap/>
            <w:hideMark/>
          </w:tcPr>
          <w:p w14:paraId="7DBB40D5" w14:textId="77777777" w:rsidR="002C71D0" w:rsidRPr="006753E4" w:rsidRDefault="002C71D0" w:rsidP="006753E4">
            <w:pPr>
              <w:pStyle w:val="TableCentre"/>
              <w:keepNext/>
              <w:rPr>
                <w:rFonts w:ascii="Arial Narrow" w:hAnsi="Arial Narrow"/>
                <w:color w:val="000000"/>
              </w:rPr>
            </w:pPr>
            <w:r w:rsidRPr="006753E4">
              <w:rPr>
                <w:rFonts w:ascii="Arial Narrow" w:hAnsi="Arial Narrow"/>
              </w:rPr>
              <w:t>$</w:t>
            </w:r>
            <w:r w:rsidR="006753E4" w:rsidRPr="006753E4">
              <w:rPr>
                <w:rFonts w:ascii="Arial Narrow" w:hAnsi="Arial Narrow"/>
              </w:rPr>
              <w:t>redacted</w:t>
            </w:r>
          </w:p>
        </w:tc>
        <w:tc>
          <w:tcPr>
            <w:tcW w:w="2268" w:type="dxa"/>
            <w:noWrap/>
            <w:hideMark/>
          </w:tcPr>
          <w:p w14:paraId="13B32930" w14:textId="77777777" w:rsidR="002C71D0" w:rsidRPr="006753E4" w:rsidRDefault="006753E4" w:rsidP="002C71D0">
            <w:pPr>
              <w:pStyle w:val="TableCentre"/>
              <w:keepNext/>
              <w:rPr>
                <w:rFonts w:ascii="Arial Narrow" w:hAnsi="Arial Narrow"/>
                <w:color w:val="000000"/>
              </w:rPr>
            </w:pPr>
            <w:r w:rsidRPr="006753E4">
              <w:rPr>
                <w:rFonts w:ascii="Arial Narrow" w:hAnsi="Arial Narrow"/>
              </w:rPr>
              <w:t>$redacted</w:t>
            </w:r>
          </w:p>
        </w:tc>
        <w:tc>
          <w:tcPr>
            <w:tcW w:w="2268" w:type="dxa"/>
            <w:noWrap/>
            <w:hideMark/>
          </w:tcPr>
          <w:p w14:paraId="5B3FC903" w14:textId="77777777" w:rsidR="002C71D0" w:rsidRPr="006753E4" w:rsidRDefault="006753E4" w:rsidP="002C71D0">
            <w:pPr>
              <w:pStyle w:val="TableCentre"/>
              <w:keepNext/>
              <w:rPr>
                <w:rFonts w:ascii="Arial Narrow" w:hAnsi="Arial Narrow"/>
                <w:color w:val="000000"/>
              </w:rPr>
            </w:pPr>
            <w:r w:rsidRPr="006753E4">
              <w:rPr>
                <w:rFonts w:ascii="Arial Narrow" w:hAnsi="Arial Narrow"/>
              </w:rPr>
              <w:t>$redacted</w:t>
            </w:r>
          </w:p>
        </w:tc>
      </w:tr>
      <w:tr w:rsidR="002C71D0" w:rsidRPr="002E1C91" w14:paraId="02B4DE3F" w14:textId="77777777" w:rsidTr="00037C4B">
        <w:trPr>
          <w:trHeight w:val="198"/>
        </w:trPr>
        <w:tc>
          <w:tcPr>
            <w:tcW w:w="2160" w:type="dxa"/>
            <w:noWrap/>
            <w:hideMark/>
          </w:tcPr>
          <w:p w14:paraId="1F44E0EA" w14:textId="77777777" w:rsidR="002C71D0" w:rsidRPr="00BF0C99" w:rsidRDefault="002C71D0" w:rsidP="002C71D0">
            <w:pPr>
              <w:pStyle w:val="Table"/>
              <w:keepNext/>
              <w:rPr>
                <w:rFonts w:ascii="Arial Narrow" w:hAnsi="Arial Narrow"/>
                <w:color w:val="000000"/>
              </w:rPr>
            </w:pPr>
            <w:r w:rsidRPr="00BF0C99">
              <w:rPr>
                <w:rFonts w:ascii="Arial Narrow" w:hAnsi="Arial Narrow"/>
                <w:color w:val="000000"/>
              </w:rPr>
              <w:t>Discounted Life Years</w:t>
            </w:r>
          </w:p>
        </w:tc>
        <w:tc>
          <w:tcPr>
            <w:tcW w:w="2371" w:type="dxa"/>
            <w:noWrap/>
            <w:hideMark/>
          </w:tcPr>
          <w:p w14:paraId="30753ABD" w14:textId="77777777" w:rsidR="002C71D0" w:rsidRPr="006753E4" w:rsidRDefault="002C71D0" w:rsidP="002C71D0">
            <w:pPr>
              <w:pStyle w:val="TableCentre"/>
              <w:keepNext/>
              <w:rPr>
                <w:rFonts w:ascii="Arial Narrow" w:hAnsi="Arial Narrow"/>
              </w:rPr>
            </w:pPr>
            <w:r w:rsidRPr="006753E4">
              <w:rPr>
                <w:rFonts w:ascii="Arial Narrow" w:hAnsi="Arial Narrow"/>
              </w:rPr>
              <w:t>4.007</w:t>
            </w:r>
          </w:p>
        </w:tc>
        <w:tc>
          <w:tcPr>
            <w:tcW w:w="2268" w:type="dxa"/>
            <w:noWrap/>
            <w:hideMark/>
          </w:tcPr>
          <w:p w14:paraId="1C5B3450" w14:textId="77777777" w:rsidR="002C71D0" w:rsidRPr="006753E4" w:rsidRDefault="002C71D0" w:rsidP="002C71D0">
            <w:pPr>
              <w:pStyle w:val="TableCentre"/>
              <w:keepNext/>
              <w:rPr>
                <w:rFonts w:ascii="Arial Narrow" w:hAnsi="Arial Narrow"/>
              </w:rPr>
            </w:pPr>
            <w:r w:rsidRPr="006753E4">
              <w:rPr>
                <w:rFonts w:ascii="Arial Narrow" w:hAnsi="Arial Narrow"/>
              </w:rPr>
              <w:t>2.538</w:t>
            </w:r>
          </w:p>
        </w:tc>
        <w:tc>
          <w:tcPr>
            <w:tcW w:w="2268" w:type="dxa"/>
            <w:noWrap/>
            <w:hideMark/>
          </w:tcPr>
          <w:p w14:paraId="71F297C2" w14:textId="77777777" w:rsidR="002C71D0" w:rsidRPr="006753E4" w:rsidRDefault="002C71D0" w:rsidP="002C71D0">
            <w:pPr>
              <w:pStyle w:val="TableCentre"/>
              <w:keepNext/>
              <w:rPr>
                <w:rFonts w:ascii="Arial Narrow" w:hAnsi="Arial Narrow"/>
              </w:rPr>
            </w:pPr>
            <w:r w:rsidRPr="006753E4">
              <w:rPr>
                <w:rFonts w:ascii="Arial Narrow" w:hAnsi="Arial Narrow"/>
              </w:rPr>
              <w:t>1.469</w:t>
            </w:r>
          </w:p>
        </w:tc>
      </w:tr>
      <w:tr w:rsidR="002C71D0" w:rsidRPr="002E1C91" w14:paraId="68BA2E0E" w14:textId="77777777" w:rsidTr="00037C4B">
        <w:trPr>
          <w:trHeight w:val="198"/>
        </w:trPr>
        <w:tc>
          <w:tcPr>
            <w:tcW w:w="2160" w:type="dxa"/>
            <w:noWrap/>
            <w:hideMark/>
          </w:tcPr>
          <w:p w14:paraId="6FBED899" w14:textId="77777777" w:rsidR="002C71D0" w:rsidRPr="00BF0C99" w:rsidRDefault="002C71D0" w:rsidP="002C71D0">
            <w:pPr>
              <w:pStyle w:val="Table"/>
              <w:keepNext/>
              <w:rPr>
                <w:rFonts w:ascii="Arial Narrow" w:hAnsi="Arial Narrow"/>
                <w:color w:val="000000"/>
              </w:rPr>
            </w:pPr>
            <w:r w:rsidRPr="00BF0C99">
              <w:rPr>
                <w:rFonts w:ascii="Arial Narrow" w:hAnsi="Arial Narrow"/>
                <w:color w:val="000000"/>
              </w:rPr>
              <w:t>Discounted QALYs</w:t>
            </w:r>
          </w:p>
        </w:tc>
        <w:tc>
          <w:tcPr>
            <w:tcW w:w="2371" w:type="dxa"/>
            <w:noWrap/>
            <w:hideMark/>
          </w:tcPr>
          <w:p w14:paraId="07884AE4" w14:textId="77777777" w:rsidR="002C71D0" w:rsidRPr="006753E4" w:rsidRDefault="002C71D0" w:rsidP="002C71D0">
            <w:pPr>
              <w:pStyle w:val="TableCentre"/>
              <w:keepNext/>
              <w:rPr>
                <w:rFonts w:ascii="Arial Narrow" w:hAnsi="Arial Narrow"/>
              </w:rPr>
            </w:pPr>
            <w:r w:rsidRPr="006753E4">
              <w:rPr>
                <w:rFonts w:ascii="Arial Narrow" w:hAnsi="Arial Narrow"/>
              </w:rPr>
              <w:t>3.046</w:t>
            </w:r>
          </w:p>
        </w:tc>
        <w:tc>
          <w:tcPr>
            <w:tcW w:w="2268" w:type="dxa"/>
            <w:noWrap/>
            <w:hideMark/>
          </w:tcPr>
          <w:p w14:paraId="12ADC733" w14:textId="77777777" w:rsidR="002C71D0" w:rsidRPr="006753E4" w:rsidRDefault="002C71D0" w:rsidP="002C71D0">
            <w:pPr>
              <w:pStyle w:val="TableCentre"/>
              <w:keepNext/>
              <w:rPr>
                <w:rFonts w:ascii="Arial Narrow" w:hAnsi="Arial Narrow"/>
              </w:rPr>
            </w:pPr>
            <w:r w:rsidRPr="006753E4">
              <w:rPr>
                <w:rFonts w:ascii="Arial Narrow" w:hAnsi="Arial Narrow"/>
              </w:rPr>
              <w:t>1.768</w:t>
            </w:r>
          </w:p>
        </w:tc>
        <w:tc>
          <w:tcPr>
            <w:tcW w:w="2268" w:type="dxa"/>
            <w:noWrap/>
            <w:hideMark/>
          </w:tcPr>
          <w:p w14:paraId="2FBFB61C" w14:textId="77777777" w:rsidR="002C71D0" w:rsidRPr="006753E4" w:rsidRDefault="002C71D0" w:rsidP="002C71D0">
            <w:pPr>
              <w:pStyle w:val="TableCentre"/>
              <w:keepNext/>
              <w:rPr>
                <w:rFonts w:ascii="Arial Narrow" w:hAnsi="Arial Narrow"/>
              </w:rPr>
            </w:pPr>
            <w:r w:rsidRPr="006753E4">
              <w:rPr>
                <w:rFonts w:ascii="Arial Narrow" w:hAnsi="Arial Narrow"/>
              </w:rPr>
              <w:t>1.278</w:t>
            </w:r>
          </w:p>
        </w:tc>
      </w:tr>
      <w:tr w:rsidR="002C71D0" w:rsidRPr="002E1C91" w14:paraId="1F2B2ABB" w14:textId="77777777" w:rsidTr="00037C4B">
        <w:trPr>
          <w:trHeight w:val="198"/>
        </w:trPr>
        <w:tc>
          <w:tcPr>
            <w:tcW w:w="2160" w:type="dxa"/>
            <w:noWrap/>
            <w:hideMark/>
          </w:tcPr>
          <w:p w14:paraId="4985BFC7" w14:textId="77777777" w:rsidR="002C71D0" w:rsidRPr="00BF0C99" w:rsidRDefault="002C71D0" w:rsidP="002C71D0">
            <w:pPr>
              <w:pStyle w:val="Table"/>
              <w:keepNext/>
              <w:rPr>
                <w:rFonts w:ascii="Arial Narrow" w:hAnsi="Arial Narrow"/>
                <w:color w:val="000000"/>
              </w:rPr>
            </w:pPr>
            <w:r w:rsidRPr="00BF0C99">
              <w:rPr>
                <w:rFonts w:ascii="Arial Narrow" w:hAnsi="Arial Narrow"/>
                <w:color w:val="000000"/>
              </w:rPr>
              <w:t>Discounted Cost/LY</w:t>
            </w:r>
          </w:p>
        </w:tc>
        <w:tc>
          <w:tcPr>
            <w:tcW w:w="4639" w:type="dxa"/>
            <w:gridSpan w:val="2"/>
            <w:vMerge w:val="restart"/>
            <w:noWrap/>
            <w:hideMark/>
          </w:tcPr>
          <w:p w14:paraId="2B1B1654" w14:textId="77777777" w:rsidR="002C71D0" w:rsidRPr="006753E4" w:rsidRDefault="002C71D0" w:rsidP="002C71D0">
            <w:pPr>
              <w:pStyle w:val="TableCentre"/>
              <w:keepNext/>
              <w:rPr>
                <w:rFonts w:ascii="Arial Narrow" w:hAnsi="Arial Narrow"/>
                <w:color w:val="000000"/>
              </w:rPr>
            </w:pPr>
          </w:p>
          <w:p w14:paraId="4934509C" w14:textId="77777777" w:rsidR="002C71D0" w:rsidRPr="006753E4" w:rsidRDefault="002C71D0" w:rsidP="002C71D0">
            <w:pPr>
              <w:pStyle w:val="TableCentre"/>
              <w:keepNext/>
              <w:rPr>
                <w:rFonts w:ascii="Arial Narrow" w:hAnsi="Arial Narrow"/>
                <w:color w:val="000000"/>
              </w:rPr>
            </w:pPr>
          </w:p>
        </w:tc>
        <w:tc>
          <w:tcPr>
            <w:tcW w:w="2268" w:type="dxa"/>
            <w:noWrap/>
            <w:hideMark/>
          </w:tcPr>
          <w:p w14:paraId="77053E12" w14:textId="77777777" w:rsidR="002C71D0" w:rsidRPr="006753E4" w:rsidRDefault="006753E4" w:rsidP="002C71D0">
            <w:pPr>
              <w:pStyle w:val="TableCentre"/>
              <w:keepNext/>
              <w:rPr>
                <w:rFonts w:ascii="Arial Narrow" w:hAnsi="Arial Narrow"/>
                <w:color w:val="000000"/>
              </w:rPr>
            </w:pPr>
            <w:r w:rsidRPr="006753E4">
              <w:rPr>
                <w:rFonts w:ascii="Arial Narrow" w:hAnsi="Arial Narrow"/>
              </w:rPr>
              <w:t>$redacted</w:t>
            </w:r>
          </w:p>
        </w:tc>
      </w:tr>
      <w:tr w:rsidR="002C71D0" w:rsidRPr="009F2510" w14:paraId="65B4C1D0" w14:textId="77777777" w:rsidTr="00037C4B">
        <w:trPr>
          <w:trHeight w:val="198"/>
        </w:trPr>
        <w:tc>
          <w:tcPr>
            <w:tcW w:w="2160" w:type="dxa"/>
            <w:noWrap/>
            <w:hideMark/>
          </w:tcPr>
          <w:p w14:paraId="56131AE1" w14:textId="77777777" w:rsidR="002C71D0" w:rsidRPr="00BF0C99" w:rsidRDefault="002C71D0" w:rsidP="002C71D0">
            <w:pPr>
              <w:pStyle w:val="Table"/>
              <w:keepNext/>
              <w:rPr>
                <w:rFonts w:ascii="Arial Narrow" w:hAnsi="Arial Narrow"/>
                <w:color w:val="000000"/>
              </w:rPr>
            </w:pPr>
            <w:r w:rsidRPr="00BF0C99">
              <w:rPr>
                <w:rFonts w:ascii="Arial Narrow" w:hAnsi="Arial Narrow"/>
                <w:color w:val="000000"/>
              </w:rPr>
              <w:t>Discounted Cost/QALY</w:t>
            </w:r>
          </w:p>
        </w:tc>
        <w:tc>
          <w:tcPr>
            <w:tcW w:w="4639" w:type="dxa"/>
            <w:gridSpan w:val="2"/>
            <w:vMerge/>
            <w:noWrap/>
            <w:hideMark/>
          </w:tcPr>
          <w:p w14:paraId="35FB0680" w14:textId="77777777" w:rsidR="002C71D0" w:rsidRPr="006753E4" w:rsidRDefault="002C71D0" w:rsidP="002C71D0">
            <w:pPr>
              <w:pStyle w:val="TableCentre"/>
              <w:keepNext/>
              <w:rPr>
                <w:rFonts w:ascii="Arial Narrow" w:hAnsi="Arial Narrow"/>
                <w:color w:val="000000"/>
              </w:rPr>
            </w:pPr>
          </w:p>
        </w:tc>
        <w:tc>
          <w:tcPr>
            <w:tcW w:w="2268" w:type="dxa"/>
            <w:noWrap/>
            <w:hideMark/>
          </w:tcPr>
          <w:p w14:paraId="7A353164" w14:textId="77777777" w:rsidR="002C71D0" w:rsidRPr="006753E4" w:rsidRDefault="006753E4" w:rsidP="002C71D0">
            <w:pPr>
              <w:pStyle w:val="TableCentre"/>
              <w:keepNext/>
              <w:rPr>
                <w:rFonts w:ascii="Arial Narrow" w:hAnsi="Arial Narrow"/>
                <w:color w:val="000000"/>
              </w:rPr>
            </w:pPr>
            <w:r w:rsidRPr="006753E4">
              <w:rPr>
                <w:rFonts w:ascii="Arial Narrow" w:hAnsi="Arial Narrow"/>
              </w:rPr>
              <w:t>$redacted</w:t>
            </w:r>
          </w:p>
        </w:tc>
      </w:tr>
    </w:tbl>
    <w:p w14:paraId="627C2566" w14:textId="77777777" w:rsidR="002C71D0" w:rsidRDefault="002C71D0" w:rsidP="002C71D0"/>
    <w:p w14:paraId="4FB395EB" w14:textId="77777777" w:rsidR="002C71D0" w:rsidRDefault="002C71D0" w:rsidP="002C71D0">
      <w:r>
        <w:t>The Critique’s one-way sensitivity analyses indicated:</w:t>
      </w:r>
    </w:p>
    <w:p w14:paraId="378B265F" w14:textId="77777777" w:rsidR="002C71D0" w:rsidRPr="006753E4" w:rsidRDefault="002C71D0" w:rsidP="002C71D0">
      <w:pPr>
        <w:pStyle w:val="ListParagraph"/>
        <w:numPr>
          <w:ilvl w:val="0"/>
          <w:numId w:val="32"/>
        </w:numPr>
      </w:pPr>
      <w:r>
        <w:t xml:space="preserve">for varying the method for parametric extrapolation the ICER ranged from SCR dominant (exponential for all </w:t>
      </w:r>
      <w:r w:rsidRPr="006753E4">
        <w:t>survival curves) to $</w:t>
      </w:r>
      <w:r w:rsidR="006753E4" w:rsidRPr="006753E4">
        <w:rPr>
          <w:b/>
        </w:rPr>
        <w:t>redacted</w:t>
      </w:r>
      <w:r w:rsidRPr="006753E4">
        <w:t xml:space="preserve"> (lognormal for TIS; Gamma for SCR);</w:t>
      </w:r>
    </w:p>
    <w:p w14:paraId="704BE7B8" w14:textId="77777777" w:rsidR="002C71D0" w:rsidRPr="006753E4" w:rsidRDefault="002C71D0" w:rsidP="002C71D0">
      <w:pPr>
        <w:pStyle w:val="ListParagraph"/>
        <w:numPr>
          <w:ilvl w:val="0"/>
          <w:numId w:val="32"/>
        </w:numPr>
      </w:pPr>
      <w:r w:rsidRPr="006753E4">
        <w:t>for varying the start age in model the ICER ranged from $</w:t>
      </w:r>
      <w:r w:rsidR="006753E4" w:rsidRPr="006753E4">
        <w:rPr>
          <w:b/>
        </w:rPr>
        <w:t>redacted</w:t>
      </w:r>
      <w:r w:rsidR="006753E4" w:rsidRPr="006753E4">
        <w:t xml:space="preserve"> </w:t>
      </w:r>
      <w:r w:rsidRPr="006753E4">
        <w:t>(model age: 60</w:t>
      </w:r>
      <w:r w:rsidR="007209D8">
        <w:t> </w:t>
      </w:r>
      <w:r w:rsidRPr="006753E4">
        <w:t>years) to $</w:t>
      </w:r>
      <w:r w:rsidR="006753E4" w:rsidRPr="006753E4">
        <w:rPr>
          <w:b/>
        </w:rPr>
        <w:t>redacted</w:t>
      </w:r>
      <w:r w:rsidR="006753E4" w:rsidRPr="006753E4">
        <w:t xml:space="preserve"> </w:t>
      </w:r>
      <w:r w:rsidRPr="006753E4">
        <w:t>(model age: 70 years).</w:t>
      </w:r>
    </w:p>
    <w:p w14:paraId="2B057C8D" w14:textId="77777777" w:rsidR="002C71D0" w:rsidRDefault="002C71D0" w:rsidP="006753E4">
      <w:pPr>
        <w:spacing w:after="240"/>
      </w:pPr>
      <w:r w:rsidRPr="006753E4">
        <w:t>Using the lognormal curves for all parametric extrapolation, the Critique’s multivariate sensitivity analyses indicated the ICER ranged from $</w:t>
      </w:r>
      <w:r w:rsidR="006753E4" w:rsidRPr="006753E4">
        <w:rPr>
          <w:b/>
        </w:rPr>
        <w:t>redacted</w:t>
      </w:r>
      <w:r w:rsidR="006753E4" w:rsidRPr="006753E4">
        <w:t xml:space="preserve"> </w:t>
      </w:r>
      <w:r w:rsidRPr="006753E4">
        <w:t>(TIS price: $</w:t>
      </w:r>
      <w:r w:rsidR="006753E4" w:rsidRPr="006753E4">
        <w:rPr>
          <w:b/>
        </w:rPr>
        <w:t>redacted</w:t>
      </w:r>
      <w:r w:rsidRPr="006753E4">
        <w:t>) to $</w:t>
      </w:r>
      <w:r w:rsidR="006753E4" w:rsidRPr="006753E4">
        <w:rPr>
          <w:b/>
        </w:rPr>
        <w:t>redacted</w:t>
      </w:r>
      <w:r w:rsidR="006753E4" w:rsidRPr="006753E4">
        <w:t xml:space="preserve"> </w:t>
      </w:r>
      <w:r w:rsidRPr="006753E4">
        <w:t>(start age: 65 years).</w:t>
      </w:r>
    </w:p>
    <w:p w14:paraId="0C87E6B2" w14:textId="77777777" w:rsidR="002C71D0" w:rsidRDefault="002C71D0" w:rsidP="006753E4">
      <w:pPr>
        <w:spacing w:after="240"/>
      </w:pPr>
      <w:r>
        <w:t xml:space="preserve">In summary, the Critique stated that the resubmission’s </w:t>
      </w:r>
      <w:r w:rsidRPr="00930F1A">
        <w:t xml:space="preserve">economic evaluation based on a naïve comparison has substantial evidentiary problems that lead to high economic uncertainty and at times illogical results. Acknowledging the strong limitations of the clinical evidence, it appears likely that the ICER is extremely underestimated in the </w:t>
      </w:r>
      <w:r w:rsidR="006753E4">
        <w:t>resubmission.</w:t>
      </w:r>
    </w:p>
    <w:p w14:paraId="54A9FA5A" w14:textId="77777777" w:rsidR="002C71D0" w:rsidRPr="00C525CB" w:rsidRDefault="002C71D0" w:rsidP="002C71D0">
      <w:pPr>
        <w:jc w:val="both"/>
      </w:pPr>
      <w:r w:rsidRPr="00C525CB">
        <w:t>In the Pre-ESC response, the applicant provided an updated economic model for TIS, with the following changes applied to the re-application base case:</w:t>
      </w:r>
    </w:p>
    <w:p w14:paraId="17F637AC" w14:textId="77777777" w:rsidR="002C71D0" w:rsidRPr="00C525CB" w:rsidRDefault="002C71D0" w:rsidP="002C71D0">
      <w:pPr>
        <w:pStyle w:val="ListParagraph"/>
        <w:numPr>
          <w:ilvl w:val="0"/>
          <w:numId w:val="34"/>
        </w:numPr>
        <w:ind w:left="284" w:hanging="284"/>
        <w:jc w:val="both"/>
      </w:pPr>
      <w:r w:rsidRPr="00C525CB">
        <w:t>The results from the December 2018 data-cut of JULIET were applied to the model (compared to May 2018 in the re-application).</w:t>
      </w:r>
    </w:p>
    <w:p w14:paraId="5BC28751" w14:textId="77777777" w:rsidR="002C71D0" w:rsidRPr="00C525CB" w:rsidRDefault="002C71D0" w:rsidP="002C71D0">
      <w:pPr>
        <w:pStyle w:val="ListParagraph"/>
        <w:numPr>
          <w:ilvl w:val="0"/>
          <w:numId w:val="34"/>
        </w:numPr>
        <w:ind w:left="284" w:hanging="284"/>
        <w:jc w:val="both"/>
      </w:pPr>
      <w:r w:rsidRPr="00C525CB">
        <w:t>The PFS and OS extrapolation is forced from cycle 24 instead of cycle 20, reflecting the additional observed data available.</w:t>
      </w:r>
    </w:p>
    <w:p w14:paraId="50CE135A" w14:textId="77777777" w:rsidR="002C71D0" w:rsidRPr="00C525CB" w:rsidRDefault="002C71D0" w:rsidP="002C71D0">
      <w:pPr>
        <w:pStyle w:val="ListParagraph"/>
        <w:numPr>
          <w:ilvl w:val="0"/>
          <w:numId w:val="34"/>
        </w:numPr>
        <w:ind w:left="284" w:hanging="284"/>
        <w:jc w:val="both"/>
      </w:pPr>
      <w:r w:rsidRPr="00C525CB">
        <w:t>The TIS PFS and OS extrapolation models changed from Spline 2 to Spline 1 and Spline 3, as these were the best fitting models to the updated data cut.</w:t>
      </w:r>
    </w:p>
    <w:p w14:paraId="0CC9573D" w14:textId="77777777" w:rsidR="002C71D0" w:rsidRPr="00C525CB" w:rsidRDefault="002C71D0" w:rsidP="002C71D0">
      <w:pPr>
        <w:pStyle w:val="ListParagraph"/>
        <w:numPr>
          <w:ilvl w:val="0"/>
          <w:numId w:val="34"/>
        </w:numPr>
        <w:ind w:left="284" w:hanging="284"/>
        <w:jc w:val="both"/>
      </w:pPr>
      <w:r w:rsidRPr="00C525CB">
        <w:t xml:space="preserve">The price of TIS was reduced </w:t>
      </w:r>
      <w:r w:rsidRPr="006753E4">
        <w:t>from $</w:t>
      </w:r>
      <w:r w:rsidR="006753E4" w:rsidRPr="006753E4">
        <w:rPr>
          <w:b/>
        </w:rPr>
        <w:t>redacted</w:t>
      </w:r>
      <w:r w:rsidR="006753E4" w:rsidRPr="006753E4">
        <w:t xml:space="preserve"> </w:t>
      </w:r>
      <w:r w:rsidRPr="006753E4">
        <w:t>to $</w:t>
      </w:r>
      <w:r w:rsidR="006753E4" w:rsidRPr="006753E4">
        <w:rPr>
          <w:b/>
        </w:rPr>
        <w:t>redacted</w:t>
      </w:r>
      <w:r w:rsidRPr="00C525CB">
        <w:t>.</w:t>
      </w:r>
    </w:p>
    <w:p w14:paraId="23247616" w14:textId="77777777" w:rsidR="002C71D0" w:rsidRPr="006753E4" w:rsidRDefault="002C71D0" w:rsidP="006753E4">
      <w:pPr>
        <w:pStyle w:val="ListParagraph"/>
        <w:numPr>
          <w:ilvl w:val="0"/>
          <w:numId w:val="34"/>
        </w:numPr>
        <w:spacing w:after="240"/>
        <w:ind w:left="284" w:hanging="284"/>
        <w:jc w:val="both"/>
      </w:pPr>
      <w:r w:rsidRPr="00C525CB">
        <w:t>No changes were made to th</w:t>
      </w:r>
      <w:r w:rsidR="00581FA4">
        <w:t>e SCR</w:t>
      </w:r>
      <w:r w:rsidRPr="00C525CB">
        <w:t xml:space="preserve"> arm, other than forcing PFS and OS extrapolation from cycle 24 instead of cycle 20.</w:t>
      </w:r>
    </w:p>
    <w:p w14:paraId="48D2E2F0" w14:textId="77777777" w:rsidR="002C71D0" w:rsidRPr="00C525CB" w:rsidRDefault="002C71D0" w:rsidP="00855EF1">
      <w:pPr>
        <w:jc w:val="both"/>
      </w:pPr>
      <w:r w:rsidRPr="00C525CB">
        <w:t xml:space="preserve">The revised base case ICER per QALY is presented in Table </w:t>
      </w:r>
      <w:r w:rsidR="00EA046C">
        <w:t>6</w:t>
      </w:r>
      <w:r w:rsidRPr="00C525CB">
        <w:t>.</w:t>
      </w:r>
    </w:p>
    <w:p w14:paraId="5D58ECD3" w14:textId="77777777" w:rsidR="002C71D0" w:rsidRPr="006753E4" w:rsidRDefault="002C71D0" w:rsidP="00855EF1">
      <w:pPr>
        <w:pStyle w:val="Caption1"/>
        <w:spacing w:before="120" w:after="0"/>
        <w:rPr>
          <w:rFonts w:cs="Arial"/>
          <w:lang w:val="en-AU"/>
        </w:rPr>
      </w:pPr>
      <w:r w:rsidRPr="006753E4">
        <w:rPr>
          <w:rFonts w:cs="Arial"/>
          <w:lang w:val="en-AU"/>
        </w:rPr>
        <w:t xml:space="preserve">Table </w:t>
      </w:r>
      <w:r w:rsidR="00EA046C" w:rsidRPr="006753E4">
        <w:rPr>
          <w:rFonts w:cs="Arial"/>
          <w:lang w:val="en-AU"/>
        </w:rPr>
        <w:t>6</w:t>
      </w:r>
      <w:r w:rsidR="00855EF1">
        <w:rPr>
          <w:rFonts w:cs="Arial"/>
          <w:lang w:val="en-AU"/>
        </w:rPr>
        <w:tab/>
        <w:t>Results of the revised economic evaluation</w:t>
      </w:r>
    </w:p>
    <w:tbl>
      <w:tblPr>
        <w:tblStyle w:val="TableGrid1"/>
        <w:tblW w:w="5001" w:type="pct"/>
        <w:tblLayout w:type="fixed"/>
        <w:tblLook w:val="04A0" w:firstRow="1" w:lastRow="0" w:firstColumn="1" w:lastColumn="0" w:noHBand="0" w:noVBand="1"/>
        <w:tblDescription w:val="Summary of the revised economic evaluation results"/>
      </w:tblPr>
      <w:tblGrid>
        <w:gridCol w:w="2761"/>
        <w:gridCol w:w="1964"/>
        <w:gridCol w:w="1970"/>
        <w:gridCol w:w="2323"/>
      </w:tblGrid>
      <w:tr w:rsidR="002C71D0" w:rsidRPr="0079129A" w14:paraId="649EF450" w14:textId="77777777" w:rsidTr="00AB75A3">
        <w:trPr>
          <w:tblHeader/>
        </w:trPr>
        <w:tc>
          <w:tcPr>
            <w:tcW w:w="1531" w:type="pct"/>
            <w:noWrap/>
          </w:tcPr>
          <w:p w14:paraId="37823A1D" w14:textId="77777777" w:rsidR="002C71D0" w:rsidRPr="0079129A" w:rsidRDefault="002C71D0" w:rsidP="002C71D0">
            <w:pPr>
              <w:spacing w:before="20" w:after="20"/>
              <w:rPr>
                <w:rFonts w:ascii="Arial Narrow" w:hAnsi="Arial Narrow"/>
                <w:sz w:val="20"/>
              </w:rPr>
            </w:pPr>
            <w:r w:rsidRPr="0079129A">
              <w:rPr>
                <w:rFonts w:ascii="Arial Narrow" w:hAnsi="Arial Narrow" w:cs="Calibri"/>
                <w:b/>
                <w:sz w:val="20"/>
              </w:rPr>
              <w:t>Outcome</w:t>
            </w:r>
          </w:p>
        </w:tc>
        <w:tc>
          <w:tcPr>
            <w:tcW w:w="1089" w:type="pct"/>
            <w:noWrap/>
          </w:tcPr>
          <w:p w14:paraId="19FC2DC0" w14:textId="77777777" w:rsidR="002C71D0" w:rsidRPr="0079129A" w:rsidRDefault="002C71D0" w:rsidP="002C71D0">
            <w:pPr>
              <w:spacing w:before="20" w:after="20"/>
              <w:jc w:val="center"/>
              <w:rPr>
                <w:rFonts w:ascii="Arial Narrow" w:hAnsi="Arial Narrow"/>
                <w:sz w:val="20"/>
              </w:rPr>
            </w:pPr>
            <w:r w:rsidRPr="0079129A">
              <w:rPr>
                <w:rFonts w:ascii="Arial Narrow" w:hAnsi="Arial Narrow" w:cs="Calibri"/>
                <w:b/>
                <w:sz w:val="20"/>
              </w:rPr>
              <w:t>TIS</w:t>
            </w:r>
          </w:p>
        </w:tc>
        <w:tc>
          <w:tcPr>
            <w:tcW w:w="1092" w:type="pct"/>
            <w:noWrap/>
          </w:tcPr>
          <w:p w14:paraId="7A73CF9A" w14:textId="77777777" w:rsidR="002C71D0" w:rsidRPr="0079129A" w:rsidRDefault="002C71D0" w:rsidP="002C71D0">
            <w:pPr>
              <w:spacing w:before="20" w:after="20"/>
              <w:jc w:val="center"/>
              <w:rPr>
                <w:rFonts w:ascii="Arial Narrow" w:hAnsi="Arial Narrow"/>
                <w:sz w:val="20"/>
              </w:rPr>
            </w:pPr>
            <w:r w:rsidRPr="0079129A">
              <w:rPr>
                <w:rFonts w:ascii="Arial Narrow" w:hAnsi="Arial Narrow" w:cs="Calibri"/>
                <w:b/>
                <w:sz w:val="20"/>
              </w:rPr>
              <w:t>SCR</w:t>
            </w:r>
          </w:p>
        </w:tc>
        <w:tc>
          <w:tcPr>
            <w:tcW w:w="1288" w:type="pct"/>
            <w:noWrap/>
          </w:tcPr>
          <w:p w14:paraId="47F03145" w14:textId="77777777" w:rsidR="002C71D0" w:rsidRPr="0079129A" w:rsidRDefault="002C71D0" w:rsidP="002C71D0">
            <w:pPr>
              <w:spacing w:before="20" w:after="20"/>
              <w:jc w:val="center"/>
              <w:rPr>
                <w:rFonts w:ascii="Arial Narrow" w:hAnsi="Arial Narrow"/>
                <w:sz w:val="20"/>
              </w:rPr>
            </w:pPr>
            <w:r w:rsidRPr="0079129A">
              <w:rPr>
                <w:rFonts w:ascii="Arial Narrow" w:hAnsi="Arial Narrow" w:cs="Calibri"/>
                <w:b/>
                <w:sz w:val="20"/>
              </w:rPr>
              <w:t>Incr</w:t>
            </w:r>
            <w:r>
              <w:rPr>
                <w:rFonts w:ascii="Arial Narrow" w:hAnsi="Arial Narrow" w:cs="Calibri"/>
                <w:b/>
                <w:sz w:val="20"/>
              </w:rPr>
              <w:t>ement</w:t>
            </w:r>
          </w:p>
        </w:tc>
      </w:tr>
      <w:tr w:rsidR="002C71D0" w:rsidRPr="0079129A" w14:paraId="0D013E07" w14:textId="77777777" w:rsidTr="00AB75A3">
        <w:tc>
          <w:tcPr>
            <w:tcW w:w="5000" w:type="pct"/>
            <w:gridSpan w:val="4"/>
            <w:noWrap/>
          </w:tcPr>
          <w:p w14:paraId="410F8F82" w14:textId="77777777" w:rsidR="002C71D0" w:rsidRPr="0079129A" w:rsidRDefault="002C71D0" w:rsidP="002C71D0">
            <w:pPr>
              <w:spacing w:before="20" w:after="20"/>
              <w:rPr>
                <w:rFonts w:ascii="Arial Narrow" w:hAnsi="Arial Narrow"/>
                <w:b/>
                <w:sz w:val="20"/>
              </w:rPr>
            </w:pPr>
            <w:r w:rsidRPr="0079129A">
              <w:rPr>
                <w:rFonts w:ascii="Arial Narrow" w:hAnsi="Arial Narrow"/>
                <w:b/>
                <w:sz w:val="20"/>
              </w:rPr>
              <w:t xml:space="preserve">Base case (Spline </w:t>
            </w:r>
            <w:r>
              <w:rPr>
                <w:rFonts w:ascii="Arial Narrow" w:hAnsi="Arial Narrow"/>
                <w:b/>
                <w:sz w:val="20"/>
              </w:rPr>
              <w:t xml:space="preserve">1/3 for TIS OS/PFS </w:t>
            </w:r>
            <w:r w:rsidRPr="0079129A">
              <w:rPr>
                <w:rFonts w:ascii="Arial Narrow" w:hAnsi="Arial Narrow"/>
                <w:b/>
                <w:sz w:val="20"/>
              </w:rPr>
              <w:t>and Spline 1 for SCR OS/PFS)</w:t>
            </w:r>
          </w:p>
        </w:tc>
      </w:tr>
      <w:tr w:rsidR="002C71D0" w:rsidRPr="0079129A" w14:paraId="3F7F2348" w14:textId="77777777" w:rsidTr="00AB75A3">
        <w:tc>
          <w:tcPr>
            <w:tcW w:w="1531" w:type="pct"/>
            <w:noWrap/>
            <w:hideMark/>
          </w:tcPr>
          <w:p w14:paraId="03B5572E" w14:textId="77777777" w:rsidR="002C71D0" w:rsidRPr="0079129A" w:rsidRDefault="002C71D0" w:rsidP="002C71D0">
            <w:pPr>
              <w:spacing w:before="20" w:after="20"/>
              <w:rPr>
                <w:rFonts w:ascii="Arial Narrow" w:hAnsi="Arial Narrow"/>
                <w:color w:val="000000"/>
                <w:sz w:val="20"/>
              </w:rPr>
            </w:pPr>
            <w:r w:rsidRPr="0079129A">
              <w:rPr>
                <w:rFonts w:ascii="Arial Narrow" w:hAnsi="Arial Narrow" w:cs="Calibri"/>
                <w:color w:val="000000"/>
                <w:sz w:val="20"/>
              </w:rPr>
              <w:t>Discounted Costs</w:t>
            </w:r>
          </w:p>
        </w:tc>
        <w:tc>
          <w:tcPr>
            <w:tcW w:w="1089" w:type="pct"/>
            <w:noWrap/>
          </w:tcPr>
          <w:p w14:paraId="5EDE41DF" w14:textId="77777777" w:rsidR="002C71D0" w:rsidRPr="00EA702F" w:rsidRDefault="002C71D0" w:rsidP="00855EF1">
            <w:pPr>
              <w:spacing w:before="20" w:after="20"/>
              <w:jc w:val="center"/>
              <w:rPr>
                <w:rFonts w:ascii="Arial Narrow" w:hAnsi="Arial Narrow"/>
                <w:color w:val="000000"/>
                <w:sz w:val="20"/>
                <w:highlight w:val="green"/>
              </w:rPr>
            </w:pPr>
            <w:r w:rsidRPr="00855EF1">
              <w:rPr>
                <w:rFonts w:ascii="Arial Narrow" w:hAnsi="Arial Narrow"/>
                <w:color w:val="000000"/>
                <w:sz w:val="20"/>
              </w:rPr>
              <w:t>$</w:t>
            </w:r>
            <w:r w:rsidR="00855EF1" w:rsidRPr="00855EF1">
              <w:rPr>
                <w:rFonts w:ascii="Arial Narrow" w:hAnsi="Arial Narrow"/>
                <w:color w:val="000000"/>
                <w:sz w:val="20"/>
              </w:rPr>
              <w:t>redacted</w:t>
            </w:r>
          </w:p>
        </w:tc>
        <w:tc>
          <w:tcPr>
            <w:tcW w:w="1092" w:type="pct"/>
            <w:noWrap/>
          </w:tcPr>
          <w:p w14:paraId="0F91F0C4" w14:textId="77777777" w:rsidR="002C71D0" w:rsidRPr="00EA702F" w:rsidRDefault="00855EF1" w:rsidP="002C71D0">
            <w:pPr>
              <w:spacing w:before="20" w:after="20"/>
              <w:jc w:val="center"/>
              <w:rPr>
                <w:rFonts w:ascii="Arial Narrow" w:hAnsi="Arial Narrow"/>
                <w:color w:val="000000"/>
                <w:sz w:val="20"/>
                <w:highlight w:val="green"/>
              </w:rPr>
            </w:pPr>
            <w:r w:rsidRPr="00855EF1">
              <w:rPr>
                <w:rFonts w:ascii="Arial Narrow" w:hAnsi="Arial Narrow"/>
                <w:color w:val="000000"/>
                <w:sz w:val="20"/>
              </w:rPr>
              <w:t>$redacted</w:t>
            </w:r>
          </w:p>
        </w:tc>
        <w:tc>
          <w:tcPr>
            <w:tcW w:w="1288" w:type="pct"/>
            <w:noWrap/>
          </w:tcPr>
          <w:p w14:paraId="6CCE4021" w14:textId="77777777" w:rsidR="002C71D0" w:rsidRPr="00EA702F" w:rsidRDefault="00855EF1" w:rsidP="002C71D0">
            <w:pPr>
              <w:spacing w:before="20" w:after="20"/>
              <w:jc w:val="center"/>
              <w:rPr>
                <w:rFonts w:ascii="Arial Narrow" w:hAnsi="Arial Narrow"/>
                <w:color w:val="000000"/>
                <w:sz w:val="20"/>
                <w:highlight w:val="green"/>
              </w:rPr>
            </w:pPr>
            <w:r w:rsidRPr="00855EF1">
              <w:rPr>
                <w:rFonts w:ascii="Arial Narrow" w:hAnsi="Arial Narrow"/>
                <w:color w:val="000000"/>
                <w:sz w:val="20"/>
              </w:rPr>
              <w:t>$redacted</w:t>
            </w:r>
          </w:p>
        </w:tc>
      </w:tr>
      <w:tr w:rsidR="002C71D0" w:rsidRPr="0079129A" w14:paraId="55C965FC" w14:textId="77777777" w:rsidTr="00AB75A3">
        <w:tc>
          <w:tcPr>
            <w:tcW w:w="1531" w:type="pct"/>
            <w:noWrap/>
            <w:hideMark/>
          </w:tcPr>
          <w:p w14:paraId="0B794D36" w14:textId="77777777" w:rsidR="002C71D0" w:rsidRPr="0079129A" w:rsidRDefault="002C71D0" w:rsidP="002C71D0">
            <w:pPr>
              <w:spacing w:before="20" w:after="20"/>
              <w:rPr>
                <w:rFonts w:ascii="Arial Narrow" w:hAnsi="Arial Narrow"/>
                <w:color w:val="000000"/>
                <w:sz w:val="20"/>
              </w:rPr>
            </w:pPr>
            <w:r w:rsidRPr="0079129A">
              <w:rPr>
                <w:rFonts w:ascii="Arial Narrow" w:hAnsi="Arial Narrow" w:cs="Calibri"/>
                <w:color w:val="000000"/>
                <w:sz w:val="20"/>
              </w:rPr>
              <w:t>Discounted Life Years</w:t>
            </w:r>
          </w:p>
        </w:tc>
        <w:tc>
          <w:tcPr>
            <w:tcW w:w="1089" w:type="pct"/>
            <w:noWrap/>
          </w:tcPr>
          <w:p w14:paraId="4793D21B" w14:textId="77777777" w:rsidR="002C71D0" w:rsidRPr="0079129A" w:rsidRDefault="002C71D0" w:rsidP="002C71D0">
            <w:pPr>
              <w:spacing w:before="20" w:after="20"/>
              <w:jc w:val="center"/>
              <w:rPr>
                <w:rFonts w:ascii="Arial Narrow" w:hAnsi="Arial Narrow"/>
                <w:sz w:val="20"/>
              </w:rPr>
            </w:pPr>
            <w:r w:rsidRPr="00F00774">
              <w:rPr>
                <w:rFonts w:ascii="Arial Narrow" w:hAnsi="Arial Narrow"/>
                <w:sz w:val="20"/>
              </w:rPr>
              <w:t>3.962</w:t>
            </w:r>
          </w:p>
        </w:tc>
        <w:tc>
          <w:tcPr>
            <w:tcW w:w="1092" w:type="pct"/>
            <w:noWrap/>
          </w:tcPr>
          <w:p w14:paraId="0CF02636" w14:textId="77777777" w:rsidR="002C71D0" w:rsidRPr="0079129A" w:rsidRDefault="002C71D0" w:rsidP="002C71D0">
            <w:pPr>
              <w:spacing w:before="20" w:after="20"/>
              <w:jc w:val="center"/>
              <w:rPr>
                <w:rFonts w:ascii="Arial Narrow" w:hAnsi="Arial Narrow"/>
                <w:sz w:val="20"/>
              </w:rPr>
            </w:pPr>
            <w:r w:rsidRPr="00F00774">
              <w:rPr>
                <w:rFonts w:ascii="Arial Narrow" w:hAnsi="Arial Narrow"/>
                <w:sz w:val="20"/>
              </w:rPr>
              <w:t>2.538</w:t>
            </w:r>
          </w:p>
        </w:tc>
        <w:tc>
          <w:tcPr>
            <w:tcW w:w="1288" w:type="pct"/>
            <w:noWrap/>
          </w:tcPr>
          <w:p w14:paraId="73F69545" w14:textId="77777777" w:rsidR="002C71D0" w:rsidRPr="0079129A" w:rsidRDefault="002C71D0" w:rsidP="002C71D0">
            <w:pPr>
              <w:spacing w:before="20" w:after="20"/>
              <w:jc w:val="center"/>
              <w:rPr>
                <w:rFonts w:ascii="Arial Narrow" w:hAnsi="Arial Narrow"/>
                <w:sz w:val="20"/>
              </w:rPr>
            </w:pPr>
            <w:r w:rsidRPr="00F00774">
              <w:rPr>
                <w:rFonts w:ascii="Arial Narrow" w:hAnsi="Arial Narrow"/>
                <w:sz w:val="20"/>
              </w:rPr>
              <w:t>1.425</w:t>
            </w:r>
          </w:p>
        </w:tc>
      </w:tr>
      <w:tr w:rsidR="002C71D0" w:rsidRPr="0079129A" w14:paraId="06420B16" w14:textId="77777777" w:rsidTr="00AB75A3">
        <w:tc>
          <w:tcPr>
            <w:tcW w:w="1531" w:type="pct"/>
            <w:noWrap/>
            <w:hideMark/>
          </w:tcPr>
          <w:p w14:paraId="2A5A605F" w14:textId="77777777" w:rsidR="002C71D0" w:rsidRPr="0079129A" w:rsidRDefault="002C71D0" w:rsidP="002C71D0">
            <w:pPr>
              <w:spacing w:before="20" w:after="20"/>
              <w:rPr>
                <w:rFonts w:ascii="Arial Narrow" w:hAnsi="Arial Narrow"/>
                <w:color w:val="000000"/>
                <w:sz w:val="20"/>
              </w:rPr>
            </w:pPr>
            <w:r w:rsidRPr="0079129A">
              <w:rPr>
                <w:rFonts w:ascii="Arial Narrow" w:hAnsi="Arial Narrow" w:cs="Calibri"/>
                <w:color w:val="000000"/>
                <w:sz w:val="20"/>
              </w:rPr>
              <w:t>Discounted QALYs</w:t>
            </w:r>
          </w:p>
        </w:tc>
        <w:tc>
          <w:tcPr>
            <w:tcW w:w="1089" w:type="pct"/>
            <w:noWrap/>
          </w:tcPr>
          <w:p w14:paraId="682FDE99" w14:textId="77777777" w:rsidR="002C71D0" w:rsidRPr="0079129A" w:rsidRDefault="002C71D0" w:rsidP="002C71D0">
            <w:pPr>
              <w:spacing w:before="20" w:after="20"/>
              <w:jc w:val="center"/>
              <w:rPr>
                <w:rFonts w:ascii="Arial Narrow" w:hAnsi="Arial Narrow"/>
                <w:sz w:val="20"/>
              </w:rPr>
            </w:pPr>
            <w:r w:rsidRPr="00F00774">
              <w:rPr>
                <w:rFonts w:ascii="Arial Narrow" w:hAnsi="Arial Narrow"/>
                <w:sz w:val="20"/>
              </w:rPr>
              <w:t>2.992</w:t>
            </w:r>
          </w:p>
        </w:tc>
        <w:tc>
          <w:tcPr>
            <w:tcW w:w="1092" w:type="pct"/>
            <w:noWrap/>
          </w:tcPr>
          <w:p w14:paraId="0F7B755E" w14:textId="77777777" w:rsidR="002C71D0" w:rsidRPr="0079129A" w:rsidRDefault="002C71D0" w:rsidP="002C71D0">
            <w:pPr>
              <w:spacing w:before="20" w:after="20"/>
              <w:jc w:val="center"/>
              <w:rPr>
                <w:rFonts w:ascii="Arial Narrow" w:hAnsi="Arial Narrow"/>
                <w:sz w:val="20"/>
              </w:rPr>
            </w:pPr>
            <w:r w:rsidRPr="00F00774">
              <w:rPr>
                <w:rFonts w:ascii="Arial Narrow" w:hAnsi="Arial Narrow"/>
                <w:sz w:val="20"/>
              </w:rPr>
              <w:t>1.768</w:t>
            </w:r>
          </w:p>
        </w:tc>
        <w:tc>
          <w:tcPr>
            <w:tcW w:w="1288" w:type="pct"/>
            <w:noWrap/>
          </w:tcPr>
          <w:p w14:paraId="0E524C33" w14:textId="77777777" w:rsidR="002C71D0" w:rsidRPr="0079129A" w:rsidRDefault="002C71D0" w:rsidP="002C71D0">
            <w:pPr>
              <w:spacing w:before="20" w:after="20"/>
              <w:jc w:val="center"/>
              <w:rPr>
                <w:rFonts w:ascii="Arial Narrow" w:hAnsi="Arial Narrow"/>
                <w:sz w:val="20"/>
              </w:rPr>
            </w:pPr>
            <w:r w:rsidRPr="00F00774">
              <w:rPr>
                <w:rFonts w:ascii="Arial Narrow" w:hAnsi="Arial Narrow"/>
                <w:sz w:val="20"/>
              </w:rPr>
              <w:t>1.225</w:t>
            </w:r>
          </w:p>
        </w:tc>
      </w:tr>
      <w:tr w:rsidR="002C71D0" w:rsidRPr="0079129A" w14:paraId="1CBB4613" w14:textId="77777777" w:rsidTr="00AB75A3">
        <w:tc>
          <w:tcPr>
            <w:tcW w:w="3712" w:type="pct"/>
            <w:gridSpan w:val="3"/>
            <w:noWrap/>
            <w:hideMark/>
          </w:tcPr>
          <w:p w14:paraId="2EAFF434" w14:textId="77777777" w:rsidR="002C71D0" w:rsidRPr="0079129A" w:rsidRDefault="002C71D0" w:rsidP="002C71D0">
            <w:pPr>
              <w:spacing w:before="20" w:after="20"/>
              <w:jc w:val="right"/>
              <w:rPr>
                <w:rFonts w:ascii="Arial Narrow" w:hAnsi="Arial Narrow"/>
                <w:color w:val="000000"/>
                <w:sz w:val="20"/>
              </w:rPr>
            </w:pPr>
            <w:r w:rsidRPr="0079129A">
              <w:rPr>
                <w:rFonts w:ascii="Arial Narrow" w:hAnsi="Arial Narrow" w:cs="Calibri"/>
                <w:color w:val="000000"/>
                <w:sz w:val="20"/>
              </w:rPr>
              <w:t>Discounted Cost/LY</w:t>
            </w:r>
          </w:p>
        </w:tc>
        <w:tc>
          <w:tcPr>
            <w:tcW w:w="1288" w:type="pct"/>
            <w:noWrap/>
          </w:tcPr>
          <w:p w14:paraId="2F3844FC" w14:textId="77777777" w:rsidR="002C71D0" w:rsidRPr="00EA702F" w:rsidRDefault="00855EF1" w:rsidP="002C71D0">
            <w:pPr>
              <w:spacing w:before="20" w:after="20"/>
              <w:jc w:val="center"/>
              <w:rPr>
                <w:rFonts w:ascii="Arial Narrow" w:hAnsi="Arial Narrow"/>
                <w:color w:val="000000"/>
                <w:sz w:val="20"/>
                <w:highlight w:val="green"/>
              </w:rPr>
            </w:pPr>
            <w:r w:rsidRPr="00855EF1">
              <w:rPr>
                <w:rFonts w:ascii="Arial Narrow" w:hAnsi="Arial Narrow"/>
                <w:color w:val="000000"/>
                <w:sz w:val="20"/>
              </w:rPr>
              <w:t>$redacted</w:t>
            </w:r>
          </w:p>
        </w:tc>
      </w:tr>
      <w:tr w:rsidR="002C71D0" w:rsidRPr="0079129A" w14:paraId="0400DBEC" w14:textId="77777777" w:rsidTr="00AB75A3">
        <w:tc>
          <w:tcPr>
            <w:tcW w:w="3712" w:type="pct"/>
            <w:gridSpan w:val="3"/>
            <w:noWrap/>
            <w:hideMark/>
          </w:tcPr>
          <w:p w14:paraId="577C082A" w14:textId="77777777" w:rsidR="002C71D0" w:rsidRPr="0079129A" w:rsidRDefault="002C71D0" w:rsidP="002C71D0">
            <w:pPr>
              <w:spacing w:before="20" w:after="20"/>
              <w:jc w:val="right"/>
              <w:rPr>
                <w:rFonts w:ascii="Arial Narrow" w:hAnsi="Arial Narrow"/>
                <w:b/>
                <w:color w:val="000000"/>
                <w:sz w:val="20"/>
              </w:rPr>
            </w:pPr>
            <w:r w:rsidRPr="0079129A">
              <w:rPr>
                <w:rFonts w:ascii="Arial Narrow" w:hAnsi="Arial Narrow" w:cs="Calibri"/>
                <w:b/>
                <w:color w:val="000000"/>
                <w:sz w:val="20"/>
              </w:rPr>
              <w:t>Discounted Cost/QALY</w:t>
            </w:r>
          </w:p>
        </w:tc>
        <w:tc>
          <w:tcPr>
            <w:tcW w:w="1288" w:type="pct"/>
            <w:noWrap/>
          </w:tcPr>
          <w:p w14:paraId="4C52151D" w14:textId="77777777" w:rsidR="002C71D0" w:rsidRPr="00855EF1" w:rsidRDefault="00855EF1" w:rsidP="002C71D0">
            <w:pPr>
              <w:spacing w:before="20" w:after="20"/>
              <w:jc w:val="center"/>
              <w:rPr>
                <w:rFonts w:ascii="Arial Narrow" w:hAnsi="Arial Narrow"/>
                <w:b/>
                <w:color w:val="000000"/>
                <w:sz w:val="20"/>
                <w:highlight w:val="green"/>
              </w:rPr>
            </w:pPr>
            <w:r w:rsidRPr="00855EF1">
              <w:rPr>
                <w:rFonts w:ascii="Arial Narrow" w:hAnsi="Arial Narrow"/>
                <w:b/>
                <w:color w:val="000000"/>
                <w:sz w:val="20"/>
              </w:rPr>
              <w:t>$redacted</w:t>
            </w:r>
          </w:p>
        </w:tc>
      </w:tr>
    </w:tbl>
    <w:p w14:paraId="30018CCE" w14:textId="77777777" w:rsidR="002C71D0" w:rsidRDefault="002C71D0" w:rsidP="002C71D0">
      <w:pPr>
        <w:pStyle w:val="Heading1"/>
        <w:spacing w:before="0" w:after="0"/>
      </w:pPr>
      <w:r w:rsidRPr="00B02E35">
        <w:lastRenderedPageBreak/>
        <w:t>Financial/budgetary impacts</w:t>
      </w:r>
    </w:p>
    <w:p w14:paraId="46838AC9" w14:textId="77777777" w:rsidR="002C71D0" w:rsidRDefault="002C71D0" w:rsidP="00855EF1">
      <w:pPr>
        <w:spacing w:before="240"/>
      </w:pPr>
      <w:r>
        <w:t xml:space="preserve">The resubmission’s financial estimates (Table </w:t>
      </w:r>
      <w:r w:rsidR="00EA046C">
        <w:t>7</w:t>
      </w:r>
      <w:r>
        <w:t>) included the following changes:</w:t>
      </w:r>
    </w:p>
    <w:p w14:paraId="3F701397" w14:textId="77777777" w:rsidR="002C71D0" w:rsidRPr="0079129A" w:rsidRDefault="002C71D0" w:rsidP="002C71D0">
      <w:pPr>
        <w:pStyle w:val="ListParagraph"/>
        <w:numPr>
          <w:ilvl w:val="0"/>
          <w:numId w:val="26"/>
        </w:numPr>
        <w:ind w:left="426" w:hanging="426"/>
        <w:jc w:val="both"/>
      </w:pPr>
      <w:r w:rsidRPr="0079129A">
        <w:t xml:space="preserve">The </w:t>
      </w:r>
      <w:r>
        <w:t>resubmission</w:t>
      </w:r>
      <w:r w:rsidRPr="0079129A">
        <w:t xml:space="preserve"> considers the financial impact of the proposed program across all government healthcare budgets; </w:t>
      </w:r>
    </w:p>
    <w:p w14:paraId="49AC6823" w14:textId="77777777" w:rsidR="002C71D0" w:rsidRPr="0079129A" w:rsidRDefault="002C71D0" w:rsidP="002C71D0">
      <w:pPr>
        <w:pStyle w:val="ListParagraph"/>
        <w:numPr>
          <w:ilvl w:val="0"/>
          <w:numId w:val="26"/>
        </w:numPr>
        <w:ind w:left="426" w:hanging="426"/>
        <w:jc w:val="both"/>
      </w:pPr>
      <w:r w:rsidRPr="0079129A">
        <w:t>Estimates of the eligible population in the first two years of the analysis have been increased to account for current prevalent rela</w:t>
      </w:r>
      <w:r>
        <w:t>psed / refractory DLBCL cases;</w:t>
      </w:r>
    </w:p>
    <w:p w14:paraId="7623F036" w14:textId="77777777" w:rsidR="002C71D0" w:rsidRPr="0079129A" w:rsidRDefault="002C71D0" w:rsidP="002C71D0">
      <w:pPr>
        <w:pStyle w:val="ListParagraph"/>
        <w:numPr>
          <w:ilvl w:val="0"/>
          <w:numId w:val="26"/>
        </w:numPr>
        <w:ind w:left="426" w:hanging="426"/>
        <w:jc w:val="both"/>
      </w:pPr>
      <w:r w:rsidRPr="0079129A">
        <w:t>Additional disaggregated uptake assumptions have been applied, incorporating updated expectations around geographical access and likely utilisation of CAR-T therapy;</w:t>
      </w:r>
    </w:p>
    <w:p w14:paraId="5BC33E3A" w14:textId="77777777" w:rsidR="002C71D0" w:rsidRPr="0079129A" w:rsidRDefault="002C71D0" w:rsidP="002C71D0">
      <w:pPr>
        <w:pStyle w:val="ListParagraph"/>
        <w:numPr>
          <w:ilvl w:val="0"/>
          <w:numId w:val="26"/>
        </w:numPr>
        <w:ind w:left="426" w:hanging="426"/>
        <w:jc w:val="both"/>
      </w:pPr>
      <w:r w:rsidRPr="0079129A">
        <w:t>The previous market share approach has been discarded and revised estimates account for the total expected uptake of CAR-T therapies within the target r/r DLBCL indication;</w:t>
      </w:r>
    </w:p>
    <w:p w14:paraId="6C372596" w14:textId="77777777" w:rsidR="002C71D0" w:rsidRPr="0079129A" w:rsidRDefault="002C71D0" w:rsidP="002C71D0">
      <w:pPr>
        <w:pStyle w:val="ListParagraph"/>
        <w:numPr>
          <w:ilvl w:val="0"/>
          <w:numId w:val="26"/>
        </w:numPr>
        <w:ind w:left="426" w:hanging="426"/>
        <w:jc w:val="both"/>
      </w:pPr>
      <w:r w:rsidRPr="0079129A">
        <w:t xml:space="preserve">Cost estimates have been refined to separately consider infused and non-infused patients, explicitly assuming that the applicant will not receive any funding for the latter group; </w:t>
      </w:r>
    </w:p>
    <w:p w14:paraId="1AA9E8A0" w14:textId="77777777" w:rsidR="002C71D0" w:rsidRPr="0079129A" w:rsidRDefault="002C71D0" w:rsidP="002C71D0">
      <w:pPr>
        <w:pStyle w:val="ListParagraph"/>
        <w:numPr>
          <w:ilvl w:val="0"/>
          <w:numId w:val="26"/>
        </w:numPr>
        <w:ind w:left="426" w:hanging="426"/>
        <w:jc w:val="both"/>
      </w:pPr>
      <w:r w:rsidRPr="0079129A">
        <w:t>Increased costs related to Grade 3/4 adverse events and prolonged IVIg administration have been incorporated, consistent with the revised economic evaluation;</w:t>
      </w:r>
      <w:r>
        <w:t xml:space="preserve"> and</w:t>
      </w:r>
    </w:p>
    <w:p w14:paraId="034E02CB" w14:textId="77777777" w:rsidR="002C71D0" w:rsidRDefault="002C71D0" w:rsidP="002C71D0">
      <w:pPr>
        <w:pStyle w:val="ListParagraph"/>
        <w:numPr>
          <w:ilvl w:val="0"/>
          <w:numId w:val="26"/>
        </w:numPr>
        <w:ind w:left="426" w:hanging="426"/>
        <w:jc w:val="both"/>
      </w:pPr>
      <w:r w:rsidRPr="0079129A">
        <w:t>The launch price of TIS has been reduced</w:t>
      </w:r>
      <w:r w:rsidRPr="00855EF1">
        <w:t xml:space="preserve">, </w:t>
      </w:r>
      <w:r w:rsidR="00855EF1" w:rsidRPr="00855EF1">
        <w:rPr>
          <w:b/>
        </w:rPr>
        <w:t>redacted</w:t>
      </w:r>
      <w:r w:rsidRPr="00855EF1">
        <w:t>,</w:t>
      </w:r>
      <w:r w:rsidRPr="0079129A">
        <w:t xml:space="preserve"> in line with the new pricing proposal</w:t>
      </w:r>
      <w:r>
        <w:t>.</w:t>
      </w:r>
    </w:p>
    <w:p w14:paraId="62CDCFDB" w14:textId="77777777" w:rsidR="002C71D0" w:rsidRDefault="002C71D0" w:rsidP="00855EF1">
      <w:pPr>
        <w:pStyle w:val="Caption"/>
        <w:spacing w:before="240" w:after="0"/>
      </w:pPr>
      <w:r>
        <w:t xml:space="preserve">Table </w:t>
      </w:r>
      <w:r w:rsidR="00EA046C">
        <w:t>7</w:t>
      </w:r>
      <w:r>
        <w:t>: Estimated financial impact</w:t>
      </w:r>
    </w:p>
    <w:tbl>
      <w:tblPr>
        <w:tblStyle w:val="TableGrid1"/>
        <w:tblW w:w="9776" w:type="dxa"/>
        <w:tblCellMar>
          <w:left w:w="28" w:type="dxa"/>
          <w:right w:w="28" w:type="dxa"/>
        </w:tblCellMar>
        <w:tblLook w:val="04A0" w:firstRow="1" w:lastRow="0" w:firstColumn="1" w:lastColumn="0" w:noHBand="0" w:noVBand="1"/>
        <w:tblDescription w:val="Estimated financial impact"/>
      </w:tblPr>
      <w:tblGrid>
        <w:gridCol w:w="2035"/>
        <w:gridCol w:w="1060"/>
        <w:gridCol w:w="1151"/>
        <w:gridCol w:w="1151"/>
        <w:gridCol w:w="1151"/>
        <w:gridCol w:w="1060"/>
        <w:gridCol w:w="1060"/>
        <w:gridCol w:w="1108"/>
      </w:tblGrid>
      <w:tr w:rsidR="002C71D0" w:rsidRPr="00847C36" w14:paraId="1847C57A" w14:textId="77777777" w:rsidTr="009976D8">
        <w:trPr>
          <w:trHeight w:val="198"/>
          <w:tblHeader/>
        </w:trPr>
        <w:tc>
          <w:tcPr>
            <w:tcW w:w="2035" w:type="dxa"/>
            <w:shd w:val="clear" w:color="auto" w:fill="A6A6A6" w:themeFill="background1" w:themeFillShade="A6"/>
            <w:noWrap/>
            <w:hideMark/>
          </w:tcPr>
          <w:p w14:paraId="0CABE18D" w14:textId="77777777" w:rsidR="002C71D0" w:rsidRPr="00847C36" w:rsidRDefault="002C71D0" w:rsidP="002C71D0">
            <w:pPr>
              <w:pStyle w:val="Table"/>
              <w:rPr>
                <w:rFonts w:ascii="Arial Narrow" w:hAnsi="Arial Narrow"/>
                <w:szCs w:val="20"/>
                <w:lang w:eastAsia="en-AU"/>
              </w:rPr>
            </w:pPr>
            <w:r w:rsidRPr="00847C36">
              <w:rPr>
                <w:rFonts w:ascii="Arial Narrow" w:hAnsi="Arial Narrow"/>
                <w:szCs w:val="20"/>
                <w:lang w:eastAsia="en-AU"/>
              </w:rPr>
              <w:t>Total Patients</w:t>
            </w:r>
          </w:p>
        </w:tc>
        <w:tc>
          <w:tcPr>
            <w:tcW w:w="1060" w:type="dxa"/>
            <w:shd w:val="clear" w:color="auto" w:fill="A6A6A6" w:themeFill="background1" w:themeFillShade="A6"/>
            <w:noWrap/>
            <w:hideMark/>
          </w:tcPr>
          <w:p w14:paraId="38F8924C" w14:textId="77777777" w:rsidR="002C71D0" w:rsidRPr="00847C36" w:rsidRDefault="002C71D0" w:rsidP="002C71D0">
            <w:pPr>
              <w:pStyle w:val="Table"/>
              <w:jc w:val="center"/>
              <w:rPr>
                <w:rFonts w:ascii="Arial Narrow" w:hAnsi="Arial Narrow"/>
                <w:szCs w:val="20"/>
                <w:lang w:eastAsia="en-AU"/>
              </w:rPr>
            </w:pPr>
            <w:r w:rsidRPr="00847C36">
              <w:rPr>
                <w:rFonts w:ascii="Arial Narrow" w:hAnsi="Arial Narrow"/>
                <w:szCs w:val="20"/>
              </w:rPr>
              <w:t>Year 1</w:t>
            </w:r>
          </w:p>
        </w:tc>
        <w:tc>
          <w:tcPr>
            <w:tcW w:w="1151" w:type="dxa"/>
            <w:shd w:val="clear" w:color="auto" w:fill="A6A6A6" w:themeFill="background1" w:themeFillShade="A6"/>
            <w:noWrap/>
            <w:hideMark/>
          </w:tcPr>
          <w:p w14:paraId="331150AA" w14:textId="77777777" w:rsidR="002C71D0" w:rsidRPr="00847C36" w:rsidRDefault="002C71D0" w:rsidP="002C71D0">
            <w:pPr>
              <w:pStyle w:val="Table"/>
              <w:jc w:val="center"/>
              <w:rPr>
                <w:rFonts w:ascii="Arial Narrow" w:hAnsi="Arial Narrow"/>
                <w:szCs w:val="20"/>
                <w:lang w:eastAsia="en-AU"/>
              </w:rPr>
            </w:pPr>
            <w:r w:rsidRPr="00847C36">
              <w:rPr>
                <w:rFonts w:ascii="Arial Narrow" w:hAnsi="Arial Narrow"/>
                <w:szCs w:val="20"/>
              </w:rPr>
              <w:t>Year 2</w:t>
            </w:r>
          </w:p>
        </w:tc>
        <w:tc>
          <w:tcPr>
            <w:tcW w:w="1151" w:type="dxa"/>
            <w:shd w:val="clear" w:color="auto" w:fill="A6A6A6" w:themeFill="background1" w:themeFillShade="A6"/>
            <w:noWrap/>
            <w:hideMark/>
          </w:tcPr>
          <w:p w14:paraId="3A50688B" w14:textId="77777777" w:rsidR="002C71D0" w:rsidRPr="00847C36" w:rsidRDefault="002C71D0" w:rsidP="002C71D0">
            <w:pPr>
              <w:pStyle w:val="Table"/>
              <w:jc w:val="center"/>
              <w:rPr>
                <w:rFonts w:ascii="Arial Narrow" w:hAnsi="Arial Narrow"/>
                <w:szCs w:val="20"/>
                <w:lang w:eastAsia="en-AU"/>
              </w:rPr>
            </w:pPr>
            <w:r w:rsidRPr="00847C36">
              <w:rPr>
                <w:rFonts w:ascii="Arial Narrow" w:hAnsi="Arial Narrow"/>
                <w:szCs w:val="20"/>
              </w:rPr>
              <w:t>Year 3</w:t>
            </w:r>
          </w:p>
        </w:tc>
        <w:tc>
          <w:tcPr>
            <w:tcW w:w="1151" w:type="dxa"/>
            <w:shd w:val="clear" w:color="auto" w:fill="A6A6A6" w:themeFill="background1" w:themeFillShade="A6"/>
            <w:noWrap/>
            <w:hideMark/>
          </w:tcPr>
          <w:p w14:paraId="39C76DB8" w14:textId="77777777" w:rsidR="002C71D0" w:rsidRPr="00847C36" w:rsidRDefault="002C71D0" w:rsidP="002C71D0">
            <w:pPr>
              <w:pStyle w:val="Table"/>
              <w:jc w:val="center"/>
              <w:rPr>
                <w:rFonts w:ascii="Arial Narrow" w:hAnsi="Arial Narrow"/>
                <w:szCs w:val="20"/>
                <w:lang w:eastAsia="en-AU"/>
              </w:rPr>
            </w:pPr>
            <w:r w:rsidRPr="00847C36">
              <w:rPr>
                <w:rFonts w:ascii="Arial Narrow" w:hAnsi="Arial Narrow"/>
                <w:szCs w:val="20"/>
              </w:rPr>
              <w:t>Year 4</w:t>
            </w:r>
          </w:p>
        </w:tc>
        <w:tc>
          <w:tcPr>
            <w:tcW w:w="1060" w:type="dxa"/>
            <w:shd w:val="clear" w:color="auto" w:fill="A6A6A6" w:themeFill="background1" w:themeFillShade="A6"/>
            <w:noWrap/>
            <w:hideMark/>
          </w:tcPr>
          <w:p w14:paraId="32C901CA" w14:textId="77777777" w:rsidR="002C71D0" w:rsidRPr="00847C36" w:rsidRDefault="002C71D0" w:rsidP="002C71D0">
            <w:pPr>
              <w:pStyle w:val="Table"/>
              <w:jc w:val="center"/>
              <w:rPr>
                <w:rFonts w:ascii="Arial Narrow" w:hAnsi="Arial Narrow"/>
                <w:szCs w:val="20"/>
                <w:lang w:eastAsia="en-AU"/>
              </w:rPr>
            </w:pPr>
            <w:r w:rsidRPr="00847C36">
              <w:rPr>
                <w:rFonts w:ascii="Arial Narrow" w:hAnsi="Arial Narrow"/>
                <w:szCs w:val="20"/>
              </w:rPr>
              <w:t>Year 5</w:t>
            </w:r>
          </w:p>
        </w:tc>
        <w:tc>
          <w:tcPr>
            <w:tcW w:w="1060" w:type="dxa"/>
            <w:shd w:val="clear" w:color="auto" w:fill="A6A6A6" w:themeFill="background1" w:themeFillShade="A6"/>
            <w:noWrap/>
            <w:hideMark/>
          </w:tcPr>
          <w:p w14:paraId="645662F8" w14:textId="77777777" w:rsidR="002C71D0" w:rsidRPr="00847C36" w:rsidRDefault="002C71D0" w:rsidP="002C71D0">
            <w:pPr>
              <w:pStyle w:val="Table"/>
              <w:jc w:val="center"/>
              <w:rPr>
                <w:rFonts w:ascii="Arial Narrow" w:hAnsi="Arial Narrow"/>
                <w:szCs w:val="20"/>
                <w:lang w:eastAsia="en-AU"/>
              </w:rPr>
            </w:pPr>
            <w:r w:rsidRPr="00847C36">
              <w:rPr>
                <w:rFonts w:ascii="Arial Narrow" w:hAnsi="Arial Narrow"/>
                <w:szCs w:val="20"/>
              </w:rPr>
              <w:t>Year 6</w:t>
            </w:r>
          </w:p>
        </w:tc>
        <w:tc>
          <w:tcPr>
            <w:tcW w:w="1108" w:type="dxa"/>
            <w:shd w:val="clear" w:color="auto" w:fill="A6A6A6" w:themeFill="background1" w:themeFillShade="A6"/>
          </w:tcPr>
          <w:p w14:paraId="611FB3F6" w14:textId="77777777" w:rsidR="002C71D0" w:rsidRPr="00847C36" w:rsidRDefault="002C71D0" w:rsidP="002C71D0">
            <w:pPr>
              <w:pStyle w:val="Table"/>
              <w:jc w:val="center"/>
              <w:rPr>
                <w:rFonts w:ascii="Arial Narrow" w:hAnsi="Arial Narrow"/>
                <w:szCs w:val="20"/>
              </w:rPr>
            </w:pPr>
            <w:r w:rsidRPr="00847C36">
              <w:rPr>
                <w:rFonts w:ascii="Arial Narrow" w:hAnsi="Arial Narrow"/>
                <w:szCs w:val="20"/>
              </w:rPr>
              <w:t>Total</w:t>
            </w:r>
          </w:p>
        </w:tc>
      </w:tr>
      <w:tr w:rsidR="00855EF1" w:rsidRPr="00847C36" w14:paraId="596526AB" w14:textId="77777777" w:rsidTr="002C71D0">
        <w:trPr>
          <w:trHeight w:val="198"/>
        </w:trPr>
        <w:tc>
          <w:tcPr>
            <w:tcW w:w="2035" w:type="dxa"/>
            <w:noWrap/>
            <w:hideMark/>
          </w:tcPr>
          <w:p w14:paraId="146F9C62"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Eligible population</w:t>
            </w:r>
          </w:p>
        </w:tc>
        <w:tc>
          <w:tcPr>
            <w:tcW w:w="1060" w:type="dxa"/>
            <w:noWrap/>
          </w:tcPr>
          <w:p w14:paraId="18CF24E2" w14:textId="77777777" w:rsidR="00855EF1" w:rsidRPr="00EA702F" w:rsidRDefault="00855EF1" w:rsidP="00855EF1">
            <w:pPr>
              <w:pStyle w:val="Table"/>
              <w:jc w:val="center"/>
              <w:rPr>
                <w:rFonts w:ascii="Arial Narrow" w:hAnsi="Arial Narrow"/>
                <w:color w:val="000000"/>
                <w:szCs w:val="20"/>
                <w:highlight w:val="green"/>
                <w:lang w:eastAsia="en-AU"/>
              </w:rPr>
            </w:pPr>
            <w:r w:rsidRPr="00855EF1">
              <w:rPr>
                <w:rFonts w:ascii="Arial Narrow" w:hAnsi="Arial Narrow"/>
                <w:szCs w:val="20"/>
              </w:rPr>
              <w:t>redacted</w:t>
            </w:r>
          </w:p>
        </w:tc>
        <w:tc>
          <w:tcPr>
            <w:tcW w:w="1151" w:type="dxa"/>
            <w:noWrap/>
          </w:tcPr>
          <w:p w14:paraId="5DC6BE4D" w14:textId="77777777" w:rsidR="00855EF1" w:rsidRPr="00EA702F" w:rsidRDefault="00855EF1" w:rsidP="00855EF1">
            <w:pPr>
              <w:pStyle w:val="Table"/>
              <w:jc w:val="center"/>
              <w:rPr>
                <w:rFonts w:ascii="Arial Narrow" w:hAnsi="Arial Narrow"/>
                <w:color w:val="000000"/>
                <w:szCs w:val="20"/>
                <w:highlight w:val="green"/>
                <w:lang w:eastAsia="en-AU"/>
              </w:rPr>
            </w:pPr>
            <w:r w:rsidRPr="00855EF1">
              <w:rPr>
                <w:rFonts w:ascii="Arial Narrow" w:hAnsi="Arial Narrow"/>
                <w:szCs w:val="20"/>
              </w:rPr>
              <w:t>redacted</w:t>
            </w:r>
          </w:p>
        </w:tc>
        <w:tc>
          <w:tcPr>
            <w:tcW w:w="1151" w:type="dxa"/>
            <w:noWrap/>
          </w:tcPr>
          <w:p w14:paraId="2C7F85C3" w14:textId="77777777" w:rsidR="00855EF1" w:rsidRPr="00EA702F" w:rsidRDefault="00855EF1" w:rsidP="00855EF1">
            <w:pPr>
              <w:pStyle w:val="Table"/>
              <w:jc w:val="center"/>
              <w:rPr>
                <w:rFonts w:ascii="Arial Narrow" w:hAnsi="Arial Narrow"/>
                <w:color w:val="000000"/>
                <w:szCs w:val="20"/>
                <w:highlight w:val="green"/>
                <w:lang w:eastAsia="en-AU"/>
              </w:rPr>
            </w:pPr>
            <w:r w:rsidRPr="00855EF1">
              <w:rPr>
                <w:rFonts w:ascii="Arial Narrow" w:hAnsi="Arial Narrow"/>
                <w:szCs w:val="20"/>
              </w:rPr>
              <w:t>redacted</w:t>
            </w:r>
          </w:p>
        </w:tc>
        <w:tc>
          <w:tcPr>
            <w:tcW w:w="1151" w:type="dxa"/>
            <w:noWrap/>
          </w:tcPr>
          <w:p w14:paraId="333B51FF" w14:textId="77777777" w:rsidR="00855EF1" w:rsidRPr="00EA702F" w:rsidRDefault="00855EF1" w:rsidP="00855EF1">
            <w:pPr>
              <w:pStyle w:val="Table"/>
              <w:jc w:val="center"/>
              <w:rPr>
                <w:rFonts w:ascii="Arial Narrow" w:hAnsi="Arial Narrow"/>
                <w:color w:val="000000"/>
                <w:szCs w:val="20"/>
                <w:highlight w:val="green"/>
                <w:lang w:eastAsia="en-AU"/>
              </w:rPr>
            </w:pPr>
            <w:r w:rsidRPr="00F30B51">
              <w:rPr>
                <w:rFonts w:ascii="Arial Narrow" w:hAnsi="Arial Narrow"/>
                <w:szCs w:val="20"/>
              </w:rPr>
              <w:t>redacted</w:t>
            </w:r>
          </w:p>
        </w:tc>
        <w:tc>
          <w:tcPr>
            <w:tcW w:w="1060" w:type="dxa"/>
            <w:noWrap/>
          </w:tcPr>
          <w:p w14:paraId="05C57A68" w14:textId="77777777" w:rsidR="00855EF1" w:rsidRPr="00EA702F" w:rsidRDefault="00855EF1" w:rsidP="00855EF1">
            <w:pPr>
              <w:pStyle w:val="Table"/>
              <w:jc w:val="center"/>
              <w:rPr>
                <w:rFonts w:ascii="Arial Narrow" w:hAnsi="Arial Narrow"/>
                <w:color w:val="000000"/>
                <w:szCs w:val="20"/>
                <w:highlight w:val="green"/>
                <w:lang w:eastAsia="en-AU"/>
              </w:rPr>
            </w:pPr>
            <w:r w:rsidRPr="00F30B51">
              <w:rPr>
                <w:rFonts w:ascii="Arial Narrow" w:hAnsi="Arial Narrow"/>
                <w:szCs w:val="20"/>
              </w:rPr>
              <w:t>redacted</w:t>
            </w:r>
          </w:p>
        </w:tc>
        <w:tc>
          <w:tcPr>
            <w:tcW w:w="1060" w:type="dxa"/>
            <w:noWrap/>
          </w:tcPr>
          <w:p w14:paraId="03F5A84C" w14:textId="77777777" w:rsidR="00855EF1" w:rsidRPr="00EA702F" w:rsidRDefault="00855EF1" w:rsidP="00855EF1">
            <w:pPr>
              <w:pStyle w:val="Table"/>
              <w:jc w:val="center"/>
              <w:rPr>
                <w:rFonts w:ascii="Arial Narrow" w:hAnsi="Arial Narrow"/>
                <w:color w:val="000000"/>
                <w:szCs w:val="20"/>
                <w:highlight w:val="green"/>
                <w:lang w:eastAsia="en-AU"/>
              </w:rPr>
            </w:pPr>
            <w:r w:rsidRPr="00E66879">
              <w:rPr>
                <w:rFonts w:ascii="Arial Narrow" w:hAnsi="Arial Narrow"/>
                <w:szCs w:val="20"/>
              </w:rPr>
              <w:t>redacted</w:t>
            </w:r>
          </w:p>
        </w:tc>
        <w:tc>
          <w:tcPr>
            <w:tcW w:w="1108" w:type="dxa"/>
          </w:tcPr>
          <w:p w14:paraId="02462E26" w14:textId="77777777" w:rsidR="00855EF1" w:rsidRPr="00EA702F" w:rsidRDefault="00855EF1" w:rsidP="00855EF1">
            <w:pPr>
              <w:pStyle w:val="Table"/>
              <w:jc w:val="center"/>
              <w:rPr>
                <w:rFonts w:ascii="Arial Narrow" w:hAnsi="Arial Narrow"/>
                <w:szCs w:val="20"/>
                <w:highlight w:val="green"/>
              </w:rPr>
            </w:pPr>
            <w:r w:rsidRPr="00E66879">
              <w:rPr>
                <w:rFonts w:ascii="Arial Narrow" w:hAnsi="Arial Narrow"/>
                <w:szCs w:val="20"/>
              </w:rPr>
              <w:t>redacted</w:t>
            </w:r>
          </w:p>
        </w:tc>
      </w:tr>
      <w:tr w:rsidR="00855EF1" w:rsidRPr="00847C36" w14:paraId="55152EA3" w14:textId="77777777" w:rsidTr="002C71D0">
        <w:trPr>
          <w:trHeight w:val="198"/>
        </w:trPr>
        <w:tc>
          <w:tcPr>
            <w:tcW w:w="2035" w:type="dxa"/>
            <w:noWrap/>
          </w:tcPr>
          <w:p w14:paraId="1889572D"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TIS patients (infused)</w:t>
            </w:r>
          </w:p>
        </w:tc>
        <w:tc>
          <w:tcPr>
            <w:tcW w:w="1060" w:type="dxa"/>
            <w:noWrap/>
          </w:tcPr>
          <w:p w14:paraId="67E216C9" w14:textId="77777777" w:rsidR="00855EF1" w:rsidRPr="00EA702F" w:rsidRDefault="00855EF1" w:rsidP="00855EF1">
            <w:pPr>
              <w:pStyle w:val="Table"/>
              <w:jc w:val="center"/>
              <w:rPr>
                <w:rFonts w:ascii="Arial Narrow" w:hAnsi="Arial Narrow"/>
                <w:szCs w:val="20"/>
                <w:highlight w:val="green"/>
              </w:rPr>
            </w:pPr>
            <w:r w:rsidRPr="00855EF1">
              <w:rPr>
                <w:rFonts w:ascii="Arial Narrow" w:hAnsi="Arial Narrow"/>
                <w:szCs w:val="20"/>
              </w:rPr>
              <w:t>redacted</w:t>
            </w:r>
          </w:p>
        </w:tc>
        <w:tc>
          <w:tcPr>
            <w:tcW w:w="1151" w:type="dxa"/>
            <w:noWrap/>
          </w:tcPr>
          <w:p w14:paraId="67911B1F" w14:textId="77777777" w:rsidR="00855EF1" w:rsidRPr="00EA702F" w:rsidRDefault="00855EF1" w:rsidP="00855EF1">
            <w:pPr>
              <w:pStyle w:val="Table"/>
              <w:jc w:val="center"/>
              <w:rPr>
                <w:rFonts w:ascii="Arial Narrow" w:hAnsi="Arial Narrow"/>
                <w:szCs w:val="20"/>
                <w:highlight w:val="green"/>
              </w:rPr>
            </w:pPr>
            <w:r w:rsidRPr="00855EF1">
              <w:rPr>
                <w:rFonts w:ascii="Arial Narrow" w:hAnsi="Arial Narrow"/>
                <w:szCs w:val="20"/>
              </w:rPr>
              <w:t>redacted</w:t>
            </w:r>
          </w:p>
        </w:tc>
        <w:tc>
          <w:tcPr>
            <w:tcW w:w="1151" w:type="dxa"/>
            <w:noWrap/>
          </w:tcPr>
          <w:p w14:paraId="44CA6900" w14:textId="77777777" w:rsidR="00855EF1" w:rsidRPr="00EA702F" w:rsidRDefault="00855EF1" w:rsidP="00855EF1">
            <w:pPr>
              <w:pStyle w:val="Table"/>
              <w:jc w:val="center"/>
              <w:rPr>
                <w:rFonts w:ascii="Arial Narrow" w:hAnsi="Arial Narrow"/>
                <w:szCs w:val="20"/>
                <w:highlight w:val="green"/>
              </w:rPr>
            </w:pPr>
            <w:r w:rsidRPr="00855EF1">
              <w:rPr>
                <w:rFonts w:ascii="Arial Narrow" w:hAnsi="Arial Narrow"/>
                <w:szCs w:val="20"/>
              </w:rPr>
              <w:t>redacted</w:t>
            </w:r>
          </w:p>
        </w:tc>
        <w:tc>
          <w:tcPr>
            <w:tcW w:w="1151" w:type="dxa"/>
            <w:noWrap/>
          </w:tcPr>
          <w:p w14:paraId="242AFEB1" w14:textId="77777777" w:rsidR="00855EF1" w:rsidRPr="00EA702F" w:rsidRDefault="00855EF1" w:rsidP="00855EF1">
            <w:pPr>
              <w:pStyle w:val="Table"/>
              <w:jc w:val="center"/>
              <w:rPr>
                <w:rFonts w:ascii="Arial Narrow" w:hAnsi="Arial Narrow"/>
                <w:szCs w:val="20"/>
                <w:highlight w:val="green"/>
              </w:rPr>
            </w:pPr>
            <w:r w:rsidRPr="003D2641">
              <w:rPr>
                <w:rFonts w:ascii="Arial Narrow" w:hAnsi="Arial Narrow"/>
                <w:szCs w:val="20"/>
              </w:rPr>
              <w:t>redacted</w:t>
            </w:r>
          </w:p>
        </w:tc>
        <w:tc>
          <w:tcPr>
            <w:tcW w:w="1060" w:type="dxa"/>
            <w:noWrap/>
          </w:tcPr>
          <w:p w14:paraId="2079900A" w14:textId="77777777" w:rsidR="00855EF1" w:rsidRPr="00EA702F" w:rsidRDefault="00855EF1" w:rsidP="00855EF1">
            <w:pPr>
              <w:pStyle w:val="Table"/>
              <w:jc w:val="center"/>
              <w:rPr>
                <w:rFonts w:ascii="Arial Narrow" w:hAnsi="Arial Narrow"/>
                <w:szCs w:val="20"/>
                <w:highlight w:val="green"/>
              </w:rPr>
            </w:pPr>
            <w:r w:rsidRPr="003D2641">
              <w:rPr>
                <w:rFonts w:ascii="Arial Narrow" w:hAnsi="Arial Narrow"/>
                <w:szCs w:val="20"/>
              </w:rPr>
              <w:t>redacted</w:t>
            </w:r>
          </w:p>
        </w:tc>
        <w:tc>
          <w:tcPr>
            <w:tcW w:w="1060" w:type="dxa"/>
            <w:noWrap/>
          </w:tcPr>
          <w:p w14:paraId="72978AE6" w14:textId="77777777" w:rsidR="00855EF1" w:rsidRPr="00EA702F" w:rsidRDefault="00855EF1" w:rsidP="00855EF1">
            <w:pPr>
              <w:pStyle w:val="Table"/>
              <w:jc w:val="center"/>
              <w:rPr>
                <w:rFonts w:ascii="Arial Narrow" w:hAnsi="Arial Narrow"/>
                <w:szCs w:val="20"/>
                <w:highlight w:val="green"/>
              </w:rPr>
            </w:pPr>
            <w:r w:rsidRPr="002421FA">
              <w:rPr>
                <w:rFonts w:ascii="Arial Narrow" w:hAnsi="Arial Narrow"/>
                <w:szCs w:val="20"/>
              </w:rPr>
              <w:t>redacted</w:t>
            </w:r>
          </w:p>
        </w:tc>
        <w:tc>
          <w:tcPr>
            <w:tcW w:w="1108" w:type="dxa"/>
          </w:tcPr>
          <w:p w14:paraId="3AB88D65" w14:textId="77777777" w:rsidR="00855EF1" w:rsidRPr="00EA702F" w:rsidRDefault="00855EF1" w:rsidP="00855EF1">
            <w:pPr>
              <w:pStyle w:val="Table"/>
              <w:jc w:val="center"/>
              <w:rPr>
                <w:rFonts w:ascii="Arial Narrow" w:hAnsi="Arial Narrow"/>
                <w:szCs w:val="20"/>
                <w:highlight w:val="green"/>
              </w:rPr>
            </w:pPr>
            <w:r w:rsidRPr="002421FA">
              <w:rPr>
                <w:rFonts w:ascii="Arial Narrow" w:hAnsi="Arial Narrow"/>
                <w:szCs w:val="20"/>
              </w:rPr>
              <w:t>redacted</w:t>
            </w:r>
          </w:p>
        </w:tc>
      </w:tr>
      <w:tr w:rsidR="00855EF1" w:rsidRPr="00847C36" w14:paraId="2FB55CD3" w14:textId="77777777" w:rsidTr="002C71D0">
        <w:trPr>
          <w:trHeight w:val="198"/>
        </w:trPr>
        <w:tc>
          <w:tcPr>
            <w:tcW w:w="2035" w:type="dxa"/>
            <w:noWrap/>
          </w:tcPr>
          <w:p w14:paraId="28AAFFFA"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TIS patients (non-infused)</w:t>
            </w:r>
          </w:p>
        </w:tc>
        <w:tc>
          <w:tcPr>
            <w:tcW w:w="1060" w:type="dxa"/>
            <w:noWrap/>
          </w:tcPr>
          <w:p w14:paraId="432AEEB7" w14:textId="77777777" w:rsidR="00855EF1" w:rsidRPr="00EA702F" w:rsidRDefault="00855EF1" w:rsidP="00855EF1">
            <w:pPr>
              <w:pStyle w:val="Table"/>
              <w:jc w:val="center"/>
              <w:rPr>
                <w:rFonts w:ascii="Arial Narrow" w:hAnsi="Arial Narrow"/>
                <w:szCs w:val="20"/>
                <w:highlight w:val="green"/>
              </w:rPr>
            </w:pPr>
            <w:r w:rsidRPr="00855EF1">
              <w:rPr>
                <w:rFonts w:ascii="Arial Narrow" w:hAnsi="Arial Narrow"/>
                <w:szCs w:val="20"/>
              </w:rPr>
              <w:t>redacted</w:t>
            </w:r>
          </w:p>
        </w:tc>
        <w:tc>
          <w:tcPr>
            <w:tcW w:w="1151" w:type="dxa"/>
            <w:noWrap/>
          </w:tcPr>
          <w:p w14:paraId="6114B49A" w14:textId="77777777" w:rsidR="00855EF1" w:rsidRPr="00EA702F" w:rsidRDefault="00855EF1" w:rsidP="00855EF1">
            <w:pPr>
              <w:pStyle w:val="Table"/>
              <w:jc w:val="center"/>
              <w:rPr>
                <w:rFonts w:ascii="Arial Narrow" w:hAnsi="Arial Narrow"/>
                <w:szCs w:val="20"/>
                <w:highlight w:val="green"/>
              </w:rPr>
            </w:pPr>
            <w:r w:rsidRPr="00855EF1">
              <w:rPr>
                <w:rFonts w:ascii="Arial Narrow" w:hAnsi="Arial Narrow"/>
                <w:szCs w:val="20"/>
              </w:rPr>
              <w:t>redacted</w:t>
            </w:r>
          </w:p>
        </w:tc>
        <w:tc>
          <w:tcPr>
            <w:tcW w:w="1151" w:type="dxa"/>
            <w:noWrap/>
          </w:tcPr>
          <w:p w14:paraId="726154C7" w14:textId="77777777" w:rsidR="00855EF1" w:rsidRPr="00EA702F" w:rsidRDefault="00855EF1" w:rsidP="00855EF1">
            <w:pPr>
              <w:pStyle w:val="Table"/>
              <w:jc w:val="center"/>
              <w:rPr>
                <w:rFonts w:ascii="Arial Narrow" w:hAnsi="Arial Narrow"/>
                <w:szCs w:val="20"/>
                <w:highlight w:val="green"/>
              </w:rPr>
            </w:pPr>
            <w:r w:rsidRPr="00855EF1">
              <w:rPr>
                <w:rFonts w:ascii="Arial Narrow" w:hAnsi="Arial Narrow"/>
                <w:szCs w:val="20"/>
              </w:rPr>
              <w:t>redacted</w:t>
            </w:r>
          </w:p>
        </w:tc>
        <w:tc>
          <w:tcPr>
            <w:tcW w:w="1151" w:type="dxa"/>
            <w:noWrap/>
          </w:tcPr>
          <w:p w14:paraId="1AFE5885" w14:textId="77777777" w:rsidR="00855EF1" w:rsidRPr="00EA702F" w:rsidRDefault="00855EF1" w:rsidP="00855EF1">
            <w:pPr>
              <w:pStyle w:val="Table"/>
              <w:jc w:val="center"/>
              <w:rPr>
                <w:rFonts w:ascii="Arial Narrow" w:hAnsi="Arial Narrow"/>
                <w:szCs w:val="20"/>
                <w:highlight w:val="green"/>
              </w:rPr>
            </w:pPr>
            <w:r w:rsidRPr="00160AE9">
              <w:rPr>
                <w:rFonts w:ascii="Arial Narrow" w:hAnsi="Arial Narrow"/>
                <w:szCs w:val="20"/>
              </w:rPr>
              <w:t>redacted</w:t>
            </w:r>
          </w:p>
        </w:tc>
        <w:tc>
          <w:tcPr>
            <w:tcW w:w="1060" w:type="dxa"/>
            <w:noWrap/>
          </w:tcPr>
          <w:p w14:paraId="2A96B478" w14:textId="77777777" w:rsidR="00855EF1" w:rsidRPr="00EA702F" w:rsidRDefault="00855EF1" w:rsidP="00855EF1">
            <w:pPr>
              <w:pStyle w:val="Table"/>
              <w:jc w:val="center"/>
              <w:rPr>
                <w:rFonts w:ascii="Arial Narrow" w:hAnsi="Arial Narrow"/>
                <w:szCs w:val="20"/>
                <w:highlight w:val="green"/>
              </w:rPr>
            </w:pPr>
            <w:r w:rsidRPr="00160AE9">
              <w:rPr>
                <w:rFonts w:ascii="Arial Narrow" w:hAnsi="Arial Narrow"/>
                <w:szCs w:val="20"/>
              </w:rPr>
              <w:t>redacted</w:t>
            </w:r>
          </w:p>
        </w:tc>
        <w:tc>
          <w:tcPr>
            <w:tcW w:w="1060" w:type="dxa"/>
            <w:noWrap/>
          </w:tcPr>
          <w:p w14:paraId="72962460" w14:textId="77777777" w:rsidR="00855EF1" w:rsidRPr="00EA702F" w:rsidRDefault="00855EF1" w:rsidP="00855EF1">
            <w:pPr>
              <w:pStyle w:val="Table"/>
              <w:jc w:val="center"/>
              <w:rPr>
                <w:rFonts w:ascii="Arial Narrow" w:hAnsi="Arial Narrow"/>
                <w:szCs w:val="20"/>
                <w:highlight w:val="green"/>
              </w:rPr>
            </w:pPr>
            <w:r w:rsidRPr="0089430E">
              <w:rPr>
                <w:rFonts w:ascii="Arial Narrow" w:hAnsi="Arial Narrow"/>
                <w:szCs w:val="20"/>
              </w:rPr>
              <w:t>redacted</w:t>
            </w:r>
          </w:p>
        </w:tc>
        <w:tc>
          <w:tcPr>
            <w:tcW w:w="1108" w:type="dxa"/>
          </w:tcPr>
          <w:p w14:paraId="04FE6D57" w14:textId="77777777" w:rsidR="00855EF1" w:rsidRPr="00EA702F" w:rsidRDefault="00855EF1" w:rsidP="00855EF1">
            <w:pPr>
              <w:pStyle w:val="Table"/>
              <w:jc w:val="center"/>
              <w:rPr>
                <w:rFonts w:ascii="Arial Narrow" w:hAnsi="Arial Narrow"/>
                <w:szCs w:val="20"/>
                <w:highlight w:val="green"/>
              </w:rPr>
            </w:pPr>
            <w:r w:rsidRPr="0089430E">
              <w:rPr>
                <w:rFonts w:ascii="Arial Narrow" w:hAnsi="Arial Narrow"/>
                <w:szCs w:val="20"/>
              </w:rPr>
              <w:t>redacted</w:t>
            </w:r>
          </w:p>
        </w:tc>
      </w:tr>
      <w:tr w:rsidR="00855EF1" w:rsidRPr="00847C36" w14:paraId="1DF9219C" w14:textId="77777777" w:rsidTr="002C71D0">
        <w:trPr>
          <w:trHeight w:val="198"/>
        </w:trPr>
        <w:tc>
          <w:tcPr>
            <w:tcW w:w="2035" w:type="dxa"/>
            <w:noWrap/>
          </w:tcPr>
          <w:p w14:paraId="5BB6E9A9"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TIS costs (infused)</w:t>
            </w:r>
          </w:p>
        </w:tc>
        <w:tc>
          <w:tcPr>
            <w:tcW w:w="1060" w:type="dxa"/>
            <w:noWrap/>
          </w:tcPr>
          <w:p w14:paraId="132EDE86" w14:textId="77777777" w:rsidR="00855EF1" w:rsidRPr="00EA702F" w:rsidRDefault="00855EF1" w:rsidP="00855EF1">
            <w:pPr>
              <w:pStyle w:val="Table"/>
              <w:jc w:val="center"/>
              <w:rPr>
                <w:rFonts w:ascii="Arial Narrow" w:hAnsi="Arial Narrow"/>
                <w:color w:val="000000"/>
                <w:szCs w:val="20"/>
                <w:highlight w:val="green"/>
                <w:lang w:eastAsia="en-AU"/>
              </w:rPr>
            </w:pPr>
            <w:r w:rsidRPr="00855EF1">
              <w:rPr>
                <w:rFonts w:ascii="Arial Narrow" w:hAnsi="Arial Narrow"/>
                <w:szCs w:val="20"/>
              </w:rPr>
              <w:t>$redacted</w:t>
            </w:r>
          </w:p>
        </w:tc>
        <w:tc>
          <w:tcPr>
            <w:tcW w:w="1151" w:type="dxa"/>
            <w:noWrap/>
          </w:tcPr>
          <w:p w14:paraId="081B8443" w14:textId="77777777" w:rsidR="00855EF1" w:rsidRPr="00EA702F" w:rsidRDefault="00855EF1" w:rsidP="00855EF1">
            <w:pPr>
              <w:pStyle w:val="Table"/>
              <w:jc w:val="center"/>
              <w:rPr>
                <w:rFonts w:ascii="Arial Narrow" w:hAnsi="Arial Narrow"/>
                <w:color w:val="000000"/>
                <w:szCs w:val="20"/>
                <w:highlight w:val="green"/>
                <w:lang w:eastAsia="en-AU"/>
              </w:rPr>
            </w:pPr>
            <w:r w:rsidRPr="0079248C">
              <w:rPr>
                <w:rFonts w:ascii="Arial Narrow" w:hAnsi="Arial Narrow"/>
                <w:szCs w:val="20"/>
              </w:rPr>
              <w:t>$redacted</w:t>
            </w:r>
          </w:p>
        </w:tc>
        <w:tc>
          <w:tcPr>
            <w:tcW w:w="1151" w:type="dxa"/>
            <w:noWrap/>
          </w:tcPr>
          <w:p w14:paraId="22ADC00E" w14:textId="77777777" w:rsidR="00855EF1" w:rsidRPr="00EA702F" w:rsidRDefault="00855EF1" w:rsidP="00855EF1">
            <w:pPr>
              <w:pStyle w:val="Table"/>
              <w:jc w:val="center"/>
              <w:rPr>
                <w:rFonts w:ascii="Arial Narrow" w:hAnsi="Arial Narrow"/>
                <w:color w:val="000000"/>
                <w:szCs w:val="20"/>
                <w:highlight w:val="green"/>
                <w:lang w:eastAsia="en-AU"/>
              </w:rPr>
            </w:pPr>
            <w:r w:rsidRPr="0079248C">
              <w:rPr>
                <w:rFonts w:ascii="Arial Narrow" w:hAnsi="Arial Narrow"/>
                <w:szCs w:val="20"/>
              </w:rPr>
              <w:t>$redacted</w:t>
            </w:r>
          </w:p>
        </w:tc>
        <w:tc>
          <w:tcPr>
            <w:tcW w:w="1151" w:type="dxa"/>
            <w:noWrap/>
          </w:tcPr>
          <w:p w14:paraId="7EAD9806" w14:textId="77777777" w:rsidR="00855EF1" w:rsidRPr="00EA702F" w:rsidRDefault="00855EF1" w:rsidP="00855EF1">
            <w:pPr>
              <w:pStyle w:val="Table"/>
              <w:jc w:val="center"/>
              <w:rPr>
                <w:rFonts w:ascii="Arial Narrow" w:hAnsi="Arial Narrow"/>
                <w:color w:val="000000"/>
                <w:szCs w:val="20"/>
                <w:highlight w:val="green"/>
                <w:lang w:eastAsia="en-AU"/>
              </w:rPr>
            </w:pPr>
            <w:r w:rsidRPr="0079248C">
              <w:rPr>
                <w:rFonts w:ascii="Arial Narrow" w:hAnsi="Arial Narrow"/>
                <w:szCs w:val="20"/>
              </w:rPr>
              <w:t>$redacted</w:t>
            </w:r>
          </w:p>
        </w:tc>
        <w:tc>
          <w:tcPr>
            <w:tcW w:w="1060" w:type="dxa"/>
            <w:noWrap/>
          </w:tcPr>
          <w:p w14:paraId="64AE0E32" w14:textId="77777777" w:rsidR="00855EF1" w:rsidRPr="00EA702F" w:rsidRDefault="00855EF1" w:rsidP="00855EF1">
            <w:pPr>
              <w:pStyle w:val="Table"/>
              <w:jc w:val="center"/>
              <w:rPr>
                <w:rFonts w:ascii="Arial Narrow" w:hAnsi="Arial Narrow"/>
                <w:color w:val="000000"/>
                <w:szCs w:val="20"/>
                <w:highlight w:val="green"/>
                <w:lang w:eastAsia="en-AU"/>
              </w:rPr>
            </w:pPr>
            <w:r w:rsidRPr="0079248C">
              <w:rPr>
                <w:rFonts w:ascii="Arial Narrow" w:hAnsi="Arial Narrow"/>
                <w:szCs w:val="20"/>
              </w:rPr>
              <w:t>$redacted</w:t>
            </w:r>
          </w:p>
        </w:tc>
        <w:tc>
          <w:tcPr>
            <w:tcW w:w="1060" w:type="dxa"/>
            <w:noWrap/>
          </w:tcPr>
          <w:p w14:paraId="04638349" w14:textId="77777777" w:rsidR="00855EF1" w:rsidRPr="00EA702F" w:rsidRDefault="00855EF1" w:rsidP="00855EF1">
            <w:pPr>
              <w:pStyle w:val="Table"/>
              <w:jc w:val="center"/>
              <w:rPr>
                <w:rFonts w:ascii="Arial Narrow" w:hAnsi="Arial Narrow"/>
                <w:color w:val="000000"/>
                <w:szCs w:val="20"/>
                <w:highlight w:val="green"/>
                <w:lang w:eastAsia="en-AU"/>
              </w:rPr>
            </w:pPr>
            <w:r w:rsidRPr="0079248C">
              <w:rPr>
                <w:rFonts w:ascii="Arial Narrow" w:hAnsi="Arial Narrow"/>
                <w:szCs w:val="20"/>
              </w:rPr>
              <w:t>$redacted</w:t>
            </w:r>
          </w:p>
        </w:tc>
        <w:tc>
          <w:tcPr>
            <w:tcW w:w="1108" w:type="dxa"/>
          </w:tcPr>
          <w:p w14:paraId="78B0494E" w14:textId="77777777" w:rsidR="00855EF1" w:rsidRPr="00EA702F" w:rsidRDefault="00855EF1" w:rsidP="00855EF1">
            <w:pPr>
              <w:pStyle w:val="Table"/>
              <w:jc w:val="center"/>
              <w:rPr>
                <w:rFonts w:ascii="Arial Narrow" w:hAnsi="Arial Narrow"/>
                <w:szCs w:val="20"/>
                <w:highlight w:val="green"/>
              </w:rPr>
            </w:pPr>
            <w:r w:rsidRPr="0079248C">
              <w:rPr>
                <w:rFonts w:ascii="Arial Narrow" w:hAnsi="Arial Narrow"/>
                <w:szCs w:val="20"/>
              </w:rPr>
              <w:t>$redacted</w:t>
            </w:r>
          </w:p>
        </w:tc>
      </w:tr>
      <w:tr w:rsidR="00855EF1" w:rsidRPr="00847C36" w14:paraId="4CFFD866" w14:textId="77777777" w:rsidTr="002C71D0">
        <w:trPr>
          <w:trHeight w:val="198"/>
        </w:trPr>
        <w:tc>
          <w:tcPr>
            <w:tcW w:w="2035" w:type="dxa"/>
            <w:noWrap/>
          </w:tcPr>
          <w:p w14:paraId="798B2347"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Other costs (infused)</w:t>
            </w:r>
          </w:p>
        </w:tc>
        <w:tc>
          <w:tcPr>
            <w:tcW w:w="1060" w:type="dxa"/>
            <w:noWrap/>
          </w:tcPr>
          <w:p w14:paraId="69D5512D" w14:textId="77777777" w:rsidR="00855EF1" w:rsidRPr="00EA702F" w:rsidRDefault="00855EF1" w:rsidP="00855EF1">
            <w:pPr>
              <w:pStyle w:val="Table"/>
              <w:jc w:val="center"/>
              <w:rPr>
                <w:rFonts w:ascii="Arial Narrow" w:hAnsi="Arial Narrow"/>
                <w:color w:val="000000"/>
                <w:szCs w:val="20"/>
                <w:highlight w:val="green"/>
                <w:lang w:eastAsia="en-AU"/>
              </w:rPr>
            </w:pPr>
            <w:r w:rsidRPr="00121D44">
              <w:rPr>
                <w:rFonts w:ascii="Arial Narrow" w:hAnsi="Arial Narrow"/>
                <w:szCs w:val="20"/>
              </w:rPr>
              <w:t>$redacted</w:t>
            </w:r>
          </w:p>
        </w:tc>
        <w:tc>
          <w:tcPr>
            <w:tcW w:w="1151" w:type="dxa"/>
            <w:noWrap/>
          </w:tcPr>
          <w:p w14:paraId="37982B40" w14:textId="77777777" w:rsidR="00855EF1" w:rsidRPr="00EA702F" w:rsidRDefault="00855EF1" w:rsidP="00855EF1">
            <w:pPr>
              <w:pStyle w:val="Table"/>
              <w:jc w:val="center"/>
              <w:rPr>
                <w:rFonts w:ascii="Arial Narrow" w:hAnsi="Arial Narrow"/>
                <w:color w:val="000000"/>
                <w:szCs w:val="20"/>
                <w:highlight w:val="green"/>
                <w:lang w:eastAsia="en-AU"/>
              </w:rPr>
            </w:pPr>
            <w:r w:rsidRPr="00121D44">
              <w:rPr>
                <w:rFonts w:ascii="Arial Narrow" w:hAnsi="Arial Narrow"/>
                <w:szCs w:val="20"/>
              </w:rPr>
              <w:t>$redacted</w:t>
            </w:r>
          </w:p>
        </w:tc>
        <w:tc>
          <w:tcPr>
            <w:tcW w:w="1151" w:type="dxa"/>
            <w:noWrap/>
          </w:tcPr>
          <w:p w14:paraId="63C01269" w14:textId="77777777" w:rsidR="00855EF1" w:rsidRPr="00EA702F" w:rsidRDefault="00855EF1" w:rsidP="00855EF1">
            <w:pPr>
              <w:pStyle w:val="Table"/>
              <w:jc w:val="center"/>
              <w:rPr>
                <w:rFonts w:ascii="Arial Narrow" w:hAnsi="Arial Narrow"/>
                <w:color w:val="000000"/>
                <w:szCs w:val="20"/>
                <w:highlight w:val="green"/>
                <w:lang w:eastAsia="en-AU"/>
              </w:rPr>
            </w:pPr>
            <w:r w:rsidRPr="00121D44">
              <w:rPr>
                <w:rFonts w:ascii="Arial Narrow" w:hAnsi="Arial Narrow"/>
                <w:szCs w:val="20"/>
              </w:rPr>
              <w:t>$redacted</w:t>
            </w:r>
          </w:p>
        </w:tc>
        <w:tc>
          <w:tcPr>
            <w:tcW w:w="1151" w:type="dxa"/>
            <w:noWrap/>
          </w:tcPr>
          <w:p w14:paraId="5A8F3004" w14:textId="77777777" w:rsidR="00855EF1" w:rsidRPr="00EA702F" w:rsidRDefault="00855EF1" w:rsidP="00855EF1">
            <w:pPr>
              <w:pStyle w:val="Table"/>
              <w:jc w:val="center"/>
              <w:rPr>
                <w:rFonts w:ascii="Arial Narrow" w:hAnsi="Arial Narrow"/>
                <w:color w:val="000000"/>
                <w:szCs w:val="20"/>
                <w:highlight w:val="green"/>
                <w:lang w:eastAsia="en-AU"/>
              </w:rPr>
            </w:pPr>
            <w:r w:rsidRPr="00121D44">
              <w:rPr>
                <w:rFonts w:ascii="Arial Narrow" w:hAnsi="Arial Narrow"/>
                <w:szCs w:val="20"/>
              </w:rPr>
              <w:t>$redacted</w:t>
            </w:r>
          </w:p>
        </w:tc>
        <w:tc>
          <w:tcPr>
            <w:tcW w:w="1060" w:type="dxa"/>
            <w:noWrap/>
          </w:tcPr>
          <w:p w14:paraId="4231FC8B" w14:textId="77777777" w:rsidR="00855EF1" w:rsidRPr="00EA702F" w:rsidRDefault="00855EF1" w:rsidP="00855EF1">
            <w:pPr>
              <w:pStyle w:val="Table"/>
              <w:jc w:val="center"/>
              <w:rPr>
                <w:rFonts w:ascii="Arial Narrow" w:hAnsi="Arial Narrow"/>
                <w:color w:val="000000"/>
                <w:szCs w:val="20"/>
                <w:highlight w:val="green"/>
                <w:lang w:eastAsia="en-AU"/>
              </w:rPr>
            </w:pPr>
            <w:r w:rsidRPr="00121D44">
              <w:rPr>
                <w:rFonts w:ascii="Arial Narrow" w:hAnsi="Arial Narrow"/>
                <w:szCs w:val="20"/>
              </w:rPr>
              <w:t>$redacted</w:t>
            </w:r>
          </w:p>
        </w:tc>
        <w:tc>
          <w:tcPr>
            <w:tcW w:w="1060" w:type="dxa"/>
            <w:noWrap/>
          </w:tcPr>
          <w:p w14:paraId="12B23A57" w14:textId="77777777" w:rsidR="00855EF1" w:rsidRPr="00EA702F" w:rsidRDefault="00855EF1" w:rsidP="00855EF1">
            <w:pPr>
              <w:pStyle w:val="Table"/>
              <w:jc w:val="center"/>
              <w:rPr>
                <w:rFonts w:ascii="Arial Narrow" w:hAnsi="Arial Narrow"/>
                <w:color w:val="000000"/>
                <w:szCs w:val="20"/>
                <w:highlight w:val="green"/>
                <w:lang w:eastAsia="en-AU"/>
              </w:rPr>
            </w:pPr>
            <w:r w:rsidRPr="00121D44">
              <w:rPr>
                <w:rFonts w:ascii="Arial Narrow" w:hAnsi="Arial Narrow"/>
                <w:szCs w:val="20"/>
              </w:rPr>
              <w:t>$redacted</w:t>
            </w:r>
          </w:p>
        </w:tc>
        <w:tc>
          <w:tcPr>
            <w:tcW w:w="1108" w:type="dxa"/>
          </w:tcPr>
          <w:p w14:paraId="5A74C6EA" w14:textId="77777777" w:rsidR="00855EF1" w:rsidRPr="00EA702F" w:rsidRDefault="00855EF1" w:rsidP="00855EF1">
            <w:pPr>
              <w:pStyle w:val="Table"/>
              <w:jc w:val="center"/>
              <w:rPr>
                <w:rFonts w:ascii="Arial Narrow" w:hAnsi="Arial Narrow"/>
                <w:szCs w:val="20"/>
                <w:highlight w:val="green"/>
              </w:rPr>
            </w:pPr>
            <w:r w:rsidRPr="00121D44">
              <w:rPr>
                <w:rFonts w:ascii="Arial Narrow" w:hAnsi="Arial Narrow"/>
                <w:szCs w:val="20"/>
              </w:rPr>
              <w:t>$redacted</w:t>
            </w:r>
          </w:p>
        </w:tc>
      </w:tr>
      <w:tr w:rsidR="00855EF1" w:rsidRPr="00847C36" w14:paraId="1DB843C8" w14:textId="77777777" w:rsidTr="002C71D0">
        <w:trPr>
          <w:trHeight w:val="198"/>
        </w:trPr>
        <w:tc>
          <w:tcPr>
            <w:tcW w:w="2035" w:type="dxa"/>
            <w:noWrap/>
          </w:tcPr>
          <w:p w14:paraId="0E1D8F48"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Other costs (non-infused)</w:t>
            </w:r>
          </w:p>
        </w:tc>
        <w:tc>
          <w:tcPr>
            <w:tcW w:w="1060" w:type="dxa"/>
            <w:noWrap/>
          </w:tcPr>
          <w:p w14:paraId="1F0E88E9"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0BA71EA0"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254E9AA5"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538F8076"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060" w:type="dxa"/>
            <w:noWrap/>
          </w:tcPr>
          <w:p w14:paraId="43400483"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060" w:type="dxa"/>
            <w:noWrap/>
          </w:tcPr>
          <w:p w14:paraId="09F9E0AC"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08" w:type="dxa"/>
          </w:tcPr>
          <w:p w14:paraId="522CDA1C"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r>
      <w:tr w:rsidR="00855EF1" w:rsidRPr="00847C36" w14:paraId="3663E4C0" w14:textId="77777777" w:rsidTr="002C71D0">
        <w:trPr>
          <w:trHeight w:val="198"/>
        </w:trPr>
        <w:tc>
          <w:tcPr>
            <w:tcW w:w="2035" w:type="dxa"/>
            <w:noWrap/>
          </w:tcPr>
          <w:p w14:paraId="410D20CE"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Cost offsets (SCR)</w:t>
            </w:r>
          </w:p>
        </w:tc>
        <w:tc>
          <w:tcPr>
            <w:tcW w:w="1060" w:type="dxa"/>
            <w:noWrap/>
          </w:tcPr>
          <w:p w14:paraId="2FB04DD0"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19A5E946"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0CF2EB90"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5E43B194"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060" w:type="dxa"/>
            <w:noWrap/>
          </w:tcPr>
          <w:p w14:paraId="6600526E"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060" w:type="dxa"/>
            <w:noWrap/>
          </w:tcPr>
          <w:p w14:paraId="356733BB"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08" w:type="dxa"/>
          </w:tcPr>
          <w:p w14:paraId="53386ABE"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r>
      <w:tr w:rsidR="00855EF1" w:rsidRPr="00847C36" w14:paraId="3F71F8F2" w14:textId="77777777" w:rsidTr="002C71D0">
        <w:trPr>
          <w:trHeight w:val="198"/>
        </w:trPr>
        <w:tc>
          <w:tcPr>
            <w:tcW w:w="2035" w:type="dxa"/>
            <w:noWrap/>
          </w:tcPr>
          <w:p w14:paraId="314B588B" w14:textId="77777777" w:rsidR="00855EF1" w:rsidRPr="00847C36" w:rsidRDefault="00855EF1" w:rsidP="00855EF1">
            <w:pPr>
              <w:pStyle w:val="Table"/>
              <w:rPr>
                <w:rFonts w:ascii="Arial Narrow" w:hAnsi="Arial Narrow"/>
                <w:color w:val="000000"/>
                <w:szCs w:val="20"/>
                <w:lang w:eastAsia="en-AU"/>
              </w:rPr>
            </w:pPr>
            <w:r w:rsidRPr="00847C36">
              <w:rPr>
                <w:rFonts w:ascii="Arial Narrow" w:hAnsi="Arial Narrow"/>
                <w:color w:val="000000"/>
                <w:szCs w:val="20"/>
                <w:lang w:eastAsia="en-AU"/>
              </w:rPr>
              <w:t>Net budget impact</w:t>
            </w:r>
          </w:p>
        </w:tc>
        <w:tc>
          <w:tcPr>
            <w:tcW w:w="1060" w:type="dxa"/>
            <w:noWrap/>
          </w:tcPr>
          <w:p w14:paraId="32908837"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6DC676E7"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71CC5C59"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51" w:type="dxa"/>
            <w:noWrap/>
          </w:tcPr>
          <w:p w14:paraId="47FFB9D8"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060" w:type="dxa"/>
            <w:noWrap/>
          </w:tcPr>
          <w:p w14:paraId="38896285"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060" w:type="dxa"/>
            <w:noWrap/>
          </w:tcPr>
          <w:p w14:paraId="099553FF"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c>
          <w:tcPr>
            <w:tcW w:w="1108" w:type="dxa"/>
          </w:tcPr>
          <w:p w14:paraId="40C422A5" w14:textId="77777777" w:rsidR="00855EF1" w:rsidRPr="00EA702F" w:rsidRDefault="00855EF1" w:rsidP="00855EF1">
            <w:pPr>
              <w:pStyle w:val="Table"/>
              <w:jc w:val="center"/>
              <w:rPr>
                <w:rFonts w:ascii="Arial Narrow" w:hAnsi="Arial Narrow"/>
                <w:szCs w:val="20"/>
                <w:highlight w:val="green"/>
              </w:rPr>
            </w:pPr>
            <w:r w:rsidRPr="00195A6C">
              <w:rPr>
                <w:rFonts w:ascii="Arial Narrow" w:hAnsi="Arial Narrow"/>
                <w:szCs w:val="20"/>
              </w:rPr>
              <w:t>$redacted</w:t>
            </w:r>
          </w:p>
        </w:tc>
      </w:tr>
    </w:tbl>
    <w:p w14:paraId="12683010" w14:textId="77777777" w:rsidR="002C71D0" w:rsidRPr="0079129A" w:rsidRDefault="002C71D0" w:rsidP="00855EF1">
      <w:pPr>
        <w:pStyle w:val="CaptionFootnote"/>
      </w:pPr>
      <w:r>
        <w:t>Source: Secti</w:t>
      </w:r>
      <w:r w:rsidR="00855EF1">
        <w:t>on E Workbook, Inputs worksheet</w:t>
      </w:r>
    </w:p>
    <w:p w14:paraId="4208889D" w14:textId="77777777" w:rsidR="002C71D0" w:rsidRDefault="002C71D0" w:rsidP="00855EF1">
      <w:pPr>
        <w:spacing w:before="240" w:after="240"/>
      </w:pPr>
      <w:r>
        <w:t xml:space="preserve">The Critique stated the </w:t>
      </w:r>
      <w:r w:rsidRPr="00847C36">
        <w:t>most important change in financial estimates was the near tripling of total infused patients over the first six years of listing. Other important changes included the TIS price reduction, and the more conservative costing of AEs.</w:t>
      </w:r>
    </w:p>
    <w:p w14:paraId="5C6DCEB8" w14:textId="77777777" w:rsidR="00C61B6E" w:rsidRPr="00847C36" w:rsidRDefault="002C71D0" w:rsidP="002C71D0">
      <w:r>
        <w:t>The Pre-ESC response offer of a lower price has not been inc</w:t>
      </w:r>
      <w:r w:rsidR="00855EF1">
        <w:t>orporated into these estimates.</w:t>
      </w:r>
    </w:p>
    <w:p w14:paraId="7BA040F5" w14:textId="77777777" w:rsidR="002C71D0" w:rsidRPr="002C71D0" w:rsidRDefault="006A0D97" w:rsidP="008318A9">
      <w:pPr>
        <w:pStyle w:val="Heading1"/>
      </w:pPr>
      <w:r w:rsidRPr="00F715D1">
        <w:t>Key issues from ESC for MSAC</w:t>
      </w:r>
    </w:p>
    <w:tbl>
      <w:tblPr>
        <w:tblStyle w:val="TableGrid"/>
        <w:tblW w:w="9470" w:type="dxa"/>
        <w:tblLook w:val="04A0" w:firstRow="1" w:lastRow="0" w:firstColumn="1" w:lastColumn="0" w:noHBand="0" w:noVBand="1"/>
        <w:tblDescription w:val="Summary of the key issues raised by ESC for MSAC consideration"/>
      </w:tblPr>
      <w:tblGrid>
        <w:gridCol w:w="3114"/>
        <w:gridCol w:w="6356"/>
      </w:tblGrid>
      <w:tr w:rsidR="00B52A75" w:rsidRPr="00F85C3A" w14:paraId="52CBEC39" w14:textId="77777777" w:rsidTr="00600E7A">
        <w:trPr>
          <w:trHeight w:val="556"/>
          <w:tblHeader/>
        </w:trPr>
        <w:tc>
          <w:tcPr>
            <w:tcW w:w="3114" w:type="dxa"/>
            <w:tcBorders>
              <w:top w:val="single" w:sz="4" w:space="0" w:color="auto"/>
              <w:left w:val="single" w:sz="4" w:space="0" w:color="auto"/>
              <w:bottom w:val="single" w:sz="4" w:space="0" w:color="auto"/>
              <w:right w:val="single" w:sz="4" w:space="0" w:color="auto"/>
            </w:tcBorders>
            <w:vAlign w:val="center"/>
            <w:hideMark/>
          </w:tcPr>
          <w:p w14:paraId="4DE8E838" w14:textId="77777777" w:rsidR="00B52A75" w:rsidRPr="00ED4A24" w:rsidRDefault="00B52A75" w:rsidP="00600E7A">
            <w:pPr>
              <w:rPr>
                <w:rFonts w:ascii="Arial Narrow" w:hAnsi="Arial Narrow"/>
                <w:b/>
                <w:szCs w:val="22"/>
              </w:rPr>
            </w:pPr>
            <w:r w:rsidRPr="00ED4A24">
              <w:rPr>
                <w:rFonts w:ascii="Arial Narrow" w:hAnsi="Arial Narrow"/>
                <w:b/>
                <w:szCs w:val="22"/>
              </w:rPr>
              <w:t>ESC key issue</w:t>
            </w:r>
          </w:p>
        </w:tc>
        <w:tc>
          <w:tcPr>
            <w:tcW w:w="6356" w:type="dxa"/>
            <w:tcBorders>
              <w:top w:val="single" w:sz="4" w:space="0" w:color="auto"/>
              <w:left w:val="single" w:sz="4" w:space="0" w:color="auto"/>
              <w:bottom w:val="single" w:sz="4" w:space="0" w:color="auto"/>
              <w:right w:val="single" w:sz="4" w:space="0" w:color="auto"/>
            </w:tcBorders>
            <w:vAlign w:val="center"/>
            <w:hideMark/>
          </w:tcPr>
          <w:p w14:paraId="7B2197DD" w14:textId="77777777" w:rsidR="00B52A75" w:rsidRPr="00ED4A24" w:rsidRDefault="00B52A75" w:rsidP="00600E7A">
            <w:pPr>
              <w:rPr>
                <w:rFonts w:ascii="Arial Narrow" w:hAnsi="Arial Narrow"/>
                <w:b/>
                <w:szCs w:val="22"/>
              </w:rPr>
            </w:pPr>
            <w:r w:rsidRPr="00ED4A24">
              <w:rPr>
                <w:rFonts w:ascii="Arial Narrow" w:hAnsi="Arial Narrow"/>
                <w:b/>
                <w:szCs w:val="22"/>
              </w:rPr>
              <w:t>ESC advice to MSAC</w:t>
            </w:r>
          </w:p>
        </w:tc>
      </w:tr>
      <w:tr w:rsidR="00B52A75" w:rsidRPr="007E40AC" w14:paraId="61E32315" w14:textId="77777777" w:rsidTr="00600E7A">
        <w:tc>
          <w:tcPr>
            <w:tcW w:w="3114" w:type="dxa"/>
            <w:tcBorders>
              <w:top w:val="single" w:sz="4" w:space="0" w:color="auto"/>
              <w:left w:val="single" w:sz="4" w:space="0" w:color="auto"/>
              <w:bottom w:val="single" w:sz="4" w:space="0" w:color="auto"/>
              <w:right w:val="single" w:sz="4" w:space="0" w:color="auto"/>
            </w:tcBorders>
          </w:tcPr>
          <w:p w14:paraId="7432391F" w14:textId="77777777" w:rsidR="00B52A75" w:rsidRPr="00ED4A24" w:rsidRDefault="00B52A75" w:rsidP="00600E7A">
            <w:pPr>
              <w:rPr>
                <w:rFonts w:ascii="Arial Narrow" w:hAnsi="Arial Narrow"/>
                <w:szCs w:val="22"/>
              </w:rPr>
            </w:pPr>
            <w:r w:rsidRPr="00ED4A24">
              <w:rPr>
                <w:rFonts w:ascii="Arial Narrow" w:hAnsi="Arial Narrow"/>
                <w:szCs w:val="22"/>
              </w:rPr>
              <w:t>The definition of the eligible population remains broad</w:t>
            </w:r>
          </w:p>
        </w:tc>
        <w:tc>
          <w:tcPr>
            <w:tcW w:w="6356" w:type="dxa"/>
            <w:tcBorders>
              <w:top w:val="single" w:sz="4" w:space="0" w:color="auto"/>
              <w:left w:val="single" w:sz="4" w:space="0" w:color="auto"/>
              <w:bottom w:val="single" w:sz="4" w:space="0" w:color="auto"/>
              <w:right w:val="single" w:sz="4" w:space="0" w:color="auto"/>
            </w:tcBorders>
          </w:tcPr>
          <w:p w14:paraId="45C6421D" w14:textId="77777777" w:rsidR="00B52A75" w:rsidRPr="00A81BB6" w:rsidRDefault="00B52A75" w:rsidP="00600E7A">
            <w:pPr>
              <w:spacing w:after="120"/>
              <w:rPr>
                <w:rFonts w:ascii="Arial Narrow" w:hAnsi="Arial Narrow"/>
                <w:szCs w:val="22"/>
              </w:rPr>
            </w:pPr>
            <w:r w:rsidRPr="00A81BB6">
              <w:rPr>
                <w:rFonts w:ascii="Arial Narrow" w:hAnsi="Arial Narrow"/>
                <w:szCs w:val="22"/>
              </w:rPr>
              <w:t>Based on TGA approved indication</w:t>
            </w:r>
            <w:r>
              <w:rPr>
                <w:rFonts w:ascii="Arial Narrow" w:hAnsi="Arial Narrow"/>
                <w:szCs w:val="22"/>
              </w:rPr>
              <w:t>,</w:t>
            </w:r>
            <w:r w:rsidRPr="00A81BB6">
              <w:rPr>
                <w:rFonts w:ascii="Arial Narrow" w:hAnsi="Arial Narrow"/>
                <w:szCs w:val="22"/>
              </w:rPr>
              <w:t xml:space="preserve"> MSAC may wish to define the eligible population for public funding more tightly than the TGA-approved indication. </w:t>
            </w:r>
          </w:p>
        </w:tc>
      </w:tr>
      <w:tr w:rsidR="00B52A75" w:rsidRPr="007E40AC" w14:paraId="34714055" w14:textId="77777777" w:rsidTr="00600E7A">
        <w:trPr>
          <w:trHeight w:val="464"/>
        </w:trPr>
        <w:tc>
          <w:tcPr>
            <w:tcW w:w="3114" w:type="dxa"/>
            <w:tcBorders>
              <w:top w:val="single" w:sz="4" w:space="0" w:color="auto"/>
              <w:left w:val="single" w:sz="4" w:space="0" w:color="auto"/>
              <w:bottom w:val="single" w:sz="4" w:space="0" w:color="auto"/>
              <w:right w:val="single" w:sz="4" w:space="0" w:color="auto"/>
            </w:tcBorders>
          </w:tcPr>
          <w:p w14:paraId="61C5C095" w14:textId="77777777" w:rsidR="00B52A75" w:rsidRPr="00ED4A24" w:rsidRDefault="00B52A75" w:rsidP="00600E7A">
            <w:pPr>
              <w:rPr>
                <w:rFonts w:ascii="Arial Narrow" w:hAnsi="Arial Narrow"/>
                <w:szCs w:val="22"/>
              </w:rPr>
            </w:pPr>
            <w:r w:rsidRPr="00ED4A24">
              <w:rPr>
                <w:rFonts w:ascii="Arial Narrow" w:hAnsi="Arial Narrow"/>
                <w:szCs w:val="22"/>
              </w:rPr>
              <w:t>Survival data are immature</w:t>
            </w:r>
            <w:r>
              <w:rPr>
                <w:rFonts w:ascii="Arial Narrow" w:hAnsi="Arial Narrow"/>
                <w:szCs w:val="22"/>
              </w:rPr>
              <w:t>.</w:t>
            </w:r>
            <w:r w:rsidRPr="00ED4A24">
              <w:rPr>
                <w:rFonts w:ascii="Arial Narrow" w:hAnsi="Arial Narrow"/>
                <w:szCs w:val="22"/>
              </w:rPr>
              <w:t xml:space="preserve"> Claims of superior effectiveness and non-inferior safety are unsubstantiated</w:t>
            </w:r>
          </w:p>
        </w:tc>
        <w:tc>
          <w:tcPr>
            <w:tcW w:w="6356" w:type="dxa"/>
            <w:tcBorders>
              <w:top w:val="single" w:sz="4" w:space="0" w:color="auto"/>
              <w:left w:val="single" w:sz="4" w:space="0" w:color="auto"/>
              <w:bottom w:val="single" w:sz="4" w:space="0" w:color="auto"/>
              <w:right w:val="single" w:sz="4" w:space="0" w:color="auto"/>
            </w:tcBorders>
          </w:tcPr>
          <w:p w14:paraId="7A79F9CE" w14:textId="77777777" w:rsidR="00B52A75" w:rsidRPr="00A81BB6" w:rsidRDefault="00B52A75" w:rsidP="00855EF1">
            <w:pPr>
              <w:spacing w:after="480"/>
              <w:rPr>
                <w:rFonts w:ascii="Arial Narrow" w:hAnsi="Arial Narrow"/>
                <w:szCs w:val="22"/>
              </w:rPr>
            </w:pPr>
            <w:r w:rsidRPr="00A81BB6">
              <w:rPr>
                <w:rFonts w:ascii="Arial Narrow" w:hAnsi="Arial Narrow"/>
                <w:szCs w:val="22"/>
              </w:rPr>
              <w:t xml:space="preserve">The applicant presented </w:t>
            </w:r>
            <w:r>
              <w:rPr>
                <w:rFonts w:ascii="Arial Narrow" w:hAnsi="Arial Narrow"/>
                <w:szCs w:val="22"/>
              </w:rPr>
              <w:t>the same</w:t>
            </w:r>
            <w:r w:rsidRPr="00A81BB6">
              <w:rPr>
                <w:rFonts w:ascii="Arial Narrow" w:hAnsi="Arial Narrow"/>
                <w:szCs w:val="22"/>
              </w:rPr>
              <w:t xml:space="preserve"> data-cut from the JULIET study</w:t>
            </w:r>
            <w:r>
              <w:rPr>
                <w:rFonts w:ascii="Arial Narrow" w:hAnsi="Arial Narrow"/>
                <w:szCs w:val="22"/>
              </w:rPr>
              <w:t xml:space="preserve"> (May 2018) as the pre-ESC updates for the previous application.</w:t>
            </w:r>
            <w:r w:rsidRPr="00A81BB6">
              <w:rPr>
                <w:rFonts w:ascii="Arial Narrow" w:hAnsi="Arial Narrow"/>
                <w:szCs w:val="22"/>
              </w:rPr>
              <w:t xml:space="preserve"> </w:t>
            </w:r>
            <w:r>
              <w:rPr>
                <w:rFonts w:ascii="Arial Narrow" w:hAnsi="Arial Narrow"/>
                <w:szCs w:val="22"/>
              </w:rPr>
              <w:t>Results from a more recent data-cut (</w:t>
            </w:r>
            <w:r w:rsidRPr="00A81BB6">
              <w:rPr>
                <w:rFonts w:ascii="Arial Narrow" w:hAnsi="Arial Narrow"/>
                <w:szCs w:val="22"/>
              </w:rPr>
              <w:t>December 2018</w:t>
            </w:r>
            <w:r>
              <w:rPr>
                <w:rFonts w:ascii="Arial Narrow" w:hAnsi="Arial Narrow"/>
                <w:szCs w:val="22"/>
              </w:rPr>
              <w:t>) are relied on in the pre-ESC Response to the current application but have not been independently evaluated. C</w:t>
            </w:r>
            <w:r w:rsidRPr="00A81BB6">
              <w:rPr>
                <w:rFonts w:ascii="Arial Narrow" w:hAnsi="Arial Narrow"/>
                <w:szCs w:val="22"/>
              </w:rPr>
              <w:t xml:space="preserve">onsiderable uncertainty remains around </w:t>
            </w:r>
            <w:r>
              <w:rPr>
                <w:rFonts w:ascii="Arial Narrow" w:hAnsi="Arial Narrow"/>
                <w:szCs w:val="22"/>
              </w:rPr>
              <w:t xml:space="preserve">the </w:t>
            </w:r>
            <w:r w:rsidRPr="00A81BB6">
              <w:rPr>
                <w:rFonts w:ascii="Arial Narrow" w:hAnsi="Arial Narrow"/>
                <w:szCs w:val="22"/>
              </w:rPr>
              <w:t xml:space="preserve">size and the durability of the benefit. Treatment with TIS </w:t>
            </w:r>
            <w:r>
              <w:rPr>
                <w:rFonts w:ascii="Arial Narrow" w:hAnsi="Arial Narrow"/>
                <w:szCs w:val="22"/>
              </w:rPr>
              <w:t xml:space="preserve">is </w:t>
            </w:r>
            <w:r w:rsidRPr="00A81BB6">
              <w:rPr>
                <w:rFonts w:ascii="Arial Narrow" w:hAnsi="Arial Narrow"/>
                <w:szCs w:val="22"/>
              </w:rPr>
              <w:t xml:space="preserve">associated with significant </w:t>
            </w:r>
            <w:r>
              <w:rPr>
                <w:rFonts w:ascii="Arial Narrow" w:hAnsi="Arial Narrow"/>
                <w:szCs w:val="22"/>
              </w:rPr>
              <w:t xml:space="preserve">risk of </w:t>
            </w:r>
            <w:r w:rsidRPr="00A81BB6">
              <w:rPr>
                <w:rFonts w:ascii="Arial Narrow" w:hAnsi="Arial Narrow"/>
                <w:szCs w:val="22"/>
              </w:rPr>
              <w:t xml:space="preserve">adverse events. </w:t>
            </w:r>
          </w:p>
        </w:tc>
      </w:tr>
      <w:tr w:rsidR="00B52A75" w:rsidRPr="007E40AC" w14:paraId="3EE34A9E" w14:textId="77777777" w:rsidTr="00600E7A">
        <w:tc>
          <w:tcPr>
            <w:tcW w:w="3114" w:type="dxa"/>
            <w:tcBorders>
              <w:top w:val="single" w:sz="4" w:space="0" w:color="auto"/>
              <w:left w:val="single" w:sz="4" w:space="0" w:color="auto"/>
              <w:bottom w:val="single" w:sz="4" w:space="0" w:color="auto"/>
              <w:right w:val="single" w:sz="4" w:space="0" w:color="auto"/>
            </w:tcBorders>
          </w:tcPr>
          <w:p w14:paraId="77BDD750" w14:textId="77777777" w:rsidR="00B52A75" w:rsidRPr="00ED4A24" w:rsidRDefault="00B52A75" w:rsidP="00600E7A">
            <w:pPr>
              <w:rPr>
                <w:rFonts w:ascii="Arial Narrow" w:hAnsi="Arial Narrow"/>
                <w:szCs w:val="22"/>
              </w:rPr>
            </w:pPr>
            <w:r w:rsidRPr="00ED4A24">
              <w:rPr>
                <w:rFonts w:ascii="Arial Narrow" w:hAnsi="Arial Narrow"/>
                <w:szCs w:val="22"/>
              </w:rPr>
              <w:lastRenderedPageBreak/>
              <w:t>Comparative effectiveness of TIS against other treatment options</w:t>
            </w:r>
          </w:p>
        </w:tc>
        <w:tc>
          <w:tcPr>
            <w:tcW w:w="6356" w:type="dxa"/>
            <w:tcBorders>
              <w:top w:val="single" w:sz="4" w:space="0" w:color="auto"/>
              <w:left w:val="single" w:sz="4" w:space="0" w:color="auto"/>
              <w:bottom w:val="single" w:sz="4" w:space="0" w:color="auto"/>
              <w:right w:val="single" w:sz="4" w:space="0" w:color="auto"/>
            </w:tcBorders>
          </w:tcPr>
          <w:p w14:paraId="48FA217B" w14:textId="77777777" w:rsidR="00B52A75" w:rsidRPr="00A81BB6" w:rsidRDefault="00B52A75" w:rsidP="00600E7A">
            <w:pPr>
              <w:spacing w:after="120"/>
              <w:rPr>
                <w:rFonts w:ascii="Arial Narrow" w:hAnsi="Arial Narrow"/>
                <w:szCs w:val="22"/>
              </w:rPr>
            </w:pPr>
            <w:r w:rsidRPr="00A81BB6">
              <w:rPr>
                <w:rFonts w:ascii="Arial Narrow" w:hAnsi="Arial Narrow"/>
                <w:szCs w:val="22"/>
              </w:rPr>
              <w:t xml:space="preserve">The applicant has not addressed this; </w:t>
            </w:r>
            <w:r>
              <w:rPr>
                <w:rFonts w:ascii="Arial Narrow" w:hAnsi="Arial Narrow"/>
                <w:szCs w:val="22"/>
              </w:rPr>
              <w:t xml:space="preserve">the applicant states that </w:t>
            </w:r>
            <w:r w:rsidRPr="00A81BB6">
              <w:rPr>
                <w:rFonts w:ascii="Arial Narrow" w:hAnsi="Arial Narrow"/>
                <w:szCs w:val="22"/>
              </w:rPr>
              <w:t xml:space="preserve">it was unclear as to what was required. </w:t>
            </w:r>
            <w:r>
              <w:rPr>
                <w:rFonts w:ascii="Arial Narrow" w:hAnsi="Arial Narrow"/>
                <w:szCs w:val="22"/>
              </w:rPr>
              <w:t>Although not explicitly stated in the MSAC Advice for the previous application, ESC was of the view that it was not unreasonable to expect there to be a consideration of the effectiveness of emerging immunotherapies for the proposed population.</w:t>
            </w:r>
          </w:p>
        </w:tc>
      </w:tr>
      <w:tr w:rsidR="00B52A75" w:rsidRPr="007E40AC" w14:paraId="7F0F7FB2" w14:textId="77777777" w:rsidTr="00600E7A">
        <w:tc>
          <w:tcPr>
            <w:tcW w:w="3114" w:type="dxa"/>
            <w:tcBorders>
              <w:top w:val="single" w:sz="4" w:space="0" w:color="auto"/>
              <w:left w:val="single" w:sz="4" w:space="0" w:color="auto"/>
              <w:bottom w:val="single" w:sz="4" w:space="0" w:color="auto"/>
              <w:right w:val="single" w:sz="4" w:space="0" w:color="auto"/>
            </w:tcBorders>
          </w:tcPr>
          <w:p w14:paraId="30B26E8F" w14:textId="77777777" w:rsidR="00B52A75" w:rsidRPr="00ED4A24" w:rsidRDefault="00B52A75" w:rsidP="00600E7A">
            <w:pPr>
              <w:rPr>
                <w:rFonts w:ascii="Arial Narrow" w:hAnsi="Arial Narrow"/>
                <w:szCs w:val="22"/>
              </w:rPr>
            </w:pPr>
            <w:r w:rsidRPr="00ED4A24">
              <w:rPr>
                <w:rFonts w:ascii="Arial Narrow" w:hAnsi="Arial Narrow"/>
                <w:szCs w:val="22"/>
              </w:rPr>
              <w:t xml:space="preserve">Issues with the economic modelling </w:t>
            </w:r>
          </w:p>
        </w:tc>
        <w:tc>
          <w:tcPr>
            <w:tcW w:w="6356" w:type="dxa"/>
            <w:tcBorders>
              <w:top w:val="single" w:sz="4" w:space="0" w:color="auto"/>
              <w:left w:val="single" w:sz="4" w:space="0" w:color="auto"/>
              <w:bottom w:val="single" w:sz="4" w:space="0" w:color="auto"/>
              <w:right w:val="single" w:sz="4" w:space="0" w:color="auto"/>
            </w:tcBorders>
          </w:tcPr>
          <w:p w14:paraId="484831A6" w14:textId="77777777" w:rsidR="00B52A75" w:rsidRPr="00A81BB6" w:rsidRDefault="00B52A75" w:rsidP="00600E7A">
            <w:pPr>
              <w:pStyle w:val="NormalBeforeBullet"/>
              <w:spacing w:after="0"/>
              <w:rPr>
                <w:rFonts w:ascii="Arial Narrow" w:hAnsi="Arial Narrow"/>
                <w:szCs w:val="22"/>
              </w:rPr>
            </w:pPr>
            <w:r w:rsidRPr="00A81BB6">
              <w:rPr>
                <w:rFonts w:ascii="Arial Narrow" w:hAnsi="Arial Narrow"/>
                <w:szCs w:val="22"/>
              </w:rPr>
              <w:t xml:space="preserve">The base case may be overly optimistic, as the following </w:t>
            </w:r>
            <w:r>
              <w:rPr>
                <w:rFonts w:ascii="Arial Narrow" w:hAnsi="Arial Narrow"/>
                <w:szCs w:val="22"/>
              </w:rPr>
              <w:t>assumptions</w:t>
            </w:r>
            <w:r w:rsidRPr="00A81BB6">
              <w:rPr>
                <w:rFonts w:ascii="Arial Narrow" w:hAnsi="Arial Narrow"/>
                <w:szCs w:val="22"/>
              </w:rPr>
              <w:t xml:space="preserve"> </w:t>
            </w:r>
            <w:r>
              <w:rPr>
                <w:rFonts w:ascii="Arial Narrow" w:hAnsi="Arial Narrow"/>
                <w:szCs w:val="22"/>
              </w:rPr>
              <w:t xml:space="preserve">substantially </w:t>
            </w:r>
            <w:r w:rsidRPr="00A81BB6">
              <w:rPr>
                <w:rFonts w:ascii="Arial Narrow" w:hAnsi="Arial Narrow"/>
                <w:szCs w:val="22"/>
              </w:rPr>
              <w:t>affect the ICER:</w:t>
            </w:r>
          </w:p>
          <w:p w14:paraId="14A59502" w14:textId="77777777" w:rsidR="00B52A75" w:rsidRPr="000334EC" w:rsidRDefault="00B52A75" w:rsidP="00B52A75">
            <w:pPr>
              <w:pStyle w:val="ListParagraph"/>
              <w:numPr>
                <w:ilvl w:val="0"/>
                <w:numId w:val="27"/>
              </w:numPr>
              <w:spacing w:after="120"/>
              <w:rPr>
                <w:rFonts w:ascii="Arial Narrow" w:hAnsi="Arial Narrow"/>
                <w:szCs w:val="22"/>
              </w:rPr>
            </w:pPr>
            <w:r w:rsidRPr="000334EC">
              <w:rPr>
                <w:rFonts w:ascii="Arial Narrow" w:hAnsi="Arial Narrow"/>
                <w:szCs w:val="22"/>
              </w:rPr>
              <w:t>extrapolation method; and</w:t>
            </w:r>
          </w:p>
          <w:p w14:paraId="2F523030" w14:textId="77777777" w:rsidR="00B52A75" w:rsidRPr="000334EC" w:rsidRDefault="00B52A75" w:rsidP="00B52A75">
            <w:pPr>
              <w:pStyle w:val="ListParagraph"/>
              <w:numPr>
                <w:ilvl w:val="0"/>
                <w:numId w:val="27"/>
              </w:numPr>
              <w:spacing w:after="120"/>
              <w:rPr>
                <w:rFonts w:ascii="Arial Narrow" w:hAnsi="Arial Narrow"/>
                <w:szCs w:val="22"/>
              </w:rPr>
            </w:pPr>
            <w:r w:rsidRPr="000334EC">
              <w:rPr>
                <w:rFonts w:ascii="Arial Narrow" w:hAnsi="Arial Narrow"/>
                <w:szCs w:val="22"/>
              </w:rPr>
              <w:t>starting age.</w:t>
            </w:r>
          </w:p>
        </w:tc>
      </w:tr>
      <w:tr w:rsidR="00B52A75" w:rsidRPr="007E40AC" w14:paraId="1BE877D3" w14:textId="77777777" w:rsidTr="00600E7A">
        <w:tc>
          <w:tcPr>
            <w:tcW w:w="3114" w:type="dxa"/>
            <w:tcBorders>
              <w:top w:val="single" w:sz="4" w:space="0" w:color="auto"/>
              <w:left w:val="single" w:sz="4" w:space="0" w:color="auto"/>
              <w:bottom w:val="single" w:sz="4" w:space="0" w:color="auto"/>
              <w:right w:val="single" w:sz="4" w:space="0" w:color="auto"/>
            </w:tcBorders>
          </w:tcPr>
          <w:p w14:paraId="10A2BCD6" w14:textId="77777777" w:rsidR="00B52A75" w:rsidRPr="00ED4A24" w:rsidRDefault="00B52A75" w:rsidP="00600E7A">
            <w:pPr>
              <w:rPr>
                <w:rFonts w:ascii="Arial Narrow" w:hAnsi="Arial Narrow"/>
                <w:szCs w:val="22"/>
              </w:rPr>
            </w:pPr>
            <w:r>
              <w:rPr>
                <w:rFonts w:ascii="Arial Narrow" w:hAnsi="Arial Narrow"/>
                <w:szCs w:val="22"/>
              </w:rPr>
              <w:t>U</w:t>
            </w:r>
            <w:r w:rsidRPr="00ED4A24">
              <w:rPr>
                <w:rFonts w:ascii="Arial Narrow" w:hAnsi="Arial Narrow"/>
                <w:szCs w:val="22"/>
              </w:rPr>
              <w:t xml:space="preserve">ncertainty </w:t>
            </w:r>
            <w:r>
              <w:rPr>
                <w:rFonts w:ascii="Arial Narrow" w:hAnsi="Arial Narrow"/>
                <w:szCs w:val="22"/>
              </w:rPr>
              <w:t>in</w:t>
            </w:r>
            <w:r w:rsidRPr="00ED4A24">
              <w:rPr>
                <w:rFonts w:ascii="Arial Narrow" w:hAnsi="Arial Narrow"/>
                <w:szCs w:val="22"/>
              </w:rPr>
              <w:t xml:space="preserve"> the budget impact</w:t>
            </w:r>
          </w:p>
        </w:tc>
        <w:tc>
          <w:tcPr>
            <w:tcW w:w="6356" w:type="dxa"/>
            <w:tcBorders>
              <w:top w:val="single" w:sz="4" w:space="0" w:color="auto"/>
              <w:left w:val="single" w:sz="4" w:space="0" w:color="auto"/>
              <w:bottom w:val="single" w:sz="4" w:space="0" w:color="auto"/>
              <w:right w:val="single" w:sz="4" w:space="0" w:color="auto"/>
            </w:tcBorders>
          </w:tcPr>
          <w:p w14:paraId="4E332A3E" w14:textId="77777777" w:rsidR="00B52A75" w:rsidRPr="00A81BB6" w:rsidRDefault="00B52A75" w:rsidP="00600E7A">
            <w:pPr>
              <w:spacing w:after="120"/>
              <w:rPr>
                <w:rFonts w:ascii="Arial Narrow" w:hAnsi="Arial Narrow"/>
                <w:szCs w:val="22"/>
              </w:rPr>
            </w:pPr>
            <w:r w:rsidRPr="00A81BB6">
              <w:rPr>
                <w:rFonts w:ascii="Arial Narrow" w:hAnsi="Arial Narrow"/>
                <w:szCs w:val="22"/>
              </w:rPr>
              <w:t xml:space="preserve">Likely that utilisation and cost estimates for TIS are significantly overestimated. </w:t>
            </w:r>
          </w:p>
        </w:tc>
      </w:tr>
      <w:tr w:rsidR="00B52A75" w:rsidRPr="007E40AC" w14:paraId="2CCBE2AA" w14:textId="77777777" w:rsidTr="00600E7A">
        <w:tc>
          <w:tcPr>
            <w:tcW w:w="3114" w:type="dxa"/>
            <w:tcBorders>
              <w:top w:val="single" w:sz="4" w:space="0" w:color="auto"/>
              <w:left w:val="single" w:sz="4" w:space="0" w:color="auto"/>
              <w:bottom w:val="single" w:sz="4" w:space="0" w:color="auto"/>
              <w:right w:val="single" w:sz="4" w:space="0" w:color="auto"/>
            </w:tcBorders>
          </w:tcPr>
          <w:p w14:paraId="40499153" w14:textId="77777777" w:rsidR="00B52A75" w:rsidRPr="00ED4A24" w:rsidRDefault="00B52A75" w:rsidP="00600E7A">
            <w:pPr>
              <w:spacing w:after="120"/>
              <w:rPr>
                <w:rFonts w:ascii="Arial Narrow" w:hAnsi="Arial Narrow"/>
                <w:szCs w:val="22"/>
              </w:rPr>
            </w:pPr>
            <w:r>
              <w:rPr>
                <w:rFonts w:ascii="Arial Narrow" w:hAnsi="Arial Narrow"/>
                <w:szCs w:val="22"/>
              </w:rPr>
              <w:t>Risk mitigation proposals</w:t>
            </w:r>
          </w:p>
        </w:tc>
        <w:tc>
          <w:tcPr>
            <w:tcW w:w="6356" w:type="dxa"/>
            <w:tcBorders>
              <w:top w:val="single" w:sz="4" w:space="0" w:color="auto"/>
              <w:left w:val="single" w:sz="4" w:space="0" w:color="auto"/>
              <w:bottom w:val="single" w:sz="4" w:space="0" w:color="auto"/>
              <w:right w:val="single" w:sz="4" w:space="0" w:color="auto"/>
            </w:tcBorders>
          </w:tcPr>
          <w:p w14:paraId="6158F56B" w14:textId="77777777" w:rsidR="00B52A75" w:rsidRPr="000334EC" w:rsidRDefault="00B52A75" w:rsidP="00600E7A">
            <w:pPr>
              <w:spacing w:after="120"/>
              <w:rPr>
                <w:rFonts w:ascii="Arial Narrow" w:hAnsi="Arial Narrow"/>
                <w:szCs w:val="22"/>
              </w:rPr>
            </w:pPr>
            <w:r w:rsidRPr="00A81BB6">
              <w:rPr>
                <w:rFonts w:ascii="Arial Narrow" w:hAnsi="Arial Narrow"/>
                <w:szCs w:val="22"/>
              </w:rPr>
              <w:t xml:space="preserve">The </w:t>
            </w:r>
            <w:r w:rsidRPr="004F7FEF">
              <w:rPr>
                <w:rFonts w:ascii="Arial Narrow" w:hAnsi="Arial Narrow"/>
                <w:szCs w:val="22"/>
              </w:rPr>
              <w:t>final price offer</w:t>
            </w:r>
            <w:r w:rsidRPr="00A81BB6">
              <w:rPr>
                <w:rFonts w:ascii="Arial Narrow" w:hAnsi="Arial Narrow"/>
                <w:szCs w:val="22"/>
              </w:rPr>
              <w:t xml:space="preserve"> and the proposed risk-sharing arrangement may not be sufficient to offset the clinical, economic and budget uncertainties with </w:t>
            </w:r>
            <w:r w:rsidRPr="000334EC">
              <w:rPr>
                <w:rFonts w:ascii="Arial Narrow" w:hAnsi="Arial Narrow"/>
                <w:szCs w:val="22"/>
              </w:rPr>
              <w:t>this subsidy proposal.</w:t>
            </w:r>
          </w:p>
        </w:tc>
      </w:tr>
    </w:tbl>
    <w:p w14:paraId="24C3509A" w14:textId="77777777" w:rsidR="002F2195" w:rsidRDefault="002F2195" w:rsidP="00AB75A3">
      <w:pPr>
        <w:pStyle w:val="Heading2"/>
        <w:spacing w:before="240"/>
      </w:pPr>
      <w:r w:rsidRPr="00ED4A24">
        <w:t>ESC Discussion</w:t>
      </w:r>
    </w:p>
    <w:p w14:paraId="73F7EA4D" w14:textId="77777777" w:rsidR="005F16FC" w:rsidRDefault="005F16FC" w:rsidP="00855EF1">
      <w:pPr>
        <w:spacing w:after="240"/>
      </w:pPr>
      <w:r w:rsidRPr="00A81BB6">
        <w:t>Application 1519.1 is a re</w:t>
      </w:r>
      <w:r>
        <w:t xml:space="preserve">-application </w:t>
      </w:r>
      <w:r w:rsidRPr="00A81BB6">
        <w:t xml:space="preserve">that seeks MSAC support for the public subsidy of tisagenlecleucel (TIS) for adult patients with relapsed or refractory diffuse large B-cell lymphoma (DLBCL) after two or more lines of systemic therapy. </w:t>
      </w:r>
    </w:p>
    <w:p w14:paraId="08E47B52" w14:textId="77777777" w:rsidR="005F16FC" w:rsidRDefault="005F16FC" w:rsidP="005F16FC">
      <w:r>
        <w:t>The ESC noted the re-application included:</w:t>
      </w:r>
    </w:p>
    <w:p w14:paraId="405BA945" w14:textId="77777777" w:rsidR="005F16FC" w:rsidRDefault="005F16FC" w:rsidP="005F16FC">
      <w:pPr>
        <w:pStyle w:val="ListParagraph"/>
        <w:numPr>
          <w:ilvl w:val="0"/>
          <w:numId w:val="29"/>
        </w:numPr>
      </w:pPr>
      <w:r>
        <w:t>an updated price;</w:t>
      </w:r>
    </w:p>
    <w:p w14:paraId="1779838D" w14:textId="77777777" w:rsidR="005F16FC" w:rsidRPr="00855EF1" w:rsidRDefault="00855EF1" w:rsidP="005F16FC">
      <w:pPr>
        <w:pStyle w:val="ListParagraph"/>
        <w:numPr>
          <w:ilvl w:val="0"/>
          <w:numId w:val="29"/>
        </w:numPr>
      </w:pPr>
      <w:r w:rsidRPr="00855EF1">
        <w:rPr>
          <w:b/>
        </w:rPr>
        <w:t>redacted</w:t>
      </w:r>
      <w:r w:rsidR="005F16FC" w:rsidRPr="00855EF1">
        <w:t>;</w:t>
      </w:r>
    </w:p>
    <w:p w14:paraId="2BB876A4" w14:textId="77777777" w:rsidR="005F16FC" w:rsidRDefault="005F16FC" w:rsidP="005F16FC">
      <w:pPr>
        <w:pStyle w:val="ListParagraph"/>
        <w:numPr>
          <w:ilvl w:val="0"/>
          <w:numId w:val="29"/>
        </w:numPr>
      </w:pPr>
      <w:r>
        <w:t xml:space="preserve">updated clinical data (the economic analysis was only updated with the new clinical data as part of the pre-ESC response); </w:t>
      </w:r>
    </w:p>
    <w:p w14:paraId="5EAC30D1" w14:textId="77777777" w:rsidR="005F16FC" w:rsidRDefault="005F16FC" w:rsidP="005F16FC">
      <w:pPr>
        <w:pStyle w:val="ListParagraph"/>
        <w:numPr>
          <w:ilvl w:val="0"/>
          <w:numId w:val="29"/>
        </w:numPr>
      </w:pPr>
      <w:r>
        <w:t>an updated economic analysis and</w:t>
      </w:r>
    </w:p>
    <w:p w14:paraId="0ED9A775" w14:textId="77777777" w:rsidR="005F16FC" w:rsidRPr="00855EF1" w:rsidRDefault="005F16FC" w:rsidP="00855EF1">
      <w:pPr>
        <w:pStyle w:val="ListParagraph"/>
        <w:numPr>
          <w:ilvl w:val="0"/>
          <w:numId w:val="29"/>
        </w:numPr>
        <w:spacing w:after="240"/>
      </w:pPr>
      <w:r>
        <w:t>updated financial estimates</w:t>
      </w:r>
      <w:r w:rsidR="00855EF1">
        <w:t>.</w:t>
      </w:r>
    </w:p>
    <w:p w14:paraId="4EF9EBB3" w14:textId="77777777" w:rsidR="005F16FC" w:rsidRPr="00855EF1" w:rsidRDefault="005F16FC" w:rsidP="00855EF1">
      <w:pPr>
        <w:spacing w:after="240"/>
      </w:pPr>
      <w:r>
        <w:t xml:space="preserve">The ESC noted </w:t>
      </w:r>
      <w:r w:rsidRPr="006C7F89">
        <w:t>DLBCL consists of multiple diseases, some of which have poor prognosis depending on the genetic profile</w:t>
      </w:r>
      <w:r>
        <w:t>.</w:t>
      </w:r>
      <w:r w:rsidRPr="006C7F89">
        <w:t xml:space="preserve"> </w:t>
      </w:r>
      <w:r>
        <w:t>T</w:t>
      </w:r>
      <w:r w:rsidRPr="006C7F89">
        <w:t xml:space="preserve">he refractory and relapsed population </w:t>
      </w:r>
      <w:r>
        <w:t xml:space="preserve">also </w:t>
      </w:r>
      <w:r w:rsidRPr="006C7F89">
        <w:t xml:space="preserve">differ clinically. </w:t>
      </w:r>
      <w:r>
        <w:t>In Australia a</w:t>
      </w:r>
      <w:r w:rsidRPr="006C7F89">
        <w:t>ll DLBCL patients receive rituximab</w:t>
      </w:r>
      <w:r>
        <w:t xml:space="preserve"> as part of first line combination chemotherapy.</w:t>
      </w:r>
      <w:r w:rsidRPr="006C7F89">
        <w:t xml:space="preserve"> </w:t>
      </w:r>
      <w:r>
        <w:t>R</w:t>
      </w:r>
      <w:r w:rsidRPr="006C7F89">
        <w:t xml:space="preserve">elapsed disease is treated with chemotherapy, and then a second-line chemotherapy regimen or </w:t>
      </w:r>
      <w:r w:rsidRPr="0033180D">
        <w:t>autologous stem cell transplantation (</w:t>
      </w:r>
      <w:r w:rsidRPr="006C7F89">
        <w:t>ASCT</w:t>
      </w:r>
      <w:r>
        <w:t>)</w:t>
      </w:r>
      <w:r w:rsidRPr="006C7F89">
        <w:t>. Refractory disease is treated with multiple lines of therapy and many patients are never candidates for ASCT</w:t>
      </w:r>
      <w:r w:rsidR="00855EF1">
        <w:t>.</w:t>
      </w:r>
    </w:p>
    <w:p w14:paraId="64D414B5" w14:textId="77777777" w:rsidR="005F16FC" w:rsidRPr="00A81BB6" w:rsidRDefault="005F16FC" w:rsidP="005F16FC">
      <w:pPr>
        <w:pStyle w:val="NormalBeforeBullet"/>
      </w:pPr>
      <w:r w:rsidRPr="00A81BB6">
        <w:t>The ESC noted the change to the proposed eligibility for subsidy to reflect the wording of the TGA approval:</w:t>
      </w:r>
    </w:p>
    <w:p w14:paraId="372B4610" w14:textId="77777777" w:rsidR="005F16FC" w:rsidRPr="00A81BB6" w:rsidRDefault="005F16FC" w:rsidP="005F16FC">
      <w:pPr>
        <w:pStyle w:val="Bullet"/>
      </w:pPr>
      <w:r w:rsidRPr="00A81BB6">
        <w:t>previous application: adult patients with relapsed or refractory DLBCL who are ineligible for or relapse after autologous stem cell transplant</w:t>
      </w:r>
      <w:r>
        <w:t xml:space="preserve"> (ASCT)</w:t>
      </w:r>
    </w:p>
    <w:p w14:paraId="122B9348" w14:textId="77777777" w:rsidR="005F16FC" w:rsidRPr="00A81BB6" w:rsidRDefault="005F16FC" w:rsidP="005F16FC">
      <w:pPr>
        <w:pStyle w:val="BulletLast"/>
      </w:pPr>
      <w:r w:rsidRPr="00A81BB6">
        <w:t xml:space="preserve">current application: adult patients with relapsed or refractory DLBCL after two or more lines of systemic therapy. </w:t>
      </w:r>
    </w:p>
    <w:p w14:paraId="2CBDDEDD" w14:textId="77777777" w:rsidR="005F16FC" w:rsidRDefault="005F16FC" w:rsidP="00855EF1">
      <w:pPr>
        <w:spacing w:after="240"/>
      </w:pPr>
      <w:r>
        <w:t xml:space="preserve">The resubmission argued that the eligible population would effectively remain the same as in the previous application. </w:t>
      </w:r>
      <w:r w:rsidRPr="00A81BB6">
        <w:t>However, ESC considered that the revised eligibility criteria may not adequately describe the patients most likely to benefit from therapy and advised that the MSAC may wish to include additional criteria, for example</w:t>
      </w:r>
      <w:r>
        <w:t>:</w:t>
      </w:r>
      <w:r w:rsidRPr="00A81BB6">
        <w:t xml:space="preserve"> performance status</w:t>
      </w:r>
      <w:r>
        <w:t>;</w:t>
      </w:r>
      <w:r w:rsidRPr="00A81BB6">
        <w:t xml:space="preserve"> whether or </w:t>
      </w:r>
      <w:r w:rsidRPr="00A81BB6">
        <w:lastRenderedPageBreak/>
        <w:t>not ASCT is counted as a line of systemic therapy</w:t>
      </w:r>
      <w:r>
        <w:t>; and whether or not treatment with CAR-T therapy should be limited to once per lifetime.</w:t>
      </w:r>
      <w:r w:rsidRPr="00A81BB6">
        <w:t xml:space="preserve"> </w:t>
      </w:r>
      <w:r>
        <w:t>ESC further noted that the characteristics that might render patients ineligible for ASCT (e.g. older age/frailty, multiple co-morbidities) might also render them unsuitable for CAR-T therapy, and that the JULIET clinical trial protocol included a number of eligibility criteria directed at ensuring that patients are fit enough for treatment with TIS.</w:t>
      </w:r>
    </w:p>
    <w:p w14:paraId="0B1B967C" w14:textId="77777777" w:rsidR="005F16FC" w:rsidRDefault="005F16FC" w:rsidP="00855EF1">
      <w:pPr>
        <w:spacing w:after="240"/>
      </w:pPr>
      <w:r>
        <w:t xml:space="preserve">The ESC noted the re-application included updated clinical data from the single arm JULIET study, with headline results for the 11 December 2018 data cut-off provided post application and incorporated into the economic analysis provided </w:t>
      </w:r>
      <w:r w:rsidR="00855EF1">
        <w:t>with the pre-ESC response.</w:t>
      </w:r>
    </w:p>
    <w:p w14:paraId="3C68D07D" w14:textId="77777777" w:rsidR="005F16FC" w:rsidRDefault="005F16FC" w:rsidP="00855EF1">
      <w:pPr>
        <w:spacing w:after="240"/>
      </w:pPr>
      <w:r>
        <w:t>The ESC noted the median Progression Free Survival (P</w:t>
      </w:r>
      <w:r w:rsidRPr="0079129A">
        <w:t>FS</w:t>
      </w:r>
      <w:r>
        <w:t>)</w:t>
      </w:r>
      <w:r w:rsidRPr="0079129A">
        <w:t xml:space="preserve"> </w:t>
      </w:r>
      <w:r>
        <w:t xml:space="preserve">based on the December 2018 cut-off of the JULIET data </w:t>
      </w:r>
      <w:r w:rsidRPr="006A6212">
        <w:t>was 4.6 months (95% CI: 3.7, 5.2) which was the same as at</w:t>
      </w:r>
      <w:r>
        <w:t xml:space="preserve"> </w:t>
      </w:r>
      <w:r w:rsidRPr="0079129A">
        <w:t>the May 2018 dat</w:t>
      </w:r>
      <w:r>
        <w:t xml:space="preserve">a cut (4.6 months [3.68, 5.19]). However, ESC also noted the short median duration of follow up and very low numbers of at risk patients at later time points in the PFS and Overall Survival (OS) Kaplan Meier curves. Although the </w:t>
      </w:r>
      <w:r w:rsidRPr="00A81BB6">
        <w:t xml:space="preserve">ESC was </w:t>
      </w:r>
      <w:r>
        <w:t xml:space="preserve">somewhat </w:t>
      </w:r>
      <w:r w:rsidRPr="00A81BB6">
        <w:t>reassured by the</w:t>
      </w:r>
      <w:r>
        <w:t xml:space="preserve"> additional clinical results</w:t>
      </w:r>
      <w:r w:rsidRPr="00A81BB6">
        <w:t xml:space="preserve">, it </w:t>
      </w:r>
      <w:r>
        <w:t>was of the view that</w:t>
      </w:r>
      <w:r w:rsidRPr="00A81BB6">
        <w:t xml:space="preserve"> there continues to be considerable uncertainty around the long term outcomes of treatment</w:t>
      </w:r>
      <w:r>
        <w:t>.</w:t>
      </w:r>
    </w:p>
    <w:p w14:paraId="1C132327" w14:textId="77777777" w:rsidR="005F16FC" w:rsidRDefault="005F16FC" w:rsidP="00330E03">
      <w:pPr>
        <w:spacing w:after="240"/>
      </w:pPr>
      <w:r w:rsidRPr="00A81BB6">
        <w:t xml:space="preserve">The ESC acknowledged the sponsor proposes </w:t>
      </w:r>
      <w:r w:rsidR="00855EF1" w:rsidRPr="00855EF1">
        <w:rPr>
          <w:b/>
        </w:rPr>
        <w:t>redacted</w:t>
      </w:r>
      <w:r w:rsidR="00855EF1" w:rsidRPr="00A81BB6">
        <w:t xml:space="preserve"> </w:t>
      </w:r>
      <w:r w:rsidRPr="00A81BB6">
        <w:t>for the DLBCL indication</w:t>
      </w:r>
      <w:r>
        <w:t>, and that this</w:t>
      </w:r>
      <w:r w:rsidRPr="00A81BB6">
        <w:t xml:space="preserve"> may be the most feasible/practical approach to addressing the concerns raised in the evaluation while providing timely access to this therapy. The ESC considered the </w:t>
      </w:r>
      <w:r w:rsidR="00855EF1" w:rsidRPr="00855EF1">
        <w:rPr>
          <w:b/>
        </w:rPr>
        <w:t>redacted</w:t>
      </w:r>
      <w:r w:rsidR="00855EF1" w:rsidRPr="00A81BB6">
        <w:t xml:space="preserve"> </w:t>
      </w:r>
      <w:r w:rsidRPr="00A81BB6">
        <w:t>in the context of this disease.</w:t>
      </w:r>
      <w:r>
        <w:t xml:space="preserve"> The ESC also noted the proposed </w:t>
      </w:r>
      <w:r w:rsidR="00330E03" w:rsidRPr="00330E03">
        <w:rPr>
          <w:b/>
        </w:rPr>
        <w:t>redacted</w:t>
      </w:r>
      <w:r w:rsidRPr="00330E03">
        <w:t>.</w:t>
      </w:r>
    </w:p>
    <w:p w14:paraId="25385D8C" w14:textId="77777777" w:rsidR="005F16FC" w:rsidRPr="00A81BB6" w:rsidRDefault="005F16FC" w:rsidP="00330E03">
      <w:pPr>
        <w:spacing w:after="240"/>
      </w:pPr>
      <w:r w:rsidRPr="00A81BB6">
        <w:t xml:space="preserve">ESC noted the updated JULIET safety data, </w:t>
      </w:r>
      <w:r>
        <w:t>and that</w:t>
      </w:r>
      <w:r w:rsidRPr="00A81BB6">
        <w:t xml:space="preserve"> there were no changes to the proportion of patie</w:t>
      </w:r>
      <w:r w:rsidR="00330E03">
        <w:t>nts with adverse events (AEs).</w:t>
      </w:r>
    </w:p>
    <w:p w14:paraId="7E69772F" w14:textId="77777777" w:rsidR="005F16FC" w:rsidRDefault="005F16FC" w:rsidP="00330E03">
      <w:pPr>
        <w:spacing w:after="240"/>
      </w:pPr>
      <w:r w:rsidRPr="00A81BB6">
        <w:t xml:space="preserve">The ESC noted the applicant had included an extra study (Corazzelli 2009) to inform the modelling of AEs in the </w:t>
      </w:r>
      <w:r w:rsidR="005031A2">
        <w:t>SCR</w:t>
      </w:r>
      <w:r w:rsidRPr="00A81BB6">
        <w:t xml:space="preserve"> arm of the economic model. However, the Critique noted that the Corazzelli study followed patients with B-cell non-Hodgkin lymphoma after treatment with gemcitabine and oxaliplatin (with or without rituximab). ESC agreed </w:t>
      </w:r>
      <w:r>
        <w:t xml:space="preserve">with the Critique </w:t>
      </w:r>
      <w:r w:rsidRPr="00A81BB6">
        <w:t xml:space="preserve">that it is unclear if these AE data would be applicable to the DLBCL population treated with R-DHAP – the salvage chemotherapy most likely to be used in Australia and the one </w:t>
      </w:r>
      <w:r>
        <w:t>assum</w:t>
      </w:r>
      <w:r w:rsidRPr="00A81BB6">
        <w:t xml:space="preserve">ed </w:t>
      </w:r>
      <w:r>
        <w:t>for</w:t>
      </w:r>
      <w:r w:rsidRPr="00A81BB6">
        <w:t xml:space="preserve"> the economic evaluation. The Critique also noted that Corazzelli did not look at AEs as a proportion of events over patients treated, but rather the proportion of cycles with individual adverse events over number of courses of treatment. The ESC considered that this did not form a reasonable basis for comparison of AEs in the economic model.</w:t>
      </w:r>
    </w:p>
    <w:p w14:paraId="2F0E302D" w14:textId="77777777" w:rsidR="005F16FC" w:rsidRPr="00A81BB6" w:rsidRDefault="005F16FC" w:rsidP="005F16FC">
      <w:r w:rsidRPr="00A81BB6">
        <w:t>The ESC noted the re-application included changes to the economic evaluation</w:t>
      </w:r>
      <w:r>
        <w:t xml:space="preserve"> (re-application model)</w:t>
      </w:r>
      <w:r w:rsidRPr="00A81BB6">
        <w:t>, and that the latest version of the economic model provided with the pre</w:t>
      </w:r>
      <w:r>
        <w:t>-</w:t>
      </w:r>
      <w:r w:rsidRPr="00A81BB6">
        <w:t xml:space="preserve">ESC response </w:t>
      </w:r>
      <w:r>
        <w:t xml:space="preserve">(pre-ESC model) </w:t>
      </w:r>
      <w:r w:rsidRPr="00A81BB6">
        <w:t>had the following changes applied to the re-application base case:</w:t>
      </w:r>
    </w:p>
    <w:p w14:paraId="4E5AE99E" w14:textId="77777777" w:rsidR="005F16FC" w:rsidRPr="00A81BB6" w:rsidRDefault="005F16FC" w:rsidP="005F16FC">
      <w:pPr>
        <w:pStyle w:val="ListParagraph"/>
        <w:numPr>
          <w:ilvl w:val="0"/>
          <w:numId w:val="30"/>
        </w:numPr>
        <w:ind w:left="426" w:hanging="426"/>
        <w:jc w:val="both"/>
      </w:pPr>
      <w:r w:rsidRPr="00A81BB6">
        <w:t>The results from the December 2018 data-cut of JULIET were applied to the model (compared to May 2018 in the re-application)</w:t>
      </w:r>
      <w:r>
        <w:t>;</w:t>
      </w:r>
    </w:p>
    <w:p w14:paraId="10C11FE1" w14:textId="77777777" w:rsidR="005F16FC" w:rsidRPr="00A81BB6" w:rsidRDefault="005F16FC" w:rsidP="005F16FC">
      <w:pPr>
        <w:pStyle w:val="ListParagraph"/>
        <w:numPr>
          <w:ilvl w:val="0"/>
          <w:numId w:val="30"/>
        </w:numPr>
        <w:ind w:left="426" w:hanging="426"/>
        <w:jc w:val="both"/>
      </w:pPr>
      <w:r w:rsidRPr="00A81BB6">
        <w:t xml:space="preserve">The PFS and OS extrapolation </w:t>
      </w:r>
      <w:r>
        <w:t>was</w:t>
      </w:r>
      <w:r w:rsidRPr="00A81BB6">
        <w:t xml:space="preserve"> forced from cycle 24 instead of cycle 20, reflecting the additional observed data available</w:t>
      </w:r>
      <w:r>
        <w:t>;</w:t>
      </w:r>
    </w:p>
    <w:p w14:paraId="5BF0A72B" w14:textId="77777777" w:rsidR="005F16FC" w:rsidRPr="00A81BB6" w:rsidRDefault="005F16FC" w:rsidP="005F16FC">
      <w:pPr>
        <w:pStyle w:val="ListParagraph"/>
        <w:numPr>
          <w:ilvl w:val="0"/>
          <w:numId w:val="30"/>
        </w:numPr>
        <w:ind w:left="426" w:hanging="426"/>
        <w:jc w:val="both"/>
      </w:pPr>
      <w:r w:rsidRPr="00A81BB6">
        <w:t xml:space="preserve">The TIS PFS and OS extrapolation models </w:t>
      </w:r>
      <w:r>
        <w:t xml:space="preserve">were </w:t>
      </w:r>
      <w:r w:rsidRPr="00A81BB6">
        <w:t>changed from Spline 2 to Spline 1 and Spline 3, as these were the best fitting models to the updated data cut</w:t>
      </w:r>
      <w:r>
        <w:t>; and</w:t>
      </w:r>
    </w:p>
    <w:p w14:paraId="3A4A11CF" w14:textId="77777777" w:rsidR="005F16FC" w:rsidRPr="00330E03" w:rsidRDefault="005F16FC" w:rsidP="00330E03">
      <w:pPr>
        <w:pStyle w:val="ListParagraph"/>
        <w:numPr>
          <w:ilvl w:val="0"/>
          <w:numId w:val="30"/>
        </w:numPr>
        <w:spacing w:after="240"/>
        <w:ind w:left="426" w:hanging="426"/>
        <w:jc w:val="both"/>
      </w:pPr>
      <w:r w:rsidRPr="00A81BB6">
        <w:t xml:space="preserve">The price of TIS was reduced </w:t>
      </w:r>
      <w:r w:rsidRPr="00330E03">
        <w:t>from $</w:t>
      </w:r>
      <w:r w:rsidR="00330E03" w:rsidRPr="00330E03">
        <w:rPr>
          <w:b/>
        </w:rPr>
        <w:t>redacted</w:t>
      </w:r>
      <w:r w:rsidR="00330E03" w:rsidRPr="00330E03">
        <w:t xml:space="preserve"> </w:t>
      </w:r>
      <w:r w:rsidRPr="00330E03">
        <w:t>to $</w:t>
      </w:r>
      <w:r w:rsidR="00330E03" w:rsidRPr="00330E03">
        <w:rPr>
          <w:b/>
        </w:rPr>
        <w:t>redacted</w:t>
      </w:r>
      <w:r>
        <w:t>.</w:t>
      </w:r>
    </w:p>
    <w:p w14:paraId="469A0F56" w14:textId="77777777" w:rsidR="005F16FC" w:rsidRDefault="005F16FC" w:rsidP="005F16FC">
      <w:r w:rsidRPr="00A81BB6">
        <w:t xml:space="preserve">The ESC noted that the updated economic model </w:t>
      </w:r>
      <w:r>
        <w:t>i</w:t>
      </w:r>
      <w:r w:rsidRPr="00A81BB6">
        <w:t>s based on the intention-to-treat (ITT) population, consistent with the MSAC advice from its November 2018 consideration.</w:t>
      </w:r>
    </w:p>
    <w:p w14:paraId="1F4B279E" w14:textId="77777777" w:rsidR="005F16FC" w:rsidRDefault="005F16FC" w:rsidP="00330E03">
      <w:pPr>
        <w:spacing w:after="120"/>
      </w:pPr>
      <w:r>
        <w:lastRenderedPageBreak/>
        <w:t>However, the ESC noted a number of issues remain with the economic model that mean that the incremental cost (ICER) per quality adjusted life year (QALY) is likely underestimated:</w:t>
      </w:r>
    </w:p>
    <w:p w14:paraId="213B95EB" w14:textId="4086DDFD" w:rsidR="005F16FC" w:rsidRPr="00A81BB6" w:rsidRDefault="005F16FC" w:rsidP="00037C4B">
      <w:pPr>
        <w:pStyle w:val="ListParagraph"/>
        <w:numPr>
          <w:ilvl w:val="0"/>
          <w:numId w:val="30"/>
        </w:numPr>
        <w:ind w:left="426" w:hanging="426"/>
      </w:pPr>
      <w:r>
        <w:t xml:space="preserve">The extrapolation of survival in the TIS arm may be overly optimistic. The base case </w:t>
      </w:r>
      <w:r w:rsidRPr="00330E03">
        <w:t>(Spline 1/3 for TIS OS/PFS and Spline 1 for SCR OS/PFS) discounted cost/QALY is $</w:t>
      </w:r>
      <w:r w:rsidR="00330E03" w:rsidRPr="00330E03">
        <w:rPr>
          <w:b/>
        </w:rPr>
        <w:t>redacted</w:t>
      </w:r>
      <w:r w:rsidRPr="00330E03">
        <w:t>. Alternative extrapolation methods result in higher discounted costs/QALY (eg</w:t>
      </w:r>
      <w:r w:rsidR="00037C4B">
        <w:t> </w:t>
      </w:r>
      <w:r w:rsidRPr="00330E03">
        <w:t>using lognormal for all survival curves, the discounted cost/QALY is $</w:t>
      </w:r>
      <w:r w:rsidR="00330E03" w:rsidRPr="00330E03">
        <w:rPr>
          <w:b/>
        </w:rPr>
        <w:t>redacted</w:t>
      </w:r>
      <w:r w:rsidRPr="00330E03">
        <w:t>; using loglogistic for all survival curves, the discounted cost/QALY is $</w:t>
      </w:r>
      <w:r w:rsidR="00330E03" w:rsidRPr="00330E03">
        <w:rPr>
          <w:b/>
        </w:rPr>
        <w:t>redacted</w:t>
      </w:r>
      <w:r w:rsidRPr="00A81BB6">
        <w:t xml:space="preserve">) </w:t>
      </w:r>
      <w:r>
        <w:t>(See also Table</w:t>
      </w:r>
      <w:r w:rsidR="00037C4B">
        <w:t> </w:t>
      </w:r>
      <w:r>
        <w:t xml:space="preserve">3 in the addendum to the Critique) </w:t>
      </w:r>
    </w:p>
    <w:p w14:paraId="05F310B9" w14:textId="649F42F5" w:rsidR="005F16FC" w:rsidRPr="00330E03" w:rsidRDefault="005F16FC" w:rsidP="00037C4B">
      <w:pPr>
        <w:pStyle w:val="ListParagraph"/>
        <w:numPr>
          <w:ilvl w:val="0"/>
          <w:numId w:val="30"/>
        </w:numPr>
        <w:spacing w:after="240"/>
        <w:ind w:left="426" w:hanging="426"/>
      </w:pPr>
      <w:r>
        <w:t>The starting age in the model (56 years) is lower than the age of diagnosis in Australia (60</w:t>
      </w:r>
      <w:r w:rsidR="00037C4B">
        <w:t> </w:t>
      </w:r>
      <w:r>
        <w:t xml:space="preserve">– 70 years). In the model provided in the re-application, the base care </w:t>
      </w:r>
      <w:r w:rsidRPr="00DF5352">
        <w:t xml:space="preserve">discounted cost </w:t>
      </w:r>
      <w:r>
        <w:t xml:space="preserve">was </w:t>
      </w:r>
      <w:r w:rsidRPr="00330E03">
        <w:t>$</w:t>
      </w:r>
      <w:r w:rsidR="00330E03" w:rsidRPr="00330E03">
        <w:rPr>
          <w:b/>
        </w:rPr>
        <w:t>redacted</w:t>
      </w:r>
      <w:r w:rsidR="00330E03" w:rsidRPr="00330E03">
        <w:t xml:space="preserve"> </w:t>
      </w:r>
      <w:r w:rsidRPr="00330E03">
        <w:t>/QALY, which increased to $</w:t>
      </w:r>
      <w:r w:rsidR="00330E03" w:rsidRPr="00330E03">
        <w:rPr>
          <w:b/>
        </w:rPr>
        <w:t>redacted</w:t>
      </w:r>
      <w:r w:rsidR="00330E03" w:rsidRPr="00330E03">
        <w:t xml:space="preserve"> </w:t>
      </w:r>
      <w:r w:rsidRPr="00330E03">
        <w:t>/QALY if the starting age in the model was 60 years and to $</w:t>
      </w:r>
      <w:r w:rsidR="00330E03" w:rsidRPr="00330E03">
        <w:rPr>
          <w:b/>
        </w:rPr>
        <w:t>redacted</w:t>
      </w:r>
      <w:r w:rsidR="00330E03" w:rsidRPr="00330E03">
        <w:t xml:space="preserve"> </w:t>
      </w:r>
      <w:r w:rsidRPr="00330E03">
        <w:t>/QALY at</w:t>
      </w:r>
      <w:r w:rsidRPr="00DF5352">
        <w:t xml:space="preserve"> age 70 years.</w:t>
      </w:r>
    </w:p>
    <w:p w14:paraId="58D52D19" w14:textId="77777777" w:rsidR="005F16FC" w:rsidRPr="00330E03" w:rsidRDefault="005F16FC" w:rsidP="00330E03">
      <w:pPr>
        <w:spacing w:after="240"/>
      </w:pPr>
      <w:r w:rsidRPr="00A81BB6">
        <w:t xml:space="preserve">The Critique considered it counter intuitive that the modelled ICER in the ITT population in the pre-ESC model was lower than in the infused </w:t>
      </w:r>
      <w:r w:rsidRPr="00330E03">
        <w:t>population ($</w:t>
      </w:r>
      <w:r w:rsidR="00330E03" w:rsidRPr="00330E03">
        <w:rPr>
          <w:b/>
        </w:rPr>
        <w:t>redacted</w:t>
      </w:r>
      <w:r w:rsidR="00330E03" w:rsidRPr="00330E03">
        <w:t xml:space="preserve"> </w:t>
      </w:r>
      <w:r w:rsidRPr="00330E03">
        <w:t>versus $</w:t>
      </w:r>
      <w:r w:rsidR="00330E03" w:rsidRPr="00330E03">
        <w:rPr>
          <w:b/>
        </w:rPr>
        <w:t>redacted</w:t>
      </w:r>
      <w:r w:rsidRPr="00330E03">
        <w:t>).</w:t>
      </w:r>
      <w:r w:rsidRPr="00A81BB6">
        <w:t xml:space="preserve"> The same outcome was also observed in the model provided with the </w:t>
      </w:r>
      <w:r>
        <w:t xml:space="preserve">previous </w:t>
      </w:r>
      <w:r w:rsidRPr="00A81BB6">
        <w:t>applicat</w:t>
      </w:r>
      <w:r>
        <w:t>i</w:t>
      </w:r>
      <w:r w:rsidRPr="00A81BB6">
        <w:t>on. The applicant explained this is a mathematical artefact as a result of the extrapolation. The ESC considered the applicant</w:t>
      </w:r>
      <w:r>
        <w:t>’</w:t>
      </w:r>
      <w:r w:rsidRPr="00A81BB6">
        <w:t>s explanation may be reasonable</w:t>
      </w:r>
      <w:r>
        <w:t>, with this outcome being possible in some scenarios.</w:t>
      </w:r>
    </w:p>
    <w:p w14:paraId="052FF226" w14:textId="77777777" w:rsidR="005F16FC" w:rsidRDefault="005F16FC" w:rsidP="00330E03">
      <w:pPr>
        <w:spacing w:after="120"/>
        <w:jc w:val="both"/>
      </w:pPr>
      <w:r>
        <w:t xml:space="preserve">The ESC noted the applicant had updated the financial estimates as follows: </w:t>
      </w:r>
    </w:p>
    <w:p w14:paraId="1B695C05" w14:textId="77777777" w:rsidR="005F16FC" w:rsidRPr="0079129A" w:rsidRDefault="005F16FC" w:rsidP="00330E03">
      <w:pPr>
        <w:pStyle w:val="ListParagraph"/>
        <w:numPr>
          <w:ilvl w:val="0"/>
          <w:numId w:val="30"/>
        </w:numPr>
        <w:ind w:left="425" w:hanging="425"/>
        <w:jc w:val="both"/>
      </w:pPr>
      <w:r>
        <w:t xml:space="preserve">to </w:t>
      </w:r>
      <w:r w:rsidRPr="0079129A">
        <w:t xml:space="preserve">consider the financial impact of the proposed program across all government healthcare budgets; </w:t>
      </w:r>
    </w:p>
    <w:p w14:paraId="33FBF8D8" w14:textId="77777777" w:rsidR="005F16FC" w:rsidRPr="0079129A" w:rsidRDefault="005F16FC" w:rsidP="005F16FC">
      <w:pPr>
        <w:pStyle w:val="ListParagraph"/>
        <w:numPr>
          <w:ilvl w:val="0"/>
          <w:numId w:val="26"/>
        </w:numPr>
        <w:ind w:left="426" w:hanging="426"/>
        <w:jc w:val="both"/>
      </w:pPr>
      <w:r w:rsidRPr="0079129A">
        <w:t>the eligible population in the first two years of the analysis ha</w:t>
      </w:r>
      <w:r>
        <w:t>s</w:t>
      </w:r>
      <w:r w:rsidRPr="0079129A">
        <w:t xml:space="preserve"> been increased to account for curr</w:t>
      </w:r>
      <w:r w:rsidR="00330E03">
        <w:t>ent prevalent r/r DLBCL cases;</w:t>
      </w:r>
    </w:p>
    <w:p w14:paraId="648645D1" w14:textId="77777777" w:rsidR="005F16FC" w:rsidRPr="0079129A" w:rsidRDefault="005F16FC" w:rsidP="005F16FC">
      <w:pPr>
        <w:pStyle w:val="ListParagraph"/>
        <w:numPr>
          <w:ilvl w:val="0"/>
          <w:numId w:val="26"/>
        </w:numPr>
        <w:ind w:left="426" w:hanging="426"/>
        <w:jc w:val="both"/>
      </w:pPr>
      <w:r>
        <w:t>a</w:t>
      </w:r>
      <w:r w:rsidRPr="0079129A">
        <w:t>dditional disaggregated uptake assumptions have been applied, incorporating updated expectations around geographical access and likely utilisation of CAR-T therapy;</w:t>
      </w:r>
    </w:p>
    <w:p w14:paraId="0E314A7B" w14:textId="77777777" w:rsidR="005F16FC" w:rsidRPr="0079129A" w:rsidRDefault="005F16FC" w:rsidP="005F16FC">
      <w:pPr>
        <w:pStyle w:val="ListParagraph"/>
        <w:numPr>
          <w:ilvl w:val="0"/>
          <w:numId w:val="26"/>
        </w:numPr>
        <w:ind w:left="426" w:hanging="426"/>
        <w:jc w:val="both"/>
      </w:pPr>
      <w:r>
        <w:t>t</w:t>
      </w:r>
      <w:r w:rsidRPr="0079129A">
        <w:t>he previous market share approach has been discarded and revised estimates account for the total expected uptake of CAR-T therapies within the target r/r DLBCL indication;</w:t>
      </w:r>
    </w:p>
    <w:p w14:paraId="14030536" w14:textId="77777777" w:rsidR="005F16FC" w:rsidRPr="0079129A" w:rsidRDefault="005F16FC" w:rsidP="005F16FC">
      <w:pPr>
        <w:pStyle w:val="ListParagraph"/>
        <w:numPr>
          <w:ilvl w:val="0"/>
          <w:numId w:val="26"/>
        </w:numPr>
        <w:ind w:left="426" w:hanging="426"/>
        <w:jc w:val="both"/>
      </w:pPr>
      <w:r>
        <w:t>c</w:t>
      </w:r>
      <w:r w:rsidRPr="0079129A">
        <w:t xml:space="preserve">ost estimates have been refined to separately consider infused and non-infused patients, explicitly assuming that the applicant will not receive any funding for the latter group; </w:t>
      </w:r>
    </w:p>
    <w:p w14:paraId="52EBA8C1" w14:textId="77777777" w:rsidR="005F16FC" w:rsidRPr="0079129A" w:rsidRDefault="005F16FC" w:rsidP="005F16FC">
      <w:pPr>
        <w:pStyle w:val="ListParagraph"/>
        <w:numPr>
          <w:ilvl w:val="0"/>
          <w:numId w:val="26"/>
        </w:numPr>
        <w:ind w:left="426" w:hanging="426"/>
        <w:jc w:val="both"/>
      </w:pPr>
      <w:r>
        <w:t>i</w:t>
      </w:r>
      <w:r w:rsidRPr="0079129A">
        <w:t>ncreased costs related to Grade 3/4 adverse events and prolonged IVIg administration have been incorporated, consistent with the revised economic evaluation;</w:t>
      </w:r>
      <w:r>
        <w:t xml:space="preserve"> and</w:t>
      </w:r>
    </w:p>
    <w:p w14:paraId="35B5E089" w14:textId="77777777" w:rsidR="005F16FC" w:rsidRDefault="005F16FC" w:rsidP="00330E03">
      <w:pPr>
        <w:pStyle w:val="ListParagraph"/>
        <w:numPr>
          <w:ilvl w:val="0"/>
          <w:numId w:val="26"/>
        </w:numPr>
        <w:spacing w:after="240"/>
        <w:ind w:left="426" w:hanging="426"/>
        <w:jc w:val="both"/>
      </w:pPr>
      <w:r>
        <w:t>t</w:t>
      </w:r>
      <w:r w:rsidRPr="0079129A">
        <w:t>he price of TIS has been reduced</w:t>
      </w:r>
      <w:r>
        <w:t>.</w:t>
      </w:r>
    </w:p>
    <w:p w14:paraId="1D73BB3E" w14:textId="77777777" w:rsidR="005F16FC" w:rsidRDefault="005F16FC" w:rsidP="00330E03">
      <w:pPr>
        <w:spacing w:after="120"/>
      </w:pPr>
      <w:r>
        <w:t>The ESC considered it likely that the utilisation and cost estimates for TIS in DLBCL are signif</w:t>
      </w:r>
      <w:r w:rsidR="00330E03">
        <w:t>icantly over-estimated, noting:</w:t>
      </w:r>
    </w:p>
    <w:p w14:paraId="7BE2FA55" w14:textId="77777777" w:rsidR="005F16FC" w:rsidRDefault="005F16FC" w:rsidP="00330E03">
      <w:pPr>
        <w:pStyle w:val="ListParagraph"/>
        <w:numPr>
          <w:ilvl w:val="0"/>
          <w:numId w:val="30"/>
        </w:numPr>
        <w:ind w:left="426" w:hanging="426"/>
      </w:pPr>
      <w:r w:rsidRPr="006C7F89">
        <w:t xml:space="preserve">in an overseas program, one-third of the patients recommended for CAR-T therapy did not receive the transfusion because of disease progression </w:t>
      </w:r>
      <w:r>
        <w:t>or</w:t>
      </w:r>
      <w:r w:rsidRPr="006C7F89">
        <w:t xml:space="preserve"> death</w:t>
      </w:r>
      <w:r>
        <w:t>. However the submission assumes higher uptake rates will occur in Australia;</w:t>
      </w:r>
    </w:p>
    <w:p w14:paraId="4DAA93A7" w14:textId="77777777" w:rsidR="005F16FC" w:rsidRDefault="005F16FC" w:rsidP="00330E03">
      <w:pPr>
        <w:pStyle w:val="ListParagraph"/>
        <w:numPr>
          <w:ilvl w:val="0"/>
          <w:numId w:val="30"/>
        </w:numPr>
        <w:ind w:left="426" w:hanging="426"/>
      </w:pPr>
      <w:r w:rsidRPr="00B53D15">
        <w:t xml:space="preserve">many patients </w:t>
      </w:r>
      <w:r>
        <w:t xml:space="preserve">in this DLBCL population who are </w:t>
      </w:r>
      <w:r w:rsidRPr="00B53D15">
        <w:t>unsuitable for ASCT</w:t>
      </w:r>
      <w:r>
        <w:t xml:space="preserve"> </w:t>
      </w:r>
      <w:r w:rsidRPr="00B53D15">
        <w:t>as a second-line treatment due to comorbidities and/or age would also be unsuitable for TIS therapy, given the safety profile of TIS.</w:t>
      </w:r>
    </w:p>
    <w:p w14:paraId="23EF426A" w14:textId="77777777" w:rsidR="005F16FC" w:rsidRDefault="005F16FC" w:rsidP="00330E03">
      <w:pPr>
        <w:pStyle w:val="ListParagraph"/>
        <w:numPr>
          <w:ilvl w:val="0"/>
          <w:numId w:val="30"/>
        </w:numPr>
        <w:spacing w:after="240"/>
        <w:ind w:left="426"/>
      </w:pPr>
      <w:r>
        <w:t xml:space="preserve">the submission’s estimates for the total infused population in Australia greatly exceed the NHS England patient number estimates for tisagenlecleucel and for axicabtagene ciloleucal (Yescarta®), noting the UK estimates do not account for market share (ie the two populations overlap), and also the estimated UK patient population eligible for </w:t>
      </w:r>
      <w:r w:rsidRPr="00AF3DC3">
        <w:t xml:space="preserve">axicabtagene ciloleucal is higher to account for </w:t>
      </w:r>
      <w:r>
        <w:t>its</w:t>
      </w:r>
      <w:r w:rsidRPr="00AF3DC3">
        <w:t xml:space="preserve"> wider indication</w:t>
      </w:r>
      <w:r>
        <w:rPr>
          <w:rStyle w:val="FootnoteReference"/>
        </w:rPr>
        <w:footnoteReference w:id="1"/>
      </w:r>
      <w:r>
        <w:t xml:space="preserve">. This is in spite the </w:t>
      </w:r>
      <w:r>
        <w:lastRenderedPageBreak/>
        <w:t>total population covered by NHS England being around 56 million compared to the Austr</w:t>
      </w:r>
      <w:r w:rsidR="00330E03">
        <w:t>alian population of 26 million.</w:t>
      </w:r>
    </w:p>
    <w:p w14:paraId="2CD3A0B2" w14:textId="77777777" w:rsidR="005F16FC" w:rsidRDefault="005F16FC" w:rsidP="00330E03">
      <w:pPr>
        <w:spacing w:after="240"/>
      </w:pPr>
      <w:r>
        <w:t>The ESC requested the Department undertake a second independent review of the utilisation and financial estimates presented in the submission and provide these to the MS</w:t>
      </w:r>
      <w:r w:rsidR="00330E03">
        <w:t>AC as an annex to the critique.</w:t>
      </w:r>
    </w:p>
    <w:p w14:paraId="4DC88B61" w14:textId="77777777" w:rsidR="005F16FC" w:rsidRPr="00A81BB6" w:rsidRDefault="005F16FC" w:rsidP="00330E03">
      <w:pPr>
        <w:spacing w:after="240"/>
      </w:pPr>
      <w:r w:rsidRPr="00A81BB6">
        <w:t>Finally, the ESC noted there continue to be media reports suggesting Novartis may be experiencing difficulties in manufacturing product</w:t>
      </w:r>
      <w:r>
        <w:t xml:space="preserve"> to regulatory standards, in</w:t>
      </w:r>
      <w:r w:rsidRPr="00A81BB6">
        <w:t xml:space="preserve"> particular for DLBCL patients. The ESC requested the applicant provide an update on the </w:t>
      </w:r>
      <w:r>
        <w:t xml:space="preserve">current </w:t>
      </w:r>
      <w:r w:rsidRPr="00A81BB6">
        <w:t>manufacturing failure r</w:t>
      </w:r>
      <w:r w:rsidR="00330E03">
        <w:t>ate with its pre-MSAC response.</w:t>
      </w:r>
    </w:p>
    <w:p w14:paraId="2197E35A" w14:textId="77777777" w:rsidR="005F16FC" w:rsidRDefault="005F16FC" w:rsidP="005F16FC">
      <w:pPr>
        <w:rPr>
          <w:highlight w:val="yellow"/>
        </w:rPr>
      </w:pPr>
      <w:r w:rsidRPr="00A81BB6">
        <w:t>Overall, with the exception of the adoption of ITT analyses in the economic model, the ESC was of the view that none of the areas of clinical, economic or budget uncertainty previously identified by the MSAC have been substantively addressed in the re-application</w:t>
      </w:r>
      <w:r>
        <w:t xml:space="preserve">.  The ESC considered that the </w:t>
      </w:r>
      <w:r w:rsidR="00330E03" w:rsidRPr="00855EF1">
        <w:rPr>
          <w:b/>
        </w:rPr>
        <w:t>redacted</w:t>
      </w:r>
      <w:r w:rsidR="00330E03">
        <w:t xml:space="preserve"> </w:t>
      </w:r>
      <w:r>
        <w:t xml:space="preserve">may not adequately address these issues and requires further development and refinement. </w:t>
      </w:r>
    </w:p>
    <w:p w14:paraId="5AF9C8BD" w14:textId="77777777" w:rsidR="00D90A38" w:rsidRPr="00F715D1" w:rsidRDefault="00BC1364" w:rsidP="00F715D1">
      <w:pPr>
        <w:pStyle w:val="Heading1"/>
      </w:pPr>
      <w:r w:rsidRPr="00F715D1">
        <w:t>Other significant factors</w:t>
      </w:r>
    </w:p>
    <w:p w14:paraId="3B96DAB8" w14:textId="77777777" w:rsidR="00BC1364" w:rsidRPr="00330E03" w:rsidRDefault="00BC1364" w:rsidP="00F715D1">
      <w:pPr>
        <w:spacing w:after="240"/>
        <w:rPr>
          <w:szCs w:val="24"/>
        </w:rPr>
      </w:pPr>
      <w:r w:rsidRPr="00330E03">
        <w:rPr>
          <w:szCs w:val="24"/>
        </w:rPr>
        <w:t>Nil</w:t>
      </w:r>
      <w:r w:rsidR="00330E03">
        <w:rPr>
          <w:szCs w:val="24"/>
        </w:rPr>
        <w:t>.</w:t>
      </w:r>
    </w:p>
    <w:p w14:paraId="25519971" w14:textId="77777777" w:rsidR="00BC1364" w:rsidRPr="00F715D1" w:rsidRDefault="00BC1364" w:rsidP="00F715D1">
      <w:pPr>
        <w:pStyle w:val="Heading1"/>
      </w:pPr>
      <w:r w:rsidRPr="00F715D1">
        <w:t xml:space="preserve">Applicant’s comments on MSAC’s </w:t>
      </w:r>
      <w:r w:rsidR="00DA56AA" w:rsidRPr="00F715D1">
        <w:t>Public Summary Document</w:t>
      </w:r>
    </w:p>
    <w:p w14:paraId="46783A4C" w14:textId="77777777" w:rsidR="00686D74" w:rsidRPr="00657EE7" w:rsidRDefault="00686D74" w:rsidP="00686D74">
      <w:pPr>
        <w:autoSpaceDE w:val="0"/>
        <w:autoSpaceDN w:val="0"/>
        <w:rPr>
          <w:color w:val="000000" w:themeColor="text1"/>
        </w:rPr>
      </w:pPr>
      <w:r w:rsidRPr="00657EE7">
        <w:rPr>
          <w:color w:val="000000" w:themeColor="text1"/>
        </w:rPr>
        <w:t xml:space="preserve">The </w:t>
      </w:r>
      <w:r w:rsidR="007209D8">
        <w:rPr>
          <w:color w:val="000000" w:themeColor="text1"/>
        </w:rPr>
        <w:t>applicant</w:t>
      </w:r>
      <w:r w:rsidRPr="00657EE7">
        <w:rPr>
          <w:color w:val="000000" w:themeColor="text1"/>
        </w:rPr>
        <w:t xml:space="preserve"> has no comment</w:t>
      </w:r>
    </w:p>
    <w:p w14:paraId="0D6162EF" w14:textId="77777777" w:rsidR="00BC1364" w:rsidRPr="00F715D1" w:rsidRDefault="00271F18" w:rsidP="00F715D1">
      <w:pPr>
        <w:pStyle w:val="Heading1"/>
      </w:pPr>
      <w:r w:rsidRPr="00F715D1">
        <w:t>Further information on MSAC</w:t>
      </w:r>
    </w:p>
    <w:p w14:paraId="6C1D1ED2"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4"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5"/>
      <w:headerReference w:type="default" r:id="rId16"/>
      <w:footerReference w:type="even" r:id="rId17"/>
      <w:footerReference w:type="default" r:id="rId18"/>
      <w:headerReference w:type="first" r:id="rId19"/>
      <w:footerReference w:type="first" r:id="rId20"/>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34776" w16cid:durableId="21150BED"/>
  <w16cid:commentId w16cid:paraId="483F0A46" w16cid:durableId="211257DA"/>
  <w16cid:commentId w16cid:paraId="2FB5AC84" w16cid:durableId="21150D54"/>
  <w16cid:commentId w16cid:paraId="0E47139B" w16cid:durableId="21124962"/>
  <w16cid:commentId w16cid:paraId="7F7A2E2F" w16cid:durableId="21125B66"/>
  <w16cid:commentId w16cid:paraId="3A64D827" w16cid:durableId="21125D9D"/>
  <w16cid:commentId w16cid:paraId="46BED74F" w16cid:durableId="21124963"/>
  <w16cid:commentId w16cid:paraId="15A7A926" w16cid:durableId="211512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F049" w14:textId="77777777" w:rsidR="00DC618E" w:rsidRDefault="00DC618E" w:rsidP="00065623">
      <w:r>
        <w:separator/>
      </w:r>
    </w:p>
  </w:endnote>
  <w:endnote w:type="continuationSeparator" w:id="0">
    <w:p w14:paraId="46E9C841" w14:textId="77777777" w:rsidR="00DC618E" w:rsidRDefault="00DC618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Nimbus Sans L">
    <w:altName w:val="Nimbus S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915F" w14:textId="77777777" w:rsidR="00A23300" w:rsidRDefault="00A23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485834D1" w14:textId="11E7A0A7" w:rsidR="00D5270E" w:rsidRDefault="00D5270E">
        <w:pPr>
          <w:pStyle w:val="Footer"/>
          <w:jc w:val="right"/>
        </w:pPr>
        <w:r>
          <w:fldChar w:fldCharType="begin"/>
        </w:r>
        <w:r>
          <w:instrText xml:space="preserve"> PAGE   \* MERGEFORMAT </w:instrText>
        </w:r>
        <w:r>
          <w:fldChar w:fldCharType="separate"/>
        </w:r>
        <w:r w:rsidR="00A23300">
          <w:rPr>
            <w:noProof/>
          </w:rPr>
          <w:t>1</w:t>
        </w:r>
        <w:r>
          <w:rPr>
            <w:noProof/>
          </w:rPr>
          <w:fldChar w:fldCharType="end"/>
        </w:r>
      </w:p>
    </w:sdtContent>
  </w:sdt>
  <w:p w14:paraId="7AEF0C51" w14:textId="77777777" w:rsidR="00D5270E" w:rsidRDefault="00D52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0001" w14:textId="77777777" w:rsidR="00A23300" w:rsidRDefault="00A2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EBA3F" w14:textId="77777777" w:rsidR="00DC618E" w:rsidRDefault="00DC618E" w:rsidP="00065623">
      <w:r>
        <w:separator/>
      </w:r>
    </w:p>
  </w:footnote>
  <w:footnote w:type="continuationSeparator" w:id="0">
    <w:p w14:paraId="3D24643A" w14:textId="77777777" w:rsidR="00DC618E" w:rsidRDefault="00DC618E" w:rsidP="00065623">
      <w:r>
        <w:continuationSeparator/>
      </w:r>
    </w:p>
  </w:footnote>
  <w:footnote w:id="1">
    <w:p w14:paraId="17FF411B" w14:textId="77777777" w:rsidR="00D5270E" w:rsidRDefault="00D5270E" w:rsidP="005F16FC">
      <w:pPr>
        <w:pStyle w:val="FootnoteText"/>
      </w:pPr>
      <w:r>
        <w:rPr>
          <w:rStyle w:val="FootnoteReference"/>
        </w:rPr>
        <w:footnoteRef/>
      </w:r>
      <w:r>
        <w:t xml:space="preserve"> </w:t>
      </w:r>
      <w:hyperlink r:id="rId1" w:tooltip="Link to NHS England interim specification for delivery of tisagenlecleucel" w:history="1">
        <w:r w:rsidRPr="00476863">
          <w:rPr>
            <w:rStyle w:val="Hyperlink"/>
          </w:rPr>
          <w:t>https://www.england.nhs.uk/wp-content/uploads/2018/12/Tisagenlecleucel-Chimeric-Antigen-Receptor-T-Cell-CAR-T-Therapy-for-ALL-and-DLBCL.pdf</w:t>
        </w:r>
      </w:hyperlink>
    </w:p>
    <w:p w14:paraId="367156BE" w14:textId="77777777" w:rsidR="00D5270E" w:rsidRDefault="00A23300" w:rsidP="005F16FC">
      <w:pPr>
        <w:pStyle w:val="FootnoteText"/>
      </w:pPr>
      <w:hyperlink r:id="rId2" w:tooltip="Link to NHS England interm specification for delivery of axicabtagene ciloleucel" w:history="1">
        <w:r w:rsidR="00D5270E">
          <w:rPr>
            <w:rStyle w:val="Hyperlink"/>
          </w:rPr>
          <w:t>https://www.england.nhs.uk/wp-content/uploads/2018/12/Axicabtagene-Ciloleucel-Chimeric-Antigen-Receptor-T-Cell-CAR-T-Therapy-for-the-treatment-of-adult-patients-wit.pdf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9C15" w14:textId="77777777" w:rsidR="00A23300" w:rsidRDefault="00A23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F3F77" w14:textId="77777777" w:rsidR="00A23300" w:rsidRDefault="00A23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AE30A" w14:textId="77777777" w:rsidR="00A23300" w:rsidRDefault="00A23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856"/>
    <w:multiLevelType w:val="hybridMultilevel"/>
    <w:tmpl w:val="34B09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00FDA"/>
    <w:multiLevelType w:val="hybridMultilevel"/>
    <w:tmpl w:val="8588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073C6D"/>
    <w:multiLevelType w:val="hybridMultilevel"/>
    <w:tmpl w:val="E862B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D657F"/>
    <w:multiLevelType w:val="hybridMultilevel"/>
    <w:tmpl w:val="0C8CB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C22AB4"/>
    <w:multiLevelType w:val="hybridMultilevel"/>
    <w:tmpl w:val="E62A9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A7C12"/>
    <w:multiLevelType w:val="hybridMultilevel"/>
    <w:tmpl w:val="3C26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349E4"/>
    <w:multiLevelType w:val="hybridMultilevel"/>
    <w:tmpl w:val="6EB6B6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E70FE"/>
    <w:multiLevelType w:val="hybridMultilevel"/>
    <w:tmpl w:val="2DB85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E4CD0"/>
    <w:multiLevelType w:val="hybridMultilevel"/>
    <w:tmpl w:val="18D4FB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FDF372E"/>
    <w:multiLevelType w:val="hybridMultilevel"/>
    <w:tmpl w:val="60866C60"/>
    <w:lvl w:ilvl="0" w:tplc="37341E3E">
      <w:start w:val="1"/>
      <w:numFmt w:val="bullet"/>
      <w:lvlText w:val="•"/>
      <w:lvlJc w:val="left"/>
      <w:pPr>
        <w:tabs>
          <w:tab w:val="num" w:pos="720"/>
        </w:tabs>
        <w:ind w:left="720" w:hanging="360"/>
      </w:pPr>
      <w:rPr>
        <w:rFonts w:ascii="Arial" w:hAnsi="Arial" w:hint="default"/>
      </w:rPr>
    </w:lvl>
    <w:lvl w:ilvl="1" w:tplc="B5808B40" w:tentative="1">
      <w:start w:val="1"/>
      <w:numFmt w:val="bullet"/>
      <w:lvlText w:val="•"/>
      <w:lvlJc w:val="left"/>
      <w:pPr>
        <w:tabs>
          <w:tab w:val="num" w:pos="1440"/>
        </w:tabs>
        <w:ind w:left="1440" w:hanging="360"/>
      </w:pPr>
      <w:rPr>
        <w:rFonts w:ascii="Arial" w:hAnsi="Arial" w:hint="default"/>
      </w:rPr>
    </w:lvl>
    <w:lvl w:ilvl="2" w:tplc="76BC78BA" w:tentative="1">
      <w:start w:val="1"/>
      <w:numFmt w:val="bullet"/>
      <w:lvlText w:val="•"/>
      <w:lvlJc w:val="left"/>
      <w:pPr>
        <w:tabs>
          <w:tab w:val="num" w:pos="2160"/>
        </w:tabs>
        <w:ind w:left="2160" w:hanging="360"/>
      </w:pPr>
      <w:rPr>
        <w:rFonts w:ascii="Arial" w:hAnsi="Arial" w:hint="default"/>
      </w:rPr>
    </w:lvl>
    <w:lvl w:ilvl="3" w:tplc="1C9CE49A" w:tentative="1">
      <w:start w:val="1"/>
      <w:numFmt w:val="bullet"/>
      <w:lvlText w:val="•"/>
      <w:lvlJc w:val="left"/>
      <w:pPr>
        <w:tabs>
          <w:tab w:val="num" w:pos="2880"/>
        </w:tabs>
        <w:ind w:left="2880" w:hanging="360"/>
      </w:pPr>
      <w:rPr>
        <w:rFonts w:ascii="Arial" w:hAnsi="Arial" w:hint="default"/>
      </w:rPr>
    </w:lvl>
    <w:lvl w:ilvl="4" w:tplc="71ECD3F2" w:tentative="1">
      <w:start w:val="1"/>
      <w:numFmt w:val="bullet"/>
      <w:lvlText w:val="•"/>
      <w:lvlJc w:val="left"/>
      <w:pPr>
        <w:tabs>
          <w:tab w:val="num" w:pos="3600"/>
        </w:tabs>
        <w:ind w:left="3600" w:hanging="360"/>
      </w:pPr>
      <w:rPr>
        <w:rFonts w:ascii="Arial" w:hAnsi="Arial" w:hint="default"/>
      </w:rPr>
    </w:lvl>
    <w:lvl w:ilvl="5" w:tplc="84F89976" w:tentative="1">
      <w:start w:val="1"/>
      <w:numFmt w:val="bullet"/>
      <w:lvlText w:val="•"/>
      <w:lvlJc w:val="left"/>
      <w:pPr>
        <w:tabs>
          <w:tab w:val="num" w:pos="4320"/>
        </w:tabs>
        <w:ind w:left="4320" w:hanging="360"/>
      </w:pPr>
      <w:rPr>
        <w:rFonts w:ascii="Arial" w:hAnsi="Arial" w:hint="default"/>
      </w:rPr>
    </w:lvl>
    <w:lvl w:ilvl="6" w:tplc="DD5A6B3C" w:tentative="1">
      <w:start w:val="1"/>
      <w:numFmt w:val="bullet"/>
      <w:lvlText w:val="•"/>
      <w:lvlJc w:val="left"/>
      <w:pPr>
        <w:tabs>
          <w:tab w:val="num" w:pos="5040"/>
        </w:tabs>
        <w:ind w:left="5040" w:hanging="360"/>
      </w:pPr>
      <w:rPr>
        <w:rFonts w:ascii="Arial" w:hAnsi="Arial" w:hint="default"/>
      </w:rPr>
    </w:lvl>
    <w:lvl w:ilvl="7" w:tplc="66DEB8D8" w:tentative="1">
      <w:start w:val="1"/>
      <w:numFmt w:val="bullet"/>
      <w:lvlText w:val="•"/>
      <w:lvlJc w:val="left"/>
      <w:pPr>
        <w:tabs>
          <w:tab w:val="num" w:pos="5760"/>
        </w:tabs>
        <w:ind w:left="5760" w:hanging="360"/>
      </w:pPr>
      <w:rPr>
        <w:rFonts w:ascii="Arial" w:hAnsi="Arial" w:hint="default"/>
      </w:rPr>
    </w:lvl>
    <w:lvl w:ilvl="8" w:tplc="E230EA3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2"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9B27E4"/>
    <w:multiLevelType w:val="hybridMultilevel"/>
    <w:tmpl w:val="1910B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
  </w:num>
  <w:num w:numId="4">
    <w:abstractNumId w:val="23"/>
  </w:num>
  <w:num w:numId="5">
    <w:abstractNumId w:val="15"/>
  </w:num>
  <w:num w:numId="6">
    <w:abstractNumId w:val="22"/>
  </w:num>
  <w:num w:numId="7">
    <w:abstractNumId w:val="28"/>
  </w:num>
  <w:num w:numId="8">
    <w:abstractNumId w:val="17"/>
  </w:num>
  <w:num w:numId="9">
    <w:abstractNumId w:val="36"/>
  </w:num>
  <w:num w:numId="10">
    <w:abstractNumId w:val="1"/>
  </w:num>
  <w:num w:numId="11">
    <w:abstractNumId w:val="26"/>
  </w:num>
  <w:num w:numId="12">
    <w:abstractNumId w:val="29"/>
  </w:num>
  <w:num w:numId="13">
    <w:abstractNumId w:val="5"/>
  </w:num>
  <w:num w:numId="14">
    <w:abstractNumId w:val="34"/>
  </w:num>
  <w:num w:numId="15">
    <w:abstractNumId w:val="25"/>
  </w:num>
  <w:num w:numId="16">
    <w:abstractNumId w:val="30"/>
  </w:num>
  <w:num w:numId="17">
    <w:abstractNumId w:val="18"/>
  </w:num>
  <w:num w:numId="18">
    <w:abstractNumId w:val="20"/>
  </w:num>
  <w:num w:numId="19">
    <w:abstractNumId w:val="32"/>
  </w:num>
  <w:num w:numId="20">
    <w:abstractNumId w:val="31"/>
  </w:num>
  <w:num w:numId="21">
    <w:abstractNumId w:val="4"/>
  </w:num>
  <w:num w:numId="22">
    <w:abstractNumId w:val="12"/>
  </w:num>
  <w:num w:numId="23">
    <w:abstractNumId w:val="3"/>
  </w:num>
  <w:num w:numId="24">
    <w:abstractNumId w:val="11"/>
  </w:num>
  <w:num w:numId="25">
    <w:abstractNumId w:val="6"/>
  </w:num>
  <w:num w:numId="26">
    <w:abstractNumId w:val="7"/>
  </w:num>
  <w:num w:numId="27">
    <w:abstractNumId w:val="19"/>
  </w:num>
  <w:num w:numId="28">
    <w:abstractNumId w:val="35"/>
  </w:num>
  <w:num w:numId="29">
    <w:abstractNumId w:val="9"/>
  </w:num>
  <w:num w:numId="30">
    <w:abstractNumId w:val="13"/>
  </w:num>
  <w:num w:numId="31">
    <w:abstractNumId w:val="0"/>
  </w:num>
  <w:num w:numId="32">
    <w:abstractNumId w:val="10"/>
  </w:num>
  <w:num w:numId="33">
    <w:abstractNumId w:val="33"/>
  </w:num>
  <w:num w:numId="34">
    <w:abstractNumId w:val="14"/>
  </w:num>
  <w:num w:numId="35">
    <w:abstractNumId w:val="27"/>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7312"/>
    <w:rsid w:val="00011A36"/>
    <w:rsid w:val="00011FDA"/>
    <w:rsid w:val="00033A9D"/>
    <w:rsid w:val="00036E0B"/>
    <w:rsid w:val="00037C4B"/>
    <w:rsid w:val="00047606"/>
    <w:rsid w:val="00065623"/>
    <w:rsid w:val="000756B9"/>
    <w:rsid w:val="00096B67"/>
    <w:rsid w:val="00096DAF"/>
    <w:rsid w:val="000A2CB8"/>
    <w:rsid w:val="000B2898"/>
    <w:rsid w:val="000C2F47"/>
    <w:rsid w:val="000D2B9A"/>
    <w:rsid w:val="000D68F4"/>
    <w:rsid w:val="000D6C00"/>
    <w:rsid w:val="000E4E04"/>
    <w:rsid w:val="000F14B4"/>
    <w:rsid w:val="000F6762"/>
    <w:rsid w:val="000F75DF"/>
    <w:rsid w:val="0010075C"/>
    <w:rsid w:val="001011DD"/>
    <w:rsid w:val="001023DC"/>
    <w:rsid w:val="001029C9"/>
    <w:rsid w:val="00103514"/>
    <w:rsid w:val="00114A1F"/>
    <w:rsid w:val="001328FA"/>
    <w:rsid w:val="00147AAF"/>
    <w:rsid w:val="001552C0"/>
    <w:rsid w:val="0016194B"/>
    <w:rsid w:val="001640B1"/>
    <w:rsid w:val="0018435E"/>
    <w:rsid w:val="001925B9"/>
    <w:rsid w:val="001936EC"/>
    <w:rsid w:val="00196ACD"/>
    <w:rsid w:val="001A57E6"/>
    <w:rsid w:val="001C2536"/>
    <w:rsid w:val="001C6A18"/>
    <w:rsid w:val="001D2CC8"/>
    <w:rsid w:val="001F2AAD"/>
    <w:rsid w:val="002041A1"/>
    <w:rsid w:val="002051A9"/>
    <w:rsid w:val="002054F0"/>
    <w:rsid w:val="00214DFC"/>
    <w:rsid w:val="00230D6B"/>
    <w:rsid w:val="00232020"/>
    <w:rsid w:val="00232068"/>
    <w:rsid w:val="002330F2"/>
    <w:rsid w:val="00235E40"/>
    <w:rsid w:val="00237258"/>
    <w:rsid w:val="00243D9E"/>
    <w:rsid w:val="002507B7"/>
    <w:rsid w:val="00253B66"/>
    <w:rsid w:val="002541FA"/>
    <w:rsid w:val="00254917"/>
    <w:rsid w:val="00261DF1"/>
    <w:rsid w:val="00271F18"/>
    <w:rsid w:val="00282779"/>
    <w:rsid w:val="0028334D"/>
    <w:rsid w:val="002A0ED4"/>
    <w:rsid w:val="002B501C"/>
    <w:rsid w:val="002B7FFA"/>
    <w:rsid w:val="002C2BCF"/>
    <w:rsid w:val="002C71D0"/>
    <w:rsid w:val="002D18B7"/>
    <w:rsid w:val="002F2195"/>
    <w:rsid w:val="002F279D"/>
    <w:rsid w:val="002F43B8"/>
    <w:rsid w:val="002F700C"/>
    <w:rsid w:val="00301AE7"/>
    <w:rsid w:val="00313170"/>
    <w:rsid w:val="00330E03"/>
    <w:rsid w:val="00336856"/>
    <w:rsid w:val="00341C0D"/>
    <w:rsid w:val="0034554D"/>
    <w:rsid w:val="003459AD"/>
    <w:rsid w:val="00352224"/>
    <w:rsid w:val="0036260D"/>
    <w:rsid w:val="003671E6"/>
    <w:rsid w:val="003724B7"/>
    <w:rsid w:val="00384272"/>
    <w:rsid w:val="00386D67"/>
    <w:rsid w:val="003945B8"/>
    <w:rsid w:val="003A6541"/>
    <w:rsid w:val="003B5D81"/>
    <w:rsid w:val="003D7F29"/>
    <w:rsid w:val="003E1600"/>
    <w:rsid w:val="003E7734"/>
    <w:rsid w:val="003F0BD9"/>
    <w:rsid w:val="003F1C63"/>
    <w:rsid w:val="003F3A51"/>
    <w:rsid w:val="00405A6B"/>
    <w:rsid w:val="00407B1F"/>
    <w:rsid w:val="0041184F"/>
    <w:rsid w:val="00413CD4"/>
    <w:rsid w:val="00414C57"/>
    <w:rsid w:val="0041758C"/>
    <w:rsid w:val="00430EFE"/>
    <w:rsid w:val="004539DE"/>
    <w:rsid w:val="004722CD"/>
    <w:rsid w:val="00486DE6"/>
    <w:rsid w:val="00493DC8"/>
    <w:rsid w:val="00496285"/>
    <w:rsid w:val="004A2CF1"/>
    <w:rsid w:val="004A79E5"/>
    <w:rsid w:val="004B167F"/>
    <w:rsid w:val="004B7444"/>
    <w:rsid w:val="004C3035"/>
    <w:rsid w:val="004C307F"/>
    <w:rsid w:val="004C4107"/>
    <w:rsid w:val="004C6F6D"/>
    <w:rsid w:val="004E4BA8"/>
    <w:rsid w:val="004F340F"/>
    <w:rsid w:val="004F7B7C"/>
    <w:rsid w:val="004F7FEF"/>
    <w:rsid w:val="005031A2"/>
    <w:rsid w:val="00507AB6"/>
    <w:rsid w:val="0052243D"/>
    <w:rsid w:val="00532435"/>
    <w:rsid w:val="00545564"/>
    <w:rsid w:val="00550354"/>
    <w:rsid w:val="00571236"/>
    <w:rsid w:val="005730A7"/>
    <w:rsid w:val="00581FA4"/>
    <w:rsid w:val="00585FDE"/>
    <w:rsid w:val="005953A1"/>
    <w:rsid w:val="005A4362"/>
    <w:rsid w:val="005A4E9D"/>
    <w:rsid w:val="005B5434"/>
    <w:rsid w:val="005D0332"/>
    <w:rsid w:val="005D0D8C"/>
    <w:rsid w:val="005E54A7"/>
    <w:rsid w:val="005F16FC"/>
    <w:rsid w:val="00600E7A"/>
    <w:rsid w:val="006318D8"/>
    <w:rsid w:val="0065221F"/>
    <w:rsid w:val="00657EE7"/>
    <w:rsid w:val="00660FCB"/>
    <w:rsid w:val="006753E4"/>
    <w:rsid w:val="006776AE"/>
    <w:rsid w:val="00686D74"/>
    <w:rsid w:val="006A0D97"/>
    <w:rsid w:val="006A6212"/>
    <w:rsid w:val="006B17DE"/>
    <w:rsid w:val="006B1F86"/>
    <w:rsid w:val="006C0A91"/>
    <w:rsid w:val="006D1518"/>
    <w:rsid w:val="006E2DD3"/>
    <w:rsid w:val="006E319A"/>
    <w:rsid w:val="007054BB"/>
    <w:rsid w:val="00707064"/>
    <w:rsid w:val="0071616A"/>
    <w:rsid w:val="007209D8"/>
    <w:rsid w:val="00730683"/>
    <w:rsid w:val="00731706"/>
    <w:rsid w:val="0075261F"/>
    <w:rsid w:val="0075468E"/>
    <w:rsid w:val="007602A3"/>
    <w:rsid w:val="00762863"/>
    <w:rsid w:val="007665D8"/>
    <w:rsid w:val="00766E36"/>
    <w:rsid w:val="007765F4"/>
    <w:rsid w:val="00776633"/>
    <w:rsid w:val="00784D53"/>
    <w:rsid w:val="0079645F"/>
    <w:rsid w:val="00797797"/>
    <w:rsid w:val="007A03F4"/>
    <w:rsid w:val="007A63C9"/>
    <w:rsid w:val="007A7B8F"/>
    <w:rsid w:val="007B32D1"/>
    <w:rsid w:val="007B7095"/>
    <w:rsid w:val="007C04FB"/>
    <w:rsid w:val="007D24E1"/>
    <w:rsid w:val="007D6288"/>
    <w:rsid w:val="007F4CE9"/>
    <w:rsid w:val="007F4E20"/>
    <w:rsid w:val="00802A13"/>
    <w:rsid w:val="00811906"/>
    <w:rsid w:val="00814745"/>
    <w:rsid w:val="00822C7E"/>
    <w:rsid w:val="008318A9"/>
    <w:rsid w:val="00847060"/>
    <w:rsid w:val="008471F9"/>
    <w:rsid w:val="00847A36"/>
    <w:rsid w:val="00855EF1"/>
    <w:rsid w:val="00856A33"/>
    <w:rsid w:val="00877CCF"/>
    <w:rsid w:val="008848DE"/>
    <w:rsid w:val="00892620"/>
    <w:rsid w:val="00896A9E"/>
    <w:rsid w:val="008C7D37"/>
    <w:rsid w:val="008D5885"/>
    <w:rsid w:val="008D7032"/>
    <w:rsid w:val="008F4BA2"/>
    <w:rsid w:val="008F7082"/>
    <w:rsid w:val="008F75C2"/>
    <w:rsid w:val="00923FA2"/>
    <w:rsid w:val="00932A64"/>
    <w:rsid w:val="0094404F"/>
    <w:rsid w:val="0096060D"/>
    <w:rsid w:val="00964A9F"/>
    <w:rsid w:val="00964EAE"/>
    <w:rsid w:val="00974A50"/>
    <w:rsid w:val="0097585A"/>
    <w:rsid w:val="00977225"/>
    <w:rsid w:val="00983BC2"/>
    <w:rsid w:val="0099145F"/>
    <w:rsid w:val="009924B0"/>
    <w:rsid w:val="009942C9"/>
    <w:rsid w:val="009976D8"/>
    <w:rsid w:val="009A4C1B"/>
    <w:rsid w:val="009B35C4"/>
    <w:rsid w:val="009C630A"/>
    <w:rsid w:val="009C6A24"/>
    <w:rsid w:val="009E0D98"/>
    <w:rsid w:val="00A068A1"/>
    <w:rsid w:val="00A1207D"/>
    <w:rsid w:val="00A12FD8"/>
    <w:rsid w:val="00A23300"/>
    <w:rsid w:val="00A346FC"/>
    <w:rsid w:val="00A846F2"/>
    <w:rsid w:val="00A84F93"/>
    <w:rsid w:val="00A85B71"/>
    <w:rsid w:val="00A92C96"/>
    <w:rsid w:val="00A94E91"/>
    <w:rsid w:val="00AA0529"/>
    <w:rsid w:val="00AB1AC5"/>
    <w:rsid w:val="00AB3BFC"/>
    <w:rsid w:val="00AB75A3"/>
    <w:rsid w:val="00AC4F2E"/>
    <w:rsid w:val="00AD0C37"/>
    <w:rsid w:val="00AD14B1"/>
    <w:rsid w:val="00AD385F"/>
    <w:rsid w:val="00AE6E2A"/>
    <w:rsid w:val="00B03EAB"/>
    <w:rsid w:val="00B227E9"/>
    <w:rsid w:val="00B31E9C"/>
    <w:rsid w:val="00B35595"/>
    <w:rsid w:val="00B516BD"/>
    <w:rsid w:val="00B51C6D"/>
    <w:rsid w:val="00B52A75"/>
    <w:rsid w:val="00B83DD2"/>
    <w:rsid w:val="00B8468E"/>
    <w:rsid w:val="00B86D64"/>
    <w:rsid w:val="00BA4AC5"/>
    <w:rsid w:val="00BC1364"/>
    <w:rsid w:val="00BC2667"/>
    <w:rsid w:val="00BC7DE9"/>
    <w:rsid w:val="00BE4D58"/>
    <w:rsid w:val="00BF479B"/>
    <w:rsid w:val="00C007A1"/>
    <w:rsid w:val="00C02577"/>
    <w:rsid w:val="00C204FB"/>
    <w:rsid w:val="00C20BEE"/>
    <w:rsid w:val="00C2158D"/>
    <w:rsid w:val="00C54290"/>
    <w:rsid w:val="00C61B6E"/>
    <w:rsid w:val="00C67DD2"/>
    <w:rsid w:val="00C70444"/>
    <w:rsid w:val="00C725CB"/>
    <w:rsid w:val="00C76F5C"/>
    <w:rsid w:val="00C96BAD"/>
    <w:rsid w:val="00C97AD1"/>
    <w:rsid w:val="00CA6944"/>
    <w:rsid w:val="00CB0F8E"/>
    <w:rsid w:val="00CB7E7D"/>
    <w:rsid w:val="00CC2911"/>
    <w:rsid w:val="00CF0C6D"/>
    <w:rsid w:val="00CF603E"/>
    <w:rsid w:val="00CF7307"/>
    <w:rsid w:val="00CF7C68"/>
    <w:rsid w:val="00D06E6B"/>
    <w:rsid w:val="00D12157"/>
    <w:rsid w:val="00D124FA"/>
    <w:rsid w:val="00D25F99"/>
    <w:rsid w:val="00D340DE"/>
    <w:rsid w:val="00D5270E"/>
    <w:rsid w:val="00D55723"/>
    <w:rsid w:val="00D62FAD"/>
    <w:rsid w:val="00D64355"/>
    <w:rsid w:val="00D66327"/>
    <w:rsid w:val="00D70450"/>
    <w:rsid w:val="00D82A00"/>
    <w:rsid w:val="00D83BFD"/>
    <w:rsid w:val="00D909BB"/>
    <w:rsid w:val="00D90A38"/>
    <w:rsid w:val="00DA0515"/>
    <w:rsid w:val="00DA171E"/>
    <w:rsid w:val="00DA56AA"/>
    <w:rsid w:val="00DA6FF5"/>
    <w:rsid w:val="00DB5833"/>
    <w:rsid w:val="00DC3AD1"/>
    <w:rsid w:val="00DC618E"/>
    <w:rsid w:val="00DD2858"/>
    <w:rsid w:val="00DF5D8E"/>
    <w:rsid w:val="00E025DF"/>
    <w:rsid w:val="00E03E33"/>
    <w:rsid w:val="00E059E0"/>
    <w:rsid w:val="00E1209B"/>
    <w:rsid w:val="00E303F7"/>
    <w:rsid w:val="00E32887"/>
    <w:rsid w:val="00E32A5D"/>
    <w:rsid w:val="00E347E4"/>
    <w:rsid w:val="00E3642A"/>
    <w:rsid w:val="00E415C4"/>
    <w:rsid w:val="00E50016"/>
    <w:rsid w:val="00E50EAA"/>
    <w:rsid w:val="00E536AF"/>
    <w:rsid w:val="00E656D6"/>
    <w:rsid w:val="00E7002E"/>
    <w:rsid w:val="00E9478A"/>
    <w:rsid w:val="00E977EE"/>
    <w:rsid w:val="00EA046C"/>
    <w:rsid w:val="00EA2F24"/>
    <w:rsid w:val="00EA5AF8"/>
    <w:rsid w:val="00EA67A2"/>
    <w:rsid w:val="00EA702F"/>
    <w:rsid w:val="00EB4895"/>
    <w:rsid w:val="00EB630F"/>
    <w:rsid w:val="00EB6B6F"/>
    <w:rsid w:val="00EB6E70"/>
    <w:rsid w:val="00EB7A27"/>
    <w:rsid w:val="00EC122D"/>
    <w:rsid w:val="00EC4F98"/>
    <w:rsid w:val="00ED5748"/>
    <w:rsid w:val="00EF59DB"/>
    <w:rsid w:val="00F01CDD"/>
    <w:rsid w:val="00F0604F"/>
    <w:rsid w:val="00F12F02"/>
    <w:rsid w:val="00F1418D"/>
    <w:rsid w:val="00F32E0D"/>
    <w:rsid w:val="00F35134"/>
    <w:rsid w:val="00F3538D"/>
    <w:rsid w:val="00F37B9C"/>
    <w:rsid w:val="00F41812"/>
    <w:rsid w:val="00F47A97"/>
    <w:rsid w:val="00F67311"/>
    <w:rsid w:val="00F715D1"/>
    <w:rsid w:val="00F72715"/>
    <w:rsid w:val="00F72C9B"/>
    <w:rsid w:val="00F73333"/>
    <w:rsid w:val="00F824E9"/>
    <w:rsid w:val="00F8279B"/>
    <w:rsid w:val="00F9204A"/>
    <w:rsid w:val="00F94F7A"/>
    <w:rsid w:val="00F95D8F"/>
    <w:rsid w:val="00F96444"/>
    <w:rsid w:val="00FB350A"/>
    <w:rsid w:val="00FB4C5D"/>
    <w:rsid w:val="00FC1953"/>
    <w:rsid w:val="00FC5330"/>
    <w:rsid w:val="00FE0F69"/>
    <w:rsid w:val="00FE1C3F"/>
    <w:rsid w:val="00FE731D"/>
    <w:rsid w:val="00FF1DCF"/>
    <w:rsid w:val="00FF4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E98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Heading3"/>
    <w:next w:val="Normal"/>
    <w:link w:val="Heading2Char"/>
    <w:unhideWhenUsed/>
    <w:qFormat/>
    <w:locked/>
    <w:rsid w:val="00AB75A3"/>
    <w:pPr>
      <w:spacing w:before="0" w:after="120"/>
      <w:outlineLvl w:val="1"/>
    </w:pPr>
    <w:rPr>
      <w:rFonts w:ascii="Times New Roman" w:hAnsi="Times New Roman" w:cs="Times New Roman"/>
      <w:b/>
      <w:color w:val="auto"/>
    </w:rPr>
  </w:style>
  <w:style w:type="paragraph" w:styleId="Heading3">
    <w:name w:val="heading 3"/>
    <w:basedOn w:val="Normal"/>
    <w:next w:val="Normal"/>
    <w:link w:val="Heading3Char"/>
    <w:unhideWhenUsed/>
    <w:qFormat/>
    <w:locked/>
    <w:rsid w:val="001925B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semiHidden/>
    <w:rsid w:val="00065623"/>
    <w:rPr>
      <w:sz w:val="20"/>
    </w:rPr>
  </w:style>
  <w:style w:type="character" w:customStyle="1" w:styleId="FootnoteTextChar">
    <w:name w:val="Footnote Text Char"/>
    <w:basedOn w:val="DefaultParagraphFont"/>
    <w:link w:val="FootnoteText"/>
    <w:semiHidden/>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AB75A3"/>
    <w:rPr>
      <w:rFonts w:eastAsiaTheme="majorEastAsia"/>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Dossier table,Section 3- footnotes"/>
    <w:basedOn w:val="TableNormal"/>
    <w:uiPriority w:val="59"/>
    <w:locked/>
    <w:rsid w:val="002F219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
    <w:link w:val="ListParagraph"/>
    <w:uiPriority w:val="34"/>
    <w:rsid w:val="002F2195"/>
    <w:rPr>
      <w:rFonts w:eastAsia="Times New Roman"/>
      <w:sz w:val="24"/>
      <w:szCs w:val="20"/>
    </w:rPr>
  </w:style>
  <w:style w:type="paragraph" w:customStyle="1" w:styleId="NormalBeforeBullet">
    <w:name w:val="NormalBeforeBullet"/>
    <w:basedOn w:val="Normal"/>
    <w:qFormat/>
    <w:rsid w:val="002F2195"/>
    <w:pPr>
      <w:keepNext/>
      <w:spacing w:after="120"/>
    </w:pPr>
    <w:rPr>
      <w:color w:val="000000"/>
    </w:rPr>
  </w:style>
  <w:style w:type="paragraph" w:customStyle="1" w:styleId="BulletBeforeDash">
    <w:name w:val="BulletBeforeDash"/>
    <w:basedOn w:val="Normal"/>
    <w:rsid w:val="002F2195"/>
    <w:pPr>
      <w:numPr>
        <w:numId w:val="28"/>
      </w:numPr>
    </w:pPr>
    <w:rPr>
      <w:color w:val="000000"/>
    </w:rPr>
  </w:style>
  <w:style w:type="paragraph" w:customStyle="1" w:styleId="Bullet">
    <w:name w:val="Bullet"/>
    <w:basedOn w:val="BulletBeforeDash"/>
    <w:qFormat/>
    <w:rsid w:val="002F2195"/>
    <w:pPr>
      <w:spacing w:after="120"/>
    </w:pPr>
  </w:style>
  <w:style w:type="paragraph" w:customStyle="1" w:styleId="BulletLast">
    <w:name w:val="BulletLast"/>
    <w:basedOn w:val="Bullet"/>
    <w:qFormat/>
    <w:rsid w:val="002F2195"/>
    <w:pPr>
      <w:spacing w:after="240"/>
    </w:pPr>
  </w:style>
  <w:style w:type="paragraph" w:customStyle="1" w:styleId="Tabletextcentred">
    <w:name w:val="Table text centred"/>
    <w:basedOn w:val="Normal"/>
    <w:link w:val="TabletextcentredChar"/>
    <w:qFormat/>
    <w:rsid w:val="002F2195"/>
    <w:pPr>
      <w:spacing w:before="40" w:after="40"/>
      <w:jc w:val="center"/>
    </w:pPr>
    <w:rPr>
      <w:rFonts w:ascii="Arial Narrow" w:hAnsi="Arial Narrow"/>
      <w:sz w:val="20"/>
      <w:szCs w:val="24"/>
      <w:lang w:eastAsia="en-US"/>
    </w:rPr>
  </w:style>
  <w:style w:type="character" w:customStyle="1" w:styleId="TabletextcentredChar">
    <w:name w:val="Table text centred Char"/>
    <w:basedOn w:val="DefaultParagraphFont"/>
    <w:link w:val="Tabletextcentred"/>
    <w:rsid w:val="002F2195"/>
    <w:rPr>
      <w:rFonts w:ascii="Arial Narrow" w:eastAsia="Times New Roman" w:hAnsi="Arial Narrow"/>
      <w:sz w:val="20"/>
      <w:szCs w:val="24"/>
      <w:lang w:eastAsia="en-US"/>
    </w:rPr>
  </w:style>
  <w:style w:type="paragraph" w:customStyle="1" w:styleId="CaptionFootnote">
    <w:name w:val="Caption Footnote"/>
    <w:basedOn w:val="Caption"/>
    <w:link w:val="CaptionFootnoteChar"/>
    <w:qFormat/>
    <w:rsid w:val="002F2195"/>
    <w:pPr>
      <w:widowControl w:val="0"/>
      <w:spacing w:after="0"/>
    </w:pPr>
    <w:rPr>
      <w:rFonts w:eastAsiaTheme="majorEastAsia" w:cstheme="majorBidi"/>
      <w:b w:val="0"/>
      <w:bCs/>
      <w:iCs w:val="0"/>
      <w:sz w:val="18"/>
      <w:lang w:eastAsia="en-US" w:bidi="en-US"/>
    </w:rPr>
  </w:style>
  <w:style w:type="character" w:customStyle="1" w:styleId="CaptionFootnoteChar">
    <w:name w:val="Caption Footnote Char"/>
    <w:basedOn w:val="DefaultParagraphFont"/>
    <w:link w:val="CaptionFootnote"/>
    <w:rsid w:val="002F2195"/>
    <w:rPr>
      <w:rFonts w:ascii="Arial Narrow" w:eastAsiaTheme="majorEastAsia" w:hAnsi="Arial Narrow" w:cstheme="majorBidi"/>
      <w:bCs/>
      <w:sz w:val="18"/>
      <w:szCs w:val="18"/>
      <w:lang w:eastAsia="en-US" w:bidi="en-US"/>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2F2195"/>
    <w:pPr>
      <w:spacing w:before="40" w:after="40"/>
    </w:pPr>
    <w:rPr>
      <w:rFonts w:ascii="Arial Narrow" w:hAnsi="Arial Narrow"/>
      <w:b/>
      <w:iCs/>
      <w:sz w:val="20"/>
      <w:szCs w:val="18"/>
    </w:rPr>
  </w:style>
  <w:style w:type="paragraph" w:customStyle="1" w:styleId="Table">
    <w:name w:val="Table"/>
    <w:aliases w:val="9 pt,10 pt  Bold,10 pt,9pt,Normal + Courier New,Courier New,Not Bold,Text + Courier New,Bold,table text 10 pt + Arial,Normal + (Latin) Arial,(Complex) Arial,legendt,Table + (Latin) Courier New,Before:  0 pt,After:  0 pt,Table pt,legendpt"/>
    <w:basedOn w:val="Normal"/>
    <w:link w:val="TableChar"/>
    <w:qFormat/>
    <w:rsid w:val="002F2195"/>
    <w:rPr>
      <w:rFonts w:ascii="Candara" w:eastAsiaTheme="majorEastAsia" w:hAnsi="Candara" w:cstheme="majorBidi"/>
      <w:sz w:val="20"/>
      <w:szCs w:val="22"/>
      <w:lang w:eastAsia="en-US" w:bidi="en-US"/>
    </w:rPr>
  </w:style>
  <w:style w:type="character" w:customStyle="1" w:styleId="TableChar">
    <w:name w:val="Table Char"/>
    <w:aliases w:val="10 pt  Bold Char,9 pt Char,10 pt Char,9pt Char,9 Char,Table pt Char,table text 10 pt + Arial Char,Bold Char,Normal + (Latin) Arial Char,(Complex) Arial Char,Normal + Courier New Char,Italic Char,Justified Char,Left:  0&quot; Char,Be... Char"/>
    <w:basedOn w:val="DefaultParagraphFont"/>
    <w:link w:val="Table"/>
    <w:locked/>
    <w:rsid w:val="002F2195"/>
    <w:rPr>
      <w:rFonts w:ascii="Candara" w:eastAsiaTheme="majorEastAsia" w:hAnsi="Candara" w:cstheme="majorBidi"/>
      <w:sz w:val="20"/>
      <w:lang w:eastAsia="en-US" w:bidi="en-US"/>
    </w:rPr>
  </w:style>
  <w:style w:type="paragraph" w:customStyle="1" w:styleId="TableCentre">
    <w:name w:val="Table Centre"/>
    <w:basedOn w:val="Table"/>
    <w:qFormat/>
    <w:rsid w:val="002F2195"/>
    <w:pPr>
      <w:jc w:val="center"/>
    </w:p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2F2195"/>
    <w:rPr>
      <w:rFonts w:ascii="Arial Narrow" w:eastAsia="Times New Roman" w:hAnsi="Arial Narrow"/>
      <w:b/>
      <w:iCs/>
      <w:sz w:val="20"/>
      <w:szCs w:val="18"/>
    </w:rPr>
  </w:style>
  <w:style w:type="character" w:customStyle="1" w:styleId="Small">
    <w:name w:val="Small"/>
    <w:basedOn w:val="DefaultParagraphFont"/>
    <w:uiPriority w:val="4"/>
    <w:qFormat/>
    <w:rsid w:val="002F2195"/>
    <w:rPr>
      <w:rFonts w:ascii="Arial Narrow" w:hAnsi="Arial Narrow"/>
      <w:sz w:val="20"/>
    </w:rPr>
  </w:style>
  <w:style w:type="table" w:customStyle="1" w:styleId="TableGrid1">
    <w:name w:val="Table Grid1"/>
    <w:basedOn w:val="TableNormal"/>
    <w:next w:val="TableGrid"/>
    <w:uiPriority w:val="59"/>
    <w:rsid w:val="002F2195"/>
    <w:rPr>
      <w:rFonts w:eastAsia="Batang"/>
      <w:sz w:val="20"/>
      <w:szCs w:val="20"/>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mallBold">
    <w:name w:val="Small Bold"/>
    <w:basedOn w:val="DefaultParagraphFont"/>
    <w:uiPriority w:val="4"/>
    <w:qFormat/>
    <w:rsid w:val="00CF603E"/>
    <w:rPr>
      <w:rFonts w:ascii="Candara" w:hAnsi="Candara"/>
      <w:b/>
      <w:sz w:val="20"/>
      <w:lang w:val="en-AU"/>
    </w:rPr>
  </w:style>
  <w:style w:type="table" w:customStyle="1" w:styleId="Submissionstandard">
    <w:name w:val="Submission standard"/>
    <w:qFormat/>
    <w:rsid w:val="00CF603E"/>
    <w:rPr>
      <w:rFonts w:ascii="Arial Narrow" w:eastAsia="Times New Roman" w:hAnsi="Arial Narrow"/>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Nimbus Sans L" w:hAnsi="Nimbus Sans L" w:cs="Times New Roman"/>
        <w:b/>
        <w:sz w:val="20"/>
      </w:rPr>
      <w:tblPr/>
      <w:tcPr>
        <w:shd w:val="clear" w:color="auto" w:fill="BFBFBF"/>
      </w:tcPr>
    </w:tblStylePr>
  </w:style>
  <w:style w:type="character" w:customStyle="1" w:styleId="Heading3Char">
    <w:name w:val="Heading 3 Char"/>
    <w:basedOn w:val="DefaultParagraphFont"/>
    <w:link w:val="Heading3"/>
    <w:rsid w:val="001925B9"/>
    <w:rPr>
      <w:rFonts w:asciiTheme="majorHAnsi" w:eastAsiaTheme="majorEastAsia" w:hAnsiTheme="majorHAnsi" w:cstheme="majorBidi"/>
      <w:color w:val="243F60" w:themeColor="accent1" w:themeShade="7F"/>
      <w:sz w:val="24"/>
      <w:szCs w:val="24"/>
    </w:rPr>
  </w:style>
  <w:style w:type="paragraph" w:customStyle="1" w:styleId="Caption1">
    <w:name w:val="Caption1"/>
    <w:basedOn w:val="Normal"/>
    <w:link w:val="captionChar0"/>
    <w:qFormat/>
    <w:rsid w:val="002C71D0"/>
    <w:pPr>
      <w:keepNext/>
      <w:spacing w:after="40"/>
    </w:pPr>
    <w:rPr>
      <w:rFonts w:ascii="Arial Narrow" w:hAnsi="Arial Narrow"/>
      <w:b/>
      <w:iCs/>
      <w:sz w:val="20"/>
      <w:szCs w:val="18"/>
      <w:lang w:val="en-US" w:eastAsia="en-US"/>
    </w:rPr>
  </w:style>
  <w:style w:type="character" w:customStyle="1" w:styleId="captionChar0">
    <w:name w:val="caption Char"/>
    <w:basedOn w:val="DefaultParagraphFont"/>
    <w:link w:val="Caption1"/>
    <w:rsid w:val="002C71D0"/>
    <w:rPr>
      <w:rFonts w:ascii="Arial Narrow" w:eastAsia="Times New Roman" w:hAnsi="Arial Narrow"/>
      <w:b/>
      <w:iCs/>
      <w:sz w:val="20"/>
      <w:szCs w:val="18"/>
      <w:lang w:val="en-US" w:eastAsia="en-US"/>
    </w:rPr>
  </w:style>
  <w:style w:type="paragraph" w:styleId="NormalWeb">
    <w:name w:val="Normal (Web)"/>
    <w:basedOn w:val="Normal"/>
    <w:uiPriority w:val="99"/>
    <w:semiHidden/>
    <w:unhideWhenUsed/>
    <w:rsid w:val="004C4107"/>
    <w:pPr>
      <w:spacing w:before="100" w:beforeAutospacing="1" w:after="100" w:afterAutospacing="1"/>
    </w:pPr>
    <w:rPr>
      <w:szCs w:val="24"/>
    </w:rPr>
  </w:style>
  <w:style w:type="paragraph" w:styleId="Revision">
    <w:name w:val="Revision"/>
    <w:hidden/>
    <w:uiPriority w:val="99"/>
    <w:semiHidden/>
    <w:rsid w:val="00FF1DC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2928">
      <w:bodyDiv w:val="1"/>
      <w:marLeft w:val="0"/>
      <w:marRight w:val="0"/>
      <w:marTop w:val="0"/>
      <w:marBottom w:val="0"/>
      <w:divBdr>
        <w:top w:val="none" w:sz="0" w:space="0" w:color="auto"/>
        <w:left w:val="none" w:sz="0" w:space="0" w:color="auto"/>
        <w:bottom w:val="none" w:sz="0" w:space="0" w:color="auto"/>
        <w:right w:val="none" w:sz="0" w:space="0" w:color="auto"/>
      </w:divBdr>
    </w:div>
    <w:div w:id="137579387">
      <w:bodyDiv w:val="1"/>
      <w:marLeft w:val="0"/>
      <w:marRight w:val="0"/>
      <w:marTop w:val="0"/>
      <w:marBottom w:val="0"/>
      <w:divBdr>
        <w:top w:val="none" w:sz="0" w:space="0" w:color="auto"/>
        <w:left w:val="none" w:sz="0" w:space="0" w:color="auto"/>
        <w:bottom w:val="none" w:sz="0" w:space="0" w:color="auto"/>
        <w:right w:val="none" w:sz="0" w:space="0" w:color="auto"/>
      </w:divBdr>
    </w:div>
    <w:div w:id="154105196">
      <w:bodyDiv w:val="1"/>
      <w:marLeft w:val="0"/>
      <w:marRight w:val="0"/>
      <w:marTop w:val="0"/>
      <w:marBottom w:val="0"/>
      <w:divBdr>
        <w:top w:val="none" w:sz="0" w:space="0" w:color="auto"/>
        <w:left w:val="none" w:sz="0" w:space="0" w:color="auto"/>
        <w:bottom w:val="none" w:sz="0" w:space="0" w:color="auto"/>
        <w:right w:val="none" w:sz="0" w:space="0" w:color="auto"/>
      </w:divBdr>
    </w:div>
    <w:div w:id="197470666">
      <w:bodyDiv w:val="1"/>
      <w:marLeft w:val="0"/>
      <w:marRight w:val="0"/>
      <w:marTop w:val="0"/>
      <w:marBottom w:val="0"/>
      <w:divBdr>
        <w:top w:val="none" w:sz="0" w:space="0" w:color="auto"/>
        <w:left w:val="none" w:sz="0" w:space="0" w:color="auto"/>
        <w:bottom w:val="none" w:sz="0" w:space="0" w:color="auto"/>
        <w:right w:val="none" w:sz="0" w:space="0" w:color="auto"/>
      </w:divBdr>
    </w:div>
    <w:div w:id="336427540">
      <w:bodyDiv w:val="1"/>
      <w:marLeft w:val="0"/>
      <w:marRight w:val="0"/>
      <w:marTop w:val="0"/>
      <w:marBottom w:val="0"/>
      <w:divBdr>
        <w:top w:val="none" w:sz="0" w:space="0" w:color="auto"/>
        <w:left w:val="none" w:sz="0" w:space="0" w:color="auto"/>
        <w:bottom w:val="none" w:sz="0" w:space="0" w:color="auto"/>
        <w:right w:val="none" w:sz="0" w:space="0" w:color="auto"/>
      </w:divBdr>
    </w:div>
    <w:div w:id="404114546">
      <w:bodyDiv w:val="1"/>
      <w:marLeft w:val="0"/>
      <w:marRight w:val="0"/>
      <w:marTop w:val="0"/>
      <w:marBottom w:val="0"/>
      <w:divBdr>
        <w:top w:val="none" w:sz="0" w:space="0" w:color="auto"/>
        <w:left w:val="none" w:sz="0" w:space="0" w:color="auto"/>
        <w:bottom w:val="none" w:sz="0" w:space="0" w:color="auto"/>
        <w:right w:val="none" w:sz="0" w:space="0" w:color="auto"/>
      </w:divBdr>
    </w:div>
    <w:div w:id="639652193">
      <w:bodyDiv w:val="1"/>
      <w:marLeft w:val="0"/>
      <w:marRight w:val="0"/>
      <w:marTop w:val="0"/>
      <w:marBottom w:val="0"/>
      <w:divBdr>
        <w:top w:val="none" w:sz="0" w:space="0" w:color="auto"/>
        <w:left w:val="none" w:sz="0" w:space="0" w:color="auto"/>
        <w:bottom w:val="none" w:sz="0" w:space="0" w:color="auto"/>
        <w:right w:val="none" w:sz="0" w:space="0" w:color="auto"/>
      </w:divBdr>
      <w:divsChild>
        <w:div w:id="1941597107">
          <w:marLeft w:val="446"/>
          <w:marRight w:val="0"/>
          <w:marTop w:val="0"/>
          <w:marBottom w:val="0"/>
          <w:divBdr>
            <w:top w:val="none" w:sz="0" w:space="0" w:color="auto"/>
            <w:left w:val="none" w:sz="0" w:space="0" w:color="auto"/>
            <w:bottom w:val="none" w:sz="0" w:space="0" w:color="auto"/>
            <w:right w:val="none" w:sz="0" w:space="0" w:color="auto"/>
          </w:divBdr>
        </w:div>
        <w:div w:id="116066412">
          <w:marLeft w:val="446"/>
          <w:marRight w:val="0"/>
          <w:marTop w:val="0"/>
          <w:marBottom w:val="0"/>
          <w:divBdr>
            <w:top w:val="none" w:sz="0" w:space="0" w:color="auto"/>
            <w:left w:val="none" w:sz="0" w:space="0" w:color="auto"/>
            <w:bottom w:val="none" w:sz="0" w:space="0" w:color="auto"/>
            <w:right w:val="none" w:sz="0" w:space="0" w:color="auto"/>
          </w:divBdr>
        </w:div>
        <w:div w:id="300774920">
          <w:marLeft w:val="446"/>
          <w:marRight w:val="0"/>
          <w:marTop w:val="0"/>
          <w:marBottom w:val="0"/>
          <w:divBdr>
            <w:top w:val="none" w:sz="0" w:space="0" w:color="auto"/>
            <w:left w:val="none" w:sz="0" w:space="0" w:color="auto"/>
            <w:bottom w:val="none" w:sz="0" w:space="0" w:color="auto"/>
            <w:right w:val="none" w:sz="0" w:space="0" w:color="auto"/>
          </w:divBdr>
        </w:div>
        <w:div w:id="602148970">
          <w:marLeft w:val="446"/>
          <w:marRight w:val="0"/>
          <w:marTop w:val="0"/>
          <w:marBottom w:val="0"/>
          <w:divBdr>
            <w:top w:val="none" w:sz="0" w:space="0" w:color="auto"/>
            <w:left w:val="none" w:sz="0" w:space="0" w:color="auto"/>
            <w:bottom w:val="none" w:sz="0" w:space="0" w:color="auto"/>
            <w:right w:val="none" w:sz="0" w:space="0" w:color="auto"/>
          </w:divBdr>
        </w:div>
        <w:div w:id="1280911377">
          <w:marLeft w:val="446"/>
          <w:marRight w:val="0"/>
          <w:marTop w:val="0"/>
          <w:marBottom w:val="0"/>
          <w:divBdr>
            <w:top w:val="none" w:sz="0" w:space="0" w:color="auto"/>
            <w:left w:val="none" w:sz="0" w:space="0" w:color="auto"/>
            <w:bottom w:val="none" w:sz="0" w:space="0" w:color="auto"/>
            <w:right w:val="none" w:sz="0" w:space="0" w:color="auto"/>
          </w:divBdr>
        </w:div>
      </w:divsChild>
    </w:div>
    <w:div w:id="680083421">
      <w:bodyDiv w:val="1"/>
      <w:marLeft w:val="0"/>
      <w:marRight w:val="0"/>
      <w:marTop w:val="0"/>
      <w:marBottom w:val="0"/>
      <w:divBdr>
        <w:top w:val="none" w:sz="0" w:space="0" w:color="auto"/>
        <w:left w:val="none" w:sz="0" w:space="0" w:color="auto"/>
        <w:bottom w:val="none" w:sz="0" w:space="0" w:color="auto"/>
        <w:right w:val="none" w:sz="0" w:space="0" w:color="auto"/>
      </w:divBdr>
      <w:divsChild>
        <w:div w:id="1523856565">
          <w:marLeft w:val="0"/>
          <w:marRight w:val="0"/>
          <w:marTop w:val="0"/>
          <w:marBottom w:val="0"/>
          <w:divBdr>
            <w:top w:val="none" w:sz="0" w:space="0" w:color="auto"/>
            <w:left w:val="none" w:sz="0" w:space="0" w:color="auto"/>
            <w:bottom w:val="none" w:sz="0" w:space="0" w:color="auto"/>
            <w:right w:val="none" w:sz="0" w:space="0" w:color="auto"/>
          </w:divBdr>
        </w:div>
      </w:divsChild>
    </w:div>
    <w:div w:id="988944334">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760442897">
      <w:bodyDiv w:val="1"/>
      <w:marLeft w:val="0"/>
      <w:marRight w:val="0"/>
      <w:marTop w:val="0"/>
      <w:marBottom w:val="0"/>
      <w:divBdr>
        <w:top w:val="none" w:sz="0" w:space="0" w:color="auto"/>
        <w:left w:val="none" w:sz="0" w:space="0" w:color="auto"/>
        <w:bottom w:val="none" w:sz="0" w:space="0" w:color="auto"/>
        <w:right w:val="none" w:sz="0" w:space="0" w:color="auto"/>
      </w:divBdr>
    </w:div>
    <w:div w:id="213051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ihw.gov.au/about-our-data/our-data-collections/australian-cancer-database"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ngland.nhs.uk/wp-content/uploads/2018/12/Axicabtagene-Ciloleucel-Chimeric-Antigen-Receptor-T-Cell-CAR-T-Therapy-for-the-treatment-of-adult-patients-wit.pdf" TargetMode="External"/><Relationship Id="rId1" Type="http://schemas.openxmlformats.org/officeDocument/2006/relationships/hyperlink" Target="https://www.england.nhs.uk/wp-content/uploads/2018/12/Tisagenlecleucel-Chimeric-Antigen-Receptor-T-Cell-CAR-T-Therapy-for-ALL-and-DLBC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2459-23DB-48F1-B29D-78406649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6535</Words>
  <Characters>36401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1519.1 - Final PSD</dc:title>
  <dc:creator/>
  <cp:lastModifiedBy/>
  <cp:revision>1</cp:revision>
  <dcterms:created xsi:type="dcterms:W3CDTF">2019-10-22T03:58:00Z</dcterms:created>
  <dcterms:modified xsi:type="dcterms:W3CDTF">2019-10-22T04:08:00Z</dcterms:modified>
</cp:coreProperties>
</file>