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FE6B6C" w14:textId="77777777" w:rsidR="006478E7" w:rsidRPr="0034420E" w:rsidRDefault="006478E7" w:rsidP="006478E7">
      <w:pPr>
        <w:spacing w:before="120" w:after="120" w:line="312" w:lineRule="auto"/>
        <w:jc w:val="center"/>
      </w:pPr>
      <w:r w:rsidRPr="0034420E">
        <w:rPr>
          <w:b/>
          <w:noProof/>
          <w:lang w:eastAsia="en-AU"/>
        </w:rPr>
        <w:drawing>
          <wp:inline distT="0" distB="0" distL="0" distR="0" wp14:anchorId="42587FCD" wp14:editId="582BB802">
            <wp:extent cx="1891665" cy="1229995"/>
            <wp:effectExtent l="0" t="0" r="0" b="0"/>
            <wp:docPr id="1" name="Picture 1" title="Department of Health Logo"/>
            <wp:cNvGraphicFramePr/>
            <a:graphic xmlns:a="http://schemas.openxmlformats.org/drawingml/2006/main">
              <a:graphicData uri="http://schemas.openxmlformats.org/drawingml/2006/picture">
                <pic:pic xmlns:pic="http://schemas.openxmlformats.org/drawingml/2006/picture">
                  <pic:nvPicPr>
                    <pic:cNvPr id="1" name="Picture 2" title="Department of Health Logo"/>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9760" cy="1226820"/>
                    </a:xfrm>
                    <a:prstGeom prst="rect">
                      <a:avLst/>
                    </a:prstGeom>
                    <a:noFill/>
                    <a:ln>
                      <a:noFill/>
                    </a:ln>
                  </pic:spPr>
                </pic:pic>
              </a:graphicData>
            </a:graphic>
          </wp:inline>
        </w:drawing>
      </w:r>
    </w:p>
    <w:p w14:paraId="50B6D781" w14:textId="773F18F1" w:rsidR="006478E7" w:rsidRPr="0034420E" w:rsidRDefault="00E13572" w:rsidP="008C4B3C">
      <w:pPr>
        <w:pStyle w:val="Heading10"/>
        <w:spacing w:before="1800"/>
        <w:jc w:val="center"/>
        <w:rPr>
          <w:sz w:val="48"/>
          <w:szCs w:val="48"/>
        </w:rPr>
      </w:pPr>
      <w:r>
        <w:rPr>
          <w:sz w:val="48"/>
          <w:szCs w:val="48"/>
        </w:rPr>
        <w:t xml:space="preserve">MSAC </w:t>
      </w:r>
      <w:r w:rsidR="006478E7" w:rsidRPr="0034420E">
        <w:rPr>
          <w:sz w:val="48"/>
          <w:szCs w:val="48"/>
        </w:rPr>
        <w:t xml:space="preserve">Application </w:t>
      </w:r>
      <w:r w:rsidR="00377B55" w:rsidRPr="0034420E">
        <w:rPr>
          <w:sz w:val="48"/>
          <w:szCs w:val="48"/>
        </w:rPr>
        <w:t>1691</w:t>
      </w:r>
      <w:r w:rsidR="006478E7" w:rsidRPr="0034420E">
        <w:rPr>
          <w:sz w:val="48"/>
          <w:szCs w:val="48"/>
        </w:rPr>
        <w:t>:</w:t>
      </w:r>
    </w:p>
    <w:p w14:paraId="285A56A0" w14:textId="271CA363" w:rsidR="00796D31" w:rsidRPr="0034420E" w:rsidRDefault="009E46CC" w:rsidP="0035700A">
      <w:pPr>
        <w:pStyle w:val="Heading1"/>
        <w:spacing w:before="240"/>
        <w:rPr>
          <w:color w:val="548DD4"/>
          <w:sz w:val="48"/>
          <w:szCs w:val="48"/>
        </w:rPr>
      </w:pPr>
      <w:r w:rsidRPr="0034420E">
        <w:rPr>
          <w:color w:val="548DD4"/>
          <w:sz w:val="48"/>
          <w:szCs w:val="48"/>
        </w:rPr>
        <w:t>PromarkerD testing in patients with type 2 diabetes (T2DM) to determine the risk of developing diabetic kidney disease</w:t>
      </w:r>
    </w:p>
    <w:p w14:paraId="6036E554" w14:textId="05EC4E92" w:rsidR="00400731" w:rsidRPr="0034420E" w:rsidRDefault="00E73691" w:rsidP="0035700A">
      <w:pPr>
        <w:pStyle w:val="Heading1"/>
        <w:spacing w:before="960"/>
      </w:pPr>
      <w:r w:rsidRPr="0034420E">
        <w:t>Ratified</w:t>
      </w:r>
      <w:r w:rsidR="00400731" w:rsidRPr="0034420E">
        <w:t xml:space="preserve"> </w:t>
      </w:r>
    </w:p>
    <w:p w14:paraId="26970FC7" w14:textId="7C1C2EA8" w:rsidR="006478E7" w:rsidRPr="0034420E" w:rsidRDefault="006478E7" w:rsidP="00400731">
      <w:pPr>
        <w:pStyle w:val="Heading1"/>
        <w:spacing w:before="200"/>
      </w:pPr>
      <w:r w:rsidRPr="0034420E">
        <w:t>PICO Confirmation</w:t>
      </w:r>
    </w:p>
    <w:p w14:paraId="23900CA0" w14:textId="77777777" w:rsidR="006478E7" w:rsidRPr="0034420E" w:rsidRDefault="006478E7">
      <w:r w:rsidRPr="0034420E">
        <w:br w:type="page"/>
      </w:r>
    </w:p>
    <w:p w14:paraId="219312C8" w14:textId="532EA608" w:rsidR="006478E7" w:rsidRPr="00E13572" w:rsidRDefault="006478E7" w:rsidP="00D52956">
      <w:pPr>
        <w:spacing w:after="160" w:line="259" w:lineRule="auto"/>
        <w:rPr>
          <w:b/>
          <w:bCs/>
          <w:i/>
          <w:iCs/>
        </w:rPr>
      </w:pPr>
      <w:r w:rsidRPr="00E13572">
        <w:rPr>
          <w:b/>
          <w:bCs/>
          <w:i/>
          <w:iCs/>
        </w:rPr>
        <w:lastRenderedPageBreak/>
        <w:t>Summary of PI</w:t>
      </w:r>
      <w:r w:rsidR="00235B21" w:rsidRPr="00E13572">
        <w:rPr>
          <w:b/>
          <w:bCs/>
          <w:i/>
          <w:iCs/>
        </w:rPr>
        <w:t xml:space="preserve">CO/PPICO criteria to define </w:t>
      </w:r>
      <w:r w:rsidRPr="00E13572">
        <w:rPr>
          <w:b/>
          <w:bCs/>
          <w:i/>
          <w:iCs/>
        </w:rPr>
        <w:t>question(s) to be addressed in an Assessment Report to the Medical Services Advisory Committee (MSAC)</w:t>
      </w:r>
      <w:r w:rsidR="00845549" w:rsidRPr="00E13572">
        <w:rPr>
          <w:b/>
          <w:bCs/>
          <w:i/>
          <w:iCs/>
        </w:rPr>
        <w:t>.</w:t>
      </w:r>
    </w:p>
    <w:p w14:paraId="224459F3" w14:textId="670F0F68" w:rsidR="00D52956" w:rsidRPr="0034420E" w:rsidRDefault="00E5120D" w:rsidP="00E5120D">
      <w:pPr>
        <w:pStyle w:val="Caption"/>
      </w:pPr>
      <w:bookmarkStart w:id="0" w:name="_Ref69732155"/>
      <w:r w:rsidRPr="0034420E">
        <w:t xml:space="preserve">Table </w:t>
      </w:r>
      <w:r w:rsidRPr="0034420E">
        <w:fldChar w:fldCharType="begin"/>
      </w:r>
      <w:r w:rsidRPr="0034420E">
        <w:instrText xml:space="preserve"> SEQ Table \* ARABIC </w:instrText>
      </w:r>
      <w:r w:rsidRPr="0034420E">
        <w:fldChar w:fldCharType="separate"/>
      </w:r>
      <w:r w:rsidR="00523E59" w:rsidRPr="0034420E">
        <w:rPr>
          <w:noProof/>
        </w:rPr>
        <w:t>1</w:t>
      </w:r>
      <w:r w:rsidRPr="0034420E">
        <w:fldChar w:fldCharType="end"/>
      </w:r>
      <w:r w:rsidR="00D52956" w:rsidRPr="0034420E">
        <w:tab/>
        <w:t xml:space="preserve">PICO for </w:t>
      </w:r>
      <w:r w:rsidR="00796D31" w:rsidRPr="0034420E">
        <w:t>predictive test for diabetic kidney disease</w:t>
      </w:r>
      <w:r w:rsidR="00D52956" w:rsidRPr="0034420E">
        <w:t xml:space="preserve"> in</w:t>
      </w:r>
      <w:r w:rsidR="00796D31" w:rsidRPr="0034420E">
        <w:t xml:space="preserve"> people with type 2 diabetes</w:t>
      </w:r>
      <w:r w:rsidR="005303E2" w:rsidRPr="0034420E">
        <w:t xml:space="preserve"> mellitus</w:t>
      </w:r>
      <w:bookmarkEnd w:id="0"/>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A0" w:firstRow="1" w:lastRow="0" w:firstColumn="1" w:lastColumn="0" w:noHBand="0" w:noVBand="0"/>
      </w:tblPr>
      <w:tblGrid>
        <w:gridCol w:w="1922"/>
        <w:gridCol w:w="7639"/>
      </w:tblGrid>
      <w:tr w:rsidR="006478E7" w:rsidRPr="0034420E" w14:paraId="2A509B30" w14:textId="77777777" w:rsidTr="00B81B83">
        <w:trPr>
          <w:trHeight w:val="372"/>
          <w:tblHeader/>
        </w:trPr>
        <w:tc>
          <w:tcPr>
            <w:tcW w:w="1005" w:type="pct"/>
            <w:tcBorders>
              <w:top w:val="single" w:sz="8" w:space="0" w:color="auto"/>
              <w:left w:val="single" w:sz="8" w:space="0" w:color="auto"/>
              <w:bottom w:val="single" w:sz="8" w:space="0" w:color="auto"/>
              <w:right w:val="single" w:sz="4" w:space="0" w:color="auto"/>
            </w:tcBorders>
            <w:shd w:val="clear" w:color="auto" w:fill="D9D9D9"/>
            <w:vAlign w:val="center"/>
            <w:hideMark/>
          </w:tcPr>
          <w:p w14:paraId="333B8A35" w14:textId="74EB4863" w:rsidR="006478E7" w:rsidRPr="0034420E" w:rsidRDefault="006478E7" w:rsidP="00C54349">
            <w:pPr>
              <w:spacing w:before="20" w:after="20" w:line="240" w:lineRule="auto"/>
              <w:rPr>
                <w:b/>
              </w:rPr>
            </w:pPr>
            <w:bookmarkStart w:id="1" w:name="Title_Table1" w:colFirst="0" w:colLast="0"/>
            <w:r w:rsidRPr="0034420E">
              <w:rPr>
                <w:b/>
              </w:rPr>
              <w:t>Component</w:t>
            </w:r>
          </w:p>
        </w:tc>
        <w:tc>
          <w:tcPr>
            <w:tcW w:w="3995" w:type="pct"/>
            <w:tcBorders>
              <w:top w:val="single" w:sz="8" w:space="0" w:color="auto"/>
              <w:left w:val="single" w:sz="4" w:space="0" w:color="auto"/>
              <w:bottom w:val="single" w:sz="8" w:space="0" w:color="auto"/>
              <w:right w:val="single" w:sz="8" w:space="0" w:color="auto"/>
            </w:tcBorders>
            <w:shd w:val="clear" w:color="auto" w:fill="D9D9D9"/>
            <w:vAlign w:val="center"/>
            <w:hideMark/>
          </w:tcPr>
          <w:p w14:paraId="0E31DF4F" w14:textId="77777777" w:rsidR="006478E7" w:rsidRPr="0034420E" w:rsidRDefault="006478E7" w:rsidP="00C54349">
            <w:pPr>
              <w:spacing w:before="20" w:after="20" w:line="240" w:lineRule="auto"/>
              <w:rPr>
                <w:b/>
              </w:rPr>
            </w:pPr>
            <w:r w:rsidRPr="0034420E">
              <w:rPr>
                <w:b/>
              </w:rPr>
              <w:t>Description</w:t>
            </w:r>
          </w:p>
        </w:tc>
      </w:tr>
      <w:bookmarkEnd w:id="1"/>
      <w:tr w:rsidR="006478E7" w:rsidRPr="0034420E" w14:paraId="78E0BB65" w14:textId="77777777" w:rsidTr="00B81B83">
        <w:tc>
          <w:tcPr>
            <w:tcW w:w="1005" w:type="pct"/>
            <w:tcBorders>
              <w:top w:val="single" w:sz="8" w:space="0" w:color="auto"/>
              <w:left w:val="single" w:sz="8" w:space="0" w:color="auto"/>
              <w:bottom w:val="single" w:sz="4" w:space="0" w:color="auto"/>
              <w:right w:val="single" w:sz="4" w:space="0" w:color="auto"/>
            </w:tcBorders>
            <w:hideMark/>
          </w:tcPr>
          <w:p w14:paraId="715E50D5" w14:textId="74EB4863" w:rsidR="006478E7" w:rsidRPr="0034420E" w:rsidRDefault="00F660E8" w:rsidP="00E01349">
            <w:pPr>
              <w:spacing w:before="120" w:after="120" w:line="240" w:lineRule="auto"/>
              <w:rPr>
                <w:rFonts w:cs="Arial"/>
              </w:rPr>
            </w:pPr>
            <w:r w:rsidRPr="0034420E">
              <w:rPr>
                <w:rFonts w:cs="Arial"/>
              </w:rPr>
              <w:t>Population</w:t>
            </w:r>
          </w:p>
        </w:tc>
        <w:tc>
          <w:tcPr>
            <w:tcW w:w="3995" w:type="pct"/>
            <w:tcBorders>
              <w:top w:val="single" w:sz="8" w:space="0" w:color="auto"/>
              <w:left w:val="single" w:sz="4" w:space="0" w:color="auto"/>
              <w:bottom w:val="single" w:sz="4" w:space="0" w:color="auto"/>
              <w:right w:val="single" w:sz="8" w:space="0" w:color="auto"/>
            </w:tcBorders>
            <w:hideMark/>
          </w:tcPr>
          <w:p w14:paraId="5B33AE45" w14:textId="3CA274CD" w:rsidR="00B921D1" w:rsidRPr="0034420E" w:rsidRDefault="00B921D1" w:rsidP="004B23E7">
            <w:pPr>
              <w:spacing w:after="120"/>
              <w:ind w:left="369" w:hanging="369"/>
            </w:pPr>
            <w:r w:rsidRPr="0034420E">
              <w:t xml:space="preserve">Patients would </w:t>
            </w:r>
            <w:r w:rsidR="00701F77" w:rsidRPr="0034420E">
              <w:t xml:space="preserve">be eligible </w:t>
            </w:r>
            <w:r w:rsidR="002E3B1F" w:rsidRPr="0034420E">
              <w:t xml:space="preserve">to use PromarkerD </w:t>
            </w:r>
            <w:r w:rsidR="00701F77" w:rsidRPr="0034420E">
              <w:t>if they</w:t>
            </w:r>
            <w:r w:rsidRPr="0034420E">
              <w:t xml:space="preserve"> met the following criteria:</w:t>
            </w:r>
          </w:p>
          <w:p w14:paraId="68B16D0C" w14:textId="6C9C4E14" w:rsidR="00B921D1" w:rsidRPr="0034420E" w:rsidRDefault="00B921D1" w:rsidP="00A317AC">
            <w:pPr>
              <w:spacing w:after="120"/>
              <w:ind w:left="375" w:hanging="284"/>
            </w:pPr>
            <w:r w:rsidRPr="0034420E">
              <w:t>a.</w:t>
            </w:r>
            <w:r w:rsidRPr="0034420E">
              <w:tab/>
              <w:t>Type 2 diabetes</w:t>
            </w:r>
            <w:r w:rsidR="00442E31" w:rsidRPr="0034420E">
              <w:t xml:space="preserve"> </w:t>
            </w:r>
            <w:r w:rsidR="005303E2" w:rsidRPr="0034420E">
              <w:t xml:space="preserve">mellitus </w:t>
            </w:r>
            <w:r w:rsidR="00442E31" w:rsidRPr="0034420E">
              <w:t>(T2D</w:t>
            </w:r>
            <w:r w:rsidR="00B73AC5" w:rsidRPr="0034420E">
              <w:t>M</w:t>
            </w:r>
            <w:r w:rsidR="00442E31" w:rsidRPr="0034420E">
              <w:t>)</w:t>
            </w:r>
            <w:r w:rsidRPr="0034420E">
              <w:t xml:space="preserve"> diagnosis; and</w:t>
            </w:r>
          </w:p>
          <w:p w14:paraId="79B15958" w14:textId="4F495E64" w:rsidR="00B921D1" w:rsidRPr="0034420E" w:rsidRDefault="00B921D1" w:rsidP="00A317AC">
            <w:pPr>
              <w:spacing w:after="120"/>
              <w:ind w:left="375" w:hanging="284"/>
            </w:pPr>
            <w:r w:rsidRPr="0034420E">
              <w:t>b.</w:t>
            </w:r>
            <w:r w:rsidRPr="0034420E">
              <w:tab/>
              <w:t>Estimated glomerular filtration rate (eGFR) of greater than or equal to 60ml/min/1.73m</w:t>
            </w:r>
            <w:r w:rsidRPr="0034420E">
              <w:rPr>
                <w:vertAlign w:val="superscript"/>
              </w:rPr>
              <w:t>2</w:t>
            </w:r>
            <w:r w:rsidRPr="0034420E">
              <w:t>; and</w:t>
            </w:r>
          </w:p>
          <w:p w14:paraId="4A4FF7C2" w14:textId="17C7575A" w:rsidR="00796D31" w:rsidRPr="0034420E" w:rsidRDefault="00B921D1" w:rsidP="00A317AC">
            <w:pPr>
              <w:spacing w:after="120"/>
              <w:ind w:left="375" w:hanging="284"/>
            </w:pPr>
            <w:r w:rsidRPr="0034420E">
              <w:t>c.</w:t>
            </w:r>
            <w:r w:rsidRPr="0034420E">
              <w:tab/>
              <w:t>Albumin: Creatinine Ratio (uACR) test results of less than or equal to 30mg/mmol.</w:t>
            </w:r>
          </w:p>
        </w:tc>
      </w:tr>
      <w:tr w:rsidR="006478E7" w:rsidRPr="0034420E" w14:paraId="2A9CC9A6" w14:textId="77777777" w:rsidTr="00B81B83">
        <w:tc>
          <w:tcPr>
            <w:tcW w:w="1005" w:type="pct"/>
            <w:tcBorders>
              <w:top w:val="single" w:sz="8" w:space="0" w:color="auto"/>
              <w:left w:val="single" w:sz="8" w:space="0" w:color="auto"/>
              <w:bottom w:val="single" w:sz="4" w:space="0" w:color="auto"/>
              <w:right w:val="single" w:sz="4" w:space="0" w:color="auto"/>
            </w:tcBorders>
            <w:hideMark/>
          </w:tcPr>
          <w:p w14:paraId="75E49351" w14:textId="38EB528C" w:rsidR="006478E7" w:rsidRPr="0034420E" w:rsidRDefault="006478E7" w:rsidP="00E01349">
            <w:pPr>
              <w:spacing w:before="120" w:after="120" w:line="240" w:lineRule="auto"/>
              <w:rPr>
                <w:rFonts w:cs="Arial"/>
              </w:rPr>
            </w:pPr>
            <w:r w:rsidRPr="0034420E">
              <w:rPr>
                <w:rFonts w:cs="Arial"/>
              </w:rPr>
              <w:t>Prior tests</w:t>
            </w:r>
          </w:p>
        </w:tc>
        <w:tc>
          <w:tcPr>
            <w:tcW w:w="3995" w:type="pct"/>
            <w:tcBorders>
              <w:top w:val="single" w:sz="4" w:space="0" w:color="auto"/>
              <w:left w:val="single" w:sz="4" w:space="0" w:color="auto"/>
              <w:bottom w:val="single" w:sz="4" w:space="0" w:color="auto"/>
              <w:right w:val="single" w:sz="8" w:space="0" w:color="auto"/>
            </w:tcBorders>
            <w:hideMark/>
          </w:tcPr>
          <w:p w14:paraId="706790F8" w14:textId="0D5A040D" w:rsidR="00477B33" w:rsidRPr="0034420E" w:rsidRDefault="00477B33" w:rsidP="00A317AC">
            <w:pPr>
              <w:spacing w:after="120"/>
              <w:ind w:left="371" w:hanging="371"/>
            </w:pPr>
            <w:r w:rsidRPr="0034420E">
              <w:t xml:space="preserve">Tests required to confirm diagnosis of </w:t>
            </w:r>
            <w:r w:rsidR="00B73AC5" w:rsidRPr="0034420E">
              <w:t>T2DM</w:t>
            </w:r>
            <w:r w:rsidRPr="0034420E">
              <w:t>.</w:t>
            </w:r>
          </w:p>
          <w:p w14:paraId="25306393" w14:textId="57F5D388" w:rsidR="00037BB0" w:rsidRPr="0034420E" w:rsidRDefault="00DE1DA2" w:rsidP="00A317AC">
            <w:pPr>
              <w:spacing w:after="120"/>
            </w:pPr>
            <w:r w:rsidRPr="0034420E">
              <w:t>Prior m</w:t>
            </w:r>
            <w:r w:rsidR="00037BB0" w:rsidRPr="0034420E">
              <w:t xml:space="preserve">easurement of eGFR and uACR </w:t>
            </w:r>
            <w:r w:rsidR="00477B33" w:rsidRPr="0034420E">
              <w:t xml:space="preserve">is </w:t>
            </w:r>
            <w:r w:rsidRPr="0034420E">
              <w:t>required.</w:t>
            </w:r>
          </w:p>
          <w:p w14:paraId="4EBD8721" w14:textId="77777777" w:rsidR="00DE1DA2" w:rsidRPr="0034420E" w:rsidRDefault="00DE1DA2" w:rsidP="00A317AC">
            <w:pPr>
              <w:spacing w:after="120"/>
            </w:pPr>
            <w:r w:rsidRPr="0034420E">
              <w:t>Prior measurement of HDL cholesterol is required.</w:t>
            </w:r>
          </w:p>
          <w:p w14:paraId="5CF47E43" w14:textId="20C44C01" w:rsidR="00510A73" w:rsidRPr="0034420E" w:rsidRDefault="00EE0445" w:rsidP="00A317AC">
            <w:pPr>
              <w:spacing w:after="120"/>
            </w:pPr>
            <w:r w:rsidRPr="0034420E">
              <w:t>The application did not provide any</w:t>
            </w:r>
            <w:r w:rsidR="00510A73" w:rsidRPr="0034420E">
              <w:t xml:space="preserve"> </w:t>
            </w:r>
            <w:r w:rsidRPr="0034420E">
              <w:t xml:space="preserve">requirements for the </w:t>
            </w:r>
            <w:r w:rsidR="00510A73" w:rsidRPr="0034420E">
              <w:t xml:space="preserve">timeframe </w:t>
            </w:r>
            <w:r w:rsidRPr="0034420E">
              <w:t>within which</w:t>
            </w:r>
            <w:r w:rsidR="00510A73" w:rsidRPr="0034420E">
              <w:t xml:space="preserve"> the eGFR, uACR and HDL cholesterol tests</w:t>
            </w:r>
            <w:r w:rsidRPr="0034420E">
              <w:t xml:space="preserve"> must be conducted. The applicant provided additional information that the eGFR and HDL cholesterol </w:t>
            </w:r>
            <w:r w:rsidR="00336344" w:rsidRPr="0034420E">
              <w:t>results should be no older than six months. There was no timeframe specified for uACR.</w:t>
            </w:r>
          </w:p>
        </w:tc>
      </w:tr>
      <w:tr w:rsidR="006478E7" w:rsidRPr="0034420E" w14:paraId="654E13A9" w14:textId="77777777" w:rsidTr="00B81B83">
        <w:tc>
          <w:tcPr>
            <w:tcW w:w="1005" w:type="pct"/>
            <w:tcBorders>
              <w:top w:val="single" w:sz="4" w:space="0" w:color="auto"/>
              <w:left w:val="single" w:sz="8" w:space="0" w:color="auto"/>
              <w:bottom w:val="single" w:sz="4" w:space="0" w:color="auto"/>
              <w:right w:val="single" w:sz="4" w:space="0" w:color="auto"/>
            </w:tcBorders>
            <w:hideMark/>
          </w:tcPr>
          <w:p w14:paraId="5BF0C211" w14:textId="77777777" w:rsidR="006478E7" w:rsidRPr="0034420E" w:rsidRDefault="006478E7" w:rsidP="00E01349">
            <w:pPr>
              <w:spacing w:before="120" w:after="120" w:line="240" w:lineRule="auto"/>
              <w:rPr>
                <w:rFonts w:cs="Arial"/>
              </w:rPr>
            </w:pPr>
            <w:r w:rsidRPr="0034420E">
              <w:rPr>
                <w:rFonts w:cs="Arial"/>
              </w:rPr>
              <w:t>Intervention</w:t>
            </w:r>
          </w:p>
        </w:tc>
        <w:tc>
          <w:tcPr>
            <w:tcW w:w="3995" w:type="pct"/>
            <w:tcBorders>
              <w:top w:val="single" w:sz="4" w:space="0" w:color="auto"/>
              <w:left w:val="single" w:sz="4" w:space="0" w:color="auto"/>
              <w:bottom w:val="single" w:sz="4" w:space="0" w:color="auto"/>
              <w:right w:val="single" w:sz="8" w:space="0" w:color="auto"/>
            </w:tcBorders>
            <w:hideMark/>
          </w:tcPr>
          <w:p w14:paraId="0B829E36" w14:textId="7E1D5663" w:rsidR="00E13B76" w:rsidRPr="0034420E" w:rsidRDefault="00E13B76" w:rsidP="00A317AC">
            <w:pPr>
              <w:spacing w:after="120"/>
            </w:pPr>
            <w:r w:rsidRPr="0034420E">
              <w:t xml:space="preserve">PromarkerD is an </w:t>
            </w:r>
            <w:r w:rsidRPr="0034420E">
              <w:rPr>
                <w:i/>
                <w:iCs/>
              </w:rPr>
              <w:t>in</w:t>
            </w:r>
            <w:r w:rsidR="008405C5" w:rsidRPr="0034420E">
              <w:rPr>
                <w:i/>
                <w:iCs/>
              </w:rPr>
              <w:t xml:space="preserve"> </w:t>
            </w:r>
            <w:r w:rsidRPr="0034420E">
              <w:rPr>
                <w:i/>
                <w:iCs/>
              </w:rPr>
              <w:t>vitro</w:t>
            </w:r>
            <w:r w:rsidRPr="0034420E">
              <w:t xml:space="preserve"> quantitative blood test designed to predict incident diabetic kidney disease (DKD) or progression of DKD in patients with </w:t>
            </w:r>
            <w:r w:rsidR="00B73AC5" w:rsidRPr="0034420E">
              <w:t>T2DM</w:t>
            </w:r>
            <w:r w:rsidRPr="0034420E">
              <w:t xml:space="preserve">. </w:t>
            </w:r>
          </w:p>
          <w:p w14:paraId="3E51DB12" w14:textId="58B385C1" w:rsidR="001261E6" w:rsidRPr="0034420E" w:rsidRDefault="00E13B76" w:rsidP="00A317AC">
            <w:pPr>
              <w:spacing w:after="120"/>
            </w:pPr>
            <w:r w:rsidRPr="0034420E">
              <w:t>The test measures three novel plasma protein biomarkers (</w:t>
            </w:r>
            <w:r w:rsidR="008405C5" w:rsidRPr="0034420E">
              <w:t>Apolipoprotein A4 (ApoA4)</w:t>
            </w:r>
            <w:r w:rsidRPr="0034420E">
              <w:t xml:space="preserve">, </w:t>
            </w:r>
            <w:r w:rsidR="008405C5" w:rsidRPr="0034420E">
              <w:t xml:space="preserve">CD5 antigen-like (CD5L) </w:t>
            </w:r>
            <w:r w:rsidRPr="0034420E">
              <w:t xml:space="preserve">and </w:t>
            </w:r>
            <w:r w:rsidR="008405C5" w:rsidRPr="0034420E">
              <w:t>Insulin growth factor binding protein 3 (IBP3)</w:t>
            </w:r>
            <w:r w:rsidRPr="0034420E">
              <w:t>)</w:t>
            </w:r>
            <w:r w:rsidR="00A03812" w:rsidRPr="0034420E">
              <w:t xml:space="preserve">. </w:t>
            </w:r>
            <w:r w:rsidRPr="0034420E">
              <w:t>The concentrations of the</w:t>
            </w:r>
            <w:r w:rsidR="00DE1DA2" w:rsidRPr="0034420E">
              <w:t>se</w:t>
            </w:r>
            <w:r w:rsidRPr="0034420E">
              <w:t xml:space="preserve"> biomarkers, along with the clinical factors</w:t>
            </w:r>
            <w:r w:rsidR="00A03812" w:rsidRPr="0034420E">
              <w:t xml:space="preserve"> (age, </w:t>
            </w:r>
            <w:r w:rsidR="008405C5" w:rsidRPr="0034420E">
              <w:t>high-density lipoprotein (HDL) cholesterol</w:t>
            </w:r>
            <w:r w:rsidR="00A03812" w:rsidRPr="0034420E">
              <w:t>, eGFR)</w:t>
            </w:r>
            <w:r w:rsidRPr="0034420E">
              <w:t>, are entered into the PromarkerD Hub, a static proprietary software algorithm which characterises patients as low-risk, moderate-risk, or high-risk of developing DKD (defined as eGFR below 60 mL/min/1.73m</w:t>
            </w:r>
            <w:r w:rsidRPr="0034420E">
              <w:rPr>
                <w:vertAlign w:val="superscript"/>
              </w:rPr>
              <w:t>2</w:t>
            </w:r>
            <w:r w:rsidRPr="0034420E">
              <w:t>) within 4 years, or a decline in eGFR of ≥30% over 4 years.</w:t>
            </w:r>
          </w:p>
        </w:tc>
      </w:tr>
      <w:tr w:rsidR="006478E7" w:rsidRPr="0034420E" w14:paraId="1F5647C3" w14:textId="77777777" w:rsidTr="00B81B83">
        <w:tc>
          <w:tcPr>
            <w:tcW w:w="1005" w:type="pct"/>
            <w:tcBorders>
              <w:top w:val="single" w:sz="4" w:space="0" w:color="auto"/>
              <w:left w:val="single" w:sz="8" w:space="0" w:color="auto"/>
              <w:bottom w:val="single" w:sz="4" w:space="0" w:color="auto"/>
              <w:right w:val="single" w:sz="4" w:space="0" w:color="auto"/>
            </w:tcBorders>
            <w:hideMark/>
          </w:tcPr>
          <w:p w14:paraId="7F55173A" w14:textId="77777777" w:rsidR="006478E7" w:rsidRPr="0034420E" w:rsidRDefault="006478E7" w:rsidP="00E01349">
            <w:pPr>
              <w:spacing w:before="120" w:after="120" w:line="240" w:lineRule="auto"/>
              <w:rPr>
                <w:rFonts w:cs="Arial"/>
              </w:rPr>
            </w:pPr>
            <w:r w:rsidRPr="0034420E">
              <w:rPr>
                <w:rFonts w:cs="Arial"/>
              </w:rPr>
              <w:t>Comparator</w:t>
            </w:r>
            <w:r w:rsidR="00D83062" w:rsidRPr="0034420E">
              <w:rPr>
                <w:rFonts w:cs="Arial"/>
              </w:rPr>
              <w:t>/s</w:t>
            </w:r>
          </w:p>
        </w:tc>
        <w:tc>
          <w:tcPr>
            <w:tcW w:w="3995" w:type="pct"/>
            <w:tcBorders>
              <w:top w:val="single" w:sz="4" w:space="0" w:color="auto"/>
              <w:left w:val="single" w:sz="4" w:space="0" w:color="auto"/>
              <w:bottom w:val="single" w:sz="4" w:space="0" w:color="auto"/>
              <w:right w:val="single" w:sz="8" w:space="0" w:color="auto"/>
            </w:tcBorders>
            <w:hideMark/>
          </w:tcPr>
          <w:p w14:paraId="1290FEA0" w14:textId="56BB5FE5" w:rsidR="001261E6" w:rsidRPr="0034420E" w:rsidRDefault="001261E6" w:rsidP="00A317AC">
            <w:pPr>
              <w:spacing w:after="120"/>
            </w:pPr>
            <w:r w:rsidRPr="0034420E">
              <w:t xml:space="preserve">The comparator </w:t>
            </w:r>
            <w:r w:rsidR="00E13B76" w:rsidRPr="0034420E">
              <w:t xml:space="preserve">nominated in the application </w:t>
            </w:r>
            <w:r w:rsidR="006E66B8" w:rsidRPr="0034420E">
              <w:t>wa</w:t>
            </w:r>
            <w:r w:rsidRPr="0034420E">
              <w:t>s ‘no comparator’</w:t>
            </w:r>
            <w:r w:rsidR="00E13B76" w:rsidRPr="0034420E">
              <w:t>,</w:t>
            </w:r>
            <w:r w:rsidRPr="0034420E">
              <w:t xml:space="preserve"> as PromarkerD would be added to the current testing regimen. </w:t>
            </w:r>
          </w:p>
          <w:p w14:paraId="7E690E4B" w14:textId="7FAABFD6" w:rsidR="006E66B8" w:rsidRPr="0034420E" w:rsidRDefault="006E66B8" w:rsidP="006E66B8">
            <w:pPr>
              <w:spacing w:after="120"/>
            </w:pPr>
            <w:r w:rsidRPr="0034420E">
              <w:t>The applicant stated that there is no direct comparator as current standard of care diagnose</w:t>
            </w:r>
            <w:r w:rsidR="00694F3E" w:rsidRPr="0034420E">
              <w:t>s</w:t>
            </w:r>
            <w:r w:rsidRPr="0034420E">
              <w:t xml:space="preserve"> DKD after clinical symptoms appear</w:t>
            </w:r>
            <w:r w:rsidR="00694F3E" w:rsidRPr="0034420E">
              <w:t xml:space="preserve"> rather than</w:t>
            </w:r>
            <w:r w:rsidRPr="0034420E">
              <w:t xml:space="preserve"> predicting risk of DKD. </w:t>
            </w:r>
          </w:p>
        </w:tc>
      </w:tr>
      <w:tr w:rsidR="00C64764" w:rsidRPr="0034420E" w14:paraId="7B9D3F1A" w14:textId="77777777" w:rsidTr="00B81B83">
        <w:tc>
          <w:tcPr>
            <w:tcW w:w="1005" w:type="pct"/>
            <w:tcBorders>
              <w:top w:val="single" w:sz="4" w:space="0" w:color="auto"/>
              <w:left w:val="single" w:sz="8" w:space="0" w:color="auto"/>
              <w:bottom w:val="single" w:sz="4" w:space="0" w:color="auto"/>
              <w:right w:val="single" w:sz="4" w:space="0" w:color="auto"/>
            </w:tcBorders>
          </w:tcPr>
          <w:p w14:paraId="4C0BC8B3" w14:textId="141AA304" w:rsidR="00C64764" w:rsidRPr="0034420E" w:rsidRDefault="00C64764" w:rsidP="00E01349">
            <w:pPr>
              <w:spacing w:before="120" w:after="120" w:line="240" w:lineRule="auto"/>
              <w:rPr>
                <w:rFonts w:cs="Arial"/>
              </w:rPr>
            </w:pPr>
            <w:r w:rsidRPr="0034420E">
              <w:rPr>
                <w:rFonts w:cs="Arial"/>
              </w:rPr>
              <w:t>Reference standard</w:t>
            </w:r>
          </w:p>
        </w:tc>
        <w:tc>
          <w:tcPr>
            <w:tcW w:w="3995" w:type="pct"/>
            <w:tcBorders>
              <w:top w:val="single" w:sz="4" w:space="0" w:color="auto"/>
              <w:left w:val="single" w:sz="4" w:space="0" w:color="auto"/>
              <w:bottom w:val="single" w:sz="4" w:space="0" w:color="auto"/>
              <w:right w:val="single" w:sz="8" w:space="0" w:color="auto"/>
            </w:tcBorders>
          </w:tcPr>
          <w:p w14:paraId="7B1F5217" w14:textId="1AF1C401" w:rsidR="00E13B76" w:rsidRPr="0034420E" w:rsidRDefault="00F71B7C" w:rsidP="009250DA">
            <w:pPr>
              <w:spacing w:after="120"/>
            </w:pPr>
            <w:r w:rsidRPr="0034420E">
              <w:t>While n</w:t>
            </w:r>
            <w:r w:rsidR="009B1EB0" w:rsidRPr="0034420E">
              <w:t xml:space="preserve">o reference standard was </w:t>
            </w:r>
            <w:r w:rsidR="00EE7301" w:rsidRPr="0034420E">
              <w:t xml:space="preserve">formally </w:t>
            </w:r>
            <w:r w:rsidRPr="0034420E">
              <w:t>defined</w:t>
            </w:r>
            <w:r w:rsidR="005A522E" w:rsidRPr="0034420E">
              <w:t xml:space="preserve"> in the application</w:t>
            </w:r>
            <w:r w:rsidRPr="0034420E">
              <w:t xml:space="preserve">, the </w:t>
            </w:r>
            <w:r w:rsidRPr="0034420E">
              <w:rPr>
                <w:bCs/>
                <w:szCs w:val="20"/>
              </w:rPr>
              <w:t>Kidney Disease Improving Global Outcomes (KDIGO) guidelines for evaluation and management of chronic kidney disease</w:t>
            </w:r>
            <w:r w:rsidR="00EE7301" w:rsidRPr="0034420E">
              <w:rPr>
                <w:bCs/>
                <w:szCs w:val="20"/>
              </w:rPr>
              <w:t>, as used by Kidney Health Australia (</w:t>
            </w:r>
            <w:r w:rsidR="008405C5" w:rsidRPr="0034420E">
              <w:rPr>
                <w:bCs/>
                <w:szCs w:val="20"/>
              </w:rPr>
              <w:fldChar w:fldCharType="begin"/>
            </w:r>
            <w:r w:rsidR="008405C5" w:rsidRPr="0034420E">
              <w:rPr>
                <w:bCs/>
                <w:szCs w:val="20"/>
              </w:rPr>
              <w:instrText xml:space="preserve"> REF _Ref87016813 \h </w:instrText>
            </w:r>
            <w:r w:rsidR="009E1D30" w:rsidRPr="0034420E">
              <w:rPr>
                <w:bCs/>
                <w:szCs w:val="20"/>
              </w:rPr>
              <w:instrText xml:space="preserve"> \* MERGEFORMAT </w:instrText>
            </w:r>
            <w:r w:rsidR="008405C5" w:rsidRPr="0034420E">
              <w:rPr>
                <w:bCs/>
                <w:szCs w:val="20"/>
              </w:rPr>
            </w:r>
            <w:r w:rsidR="008405C5" w:rsidRPr="0034420E">
              <w:rPr>
                <w:bCs/>
                <w:szCs w:val="20"/>
              </w:rPr>
              <w:fldChar w:fldCharType="separate"/>
            </w:r>
            <w:r w:rsidR="00523E59" w:rsidRPr="0034420E">
              <w:t xml:space="preserve">Figure </w:t>
            </w:r>
            <w:r w:rsidR="00523E59" w:rsidRPr="0034420E">
              <w:rPr>
                <w:noProof/>
              </w:rPr>
              <w:t>1</w:t>
            </w:r>
            <w:r w:rsidR="008405C5" w:rsidRPr="0034420E">
              <w:rPr>
                <w:bCs/>
                <w:szCs w:val="20"/>
              </w:rPr>
              <w:fldChar w:fldCharType="end"/>
            </w:r>
            <w:r w:rsidR="00EE7301" w:rsidRPr="0034420E">
              <w:rPr>
                <w:bCs/>
                <w:szCs w:val="20"/>
              </w:rPr>
              <w:t>), provide a table of kidney function stages based on eGFR and uACR. These kidney function stages are used to guide treatment for patients with T2DM.</w:t>
            </w:r>
            <w:r w:rsidR="003C0423" w:rsidRPr="0034420E">
              <w:rPr>
                <w:bCs/>
                <w:szCs w:val="20"/>
              </w:rPr>
              <w:t xml:space="preserve"> </w:t>
            </w:r>
            <w:r w:rsidR="009250DA" w:rsidRPr="0034420E">
              <w:rPr>
                <w:bCs/>
                <w:szCs w:val="20"/>
              </w:rPr>
              <w:t xml:space="preserve">Clinical </w:t>
            </w:r>
            <w:r w:rsidR="003F3C58" w:rsidRPr="0034420E">
              <w:rPr>
                <w:bCs/>
                <w:szCs w:val="20"/>
              </w:rPr>
              <w:t xml:space="preserve">observation study </w:t>
            </w:r>
            <w:r w:rsidR="009250DA" w:rsidRPr="0034420E">
              <w:rPr>
                <w:bCs/>
                <w:szCs w:val="20"/>
              </w:rPr>
              <w:t>d</w:t>
            </w:r>
            <w:r w:rsidR="003C0423" w:rsidRPr="0034420E">
              <w:rPr>
                <w:bCs/>
                <w:szCs w:val="20"/>
              </w:rPr>
              <w:t xml:space="preserve">etails </w:t>
            </w:r>
            <w:r w:rsidR="009250DA" w:rsidRPr="0034420E">
              <w:rPr>
                <w:bCs/>
                <w:szCs w:val="20"/>
              </w:rPr>
              <w:t xml:space="preserve">investigating </w:t>
            </w:r>
            <w:r w:rsidR="003C0423" w:rsidRPr="0034420E">
              <w:rPr>
                <w:bCs/>
                <w:szCs w:val="20"/>
              </w:rPr>
              <w:t xml:space="preserve">whether </w:t>
            </w:r>
            <w:r w:rsidR="009250DA" w:rsidRPr="0034420E">
              <w:rPr>
                <w:bCs/>
                <w:szCs w:val="20"/>
              </w:rPr>
              <w:t>patients were correctly predicted to</w:t>
            </w:r>
            <w:r w:rsidR="009250DA" w:rsidRPr="0034420E">
              <w:t xml:space="preserve"> progress to DKD </w:t>
            </w:r>
            <w:r w:rsidR="003C0423" w:rsidRPr="0034420E">
              <w:rPr>
                <w:bCs/>
                <w:szCs w:val="20"/>
              </w:rPr>
              <w:t xml:space="preserve">using </w:t>
            </w:r>
            <w:r w:rsidR="009250DA" w:rsidRPr="0034420E">
              <w:rPr>
                <w:bCs/>
                <w:szCs w:val="20"/>
              </w:rPr>
              <w:t xml:space="preserve">the </w:t>
            </w:r>
            <w:r w:rsidR="003C0423" w:rsidRPr="0034420E">
              <w:rPr>
                <w:bCs/>
                <w:szCs w:val="20"/>
              </w:rPr>
              <w:t xml:space="preserve">KDIGO guidelines compared to </w:t>
            </w:r>
            <w:r w:rsidR="009250DA" w:rsidRPr="0034420E">
              <w:rPr>
                <w:bCs/>
                <w:szCs w:val="20"/>
              </w:rPr>
              <w:t xml:space="preserve">using </w:t>
            </w:r>
            <w:r w:rsidR="003C0423" w:rsidRPr="0034420E">
              <w:rPr>
                <w:bCs/>
                <w:szCs w:val="20"/>
              </w:rPr>
              <w:t>PromarkerD are provided in the Assessment framework section below.</w:t>
            </w:r>
          </w:p>
        </w:tc>
      </w:tr>
      <w:tr w:rsidR="006478E7" w:rsidRPr="0034420E" w14:paraId="591B1D2D" w14:textId="77777777" w:rsidTr="00B81B83">
        <w:tc>
          <w:tcPr>
            <w:tcW w:w="1005" w:type="pct"/>
            <w:tcBorders>
              <w:top w:val="single" w:sz="4" w:space="0" w:color="auto"/>
              <w:left w:val="single" w:sz="8" w:space="0" w:color="auto"/>
              <w:bottom w:val="single" w:sz="4" w:space="0" w:color="auto"/>
              <w:right w:val="single" w:sz="4" w:space="0" w:color="auto"/>
            </w:tcBorders>
            <w:hideMark/>
          </w:tcPr>
          <w:p w14:paraId="635F9D15" w14:textId="77777777" w:rsidR="006478E7" w:rsidRPr="0034420E" w:rsidRDefault="006478E7" w:rsidP="00E01349">
            <w:pPr>
              <w:spacing w:before="120" w:after="120" w:line="240" w:lineRule="auto"/>
              <w:rPr>
                <w:rFonts w:cs="Arial"/>
              </w:rPr>
            </w:pPr>
            <w:r w:rsidRPr="0034420E">
              <w:rPr>
                <w:rFonts w:cs="Arial"/>
              </w:rPr>
              <w:lastRenderedPageBreak/>
              <w:t>Outcomes</w:t>
            </w:r>
          </w:p>
        </w:tc>
        <w:tc>
          <w:tcPr>
            <w:tcW w:w="3995" w:type="pct"/>
            <w:tcBorders>
              <w:top w:val="single" w:sz="4" w:space="0" w:color="auto"/>
              <w:left w:val="single" w:sz="4" w:space="0" w:color="auto"/>
              <w:bottom w:val="single" w:sz="4" w:space="0" w:color="auto"/>
              <w:right w:val="single" w:sz="8" w:space="0" w:color="auto"/>
            </w:tcBorders>
            <w:hideMark/>
          </w:tcPr>
          <w:p w14:paraId="0383D183" w14:textId="75E618A7" w:rsidR="00E05172" w:rsidRPr="0034420E" w:rsidRDefault="00E05172" w:rsidP="00A317AC">
            <w:pPr>
              <w:spacing w:after="120"/>
            </w:pPr>
            <w:r w:rsidRPr="0034420E">
              <w:t xml:space="preserve">The </w:t>
            </w:r>
            <w:r w:rsidR="00A57EFB" w:rsidRPr="0034420E">
              <w:t xml:space="preserve">following </w:t>
            </w:r>
            <w:r w:rsidRPr="0034420E">
              <w:t>key outcomes</w:t>
            </w:r>
            <w:r w:rsidR="00A57EFB" w:rsidRPr="0034420E">
              <w:t xml:space="preserve"> were</w:t>
            </w:r>
            <w:r w:rsidRPr="0034420E">
              <w:t xml:space="preserve"> listed in the applicatio</w:t>
            </w:r>
            <w:r w:rsidR="00A57EFB" w:rsidRPr="0034420E">
              <w:t>n.</w:t>
            </w:r>
          </w:p>
          <w:p w14:paraId="0C82FC6D" w14:textId="174CC2C5" w:rsidR="009535C4" w:rsidRPr="0034420E" w:rsidRDefault="009535C4" w:rsidP="00A317AC">
            <w:pPr>
              <w:spacing w:after="120"/>
            </w:pPr>
            <w:r w:rsidRPr="0034420E">
              <w:t xml:space="preserve">Clinical </w:t>
            </w:r>
            <w:r w:rsidR="00E05172" w:rsidRPr="0034420E">
              <w:t>e</w:t>
            </w:r>
            <w:r w:rsidRPr="0034420E">
              <w:t xml:space="preserve">ffectiveness </w:t>
            </w:r>
            <w:r w:rsidR="00E05172" w:rsidRPr="0034420E">
              <w:t>o</w:t>
            </w:r>
            <w:r w:rsidRPr="0034420E">
              <w:t>utcomes</w:t>
            </w:r>
            <w:r w:rsidR="00A57EFB" w:rsidRPr="0034420E">
              <w:t>:</w:t>
            </w:r>
          </w:p>
          <w:p w14:paraId="181A9F57" w14:textId="7EFEEE92" w:rsidR="009535C4" w:rsidRPr="0034420E" w:rsidRDefault="009535C4" w:rsidP="00EC5DB4">
            <w:pPr>
              <w:pStyle w:val="ListParagraph"/>
              <w:numPr>
                <w:ilvl w:val="0"/>
                <w:numId w:val="5"/>
              </w:numPr>
              <w:spacing w:after="120"/>
              <w:ind w:left="371" w:hanging="371"/>
            </w:pPr>
            <w:r w:rsidRPr="0034420E">
              <w:t>Life Years Saved</w:t>
            </w:r>
          </w:p>
          <w:p w14:paraId="505F99DB" w14:textId="3D8499AE" w:rsidR="009535C4" w:rsidRPr="0034420E" w:rsidRDefault="009535C4" w:rsidP="00EC5DB4">
            <w:pPr>
              <w:pStyle w:val="ListParagraph"/>
              <w:numPr>
                <w:ilvl w:val="0"/>
                <w:numId w:val="5"/>
              </w:numPr>
              <w:spacing w:after="120"/>
              <w:ind w:left="371" w:hanging="371"/>
            </w:pPr>
            <w:r w:rsidRPr="0034420E">
              <w:t>End Stage Renal Disease (ESRD)</w:t>
            </w:r>
          </w:p>
          <w:p w14:paraId="7E9E4ACF" w14:textId="230887D2" w:rsidR="009535C4" w:rsidRPr="0034420E" w:rsidRDefault="009535C4" w:rsidP="00EC5DB4">
            <w:pPr>
              <w:pStyle w:val="ListParagraph"/>
              <w:numPr>
                <w:ilvl w:val="0"/>
                <w:numId w:val="5"/>
              </w:numPr>
              <w:spacing w:after="120"/>
              <w:ind w:left="371" w:hanging="371"/>
            </w:pPr>
            <w:r w:rsidRPr="0034420E">
              <w:t>Quality Adjusted Life Years (QALYs)</w:t>
            </w:r>
          </w:p>
          <w:p w14:paraId="19A8E8C1" w14:textId="76D8BC08" w:rsidR="009535C4" w:rsidRPr="0034420E" w:rsidRDefault="009535C4" w:rsidP="00A317AC">
            <w:pPr>
              <w:spacing w:after="120"/>
            </w:pPr>
            <w:r w:rsidRPr="0034420E">
              <w:t>Test outcomes</w:t>
            </w:r>
            <w:r w:rsidR="00A57EFB" w:rsidRPr="0034420E">
              <w:t>:</w:t>
            </w:r>
          </w:p>
          <w:p w14:paraId="7FF5E9D5" w14:textId="6ECC91BE" w:rsidR="009535C4" w:rsidRPr="0034420E" w:rsidRDefault="009535C4" w:rsidP="00EC5DB4">
            <w:pPr>
              <w:pStyle w:val="ListParagraph"/>
              <w:numPr>
                <w:ilvl w:val="0"/>
                <w:numId w:val="6"/>
              </w:numPr>
              <w:spacing w:after="120"/>
              <w:ind w:left="371" w:hanging="371"/>
            </w:pPr>
            <w:r w:rsidRPr="0034420E">
              <w:t>Sensitivity</w:t>
            </w:r>
          </w:p>
          <w:p w14:paraId="181899A6" w14:textId="2C3E4B92" w:rsidR="009535C4" w:rsidRPr="0034420E" w:rsidRDefault="009535C4" w:rsidP="00EC5DB4">
            <w:pPr>
              <w:pStyle w:val="ListParagraph"/>
              <w:numPr>
                <w:ilvl w:val="0"/>
                <w:numId w:val="6"/>
              </w:numPr>
              <w:spacing w:after="120"/>
              <w:ind w:left="371" w:hanging="371"/>
            </w:pPr>
            <w:r w:rsidRPr="0034420E">
              <w:t>Specificity</w:t>
            </w:r>
          </w:p>
          <w:p w14:paraId="02CB4628" w14:textId="39000C87" w:rsidR="009535C4" w:rsidRPr="0034420E" w:rsidRDefault="009535C4" w:rsidP="00EC5DB4">
            <w:pPr>
              <w:pStyle w:val="ListParagraph"/>
              <w:numPr>
                <w:ilvl w:val="0"/>
                <w:numId w:val="6"/>
              </w:numPr>
              <w:spacing w:after="120"/>
              <w:ind w:left="371" w:hanging="371"/>
            </w:pPr>
            <w:r w:rsidRPr="0034420E">
              <w:t>Positive predictive value (PPV)</w:t>
            </w:r>
          </w:p>
          <w:p w14:paraId="5B5F20AE" w14:textId="77777777" w:rsidR="00E05172" w:rsidRPr="0034420E" w:rsidRDefault="009535C4" w:rsidP="00EC5DB4">
            <w:pPr>
              <w:pStyle w:val="ListParagraph"/>
              <w:numPr>
                <w:ilvl w:val="0"/>
                <w:numId w:val="6"/>
              </w:numPr>
              <w:spacing w:after="120"/>
              <w:ind w:left="371" w:hanging="371"/>
            </w:pPr>
            <w:r w:rsidRPr="0034420E">
              <w:t>Negative predictive value (NPV)</w:t>
            </w:r>
          </w:p>
          <w:p w14:paraId="03BFA7CF" w14:textId="0769D358" w:rsidR="00694F3E" w:rsidRPr="0034420E" w:rsidRDefault="00476C05" w:rsidP="00694F3E">
            <w:r w:rsidRPr="0034420E">
              <w:t>Additional information provided by t</w:t>
            </w:r>
            <w:r w:rsidR="006E66B8" w:rsidRPr="0034420E">
              <w:t xml:space="preserve">he applicant </w:t>
            </w:r>
            <w:r w:rsidR="00694F3E" w:rsidRPr="0034420E">
              <w:t>stated</w:t>
            </w:r>
            <w:r w:rsidRPr="0034420E">
              <w:t xml:space="preserve"> </w:t>
            </w:r>
            <w:r w:rsidR="00694F3E" w:rsidRPr="0034420E">
              <w:t>that</w:t>
            </w:r>
            <w:r w:rsidR="00A8178A" w:rsidRPr="0034420E">
              <w:t xml:space="preserve"> among</w:t>
            </w:r>
            <w:r w:rsidR="00694F3E" w:rsidRPr="0034420E">
              <w:t xml:space="preserve"> </w:t>
            </w:r>
            <w:r w:rsidR="00477A6C" w:rsidRPr="0034420E">
              <w:t xml:space="preserve">the </w:t>
            </w:r>
            <w:r w:rsidR="00A8178A" w:rsidRPr="0034420E">
              <w:t xml:space="preserve">individuals at risk of DKD identified by </w:t>
            </w:r>
            <w:r w:rsidR="00694F3E" w:rsidRPr="0034420E">
              <w:t>PromarkerD</w:t>
            </w:r>
            <w:r w:rsidR="00A8178A" w:rsidRPr="0034420E">
              <w:t>, the subsequent cha</w:t>
            </w:r>
            <w:r w:rsidR="00AC5313" w:rsidRPr="0034420E">
              <w:t>n</w:t>
            </w:r>
            <w:r w:rsidR="00A8178A" w:rsidRPr="0034420E">
              <w:t>ge in management</w:t>
            </w:r>
            <w:r w:rsidR="00694F3E" w:rsidRPr="0034420E">
              <w:t xml:space="preserve"> prevents/delays the occurrence of DKD</w:t>
            </w:r>
            <w:r w:rsidR="00A57EFB" w:rsidRPr="0034420E">
              <w:t xml:space="preserve"> and</w:t>
            </w:r>
            <w:r w:rsidR="00694F3E" w:rsidRPr="0034420E">
              <w:t xml:space="preserve"> thus improves patient quality of life, reduces need of dialysis</w:t>
            </w:r>
            <w:r w:rsidR="00A57EFB" w:rsidRPr="0034420E">
              <w:t xml:space="preserve"> and</w:t>
            </w:r>
            <w:r w:rsidR="00694F3E" w:rsidRPr="0034420E">
              <w:t xml:space="preserve"> reduces </w:t>
            </w:r>
            <w:r w:rsidR="00A57EFB" w:rsidRPr="0034420E">
              <w:t xml:space="preserve">the </w:t>
            </w:r>
            <w:r w:rsidR="00694F3E" w:rsidRPr="0034420E">
              <w:t>risk of end-stage kidney failure.</w:t>
            </w:r>
            <w:r w:rsidR="00A57EFB" w:rsidRPr="0034420E">
              <w:t xml:space="preserve"> </w:t>
            </w:r>
            <w:r w:rsidR="00F34F5D" w:rsidRPr="0034420E">
              <w:t>T</w:t>
            </w:r>
            <w:r w:rsidR="00694F3E" w:rsidRPr="0034420E">
              <w:t xml:space="preserve">reatment </w:t>
            </w:r>
            <w:r w:rsidR="00A57EFB" w:rsidRPr="0034420E">
              <w:t>g</w:t>
            </w:r>
            <w:r w:rsidR="00694F3E" w:rsidRPr="0034420E">
              <w:t>oal</w:t>
            </w:r>
            <w:r w:rsidR="00F34F5D" w:rsidRPr="0034420E">
              <w:t>s (based on Kidney Health Australia – CKD Management in Primary Care)</w:t>
            </w:r>
            <w:r w:rsidR="00694F3E" w:rsidRPr="0034420E">
              <w:t xml:space="preserve"> include:</w:t>
            </w:r>
          </w:p>
          <w:p w14:paraId="6A9574C2" w14:textId="1926EE95" w:rsidR="00694F3E" w:rsidRPr="0034420E" w:rsidRDefault="00694F3E" w:rsidP="00EC5DB4">
            <w:pPr>
              <w:pStyle w:val="ListParagraph"/>
              <w:numPr>
                <w:ilvl w:val="0"/>
                <w:numId w:val="5"/>
              </w:numPr>
              <w:spacing w:after="120"/>
              <w:ind w:left="371" w:hanging="371"/>
            </w:pPr>
            <w:r w:rsidRPr="0034420E">
              <w:t>Glycaemic control &lt;7%</w:t>
            </w:r>
          </w:p>
          <w:p w14:paraId="02AD180A" w14:textId="762C37D2" w:rsidR="00694F3E" w:rsidRPr="0034420E" w:rsidRDefault="00694F3E" w:rsidP="00EC5DB4">
            <w:pPr>
              <w:pStyle w:val="ListParagraph"/>
              <w:numPr>
                <w:ilvl w:val="0"/>
                <w:numId w:val="5"/>
              </w:numPr>
              <w:spacing w:after="120"/>
              <w:ind w:left="371" w:hanging="371"/>
            </w:pPr>
            <w:r w:rsidRPr="0034420E">
              <w:t xml:space="preserve">50% reduction in uACR </w:t>
            </w:r>
          </w:p>
          <w:p w14:paraId="457FD7C7" w14:textId="08C00DAA" w:rsidR="00694F3E" w:rsidRPr="0034420E" w:rsidRDefault="00694F3E" w:rsidP="00EC5DB4">
            <w:pPr>
              <w:pStyle w:val="ListParagraph"/>
              <w:numPr>
                <w:ilvl w:val="0"/>
                <w:numId w:val="5"/>
              </w:numPr>
              <w:spacing w:after="120"/>
              <w:ind w:left="371" w:hanging="371"/>
            </w:pPr>
            <w:r w:rsidRPr="0034420E">
              <w:t xml:space="preserve">Maintain blood pressure below 130/80 mmHg </w:t>
            </w:r>
          </w:p>
          <w:p w14:paraId="6F9242D7" w14:textId="11B3D42C" w:rsidR="00694F3E" w:rsidRPr="0034420E" w:rsidRDefault="00694F3E" w:rsidP="00EC5DB4">
            <w:pPr>
              <w:pStyle w:val="ListParagraph"/>
              <w:numPr>
                <w:ilvl w:val="0"/>
                <w:numId w:val="5"/>
              </w:numPr>
              <w:spacing w:after="120"/>
              <w:ind w:left="371" w:hanging="371"/>
            </w:pPr>
            <w:r w:rsidRPr="0034420E">
              <w:t>BMI &lt;25</w:t>
            </w:r>
          </w:p>
        </w:tc>
      </w:tr>
      <w:tr w:rsidR="00BB1698" w:rsidRPr="0034420E" w14:paraId="4A55FFDB" w14:textId="77777777" w:rsidTr="00B81B83">
        <w:tc>
          <w:tcPr>
            <w:tcW w:w="1005" w:type="pct"/>
            <w:tcBorders>
              <w:top w:val="single" w:sz="4" w:space="0" w:color="auto"/>
              <w:left w:val="single" w:sz="8" w:space="0" w:color="auto"/>
              <w:bottom w:val="single" w:sz="8" w:space="0" w:color="auto"/>
              <w:right w:val="single" w:sz="4" w:space="0" w:color="auto"/>
            </w:tcBorders>
          </w:tcPr>
          <w:p w14:paraId="003B36EC" w14:textId="77777777" w:rsidR="00BB1698" w:rsidRPr="0034420E" w:rsidRDefault="00BB1698" w:rsidP="00E01349">
            <w:pPr>
              <w:spacing w:before="120" w:after="120" w:line="240" w:lineRule="auto"/>
              <w:rPr>
                <w:rFonts w:cs="Arial"/>
              </w:rPr>
            </w:pPr>
            <w:r w:rsidRPr="0034420E">
              <w:rPr>
                <w:rFonts w:cs="Arial"/>
              </w:rPr>
              <w:t>Assessment questions</w:t>
            </w:r>
          </w:p>
        </w:tc>
        <w:tc>
          <w:tcPr>
            <w:tcW w:w="3995" w:type="pct"/>
            <w:tcBorders>
              <w:top w:val="single" w:sz="4" w:space="0" w:color="auto"/>
              <w:left w:val="single" w:sz="4" w:space="0" w:color="auto"/>
              <w:bottom w:val="single" w:sz="8" w:space="0" w:color="auto"/>
              <w:right w:val="single" w:sz="8" w:space="0" w:color="auto"/>
            </w:tcBorders>
          </w:tcPr>
          <w:p w14:paraId="7AB69A9A" w14:textId="6D001024" w:rsidR="00BB1698" w:rsidRPr="0034420E" w:rsidRDefault="00BB1698" w:rsidP="00A317AC">
            <w:pPr>
              <w:spacing w:after="120"/>
              <w:rPr>
                <w:color w:val="000000" w:themeColor="text1"/>
              </w:rPr>
            </w:pPr>
            <w:r w:rsidRPr="0034420E">
              <w:t xml:space="preserve">What is the effectiveness and cost-effectiveness of </w:t>
            </w:r>
            <w:r w:rsidR="00200FC4" w:rsidRPr="0034420E">
              <w:t xml:space="preserve">the use of </w:t>
            </w:r>
            <w:r w:rsidR="002079F9" w:rsidRPr="0034420E">
              <w:t xml:space="preserve">PromarkerD </w:t>
            </w:r>
            <w:r w:rsidRPr="0034420E">
              <w:t xml:space="preserve">versus </w:t>
            </w:r>
            <w:r w:rsidR="00200FC4" w:rsidRPr="0034420E">
              <w:t xml:space="preserve">current standard of care </w:t>
            </w:r>
            <w:r w:rsidRPr="0034420E">
              <w:t xml:space="preserve">in </w:t>
            </w:r>
            <w:r w:rsidR="002079F9" w:rsidRPr="0034420E">
              <w:t xml:space="preserve">people with </w:t>
            </w:r>
            <w:r w:rsidR="00B73AC5" w:rsidRPr="0034420E">
              <w:t>T2DM</w:t>
            </w:r>
            <w:r w:rsidRPr="0034420E">
              <w:t>?</w:t>
            </w:r>
          </w:p>
        </w:tc>
      </w:tr>
    </w:tbl>
    <w:p w14:paraId="2623D313" w14:textId="77777777" w:rsidR="006E19A9" w:rsidRPr="0034420E" w:rsidRDefault="006E19A9" w:rsidP="00E01349"/>
    <w:p w14:paraId="5D5376EF" w14:textId="487E08C9" w:rsidR="006478E7" w:rsidRPr="0034420E" w:rsidRDefault="006478E7" w:rsidP="00E01349">
      <w:r w:rsidRPr="0034420E">
        <w:br w:type="page"/>
      </w:r>
    </w:p>
    <w:p w14:paraId="53297713" w14:textId="3F32290A" w:rsidR="00912660" w:rsidRPr="0034420E" w:rsidRDefault="00912660" w:rsidP="00713728">
      <w:pPr>
        <w:pStyle w:val="Heading2"/>
      </w:pPr>
      <w:r w:rsidRPr="0034420E">
        <w:lastRenderedPageBreak/>
        <w:t>Purpose of application</w:t>
      </w:r>
    </w:p>
    <w:p w14:paraId="0E65AD1B" w14:textId="3D029882" w:rsidR="004C2C5E" w:rsidRPr="0034420E" w:rsidRDefault="004C2C5E" w:rsidP="004C2C5E">
      <w:pPr>
        <w:spacing w:after="240"/>
        <w:rPr>
          <w:iCs/>
        </w:rPr>
      </w:pPr>
      <w:r w:rsidRPr="0034420E">
        <w:rPr>
          <w:iCs/>
        </w:rPr>
        <w:t xml:space="preserve">An application requesting Medicare Benefits Schedule (MBS) listing of </w:t>
      </w:r>
      <w:r w:rsidR="00200FC4" w:rsidRPr="0034420E">
        <w:rPr>
          <w:iCs/>
        </w:rPr>
        <w:t xml:space="preserve">the use of </w:t>
      </w:r>
      <w:r w:rsidR="00EC321B" w:rsidRPr="0034420E">
        <w:rPr>
          <w:iCs/>
        </w:rPr>
        <w:t xml:space="preserve">PromarkerD </w:t>
      </w:r>
      <w:r w:rsidRPr="0034420E">
        <w:rPr>
          <w:iCs/>
        </w:rPr>
        <w:t xml:space="preserve">for </w:t>
      </w:r>
      <w:r w:rsidR="00EC321B" w:rsidRPr="0034420E">
        <w:rPr>
          <w:iCs/>
        </w:rPr>
        <w:t xml:space="preserve">people with </w:t>
      </w:r>
      <w:r w:rsidR="005B1B96" w:rsidRPr="0034420E">
        <w:t>type 2 diabetes</w:t>
      </w:r>
      <w:r w:rsidR="005303E2" w:rsidRPr="0034420E">
        <w:t xml:space="preserve"> mellitus</w:t>
      </w:r>
      <w:r w:rsidR="005B1B96" w:rsidRPr="0034420E">
        <w:t xml:space="preserve"> (</w:t>
      </w:r>
      <w:r w:rsidR="00B73AC5" w:rsidRPr="0034420E">
        <w:t>T2DM</w:t>
      </w:r>
      <w:r w:rsidR="005B1B96" w:rsidRPr="0034420E">
        <w:t xml:space="preserve">) </w:t>
      </w:r>
      <w:r w:rsidRPr="0034420E">
        <w:rPr>
          <w:iCs/>
        </w:rPr>
        <w:t xml:space="preserve">was received from </w:t>
      </w:r>
      <w:r w:rsidR="00EC321B" w:rsidRPr="0034420E">
        <w:rPr>
          <w:iCs/>
        </w:rPr>
        <w:t>Proteomics International Pty Ltd</w:t>
      </w:r>
      <w:r w:rsidRPr="0034420E">
        <w:rPr>
          <w:iCs/>
        </w:rPr>
        <w:t xml:space="preserve"> by the Department of Health.</w:t>
      </w:r>
    </w:p>
    <w:p w14:paraId="7625FA05" w14:textId="1AE360E6" w:rsidR="007F0830" w:rsidRPr="0034420E" w:rsidRDefault="007F0830" w:rsidP="007F0830">
      <w:r w:rsidRPr="0034420E">
        <w:t xml:space="preserve">The clinical claim made in the application was that PromarkerD can quantify the risk of incident diabetic kidney disease in an individual with </w:t>
      </w:r>
      <w:r w:rsidR="00B73AC5" w:rsidRPr="0034420E">
        <w:t>T2DM</w:t>
      </w:r>
      <w:r w:rsidRPr="0034420E">
        <w:t xml:space="preserve"> up to 4 years before clinical symptoms develop. Additionally, PromarkerD can predict rapid renal decline </w:t>
      </w:r>
      <w:r w:rsidR="000D5777" w:rsidRPr="0034420E">
        <w:t xml:space="preserve">(decrease in </w:t>
      </w:r>
      <w:r w:rsidR="00E50441" w:rsidRPr="0034420E">
        <w:t xml:space="preserve">estimated glomerular filtration rate [eGFR] </w:t>
      </w:r>
      <w:r w:rsidR="000D5777" w:rsidRPr="0034420E">
        <w:t xml:space="preserve">by </w:t>
      </w:r>
      <w:r w:rsidRPr="0034420E">
        <w:t>30%</w:t>
      </w:r>
      <w:r w:rsidR="000D5777" w:rsidRPr="0034420E">
        <w:t xml:space="preserve"> or more</w:t>
      </w:r>
      <w:r w:rsidRPr="0034420E">
        <w:t xml:space="preserve"> over 4 years</w:t>
      </w:r>
      <w:r w:rsidR="000D5777" w:rsidRPr="0034420E">
        <w:t>)</w:t>
      </w:r>
      <w:r w:rsidRPr="0034420E">
        <w:t>.</w:t>
      </w:r>
    </w:p>
    <w:p w14:paraId="67FE2123" w14:textId="789623AD" w:rsidR="00694F3E" w:rsidRPr="0034420E" w:rsidRDefault="000D5777" w:rsidP="007F0830">
      <w:r w:rsidRPr="0034420E">
        <w:t>No clinical claim was provided in the application</w:t>
      </w:r>
      <w:r w:rsidR="00AD3A4F" w:rsidRPr="0034420E">
        <w:t xml:space="preserve"> </w:t>
      </w:r>
      <w:r w:rsidRPr="0034420E">
        <w:t>to state whether PromarkerD results in superior, noninferior or inferior health outcomes compared to standard practice</w:t>
      </w:r>
      <w:r w:rsidR="00AD3A4F" w:rsidRPr="0034420E">
        <w:t xml:space="preserve"> in patients with </w:t>
      </w:r>
      <w:r w:rsidR="00B73AC5" w:rsidRPr="0034420E">
        <w:t>T2DM</w:t>
      </w:r>
      <w:r w:rsidR="00AD3A4F" w:rsidRPr="0034420E">
        <w:t>.</w:t>
      </w:r>
      <w:r w:rsidR="00A96B72" w:rsidRPr="0034420E">
        <w:t xml:space="preserve"> </w:t>
      </w:r>
      <w:r w:rsidR="00694F3E" w:rsidRPr="0034420E">
        <w:t>The</w:t>
      </w:r>
      <w:r w:rsidR="00336344" w:rsidRPr="0034420E">
        <w:t xml:space="preserve"> applicant </w:t>
      </w:r>
      <w:r w:rsidR="00A96B72" w:rsidRPr="0034420E">
        <w:t>subsequently</w:t>
      </w:r>
      <w:r w:rsidR="00336344" w:rsidRPr="0034420E">
        <w:t xml:space="preserve"> clarified</w:t>
      </w:r>
      <w:r w:rsidR="00694F3E" w:rsidRPr="0034420E">
        <w:t xml:space="preserve"> </w:t>
      </w:r>
      <w:r w:rsidR="00336344" w:rsidRPr="0034420E">
        <w:t>the</w:t>
      </w:r>
      <w:r w:rsidR="00694F3E" w:rsidRPr="0034420E">
        <w:t xml:space="preserve"> clinical claims</w:t>
      </w:r>
      <w:r w:rsidR="0045691F" w:rsidRPr="0034420E">
        <w:t xml:space="preserve"> to be:</w:t>
      </w:r>
    </w:p>
    <w:p w14:paraId="039725A7" w14:textId="6A17D728" w:rsidR="00694F3E" w:rsidRPr="0034420E" w:rsidRDefault="00694F3E" w:rsidP="00EC5DB4">
      <w:pPr>
        <w:pStyle w:val="ListParagraph"/>
        <w:numPr>
          <w:ilvl w:val="0"/>
          <w:numId w:val="7"/>
        </w:numPr>
        <w:ind w:left="284" w:hanging="284"/>
      </w:pPr>
      <w:r w:rsidRPr="0034420E">
        <w:rPr>
          <w:b/>
          <w:bCs/>
        </w:rPr>
        <w:t xml:space="preserve">Superior clinical effectiveness: </w:t>
      </w:r>
      <w:r w:rsidRPr="0034420E">
        <w:t xml:space="preserve">PromarkerD is more sensitive and specific in </w:t>
      </w:r>
      <w:r w:rsidR="009808AF" w:rsidRPr="0034420E">
        <w:t xml:space="preserve">the </w:t>
      </w:r>
      <w:r w:rsidRPr="0034420E">
        <w:t>early identification of at-risk patients compare</w:t>
      </w:r>
      <w:r w:rsidR="00A96B72" w:rsidRPr="0034420E">
        <w:t>d</w:t>
      </w:r>
      <w:r w:rsidRPr="0034420E">
        <w:t xml:space="preserve"> to standard of care to allow early intervention and prevention of </w:t>
      </w:r>
      <w:r w:rsidR="00A96B72" w:rsidRPr="0034420E">
        <w:t>diabetic kidney disease (DKD)</w:t>
      </w:r>
      <w:r w:rsidRPr="0034420E">
        <w:t xml:space="preserve">. The early intervention can prevent or delay onset of DKD, which is a leading cause for dialysis, end-stage kidney failure and reduce lifespan in people with diabetes – causing </w:t>
      </w:r>
      <w:r w:rsidR="00A90641" w:rsidRPr="0034420E">
        <w:t xml:space="preserve">a </w:t>
      </w:r>
      <w:r w:rsidRPr="0034420E">
        <w:t>significant cost burden to patient and healthcare system.</w:t>
      </w:r>
    </w:p>
    <w:p w14:paraId="039E038D" w14:textId="71F71942" w:rsidR="0045691F" w:rsidRPr="0034420E" w:rsidRDefault="0045691F" w:rsidP="00EC5DB4">
      <w:pPr>
        <w:pStyle w:val="ListParagraph"/>
        <w:numPr>
          <w:ilvl w:val="0"/>
          <w:numId w:val="7"/>
        </w:numPr>
        <w:ind w:left="284" w:hanging="284"/>
      </w:pPr>
      <w:r w:rsidRPr="0034420E">
        <w:rPr>
          <w:b/>
          <w:bCs/>
        </w:rPr>
        <w:t>Non-inferior safety:</w:t>
      </w:r>
      <w:r w:rsidRPr="0034420E">
        <w:t xml:space="preserve"> PromarkerD test is a simple blood test and results are intended for earlier personalised treatment, no additional risk identified compared to eGFR/</w:t>
      </w:r>
      <w:r w:rsidR="00A90641" w:rsidRPr="0034420E">
        <w:t>Albumin: Creatinine Ratio (</w:t>
      </w:r>
      <w:r w:rsidRPr="0034420E">
        <w:t>uACR</w:t>
      </w:r>
      <w:r w:rsidR="00A90641" w:rsidRPr="0034420E">
        <w:t>)</w:t>
      </w:r>
      <w:r w:rsidRPr="0034420E">
        <w:t>.</w:t>
      </w:r>
    </w:p>
    <w:p w14:paraId="615A7956" w14:textId="62B58A7D" w:rsidR="00694F3E" w:rsidRPr="0034420E" w:rsidRDefault="00694F3E" w:rsidP="00EC5DB4">
      <w:pPr>
        <w:pStyle w:val="ListParagraph"/>
        <w:numPr>
          <w:ilvl w:val="0"/>
          <w:numId w:val="7"/>
        </w:numPr>
        <w:ind w:left="284" w:hanging="284"/>
      </w:pPr>
      <w:r w:rsidRPr="0034420E">
        <w:rPr>
          <w:b/>
          <w:bCs/>
        </w:rPr>
        <w:t>Superior cost effectiveness:</w:t>
      </w:r>
      <w:r w:rsidRPr="0034420E">
        <w:t xml:space="preserve"> Reducing or delaying the onset of DKD, which is a leading cause for dialysis, end-stage kidney failure and reduce lifespan in people with diabetes would result in significant improvements in health outcomes for patients and reduced healthcare treatment costs, making PromarkerD a cost-effective diagnostic test.</w:t>
      </w:r>
    </w:p>
    <w:p w14:paraId="58667F4A" w14:textId="786B7250" w:rsidR="003F3C58" w:rsidRPr="0034420E" w:rsidRDefault="009E46CC" w:rsidP="003F3C58">
      <w:r w:rsidRPr="0034420E">
        <w:t xml:space="preserve">The clinical claims made by the applicant are not consistent with the </w:t>
      </w:r>
      <w:r w:rsidR="001A0D9A" w:rsidRPr="0034420E">
        <w:t>advice under TG1.</w:t>
      </w:r>
      <w:r w:rsidR="00A90641" w:rsidRPr="0034420E">
        <w:t>2</w:t>
      </w:r>
      <w:r w:rsidR="001A0D9A" w:rsidRPr="0034420E">
        <w:t>, pp21-23 of the MSAC Guidelines (Version 1.0, May 2021).</w:t>
      </w:r>
      <w:r w:rsidR="004C3C2A" w:rsidRPr="0034420E">
        <w:t xml:space="preserve"> </w:t>
      </w:r>
      <w:r w:rsidR="003F3C58" w:rsidRPr="0034420E">
        <w:t>The applicant, in response to the Pre-PASC PICO indicated that the clinical claim are in accordance with the following claim provided on page 23 of the MSAC Guidelines:</w:t>
      </w:r>
    </w:p>
    <w:p w14:paraId="6B392A42" w14:textId="669235AA" w:rsidR="006E19A9" w:rsidRPr="0034420E" w:rsidRDefault="003F3C58" w:rsidP="003F3C58">
      <w:pPr>
        <w:ind w:left="284"/>
      </w:pPr>
      <w:r w:rsidRPr="0034420E">
        <w:t>“an improvement in the information provided, such that patients with a specific medical condition are more accurately categorised (which may or may not lead to improved health outcomes, depending on how each patient is managed).”</w:t>
      </w:r>
    </w:p>
    <w:p w14:paraId="18E66948" w14:textId="1178F403" w:rsidR="00D73332" w:rsidRPr="0034420E" w:rsidRDefault="00D73332" w:rsidP="00FD4C65">
      <w:pPr>
        <w:pStyle w:val="Heading2"/>
      </w:pPr>
      <w:r w:rsidRPr="0034420E">
        <w:t xml:space="preserve">PICO </w:t>
      </w:r>
      <w:r w:rsidR="00FD4E33" w:rsidRPr="0034420E">
        <w:t>criteria</w:t>
      </w:r>
    </w:p>
    <w:p w14:paraId="06B30611" w14:textId="30C5C8DA" w:rsidR="007D6B83" w:rsidRPr="0034420E" w:rsidRDefault="007D6B83" w:rsidP="007D6B83">
      <w:pPr>
        <w:pStyle w:val="Heading3"/>
      </w:pPr>
      <w:r w:rsidRPr="0034420E">
        <w:t>Population</w:t>
      </w:r>
    </w:p>
    <w:p w14:paraId="7AF3E4E4" w14:textId="29D28F0E" w:rsidR="0068392F" w:rsidRPr="0034420E" w:rsidRDefault="00212D3C" w:rsidP="0068392F">
      <w:r w:rsidRPr="0034420E">
        <w:t xml:space="preserve">Almost </w:t>
      </w:r>
      <w:r w:rsidR="001A0D9A" w:rsidRPr="0034420E">
        <w:t>one</w:t>
      </w:r>
      <w:r w:rsidRPr="0034420E">
        <w:t xml:space="preserve"> million Australian adults (5.3% of those aged 18 and over) had </w:t>
      </w:r>
      <w:r w:rsidR="00B73AC5" w:rsidRPr="0034420E">
        <w:t>T2DM</w:t>
      </w:r>
      <w:r w:rsidRPr="0034420E">
        <w:t xml:space="preserve"> in 2017</w:t>
      </w:r>
      <w:r w:rsidR="009808AF" w:rsidRPr="0034420E">
        <w:t>-</w:t>
      </w:r>
      <w:r w:rsidRPr="0034420E">
        <w:t xml:space="preserve">18 (Australian Bureau of Statistics (ABS) 2017–18 National Health Survey). </w:t>
      </w:r>
      <w:r w:rsidR="00541A38" w:rsidRPr="0034420E">
        <w:t xml:space="preserve">Diabetes is the leading cause of </w:t>
      </w:r>
      <w:r w:rsidR="001A0D9A" w:rsidRPr="0034420E">
        <w:t>c</w:t>
      </w:r>
      <w:r w:rsidR="00541A38" w:rsidRPr="0034420E">
        <w:t xml:space="preserve">hronic </w:t>
      </w:r>
      <w:r w:rsidR="001A0D9A" w:rsidRPr="0034420E">
        <w:t>k</w:t>
      </w:r>
      <w:r w:rsidR="00541A38" w:rsidRPr="0034420E">
        <w:t xml:space="preserve">idney </w:t>
      </w:r>
      <w:r w:rsidR="001A0D9A" w:rsidRPr="0034420E">
        <w:t>di</w:t>
      </w:r>
      <w:r w:rsidR="00541A38" w:rsidRPr="0034420E">
        <w:t xml:space="preserve">sease (CKD) in developed countries. The </w:t>
      </w:r>
      <w:proofErr w:type="spellStart"/>
      <w:r w:rsidR="00541A38" w:rsidRPr="0034420E">
        <w:t>AusDiab</w:t>
      </w:r>
      <w:proofErr w:type="spellEnd"/>
      <w:r w:rsidR="00541A38" w:rsidRPr="0034420E">
        <w:t xml:space="preserve"> study found 27.6% of people with diabetes had CKD and </w:t>
      </w:r>
      <w:r w:rsidR="00906D30" w:rsidRPr="0034420E">
        <w:t xml:space="preserve">that </w:t>
      </w:r>
      <w:r w:rsidR="00541A38" w:rsidRPr="0034420E">
        <w:t>the prevalence of CKD was three times higher in those with diabetes compared to those without.</w:t>
      </w:r>
    </w:p>
    <w:p w14:paraId="0BFA2167" w14:textId="1140000B" w:rsidR="00113E5A" w:rsidRPr="0034420E" w:rsidRDefault="00113E5A" w:rsidP="00113E5A">
      <w:r w:rsidRPr="0034420E">
        <w:t xml:space="preserve">The natural history of CKD in people with </w:t>
      </w:r>
      <w:r w:rsidR="00B73AC5" w:rsidRPr="0034420E">
        <w:t>T2DM</w:t>
      </w:r>
      <w:r w:rsidRPr="0034420E">
        <w:t xml:space="preserve"> has been characterised by changes in albumin excretion rate (AER) which may progress through three phases, namely normoalbuminuria (AER &lt;20 µg/min), microalbuminuria (AER 20-200 µg/min) and proteinuria (macroalbuminuria) (AER &gt;200 µg/min). The proportion of people with </w:t>
      </w:r>
      <w:r w:rsidR="00B73AC5" w:rsidRPr="0034420E">
        <w:t>T2DM</w:t>
      </w:r>
      <w:r w:rsidRPr="0034420E">
        <w:t xml:space="preserve"> who develop microalbuminuria is in the order of 25% after 10 years. </w:t>
      </w:r>
      <w:r w:rsidR="009D5914" w:rsidRPr="0034420E">
        <w:t xml:space="preserve">The </w:t>
      </w:r>
      <w:r w:rsidR="009D5914" w:rsidRPr="0034420E">
        <w:lastRenderedPageBreak/>
        <w:t xml:space="preserve">eGFR in people with </w:t>
      </w:r>
      <w:r w:rsidR="00B73AC5" w:rsidRPr="0034420E">
        <w:t>T2DM</w:t>
      </w:r>
      <w:r w:rsidR="009D5914" w:rsidRPr="0034420E">
        <w:t xml:space="preserve"> typically begins to decline in the late microalbuminuric stage and, without intervention declines at an average rate of 8-12 ml/min/1.73 m</w:t>
      </w:r>
      <w:r w:rsidR="009D5914" w:rsidRPr="0034420E">
        <w:rPr>
          <w:vertAlign w:val="superscript"/>
        </w:rPr>
        <w:t>2</w:t>
      </w:r>
      <w:r w:rsidR="009D5914" w:rsidRPr="0034420E">
        <w:t xml:space="preserve">/year. </w:t>
      </w:r>
      <w:r w:rsidRPr="0034420E">
        <w:t xml:space="preserve">The stage of proteinuria, also called overt nephropathy, is typically characterised </w:t>
      </w:r>
      <w:r w:rsidR="001809C6" w:rsidRPr="0034420E">
        <w:t xml:space="preserve">by </w:t>
      </w:r>
      <w:r w:rsidRPr="0034420E">
        <w:t xml:space="preserve">decline in </w:t>
      </w:r>
      <w:r w:rsidR="006C40AB" w:rsidRPr="0034420E">
        <w:t>e</w:t>
      </w:r>
      <w:r w:rsidRPr="0034420E">
        <w:t xml:space="preserve">GFR and </w:t>
      </w:r>
      <w:r w:rsidR="009F705B" w:rsidRPr="0034420E">
        <w:t xml:space="preserve">a </w:t>
      </w:r>
      <w:r w:rsidRPr="0034420E">
        <w:t xml:space="preserve">subsequent rise in serum creatinine. Increased serum creatinine above the normal range occurs relatively late and indicates a loss of at least 50% of total kidney function. </w:t>
      </w:r>
      <w:r w:rsidR="00B7443A" w:rsidRPr="0034420E">
        <w:t>K</w:t>
      </w:r>
      <w:r w:rsidRPr="0034420E">
        <w:t xml:space="preserve">idney disease </w:t>
      </w:r>
      <w:r w:rsidR="009A65ED" w:rsidRPr="0034420E">
        <w:t xml:space="preserve">generally </w:t>
      </w:r>
      <w:r w:rsidRPr="0034420E">
        <w:t>remains asymptomatic until about 75% of kidney function has been lost</w:t>
      </w:r>
      <w:r w:rsidR="00B72896" w:rsidRPr="0034420E">
        <w:t xml:space="preserve"> (Chadban 2009)</w:t>
      </w:r>
      <w:r w:rsidRPr="0034420E">
        <w:t>.</w:t>
      </w:r>
    </w:p>
    <w:p w14:paraId="7B5BD618" w14:textId="4360A225" w:rsidR="00113E5A" w:rsidRPr="0034420E" w:rsidRDefault="00E50441" w:rsidP="00E50441">
      <w:pPr>
        <w:spacing w:after="120"/>
      </w:pPr>
      <w:r w:rsidRPr="0034420E">
        <w:t xml:space="preserve">End </w:t>
      </w:r>
      <w:r w:rsidR="001A0D9A" w:rsidRPr="0034420E">
        <w:t>s</w:t>
      </w:r>
      <w:r w:rsidRPr="0034420E">
        <w:t xml:space="preserve">tage </w:t>
      </w:r>
      <w:r w:rsidR="001A0D9A" w:rsidRPr="0034420E">
        <w:t>r</w:t>
      </w:r>
      <w:r w:rsidRPr="0034420E">
        <w:t xml:space="preserve">enal </w:t>
      </w:r>
      <w:r w:rsidR="001A0D9A" w:rsidRPr="0034420E">
        <w:t>d</w:t>
      </w:r>
      <w:r w:rsidRPr="0034420E">
        <w:t xml:space="preserve">isease (ESRD) </w:t>
      </w:r>
      <w:r w:rsidR="001809C6" w:rsidRPr="0034420E">
        <w:t xml:space="preserve">generally </w:t>
      </w:r>
      <w:r w:rsidR="00113E5A" w:rsidRPr="0034420E">
        <w:t xml:space="preserve">follows </w:t>
      </w:r>
      <w:r w:rsidR="001809C6" w:rsidRPr="0034420E">
        <w:t xml:space="preserve">five to </w:t>
      </w:r>
      <w:r w:rsidR="00113E5A" w:rsidRPr="0034420E">
        <w:t xml:space="preserve">10 years </w:t>
      </w:r>
      <w:r w:rsidR="009D5914" w:rsidRPr="0034420E">
        <w:t>after</w:t>
      </w:r>
      <w:r w:rsidR="009F705B" w:rsidRPr="0034420E">
        <w:t xml:space="preserve"> eGFR decline,</w:t>
      </w:r>
      <w:r w:rsidR="009D5914" w:rsidRPr="0034420E">
        <w:t xml:space="preserve"> </w:t>
      </w:r>
      <w:r w:rsidR="00113E5A" w:rsidRPr="0034420E">
        <w:t>dependent on the level of</w:t>
      </w:r>
      <w:r w:rsidR="00D42FCF" w:rsidRPr="0034420E">
        <w:t xml:space="preserve"> intervention</w:t>
      </w:r>
      <w:r w:rsidR="00113E5A" w:rsidRPr="0034420E">
        <w:t>. In observational studies, overt nephropathy has been shown to develop in approximately 20</w:t>
      </w:r>
      <w:r w:rsidR="00CC5988" w:rsidRPr="0034420E">
        <w:t xml:space="preserve">% to </w:t>
      </w:r>
      <w:r w:rsidR="00113E5A" w:rsidRPr="0034420E">
        <w:t xml:space="preserve">50% of microalbuminuric people with </w:t>
      </w:r>
      <w:r w:rsidR="00B73AC5" w:rsidRPr="0034420E">
        <w:t>T2DM</w:t>
      </w:r>
      <w:r w:rsidR="00113E5A" w:rsidRPr="0034420E">
        <w:t xml:space="preserve"> over ten years. The risk of a major cardiovascular event in subjects with overt kidney disease and </w:t>
      </w:r>
      <w:r w:rsidR="00B73AC5" w:rsidRPr="0034420E">
        <w:t>T2DM</w:t>
      </w:r>
      <w:r w:rsidR="00113E5A" w:rsidRPr="0034420E">
        <w:t xml:space="preserve"> is 30% over ten years</w:t>
      </w:r>
      <w:r w:rsidR="00B72896" w:rsidRPr="0034420E">
        <w:t xml:space="preserve"> (RACGP</w:t>
      </w:r>
      <w:r w:rsidR="00B52165" w:rsidRPr="0034420E">
        <w:t xml:space="preserve"> 2020</w:t>
      </w:r>
      <w:r w:rsidR="00B72896" w:rsidRPr="0034420E">
        <w:t>)</w:t>
      </w:r>
      <w:r w:rsidR="00113E5A" w:rsidRPr="0034420E">
        <w:t>.</w:t>
      </w:r>
    </w:p>
    <w:p w14:paraId="3514062C" w14:textId="3E4BB918" w:rsidR="00212D3C" w:rsidRPr="0034420E" w:rsidRDefault="00212D3C" w:rsidP="00212D3C">
      <w:r w:rsidRPr="0034420E">
        <w:t>In Australia, CKD contributed to 11% of all deaths in 2018 according to the Australian Institute of Health and Welfare (AIHW</w:t>
      </w:r>
      <w:r w:rsidR="00B72896" w:rsidRPr="0034420E">
        <w:t xml:space="preserve"> 2020</w:t>
      </w:r>
      <w:r w:rsidRPr="0034420E">
        <w:t>) National Mortality Database</w:t>
      </w:r>
      <w:r w:rsidR="001F67B1" w:rsidRPr="0034420E">
        <w:t xml:space="preserve">, with </w:t>
      </w:r>
      <w:r w:rsidR="00CC5988" w:rsidRPr="0034420E">
        <w:t>CKD</w:t>
      </w:r>
      <w:r w:rsidRPr="0034420E">
        <w:t xml:space="preserve"> the underlying cause of death in around 3,600 deaths </w:t>
      </w:r>
      <w:r w:rsidR="001F67B1" w:rsidRPr="0034420E">
        <w:t>and</w:t>
      </w:r>
      <w:r w:rsidRPr="0034420E">
        <w:t xml:space="preserve"> an associated cause of death in a further 13,200 deaths. Overall, kidney and urinary diseases accounted for 1.4% of Australia’s total burden of disease in 2015. </w:t>
      </w:r>
      <w:r w:rsidR="009A4C8E" w:rsidRPr="0034420E">
        <w:t>CKD</w:t>
      </w:r>
      <w:r w:rsidRPr="0034420E">
        <w:t xml:space="preserve"> represented the majority of burden from this disease group comprising 1.2% of total burden in 2015 (increasing from 0.8% in 2003 and 0.9% in 2011). Of the total CKD burden, 77% was due to fatal burden and 23% to non-fatal burden.</w:t>
      </w:r>
    </w:p>
    <w:p w14:paraId="168AAEB2" w14:textId="41B03BB2" w:rsidR="00212D3C" w:rsidRPr="0034420E" w:rsidRDefault="00685B6E" w:rsidP="00212D3C">
      <w:r w:rsidRPr="0034420E">
        <w:t xml:space="preserve">DKD </w:t>
      </w:r>
      <w:r w:rsidR="00212D3C" w:rsidRPr="0034420E">
        <w:t>refers to specific pathological</w:t>
      </w:r>
      <w:r w:rsidR="003F3C58" w:rsidRPr="0034420E">
        <w:t>,</w:t>
      </w:r>
      <w:r w:rsidR="00212D3C" w:rsidRPr="0034420E">
        <w:t xml:space="preserve"> structural and functional changes seen in the kidneys of people with diabetes that result from consistently high blood sugar levels which damages the blood-filtering capillaries in the kidneys. Clinically, DKD is characterised by progressive kidney damage reflected by increasing albuminuria, impairment in renal function (decline in glomerular filtration rate </w:t>
      </w:r>
      <w:r w:rsidR="00BE6B2E" w:rsidRPr="0034420E">
        <w:t>[</w:t>
      </w:r>
      <w:r w:rsidR="00212D3C" w:rsidRPr="0034420E">
        <w:t>GFR</w:t>
      </w:r>
      <w:r w:rsidR="00BE6B2E" w:rsidRPr="0034420E">
        <w:t>]</w:t>
      </w:r>
      <w:r w:rsidR="00212D3C" w:rsidRPr="0034420E">
        <w:t xml:space="preserve">), elevated blood pressure, and excess morbidity and mortality due to cardiovascular complications, and if left unchecked, DKD can progress to ESRD. Individuals with ESRD require haemodialysis and eventually kidney transplantation. </w:t>
      </w:r>
      <w:r w:rsidR="00754E1B" w:rsidRPr="0034420E">
        <w:t>D</w:t>
      </w:r>
      <w:r w:rsidR="00212D3C" w:rsidRPr="0034420E">
        <w:t>iabetes is the leading cause of ESRD among patients commencing kidney replacement therapy, with 38% of cases attributable to diabetes</w:t>
      </w:r>
      <w:r w:rsidR="00510A73" w:rsidRPr="0034420E">
        <w:t xml:space="preserve"> (AIHW 2020)</w:t>
      </w:r>
      <w:r w:rsidR="00754E1B" w:rsidRPr="0034420E">
        <w:t>.</w:t>
      </w:r>
    </w:p>
    <w:p w14:paraId="78B00B22" w14:textId="2F90FF40" w:rsidR="00685B6E" w:rsidRPr="0034420E" w:rsidRDefault="00685B6E" w:rsidP="00685B6E">
      <w:r w:rsidRPr="0034420E">
        <w:t xml:space="preserve">PromarkerD </w:t>
      </w:r>
      <w:r w:rsidR="00E53DDE" w:rsidRPr="0034420E">
        <w:t>would be used</w:t>
      </w:r>
      <w:r w:rsidR="000F3984" w:rsidRPr="0034420E">
        <w:t xml:space="preserve"> to</w:t>
      </w:r>
      <w:r w:rsidRPr="0034420E">
        <w:t xml:space="preserve"> test patients with </w:t>
      </w:r>
      <w:r w:rsidR="00B73AC5" w:rsidRPr="0034420E">
        <w:t>T2DM</w:t>
      </w:r>
      <w:r w:rsidRPr="0034420E">
        <w:t xml:space="preserve"> before kidney damage or clinical symptoms occur</w:t>
      </w:r>
      <w:r w:rsidR="00823C38" w:rsidRPr="0034420E">
        <w:t xml:space="preserve"> (kidney </w:t>
      </w:r>
      <w:r w:rsidR="00A8178A" w:rsidRPr="0034420E">
        <w:t xml:space="preserve">function </w:t>
      </w:r>
      <w:r w:rsidR="00823C38" w:rsidRPr="0034420E">
        <w:t>stage 1 or 2)</w:t>
      </w:r>
      <w:r w:rsidRPr="0034420E">
        <w:t xml:space="preserve">. Patients would be eligible for the proposed medical service </w:t>
      </w:r>
      <w:r w:rsidR="00754E1B" w:rsidRPr="0034420E">
        <w:t>if they met</w:t>
      </w:r>
      <w:r w:rsidRPr="0034420E">
        <w:t xml:space="preserve"> the following criteria:</w:t>
      </w:r>
    </w:p>
    <w:p w14:paraId="14A81622" w14:textId="2393B841" w:rsidR="00685B6E" w:rsidRPr="0034420E" w:rsidRDefault="00685B6E" w:rsidP="00EC5DB4">
      <w:pPr>
        <w:pStyle w:val="ListParagraph"/>
        <w:numPr>
          <w:ilvl w:val="0"/>
          <w:numId w:val="4"/>
        </w:numPr>
        <w:ind w:left="284" w:hanging="284"/>
      </w:pPr>
      <w:r w:rsidRPr="0034420E">
        <w:t xml:space="preserve">Patients diagnosed with </w:t>
      </w:r>
      <w:r w:rsidR="00B73AC5" w:rsidRPr="0034420E">
        <w:t>T2DM</w:t>
      </w:r>
      <w:r w:rsidRPr="0034420E">
        <w:t>; and</w:t>
      </w:r>
    </w:p>
    <w:p w14:paraId="0F65D6B8" w14:textId="49B34A00" w:rsidR="00685B6E" w:rsidRPr="0034420E" w:rsidRDefault="00685B6E" w:rsidP="00EC5DB4">
      <w:pPr>
        <w:pStyle w:val="ListParagraph"/>
        <w:numPr>
          <w:ilvl w:val="0"/>
          <w:numId w:val="4"/>
        </w:numPr>
        <w:ind w:left="284" w:hanging="284"/>
      </w:pPr>
      <w:r w:rsidRPr="0034420E">
        <w:t>eGFR ≥60ml/min/1.73m</w:t>
      </w:r>
      <w:r w:rsidRPr="0034420E">
        <w:rPr>
          <w:vertAlign w:val="superscript"/>
        </w:rPr>
        <w:t>2</w:t>
      </w:r>
      <w:r w:rsidRPr="0034420E">
        <w:t>; and</w:t>
      </w:r>
    </w:p>
    <w:p w14:paraId="10FD1C33" w14:textId="43272F81" w:rsidR="00685B6E" w:rsidRPr="0034420E" w:rsidRDefault="00685B6E" w:rsidP="00EC5DB4">
      <w:pPr>
        <w:pStyle w:val="ListParagraph"/>
        <w:numPr>
          <w:ilvl w:val="0"/>
          <w:numId w:val="4"/>
        </w:numPr>
        <w:ind w:left="284" w:hanging="284"/>
      </w:pPr>
      <w:r w:rsidRPr="0034420E">
        <w:t>uACR ≤30mg/mmol.</w:t>
      </w:r>
    </w:p>
    <w:p w14:paraId="2C3E4B96" w14:textId="3B5BF091" w:rsidR="00D63BE9" w:rsidRPr="0034420E" w:rsidRDefault="00D63BE9" w:rsidP="00E53DDE">
      <w:r w:rsidRPr="0034420E">
        <w:t>According to the Fremantle Diabetes Study, it was reported that</w:t>
      </w:r>
      <w:r w:rsidR="00E53DDE" w:rsidRPr="0034420E">
        <w:t xml:space="preserve"> </w:t>
      </w:r>
      <w:r w:rsidRPr="006B09B8">
        <w:t xml:space="preserve">84.6% </w:t>
      </w:r>
      <w:r w:rsidRPr="0034420E">
        <w:t xml:space="preserve">of patients with </w:t>
      </w:r>
      <w:r w:rsidR="00B73AC5" w:rsidRPr="0034420E">
        <w:t>T2DM</w:t>
      </w:r>
      <w:r w:rsidRPr="0034420E">
        <w:t xml:space="preserve"> have an eGFR of ≥60ml/min/1.73m</w:t>
      </w:r>
      <w:r w:rsidRPr="0034420E">
        <w:rPr>
          <w:vertAlign w:val="superscript"/>
        </w:rPr>
        <w:t>2</w:t>
      </w:r>
      <w:r w:rsidRPr="0034420E">
        <w:t xml:space="preserve"> and uACR ≤30mg/mmol.</w:t>
      </w:r>
      <w:r w:rsidR="00705DAD" w:rsidRPr="0034420E">
        <w:t xml:space="preserve"> It is not clear why the application does not include those with type 1 diabetes mellitus </w:t>
      </w:r>
      <w:r w:rsidR="006755E0" w:rsidRPr="0034420E">
        <w:t xml:space="preserve">(T1DM) </w:t>
      </w:r>
      <w:r w:rsidR="00705DAD" w:rsidRPr="0034420E">
        <w:t>as any form of diabetes confers the same risk of diabetic kidney disease.</w:t>
      </w:r>
      <w:r w:rsidR="006755E0" w:rsidRPr="0034420E">
        <w:t xml:space="preserve"> </w:t>
      </w:r>
      <w:r w:rsidR="006755E0" w:rsidRPr="0034420E">
        <w:rPr>
          <w:rFonts w:asciiTheme="minorHAnsi" w:hAnsiTheme="minorHAnsi" w:cstheme="minorHAnsi"/>
          <w:i/>
          <w:iCs/>
        </w:rPr>
        <w:t xml:space="preserve">PASC questioned the exclusion of those with T1DM. </w:t>
      </w:r>
      <w:r w:rsidR="006755E0" w:rsidRPr="0034420E">
        <w:rPr>
          <w:rFonts w:asciiTheme="minorHAnsi" w:hAnsiTheme="minorHAnsi" w:cstheme="minorHAnsi"/>
        </w:rPr>
        <w:t xml:space="preserve">The applicant stated that data for use of PromarkerD </w:t>
      </w:r>
      <w:r w:rsidR="003F3640" w:rsidRPr="0034420E">
        <w:rPr>
          <w:rFonts w:asciiTheme="minorHAnsi" w:hAnsiTheme="minorHAnsi" w:cstheme="minorHAnsi"/>
        </w:rPr>
        <w:t xml:space="preserve">were </w:t>
      </w:r>
      <w:r w:rsidR="006755E0" w:rsidRPr="0034420E">
        <w:rPr>
          <w:rFonts w:asciiTheme="minorHAnsi" w:hAnsiTheme="minorHAnsi" w:cstheme="minorHAnsi"/>
        </w:rPr>
        <w:t>available for T2DM only.</w:t>
      </w:r>
    </w:p>
    <w:p w14:paraId="02BC9FD9" w14:textId="77777777" w:rsidR="00F64DB8" w:rsidRPr="0034420E" w:rsidRDefault="00A90641" w:rsidP="00E53DDE">
      <w:r w:rsidRPr="0034420E">
        <w:fldChar w:fldCharType="begin"/>
      </w:r>
      <w:r w:rsidRPr="0034420E">
        <w:instrText xml:space="preserve"> REF _Ref87016813 \h </w:instrText>
      </w:r>
      <w:r w:rsidR="009E1D30" w:rsidRPr="0034420E">
        <w:instrText xml:space="preserve"> \* MERGEFORMAT </w:instrText>
      </w:r>
      <w:r w:rsidRPr="0034420E">
        <w:fldChar w:fldCharType="separate"/>
      </w:r>
      <w:r w:rsidR="00523E59" w:rsidRPr="0034420E">
        <w:t xml:space="preserve">Figure </w:t>
      </w:r>
      <w:r w:rsidR="00523E59" w:rsidRPr="0034420E">
        <w:rPr>
          <w:noProof/>
        </w:rPr>
        <w:t>1</w:t>
      </w:r>
      <w:r w:rsidRPr="0034420E">
        <w:fldChar w:fldCharType="end"/>
      </w:r>
      <w:r w:rsidR="00F64DB8" w:rsidRPr="0034420E">
        <w:t xml:space="preserve"> provides an overview of</w:t>
      </w:r>
      <w:r w:rsidR="00A62B18" w:rsidRPr="0034420E">
        <w:t xml:space="preserve"> the Kidney Health Australia risk categories that use eGFR and uACR to determine kidney function stage. </w:t>
      </w:r>
      <w:r w:rsidR="00A14E62" w:rsidRPr="0034420E">
        <w:t xml:space="preserve">These categories are identical to those published by the globally recognised Kidney Disease Improving Global Outcomes (KDIGO) guidelines for evaluation and management of chronic kidney disease (Levin 2013). </w:t>
      </w:r>
      <w:r w:rsidR="00A62B18" w:rsidRPr="0034420E">
        <w:t xml:space="preserve">Patients would be </w:t>
      </w:r>
      <w:r w:rsidR="00DA1F65" w:rsidRPr="0034420E">
        <w:t>eligible</w:t>
      </w:r>
      <w:r w:rsidR="00A62B18" w:rsidRPr="0034420E">
        <w:t xml:space="preserve"> for PromarkerD if they have kidney function stage 1 or 2 combined with normal albuminuria or microalbuminuria</w:t>
      </w:r>
      <w:r w:rsidR="00BE6B2E" w:rsidRPr="0034420E">
        <w:t xml:space="preserve"> (i.e. green boxes or yellow boxes with kidney function stage 1 or 2)</w:t>
      </w:r>
      <w:r w:rsidR="00A62B18" w:rsidRPr="0034420E">
        <w:t xml:space="preserve">. </w:t>
      </w:r>
      <w:r w:rsidR="00D354ED" w:rsidRPr="0034420E">
        <w:t>Patients who fall into higher risk categories would not be eligible for PromarkerD.</w:t>
      </w:r>
    </w:p>
    <w:p w14:paraId="0A013D25" w14:textId="14E85BAE" w:rsidR="00772F2F" w:rsidRPr="0034420E" w:rsidRDefault="00772F2F" w:rsidP="001A0D9A">
      <w:pPr>
        <w:jc w:val="center"/>
      </w:pPr>
      <w:r w:rsidRPr="0034420E">
        <w:rPr>
          <w:noProof/>
          <w:lang w:eastAsia="en-AU"/>
        </w:rPr>
        <w:lastRenderedPageBreak/>
        <w:drawing>
          <wp:inline distT="0" distB="0" distL="0" distR="0" wp14:anchorId="59E7A842" wp14:editId="01A46537">
            <wp:extent cx="5652013" cy="2617470"/>
            <wp:effectExtent l="0" t="0" r="6350" b="0"/>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pic:nvPicPr>
                  <pic:blipFill>
                    <a:blip r:embed="rId9"/>
                    <a:stretch>
                      <a:fillRect/>
                    </a:stretch>
                  </pic:blipFill>
                  <pic:spPr>
                    <a:xfrm>
                      <a:off x="0" y="0"/>
                      <a:ext cx="5655180" cy="2618937"/>
                    </a:xfrm>
                    <a:prstGeom prst="rect">
                      <a:avLst/>
                    </a:prstGeom>
                  </pic:spPr>
                </pic:pic>
              </a:graphicData>
            </a:graphic>
          </wp:inline>
        </w:drawing>
      </w:r>
    </w:p>
    <w:p w14:paraId="335C9239" w14:textId="540309BD" w:rsidR="001A0D9A" w:rsidRPr="0034420E" w:rsidRDefault="00E5120D" w:rsidP="00E5120D">
      <w:pPr>
        <w:pStyle w:val="Caption"/>
      </w:pPr>
      <w:bookmarkStart w:id="2" w:name="_Ref87016813"/>
      <w:r w:rsidRPr="0034420E">
        <w:t xml:space="preserve">Figure </w:t>
      </w:r>
      <w:r w:rsidRPr="0034420E">
        <w:fldChar w:fldCharType="begin"/>
      </w:r>
      <w:r w:rsidRPr="0034420E">
        <w:instrText xml:space="preserve"> SEQ Figure \* ARABIC </w:instrText>
      </w:r>
      <w:r w:rsidRPr="0034420E">
        <w:fldChar w:fldCharType="separate"/>
      </w:r>
      <w:r w:rsidR="00523E59" w:rsidRPr="0034420E">
        <w:rPr>
          <w:noProof/>
        </w:rPr>
        <w:t>1</w:t>
      </w:r>
      <w:r w:rsidRPr="0034420E">
        <w:fldChar w:fldCharType="end"/>
      </w:r>
      <w:bookmarkEnd w:id="2"/>
      <w:r w:rsidR="001A0D9A" w:rsidRPr="0034420E">
        <w:tab/>
        <w:t>Kidney Health Australia (2020), risk categories of kidney function stage</w:t>
      </w:r>
    </w:p>
    <w:p w14:paraId="3111E8DF" w14:textId="053E3415" w:rsidR="00772F2F" w:rsidRPr="0034420E" w:rsidRDefault="00772F2F" w:rsidP="001A0D9A">
      <w:pPr>
        <w:pStyle w:val="Tablenotes"/>
        <w:spacing w:after="200"/>
      </w:pPr>
      <w:r w:rsidRPr="0034420E">
        <w:t>ACR = albumin creatinine ratio; GFR = glomerular filtration rate</w:t>
      </w:r>
    </w:p>
    <w:p w14:paraId="4B038CB6" w14:textId="3530A642" w:rsidR="006755E0" w:rsidRPr="0034420E" w:rsidRDefault="006755E0" w:rsidP="00F64DB8">
      <w:pPr>
        <w:rPr>
          <w:rFonts w:asciiTheme="minorHAnsi" w:hAnsiTheme="minorHAnsi" w:cstheme="minorHAnsi"/>
          <w:i/>
          <w:iCs/>
        </w:rPr>
      </w:pPr>
      <w:r w:rsidRPr="0034420E">
        <w:rPr>
          <w:rFonts w:asciiTheme="minorHAnsi" w:hAnsiTheme="minorHAnsi" w:cstheme="minorHAnsi"/>
          <w:i/>
          <w:iCs/>
        </w:rPr>
        <w:t xml:space="preserve">PASC questioned the inclusion of patients with </w:t>
      </w:r>
      <w:proofErr w:type="spellStart"/>
      <w:r w:rsidRPr="0034420E">
        <w:rPr>
          <w:rFonts w:asciiTheme="minorHAnsi" w:hAnsiTheme="minorHAnsi" w:cstheme="minorHAnsi"/>
          <w:i/>
          <w:iCs/>
        </w:rPr>
        <w:t>micoralbuminuria</w:t>
      </w:r>
      <w:proofErr w:type="spellEnd"/>
      <w:r w:rsidRPr="0034420E">
        <w:rPr>
          <w:rFonts w:asciiTheme="minorHAnsi" w:hAnsiTheme="minorHAnsi" w:cstheme="minorHAnsi"/>
          <w:i/>
          <w:iCs/>
        </w:rPr>
        <w:t xml:space="preserve"> which was indicative of existing kidney damage. </w:t>
      </w:r>
      <w:r w:rsidRPr="0034420E">
        <w:rPr>
          <w:rFonts w:asciiTheme="minorHAnsi" w:hAnsiTheme="minorHAnsi" w:cstheme="minorHAnsi"/>
        </w:rPr>
        <w:t>The applicant explained that microalbuminuria is a weak predictor of kidney damage and can be caused by other factors (e.g. high blood pressure). With appropriate treatment this condition can be normalised.</w:t>
      </w:r>
      <w:r w:rsidRPr="0034420E">
        <w:rPr>
          <w:rFonts w:asciiTheme="minorHAnsi" w:hAnsiTheme="minorHAnsi" w:cstheme="minorHAnsi"/>
          <w:i/>
          <w:iCs/>
        </w:rPr>
        <w:t xml:space="preserve"> PASC noted that this was a ‘yellow’ category in the KDIGO guidelines as used by Kidney Health Australia and interventions to reduce the progression of kidney disease should be undertaken for this group of patients. PASC requested the assessment report include a justification for the inclusion of this patient group.</w:t>
      </w:r>
      <w:r w:rsidR="001B1961" w:rsidRPr="0034420E">
        <w:rPr>
          <w:rFonts w:asciiTheme="minorHAnsi" w:hAnsiTheme="minorHAnsi" w:cstheme="minorHAnsi"/>
          <w:i/>
          <w:iCs/>
        </w:rPr>
        <w:t xml:space="preserve"> </w:t>
      </w:r>
    </w:p>
    <w:p w14:paraId="7BA71CE5" w14:textId="0E2C0D36" w:rsidR="006A1FF0" w:rsidRPr="0034420E" w:rsidRDefault="00F64DB8" w:rsidP="00F64DB8">
      <w:r w:rsidRPr="0034420E">
        <w:t xml:space="preserve">Current Australian guidelines use a patient’s </w:t>
      </w:r>
      <w:r w:rsidR="001A0D9A" w:rsidRPr="0034420E">
        <w:t>glycosylated haemoglobin (</w:t>
      </w:r>
      <w:r w:rsidRPr="0034420E">
        <w:t>HbA1c</w:t>
      </w:r>
      <w:r w:rsidR="001A0D9A" w:rsidRPr="0034420E">
        <w:t>)</w:t>
      </w:r>
      <w:r w:rsidRPr="0034420E">
        <w:t xml:space="preserve"> as a basis for determining appropriate treatment</w:t>
      </w:r>
      <w:r w:rsidR="00F27405" w:rsidRPr="0034420E">
        <w:t xml:space="preserve"> (Australian Diabetes Society 2021)</w:t>
      </w:r>
      <w:r w:rsidR="00092499" w:rsidRPr="0034420E">
        <w:t xml:space="preserve">. </w:t>
      </w:r>
      <w:r w:rsidRPr="0034420E">
        <w:t>Treatment should be reviewed if target HbA1c is not reached</w:t>
      </w:r>
      <w:r w:rsidR="006A1FF0" w:rsidRPr="0034420E">
        <w:t xml:space="preserve">, with a target HbA1c of </w:t>
      </w:r>
      <w:r w:rsidR="006A1FF0" w:rsidRPr="0034420E">
        <w:rPr>
          <w:rFonts w:cs="Calibri"/>
        </w:rPr>
        <w:t>≤</w:t>
      </w:r>
      <w:r w:rsidR="006A1FF0" w:rsidRPr="0034420E">
        <w:t>7.0% commonly recommended</w:t>
      </w:r>
      <w:r w:rsidRPr="0034420E">
        <w:t xml:space="preserve">. </w:t>
      </w:r>
    </w:p>
    <w:p w14:paraId="409D6EBD" w14:textId="628C2AE3" w:rsidR="008939B8" w:rsidRPr="0034420E" w:rsidRDefault="00092499" w:rsidP="00F64DB8">
      <w:r w:rsidRPr="0034420E">
        <w:t xml:space="preserve">HbA1c is used also to determine </w:t>
      </w:r>
      <w:r w:rsidR="001417E8" w:rsidRPr="0034420E">
        <w:t>eligibility</w:t>
      </w:r>
      <w:r w:rsidRPr="0034420E">
        <w:t xml:space="preserve"> of PBS listed drugs.</w:t>
      </w:r>
      <w:r w:rsidR="00655378" w:rsidRPr="0034420E">
        <w:t xml:space="preserve"> </w:t>
      </w:r>
      <w:r w:rsidR="008939B8" w:rsidRPr="0034420E">
        <w:t xml:space="preserve">There are three sodium-glucose co-transporter 2 (SGLT2) inhibitors currently listed on the PBS – dapagliflozin, empagliflozin and ertugliflozin. Eligibility criteria for patients with T2DM includes that they must have a HbA1c measurement of </w:t>
      </w:r>
      <w:r w:rsidR="008939B8" w:rsidRPr="0034420E">
        <w:rPr>
          <w:rFonts w:cs="Calibri"/>
        </w:rPr>
        <w:t xml:space="preserve">greater than </w:t>
      </w:r>
      <w:r w:rsidR="008939B8" w:rsidRPr="0034420E">
        <w:t>7.0%.</w:t>
      </w:r>
    </w:p>
    <w:p w14:paraId="4B2124B6" w14:textId="3ADF2865" w:rsidR="003610B1" w:rsidRPr="0034420E" w:rsidRDefault="008133D1" w:rsidP="00F64DB8">
      <w:r w:rsidRPr="0034420E">
        <w:t xml:space="preserve">The application provided estimates of the likely eligible population and utilisation of the </w:t>
      </w:r>
      <w:proofErr w:type="spellStart"/>
      <w:r w:rsidRPr="0034420E">
        <w:t>PromarkerD</w:t>
      </w:r>
      <w:proofErr w:type="spellEnd"/>
      <w:r w:rsidRPr="0034420E">
        <w:t xml:space="preserve"> test</w:t>
      </w:r>
      <w:r w:rsidR="003610B1" w:rsidRPr="0034420E">
        <w:t xml:space="preserve">, see </w:t>
      </w:r>
      <w:r w:rsidR="003610B1" w:rsidRPr="0034420E">
        <w:fldChar w:fldCharType="begin"/>
      </w:r>
      <w:r w:rsidR="003610B1" w:rsidRPr="0034420E">
        <w:instrText xml:space="preserve"> REF _Ref87944731 \h </w:instrText>
      </w:r>
      <w:r w:rsidR="009E1D30" w:rsidRPr="0034420E">
        <w:instrText xml:space="preserve"> \* MERGEFORMAT </w:instrText>
      </w:r>
      <w:r w:rsidR="003610B1" w:rsidRPr="0034420E">
        <w:fldChar w:fldCharType="separate"/>
      </w:r>
      <w:r w:rsidR="00523E59" w:rsidRPr="0034420E">
        <w:t xml:space="preserve">Table </w:t>
      </w:r>
      <w:r w:rsidR="00523E59" w:rsidRPr="0034420E">
        <w:rPr>
          <w:noProof/>
        </w:rPr>
        <w:t>2</w:t>
      </w:r>
      <w:r w:rsidR="003610B1" w:rsidRPr="0034420E">
        <w:fldChar w:fldCharType="end"/>
      </w:r>
      <w:r w:rsidR="003610B1" w:rsidRPr="0034420E">
        <w:t>.</w:t>
      </w:r>
    </w:p>
    <w:p w14:paraId="6C202FC2" w14:textId="36D8B56F" w:rsidR="003610B1" w:rsidRPr="0034420E" w:rsidRDefault="003610B1" w:rsidP="00E13572">
      <w:pPr>
        <w:pStyle w:val="Caption"/>
        <w:spacing w:before="120"/>
      </w:pPr>
      <w:bookmarkStart w:id="3" w:name="_Ref87944731"/>
      <w:r w:rsidRPr="0034420E">
        <w:t xml:space="preserve">Table </w:t>
      </w:r>
      <w:r w:rsidRPr="0034420E">
        <w:fldChar w:fldCharType="begin"/>
      </w:r>
      <w:r w:rsidRPr="0034420E">
        <w:instrText xml:space="preserve"> SEQ Table \* ARABIC </w:instrText>
      </w:r>
      <w:r w:rsidRPr="0034420E">
        <w:fldChar w:fldCharType="separate"/>
      </w:r>
      <w:r w:rsidR="00523E59" w:rsidRPr="0034420E">
        <w:rPr>
          <w:noProof/>
        </w:rPr>
        <w:t>2</w:t>
      </w:r>
      <w:r w:rsidRPr="0034420E">
        <w:fldChar w:fldCharType="end"/>
      </w:r>
      <w:bookmarkEnd w:id="3"/>
      <w:r w:rsidRPr="0034420E">
        <w:tab/>
        <w:t>Estimated eligible population and utilisation of the PromarkerD test</w:t>
      </w:r>
    </w:p>
    <w:tbl>
      <w:tblPr>
        <w:tblStyle w:val="TableGrid"/>
        <w:tblW w:w="0" w:type="auto"/>
        <w:tblInd w:w="-5" w:type="dxa"/>
        <w:tblLayout w:type="fixed"/>
        <w:tblLook w:val="04A0" w:firstRow="1" w:lastRow="0" w:firstColumn="1" w:lastColumn="0" w:noHBand="0" w:noVBand="1"/>
      </w:tblPr>
      <w:tblGrid>
        <w:gridCol w:w="4095"/>
        <w:gridCol w:w="1315"/>
        <w:gridCol w:w="1315"/>
        <w:gridCol w:w="1315"/>
        <w:gridCol w:w="1316"/>
      </w:tblGrid>
      <w:tr w:rsidR="003610B1" w:rsidRPr="0034420E" w14:paraId="65AF2EBA" w14:textId="77777777" w:rsidTr="00C05D31">
        <w:trPr>
          <w:trHeight w:val="265"/>
          <w:tblHeader/>
        </w:trPr>
        <w:tc>
          <w:tcPr>
            <w:tcW w:w="4095" w:type="dxa"/>
            <w:shd w:val="clear" w:color="auto" w:fill="auto"/>
            <w:noWrap/>
            <w:hideMark/>
          </w:tcPr>
          <w:p w14:paraId="1ECF7602" w14:textId="77777777" w:rsidR="003610B1" w:rsidRPr="0034420E" w:rsidRDefault="003610B1" w:rsidP="00C05D31">
            <w:pPr>
              <w:spacing w:before="40" w:after="40" w:line="240" w:lineRule="auto"/>
              <w:rPr>
                <w:rFonts w:ascii="Arial Narrow" w:hAnsi="Arial Narrow"/>
                <w:sz w:val="20"/>
                <w:szCs w:val="20"/>
              </w:rPr>
            </w:pPr>
          </w:p>
        </w:tc>
        <w:tc>
          <w:tcPr>
            <w:tcW w:w="1315" w:type="dxa"/>
            <w:shd w:val="clear" w:color="auto" w:fill="auto"/>
            <w:noWrap/>
            <w:vAlign w:val="center"/>
            <w:hideMark/>
          </w:tcPr>
          <w:p w14:paraId="17EEF954" w14:textId="77777777" w:rsidR="003610B1" w:rsidRPr="0034420E" w:rsidRDefault="003610B1" w:rsidP="00C05D31">
            <w:pPr>
              <w:spacing w:before="40" w:after="40" w:line="240" w:lineRule="auto"/>
              <w:jc w:val="center"/>
              <w:rPr>
                <w:rFonts w:ascii="Arial Narrow" w:hAnsi="Arial Narrow"/>
                <w:b/>
                <w:bCs/>
                <w:sz w:val="20"/>
                <w:szCs w:val="20"/>
              </w:rPr>
            </w:pPr>
            <w:r w:rsidRPr="0034420E">
              <w:rPr>
                <w:rFonts w:ascii="Arial Narrow" w:hAnsi="Arial Narrow"/>
                <w:b/>
                <w:bCs/>
                <w:sz w:val="20"/>
                <w:szCs w:val="20"/>
              </w:rPr>
              <w:t>2022</w:t>
            </w:r>
          </w:p>
        </w:tc>
        <w:tc>
          <w:tcPr>
            <w:tcW w:w="1315" w:type="dxa"/>
            <w:shd w:val="clear" w:color="auto" w:fill="auto"/>
            <w:noWrap/>
            <w:vAlign w:val="center"/>
            <w:hideMark/>
          </w:tcPr>
          <w:p w14:paraId="45DFD3BF" w14:textId="77777777" w:rsidR="003610B1" w:rsidRPr="0034420E" w:rsidRDefault="003610B1" w:rsidP="00C05D31">
            <w:pPr>
              <w:spacing w:before="40" w:after="40" w:line="240" w:lineRule="auto"/>
              <w:jc w:val="center"/>
              <w:rPr>
                <w:rFonts w:ascii="Arial Narrow" w:hAnsi="Arial Narrow"/>
                <w:b/>
                <w:bCs/>
                <w:sz w:val="20"/>
                <w:szCs w:val="20"/>
              </w:rPr>
            </w:pPr>
            <w:r w:rsidRPr="0034420E">
              <w:rPr>
                <w:rFonts w:ascii="Arial Narrow" w:hAnsi="Arial Narrow"/>
                <w:b/>
                <w:bCs/>
                <w:sz w:val="20"/>
                <w:szCs w:val="20"/>
              </w:rPr>
              <w:t>2023</w:t>
            </w:r>
          </w:p>
        </w:tc>
        <w:tc>
          <w:tcPr>
            <w:tcW w:w="1315" w:type="dxa"/>
            <w:shd w:val="clear" w:color="auto" w:fill="auto"/>
            <w:noWrap/>
            <w:vAlign w:val="center"/>
            <w:hideMark/>
          </w:tcPr>
          <w:p w14:paraId="36CB241F" w14:textId="77777777" w:rsidR="003610B1" w:rsidRPr="0034420E" w:rsidRDefault="003610B1" w:rsidP="00C05D31">
            <w:pPr>
              <w:spacing w:before="40" w:after="40" w:line="240" w:lineRule="auto"/>
              <w:jc w:val="center"/>
              <w:rPr>
                <w:rFonts w:ascii="Arial Narrow" w:hAnsi="Arial Narrow"/>
                <w:b/>
                <w:bCs/>
                <w:sz w:val="20"/>
                <w:szCs w:val="20"/>
              </w:rPr>
            </w:pPr>
            <w:r w:rsidRPr="0034420E">
              <w:rPr>
                <w:rFonts w:ascii="Arial Narrow" w:hAnsi="Arial Narrow"/>
                <w:b/>
                <w:bCs/>
                <w:sz w:val="20"/>
                <w:szCs w:val="20"/>
              </w:rPr>
              <w:t>2024</w:t>
            </w:r>
          </w:p>
        </w:tc>
        <w:tc>
          <w:tcPr>
            <w:tcW w:w="1316" w:type="dxa"/>
            <w:shd w:val="clear" w:color="auto" w:fill="auto"/>
            <w:noWrap/>
            <w:vAlign w:val="center"/>
            <w:hideMark/>
          </w:tcPr>
          <w:p w14:paraId="2A359C05" w14:textId="77777777" w:rsidR="003610B1" w:rsidRPr="0034420E" w:rsidRDefault="003610B1" w:rsidP="00C05D31">
            <w:pPr>
              <w:spacing w:before="40" w:after="40" w:line="240" w:lineRule="auto"/>
              <w:jc w:val="center"/>
              <w:rPr>
                <w:rFonts w:ascii="Arial Narrow" w:hAnsi="Arial Narrow"/>
                <w:b/>
                <w:bCs/>
                <w:sz w:val="20"/>
                <w:szCs w:val="20"/>
              </w:rPr>
            </w:pPr>
            <w:r w:rsidRPr="0034420E">
              <w:rPr>
                <w:rFonts w:ascii="Arial Narrow" w:hAnsi="Arial Narrow"/>
                <w:b/>
                <w:bCs/>
                <w:sz w:val="20"/>
                <w:szCs w:val="20"/>
              </w:rPr>
              <w:t>2025</w:t>
            </w:r>
          </w:p>
        </w:tc>
      </w:tr>
      <w:tr w:rsidR="00C05D31" w:rsidRPr="0034420E" w14:paraId="77761EAF" w14:textId="77777777" w:rsidTr="00C05D31">
        <w:trPr>
          <w:trHeight w:val="320"/>
        </w:trPr>
        <w:tc>
          <w:tcPr>
            <w:tcW w:w="4095" w:type="dxa"/>
            <w:noWrap/>
            <w:hideMark/>
          </w:tcPr>
          <w:p w14:paraId="0CA07748" w14:textId="77777777" w:rsidR="003610B1" w:rsidRPr="0034420E" w:rsidRDefault="003610B1" w:rsidP="00C05D31">
            <w:pPr>
              <w:spacing w:before="40" w:after="40" w:line="240" w:lineRule="auto"/>
              <w:rPr>
                <w:rFonts w:ascii="Arial Narrow" w:hAnsi="Arial Narrow"/>
                <w:sz w:val="20"/>
                <w:szCs w:val="20"/>
              </w:rPr>
            </w:pPr>
            <w:r w:rsidRPr="0034420E">
              <w:rPr>
                <w:rFonts w:ascii="Arial Narrow" w:hAnsi="Arial Narrow"/>
                <w:sz w:val="20"/>
                <w:szCs w:val="20"/>
              </w:rPr>
              <w:t>Australian Adult Population (</w:t>
            </w:r>
            <w:r w:rsidRPr="0034420E">
              <w:rPr>
                <w:rFonts w:ascii="Arial Narrow" w:hAnsi="Arial Narrow"/>
                <w:bCs/>
                <w:sz w:val="20"/>
                <w:szCs w:val="20"/>
              </w:rPr>
              <w:t xml:space="preserve">aged </w:t>
            </w:r>
            <w:r w:rsidRPr="0034420E">
              <w:rPr>
                <w:rFonts w:ascii="Arial Narrow" w:hAnsi="Arial Narrow"/>
                <w:sz w:val="20"/>
                <w:szCs w:val="20"/>
              </w:rPr>
              <w:t>18+)</w:t>
            </w:r>
          </w:p>
        </w:tc>
        <w:tc>
          <w:tcPr>
            <w:tcW w:w="1315" w:type="dxa"/>
            <w:noWrap/>
            <w:vAlign w:val="center"/>
            <w:hideMark/>
          </w:tcPr>
          <w:p w14:paraId="030CB33E" w14:textId="77777777" w:rsidR="003610B1" w:rsidRPr="0034420E" w:rsidRDefault="003610B1" w:rsidP="00C05D31">
            <w:pPr>
              <w:spacing w:before="40" w:after="40" w:line="240" w:lineRule="auto"/>
              <w:jc w:val="center"/>
              <w:rPr>
                <w:rFonts w:ascii="Arial Narrow" w:hAnsi="Arial Narrow"/>
                <w:sz w:val="20"/>
                <w:szCs w:val="20"/>
              </w:rPr>
            </w:pPr>
            <w:r w:rsidRPr="0034420E">
              <w:rPr>
                <w:rFonts w:ascii="Arial Narrow" w:hAnsi="Arial Narrow"/>
                <w:sz w:val="20"/>
                <w:szCs w:val="20"/>
              </w:rPr>
              <w:t>20,757,917</w:t>
            </w:r>
          </w:p>
        </w:tc>
        <w:tc>
          <w:tcPr>
            <w:tcW w:w="1315" w:type="dxa"/>
            <w:noWrap/>
            <w:vAlign w:val="center"/>
            <w:hideMark/>
          </w:tcPr>
          <w:p w14:paraId="1944F9D6" w14:textId="77777777" w:rsidR="003610B1" w:rsidRPr="0034420E" w:rsidRDefault="003610B1" w:rsidP="00C05D31">
            <w:pPr>
              <w:spacing w:before="40" w:after="40" w:line="240" w:lineRule="auto"/>
              <w:jc w:val="center"/>
              <w:rPr>
                <w:rFonts w:ascii="Arial Narrow" w:hAnsi="Arial Narrow"/>
                <w:sz w:val="20"/>
                <w:szCs w:val="20"/>
              </w:rPr>
            </w:pPr>
            <w:r w:rsidRPr="0034420E">
              <w:rPr>
                <w:rFonts w:ascii="Arial Narrow" w:hAnsi="Arial Narrow"/>
                <w:sz w:val="20"/>
                <w:szCs w:val="20"/>
              </w:rPr>
              <w:t>21,082,471</w:t>
            </w:r>
          </w:p>
        </w:tc>
        <w:tc>
          <w:tcPr>
            <w:tcW w:w="1315" w:type="dxa"/>
            <w:noWrap/>
            <w:vAlign w:val="center"/>
            <w:hideMark/>
          </w:tcPr>
          <w:p w14:paraId="063155F3" w14:textId="77777777" w:rsidR="003610B1" w:rsidRPr="0034420E" w:rsidRDefault="003610B1" w:rsidP="00C05D31">
            <w:pPr>
              <w:spacing w:before="40" w:after="40" w:line="240" w:lineRule="auto"/>
              <w:jc w:val="center"/>
              <w:rPr>
                <w:rFonts w:ascii="Arial Narrow" w:hAnsi="Arial Narrow"/>
                <w:sz w:val="20"/>
                <w:szCs w:val="20"/>
              </w:rPr>
            </w:pPr>
            <w:r w:rsidRPr="0034420E">
              <w:rPr>
                <w:rFonts w:ascii="Arial Narrow" w:hAnsi="Arial Narrow"/>
                <w:sz w:val="20"/>
                <w:szCs w:val="20"/>
              </w:rPr>
              <w:t>21,411,852</w:t>
            </w:r>
          </w:p>
        </w:tc>
        <w:tc>
          <w:tcPr>
            <w:tcW w:w="1316" w:type="dxa"/>
            <w:noWrap/>
            <w:vAlign w:val="center"/>
            <w:hideMark/>
          </w:tcPr>
          <w:p w14:paraId="2DBAEF2B" w14:textId="77777777" w:rsidR="003610B1" w:rsidRPr="0034420E" w:rsidRDefault="003610B1" w:rsidP="00C05D31">
            <w:pPr>
              <w:spacing w:before="40" w:after="40" w:line="240" w:lineRule="auto"/>
              <w:jc w:val="center"/>
              <w:rPr>
                <w:rFonts w:ascii="Arial Narrow" w:hAnsi="Arial Narrow"/>
                <w:sz w:val="20"/>
                <w:szCs w:val="20"/>
              </w:rPr>
            </w:pPr>
            <w:r w:rsidRPr="0034420E">
              <w:rPr>
                <w:rFonts w:ascii="Arial Narrow" w:hAnsi="Arial Narrow"/>
                <w:sz w:val="20"/>
                <w:szCs w:val="20"/>
              </w:rPr>
              <w:t>21,744,502</w:t>
            </w:r>
          </w:p>
        </w:tc>
      </w:tr>
      <w:tr w:rsidR="00C05D31" w:rsidRPr="0034420E" w14:paraId="2248F99A" w14:textId="77777777" w:rsidTr="00C05D31">
        <w:trPr>
          <w:trHeight w:val="320"/>
        </w:trPr>
        <w:tc>
          <w:tcPr>
            <w:tcW w:w="4095" w:type="dxa"/>
            <w:noWrap/>
            <w:hideMark/>
          </w:tcPr>
          <w:p w14:paraId="09840628" w14:textId="77777777" w:rsidR="003610B1" w:rsidRPr="0034420E" w:rsidRDefault="003610B1" w:rsidP="00C05D31">
            <w:pPr>
              <w:spacing w:before="40" w:after="40" w:line="240" w:lineRule="auto"/>
              <w:rPr>
                <w:rFonts w:ascii="Arial Narrow" w:hAnsi="Arial Narrow"/>
                <w:sz w:val="20"/>
                <w:szCs w:val="20"/>
              </w:rPr>
            </w:pPr>
            <w:r w:rsidRPr="0034420E">
              <w:rPr>
                <w:rFonts w:ascii="Arial Narrow" w:hAnsi="Arial Narrow"/>
                <w:sz w:val="20"/>
                <w:szCs w:val="20"/>
              </w:rPr>
              <w:t>Prevalence of Type 2 Diabetes</w:t>
            </w:r>
          </w:p>
        </w:tc>
        <w:tc>
          <w:tcPr>
            <w:tcW w:w="1315" w:type="dxa"/>
            <w:noWrap/>
            <w:vAlign w:val="center"/>
            <w:hideMark/>
          </w:tcPr>
          <w:p w14:paraId="28ECD345" w14:textId="77777777" w:rsidR="003610B1" w:rsidRPr="0034420E" w:rsidRDefault="003610B1" w:rsidP="00C05D31">
            <w:pPr>
              <w:spacing w:before="40" w:after="40" w:line="240" w:lineRule="auto"/>
              <w:jc w:val="center"/>
              <w:rPr>
                <w:rFonts w:ascii="Arial Narrow" w:hAnsi="Arial Narrow"/>
                <w:sz w:val="20"/>
                <w:szCs w:val="20"/>
              </w:rPr>
            </w:pPr>
            <w:r w:rsidRPr="0034420E">
              <w:rPr>
                <w:rFonts w:ascii="Arial Narrow" w:hAnsi="Arial Narrow"/>
                <w:sz w:val="20"/>
                <w:szCs w:val="20"/>
              </w:rPr>
              <w:t>5.3%</w:t>
            </w:r>
          </w:p>
        </w:tc>
        <w:tc>
          <w:tcPr>
            <w:tcW w:w="1315" w:type="dxa"/>
            <w:noWrap/>
            <w:vAlign w:val="center"/>
            <w:hideMark/>
          </w:tcPr>
          <w:p w14:paraId="2071D463" w14:textId="77777777" w:rsidR="003610B1" w:rsidRPr="0034420E" w:rsidRDefault="003610B1" w:rsidP="00C05D31">
            <w:pPr>
              <w:spacing w:before="40" w:after="40" w:line="240" w:lineRule="auto"/>
              <w:jc w:val="center"/>
              <w:rPr>
                <w:rFonts w:ascii="Arial Narrow" w:hAnsi="Arial Narrow"/>
                <w:sz w:val="20"/>
                <w:szCs w:val="20"/>
              </w:rPr>
            </w:pPr>
            <w:r w:rsidRPr="0034420E">
              <w:rPr>
                <w:rFonts w:ascii="Arial Narrow" w:hAnsi="Arial Narrow"/>
                <w:sz w:val="20"/>
                <w:szCs w:val="20"/>
              </w:rPr>
              <w:t>5.3%</w:t>
            </w:r>
          </w:p>
        </w:tc>
        <w:tc>
          <w:tcPr>
            <w:tcW w:w="1315" w:type="dxa"/>
            <w:noWrap/>
            <w:vAlign w:val="center"/>
            <w:hideMark/>
          </w:tcPr>
          <w:p w14:paraId="49ED9708" w14:textId="77777777" w:rsidR="003610B1" w:rsidRPr="0034420E" w:rsidRDefault="003610B1" w:rsidP="00C05D31">
            <w:pPr>
              <w:spacing w:before="40" w:after="40" w:line="240" w:lineRule="auto"/>
              <w:jc w:val="center"/>
              <w:rPr>
                <w:rFonts w:ascii="Arial Narrow" w:hAnsi="Arial Narrow"/>
                <w:sz w:val="20"/>
                <w:szCs w:val="20"/>
              </w:rPr>
            </w:pPr>
            <w:r w:rsidRPr="0034420E">
              <w:rPr>
                <w:rFonts w:ascii="Arial Narrow" w:hAnsi="Arial Narrow"/>
                <w:sz w:val="20"/>
                <w:szCs w:val="20"/>
              </w:rPr>
              <w:t>5.3%</w:t>
            </w:r>
          </w:p>
        </w:tc>
        <w:tc>
          <w:tcPr>
            <w:tcW w:w="1316" w:type="dxa"/>
            <w:noWrap/>
            <w:vAlign w:val="center"/>
            <w:hideMark/>
          </w:tcPr>
          <w:p w14:paraId="3AC7E92B" w14:textId="77777777" w:rsidR="003610B1" w:rsidRPr="0034420E" w:rsidRDefault="003610B1" w:rsidP="00C05D31">
            <w:pPr>
              <w:spacing w:before="40" w:after="40" w:line="240" w:lineRule="auto"/>
              <w:jc w:val="center"/>
              <w:rPr>
                <w:rFonts w:ascii="Arial Narrow" w:hAnsi="Arial Narrow"/>
                <w:sz w:val="20"/>
                <w:szCs w:val="20"/>
              </w:rPr>
            </w:pPr>
            <w:r w:rsidRPr="0034420E">
              <w:rPr>
                <w:rFonts w:ascii="Arial Narrow" w:hAnsi="Arial Narrow"/>
                <w:sz w:val="20"/>
                <w:szCs w:val="20"/>
              </w:rPr>
              <w:t>5.3%</w:t>
            </w:r>
          </w:p>
        </w:tc>
      </w:tr>
      <w:tr w:rsidR="00C05D31" w:rsidRPr="0034420E" w14:paraId="6583F69C" w14:textId="77777777" w:rsidTr="00C05D31">
        <w:trPr>
          <w:trHeight w:val="320"/>
        </w:trPr>
        <w:tc>
          <w:tcPr>
            <w:tcW w:w="4095" w:type="dxa"/>
            <w:noWrap/>
            <w:hideMark/>
          </w:tcPr>
          <w:p w14:paraId="649C60C2" w14:textId="77777777" w:rsidR="003610B1" w:rsidRPr="0034420E" w:rsidRDefault="003610B1" w:rsidP="00C05D31">
            <w:pPr>
              <w:spacing w:before="40" w:after="40" w:line="240" w:lineRule="auto"/>
              <w:rPr>
                <w:rFonts w:ascii="Arial Narrow" w:hAnsi="Arial Narrow"/>
                <w:sz w:val="20"/>
                <w:szCs w:val="20"/>
              </w:rPr>
            </w:pPr>
            <w:r w:rsidRPr="0034420E">
              <w:rPr>
                <w:rFonts w:ascii="Arial Narrow" w:hAnsi="Arial Narrow"/>
                <w:sz w:val="20"/>
                <w:szCs w:val="20"/>
              </w:rPr>
              <w:t xml:space="preserve">Total Prevalent Patients with Type </w:t>
            </w:r>
            <w:r w:rsidRPr="0034420E">
              <w:rPr>
                <w:rFonts w:ascii="Arial Narrow" w:hAnsi="Arial Narrow"/>
                <w:bCs/>
                <w:sz w:val="20"/>
                <w:szCs w:val="20"/>
              </w:rPr>
              <w:t>2</w:t>
            </w:r>
            <w:r w:rsidRPr="0034420E">
              <w:rPr>
                <w:rFonts w:ascii="Arial Narrow" w:hAnsi="Arial Narrow"/>
                <w:sz w:val="20"/>
                <w:szCs w:val="20"/>
              </w:rPr>
              <w:t xml:space="preserve"> Diabetes</w:t>
            </w:r>
          </w:p>
        </w:tc>
        <w:tc>
          <w:tcPr>
            <w:tcW w:w="1315" w:type="dxa"/>
            <w:noWrap/>
            <w:vAlign w:val="center"/>
            <w:hideMark/>
          </w:tcPr>
          <w:p w14:paraId="5E38EE2F" w14:textId="77777777" w:rsidR="003610B1" w:rsidRPr="0034420E" w:rsidRDefault="003610B1" w:rsidP="00C05D31">
            <w:pPr>
              <w:spacing w:before="40" w:after="40" w:line="240" w:lineRule="auto"/>
              <w:jc w:val="center"/>
              <w:rPr>
                <w:rFonts w:ascii="Arial Narrow" w:hAnsi="Arial Narrow"/>
                <w:sz w:val="20"/>
                <w:szCs w:val="20"/>
              </w:rPr>
            </w:pPr>
            <w:r w:rsidRPr="0034420E">
              <w:rPr>
                <w:rFonts w:ascii="Arial Narrow" w:hAnsi="Arial Narrow"/>
                <w:sz w:val="20"/>
                <w:szCs w:val="20"/>
              </w:rPr>
              <w:t>1,100,170</w:t>
            </w:r>
          </w:p>
        </w:tc>
        <w:tc>
          <w:tcPr>
            <w:tcW w:w="1315" w:type="dxa"/>
            <w:noWrap/>
            <w:vAlign w:val="center"/>
            <w:hideMark/>
          </w:tcPr>
          <w:p w14:paraId="491656A4" w14:textId="77777777" w:rsidR="003610B1" w:rsidRPr="0034420E" w:rsidRDefault="003610B1" w:rsidP="00C05D31">
            <w:pPr>
              <w:spacing w:before="40" w:after="40" w:line="240" w:lineRule="auto"/>
              <w:jc w:val="center"/>
              <w:rPr>
                <w:rFonts w:ascii="Arial Narrow" w:hAnsi="Arial Narrow"/>
                <w:sz w:val="20"/>
                <w:szCs w:val="20"/>
              </w:rPr>
            </w:pPr>
            <w:r w:rsidRPr="0034420E">
              <w:rPr>
                <w:rFonts w:ascii="Arial Narrow" w:hAnsi="Arial Narrow"/>
                <w:sz w:val="20"/>
                <w:szCs w:val="20"/>
              </w:rPr>
              <w:t>1,117,371</w:t>
            </w:r>
          </w:p>
        </w:tc>
        <w:tc>
          <w:tcPr>
            <w:tcW w:w="1315" w:type="dxa"/>
            <w:noWrap/>
            <w:vAlign w:val="center"/>
            <w:hideMark/>
          </w:tcPr>
          <w:p w14:paraId="7906BC0C" w14:textId="77777777" w:rsidR="003610B1" w:rsidRPr="0034420E" w:rsidRDefault="003610B1" w:rsidP="00C05D31">
            <w:pPr>
              <w:spacing w:before="40" w:after="40" w:line="240" w:lineRule="auto"/>
              <w:jc w:val="center"/>
              <w:rPr>
                <w:rFonts w:ascii="Arial Narrow" w:hAnsi="Arial Narrow"/>
                <w:sz w:val="20"/>
                <w:szCs w:val="20"/>
              </w:rPr>
            </w:pPr>
            <w:r w:rsidRPr="0034420E">
              <w:rPr>
                <w:rFonts w:ascii="Arial Narrow" w:hAnsi="Arial Narrow"/>
                <w:sz w:val="20"/>
                <w:szCs w:val="20"/>
              </w:rPr>
              <w:t>1,134,828</w:t>
            </w:r>
          </w:p>
        </w:tc>
        <w:tc>
          <w:tcPr>
            <w:tcW w:w="1316" w:type="dxa"/>
            <w:noWrap/>
            <w:vAlign w:val="center"/>
            <w:hideMark/>
          </w:tcPr>
          <w:p w14:paraId="12691CD6" w14:textId="77777777" w:rsidR="003610B1" w:rsidRPr="0034420E" w:rsidRDefault="003610B1" w:rsidP="00C05D31">
            <w:pPr>
              <w:spacing w:before="40" w:after="40" w:line="240" w:lineRule="auto"/>
              <w:jc w:val="center"/>
              <w:rPr>
                <w:rFonts w:ascii="Arial Narrow" w:hAnsi="Arial Narrow"/>
                <w:sz w:val="20"/>
                <w:szCs w:val="20"/>
              </w:rPr>
            </w:pPr>
            <w:r w:rsidRPr="0034420E">
              <w:rPr>
                <w:rFonts w:ascii="Arial Narrow" w:hAnsi="Arial Narrow"/>
                <w:sz w:val="20"/>
                <w:szCs w:val="20"/>
              </w:rPr>
              <w:t>1,152,459</w:t>
            </w:r>
          </w:p>
        </w:tc>
      </w:tr>
      <w:tr w:rsidR="00195B80" w:rsidRPr="0034420E" w14:paraId="59A121FC" w14:textId="77777777" w:rsidTr="007740EA">
        <w:trPr>
          <w:trHeight w:val="320"/>
        </w:trPr>
        <w:tc>
          <w:tcPr>
            <w:tcW w:w="4095" w:type="dxa"/>
            <w:noWrap/>
            <w:hideMark/>
          </w:tcPr>
          <w:p w14:paraId="1298B9B5" w14:textId="5128C351" w:rsidR="00195B80" w:rsidRPr="007740EA" w:rsidRDefault="00195B80" w:rsidP="00195B80">
            <w:pPr>
              <w:spacing w:before="40" w:after="40" w:line="240" w:lineRule="auto"/>
              <w:rPr>
                <w:rFonts w:ascii="Arial Narrow" w:hAnsi="Arial Narrow"/>
                <w:b/>
                <w:bCs/>
                <w:sz w:val="20"/>
                <w:szCs w:val="20"/>
              </w:rPr>
            </w:pPr>
            <w:r w:rsidRPr="007740EA">
              <w:rPr>
                <w:rFonts w:ascii="Arial Narrow" w:hAnsi="Arial Narrow"/>
                <w:b/>
                <w:bCs/>
                <w:sz w:val="20"/>
                <w:szCs w:val="20"/>
              </w:rPr>
              <w:t>Prevalent Patients with ≥60ml/min/1.73m</w:t>
            </w:r>
            <w:r w:rsidRPr="007740EA">
              <w:rPr>
                <w:rFonts w:ascii="Arial Narrow" w:hAnsi="Arial Narrow"/>
                <w:b/>
                <w:bCs/>
                <w:sz w:val="20"/>
                <w:szCs w:val="20"/>
                <w:vertAlign w:val="superscript"/>
              </w:rPr>
              <w:t>2</w:t>
            </w:r>
            <w:r w:rsidRPr="007740EA">
              <w:rPr>
                <w:rFonts w:ascii="Arial Narrow" w:hAnsi="Arial Narrow"/>
                <w:b/>
                <w:bCs/>
                <w:sz w:val="20"/>
                <w:szCs w:val="20"/>
              </w:rPr>
              <w:t xml:space="preserve"> eGFR AND &lt;3mg/mmol </w:t>
            </w:r>
            <w:proofErr w:type="spellStart"/>
            <w:r w:rsidRPr="007740EA">
              <w:rPr>
                <w:rFonts w:ascii="Arial Narrow" w:hAnsi="Arial Narrow"/>
                <w:b/>
                <w:bCs/>
                <w:sz w:val="20"/>
                <w:szCs w:val="20"/>
              </w:rPr>
              <w:t>uACR</w:t>
            </w:r>
            <w:proofErr w:type="spellEnd"/>
            <w:r w:rsidRPr="007740EA">
              <w:rPr>
                <w:rFonts w:ascii="Arial Narrow" w:hAnsi="Arial Narrow"/>
                <w:b/>
                <w:bCs/>
                <w:sz w:val="20"/>
                <w:szCs w:val="20"/>
              </w:rPr>
              <w:t xml:space="preserve"> (KDIGO green zone)</w:t>
            </w:r>
          </w:p>
        </w:tc>
        <w:tc>
          <w:tcPr>
            <w:tcW w:w="1315" w:type="dxa"/>
            <w:noWrap/>
            <w:hideMark/>
          </w:tcPr>
          <w:p w14:paraId="081911F9" w14:textId="23D9CFB2"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58.0%</w:t>
            </w:r>
          </w:p>
        </w:tc>
        <w:tc>
          <w:tcPr>
            <w:tcW w:w="1315" w:type="dxa"/>
            <w:noWrap/>
            <w:hideMark/>
          </w:tcPr>
          <w:p w14:paraId="44D3404B" w14:textId="7601AE43"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58.0%</w:t>
            </w:r>
          </w:p>
        </w:tc>
        <w:tc>
          <w:tcPr>
            <w:tcW w:w="1315" w:type="dxa"/>
            <w:noWrap/>
            <w:hideMark/>
          </w:tcPr>
          <w:p w14:paraId="775657FB" w14:textId="39872EEF"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58.0%</w:t>
            </w:r>
          </w:p>
        </w:tc>
        <w:tc>
          <w:tcPr>
            <w:tcW w:w="1316" w:type="dxa"/>
            <w:noWrap/>
            <w:hideMark/>
          </w:tcPr>
          <w:p w14:paraId="467A371D" w14:textId="12206490"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58.0%</w:t>
            </w:r>
          </w:p>
        </w:tc>
      </w:tr>
      <w:tr w:rsidR="00195B80" w:rsidRPr="0034420E" w14:paraId="5FFF3F03" w14:textId="77777777" w:rsidTr="007740EA">
        <w:trPr>
          <w:trHeight w:val="320"/>
        </w:trPr>
        <w:tc>
          <w:tcPr>
            <w:tcW w:w="4095" w:type="dxa"/>
            <w:noWrap/>
            <w:hideMark/>
          </w:tcPr>
          <w:p w14:paraId="15A1A135" w14:textId="7FBEA4B3" w:rsidR="00195B80" w:rsidRPr="007740EA" w:rsidRDefault="00195B80" w:rsidP="00195B80">
            <w:pPr>
              <w:spacing w:before="40" w:after="40" w:line="240" w:lineRule="auto"/>
              <w:rPr>
                <w:rFonts w:ascii="Arial Narrow" w:hAnsi="Arial Narrow"/>
                <w:b/>
                <w:bCs/>
                <w:sz w:val="20"/>
                <w:szCs w:val="20"/>
              </w:rPr>
            </w:pPr>
            <w:r w:rsidRPr="007740EA">
              <w:rPr>
                <w:rFonts w:ascii="Arial Narrow" w:hAnsi="Arial Narrow"/>
                <w:b/>
                <w:bCs/>
                <w:sz w:val="20"/>
                <w:szCs w:val="20"/>
              </w:rPr>
              <w:t>Prevalent Patients with ≥60ml/min/1.73m</w:t>
            </w:r>
            <w:r w:rsidRPr="007740EA">
              <w:rPr>
                <w:rFonts w:ascii="Arial Narrow" w:hAnsi="Arial Narrow"/>
                <w:b/>
                <w:bCs/>
                <w:sz w:val="20"/>
                <w:szCs w:val="20"/>
                <w:vertAlign w:val="superscript"/>
              </w:rPr>
              <w:t>2</w:t>
            </w:r>
            <w:r w:rsidRPr="007740EA">
              <w:rPr>
                <w:rFonts w:ascii="Arial Narrow" w:hAnsi="Arial Narrow"/>
                <w:b/>
                <w:bCs/>
                <w:sz w:val="20"/>
                <w:szCs w:val="20"/>
              </w:rPr>
              <w:t xml:space="preserve"> eGFR AND 3-30mg/mmol </w:t>
            </w:r>
            <w:proofErr w:type="spellStart"/>
            <w:r w:rsidRPr="007740EA">
              <w:rPr>
                <w:rFonts w:ascii="Arial Narrow" w:hAnsi="Arial Narrow"/>
                <w:b/>
                <w:bCs/>
                <w:sz w:val="20"/>
                <w:szCs w:val="20"/>
              </w:rPr>
              <w:t>uACR</w:t>
            </w:r>
            <w:proofErr w:type="spellEnd"/>
            <w:r w:rsidRPr="007740EA">
              <w:rPr>
                <w:rFonts w:ascii="Arial Narrow" w:hAnsi="Arial Narrow"/>
                <w:b/>
                <w:bCs/>
                <w:sz w:val="20"/>
                <w:szCs w:val="20"/>
              </w:rPr>
              <w:t xml:space="preserve"> (KDIGO yellow zone)</w:t>
            </w:r>
          </w:p>
        </w:tc>
        <w:tc>
          <w:tcPr>
            <w:tcW w:w="1315" w:type="dxa"/>
            <w:noWrap/>
            <w:hideMark/>
          </w:tcPr>
          <w:p w14:paraId="74B22DDD" w14:textId="4FC176AA"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26.6%</w:t>
            </w:r>
          </w:p>
        </w:tc>
        <w:tc>
          <w:tcPr>
            <w:tcW w:w="1315" w:type="dxa"/>
            <w:noWrap/>
            <w:hideMark/>
          </w:tcPr>
          <w:p w14:paraId="72967FA7" w14:textId="4BF2398A"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26.6%</w:t>
            </w:r>
          </w:p>
        </w:tc>
        <w:tc>
          <w:tcPr>
            <w:tcW w:w="1315" w:type="dxa"/>
            <w:noWrap/>
            <w:hideMark/>
          </w:tcPr>
          <w:p w14:paraId="12AC19FD" w14:textId="26963E8C"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26.6%</w:t>
            </w:r>
          </w:p>
        </w:tc>
        <w:tc>
          <w:tcPr>
            <w:tcW w:w="1316" w:type="dxa"/>
            <w:noWrap/>
            <w:hideMark/>
          </w:tcPr>
          <w:p w14:paraId="6F6DBD2C" w14:textId="6CEA4B69"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26.6%</w:t>
            </w:r>
          </w:p>
        </w:tc>
      </w:tr>
      <w:tr w:rsidR="00195B80" w:rsidRPr="0034420E" w14:paraId="2E1A2745" w14:textId="77777777" w:rsidTr="007740EA">
        <w:trPr>
          <w:trHeight w:val="320"/>
        </w:trPr>
        <w:tc>
          <w:tcPr>
            <w:tcW w:w="4095" w:type="dxa"/>
            <w:noWrap/>
          </w:tcPr>
          <w:p w14:paraId="5E214402" w14:textId="735BF114" w:rsidR="00195B80" w:rsidRPr="007740EA" w:rsidRDefault="00195B80" w:rsidP="00195B80">
            <w:pPr>
              <w:spacing w:before="40" w:after="40" w:line="240" w:lineRule="auto"/>
              <w:rPr>
                <w:rFonts w:ascii="Arial Narrow" w:hAnsi="Arial Narrow"/>
                <w:b/>
                <w:bCs/>
                <w:sz w:val="20"/>
                <w:szCs w:val="20"/>
              </w:rPr>
            </w:pPr>
            <w:r w:rsidRPr="007740EA">
              <w:rPr>
                <w:rFonts w:ascii="Arial Narrow" w:hAnsi="Arial Narrow" w:cs="Calibri"/>
                <w:b/>
                <w:bCs/>
                <w:color w:val="000000"/>
                <w:sz w:val="20"/>
                <w:szCs w:val="20"/>
              </w:rPr>
              <w:t xml:space="preserve">Proportion of patients eligible for </w:t>
            </w:r>
            <w:proofErr w:type="spellStart"/>
            <w:r w:rsidRPr="007740EA">
              <w:rPr>
                <w:rFonts w:ascii="Arial Narrow" w:hAnsi="Arial Narrow" w:cs="Calibri"/>
                <w:b/>
                <w:bCs/>
                <w:color w:val="000000"/>
                <w:sz w:val="20"/>
                <w:szCs w:val="20"/>
              </w:rPr>
              <w:t>PromarkerD</w:t>
            </w:r>
            <w:proofErr w:type="spellEnd"/>
          </w:p>
        </w:tc>
        <w:tc>
          <w:tcPr>
            <w:tcW w:w="1315" w:type="dxa"/>
            <w:noWrap/>
          </w:tcPr>
          <w:p w14:paraId="3D3AEC79" w14:textId="293C88E0"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84.6%</w:t>
            </w:r>
          </w:p>
        </w:tc>
        <w:tc>
          <w:tcPr>
            <w:tcW w:w="1315" w:type="dxa"/>
            <w:noWrap/>
          </w:tcPr>
          <w:p w14:paraId="188EBF71" w14:textId="125BAF8D"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84.6%</w:t>
            </w:r>
          </w:p>
        </w:tc>
        <w:tc>
          <w:tcPr>
            <w:tcW w:w="1315" w:type="dxa"/>
            <w:noWrap/>
          </w:tcPr>
          <w:p w14:paraId="37531197" w14:textId="626A7436"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84.6%</w:t>
            </w:r>
          </w:p>
        </w:tc>
        <w:tc>
          <w:tcPr>
            <w:tcW w:w="1316" w:type="dxa"/>
            <w:noWrap/>
          </w:tcPr>
          <w:p w14:paraId="08D6A8E6" w14:textId="28F91A1A"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84.6%</w:t>
            </w:r>
          </w:p>
        </w:tc>
      </w:tr>
      <w:tr w:rsidR="00195B80" w:rsidRPr="0034420E" w14:paraId="4B8D15AB" w14:textId="77777777" w:rsidTr="007740EA">
        <w:trPr>
          <w:trHeight w:val="320"/>
        </w:trPr>
        <w:tc>
          <w:tcPr>
            <w:tcW w:w="4095" w:type="dxa"/>
            <w:noWrap/>
          </w:tcPr>
          <w:p w14:paraId="3C613FE2" w14:textId="776B3328" w:rsidR="00195B80" w:rsidRPr="007740EA" w:rsidRDefault="00195B80" w:rsidP="00195B80">
            <w:pPr>
              <w:spacing w:before="40" w:after="40" w:line="240" w:lineRule="auto"/>
              <w:rPr>
                <w:rFonts w:ascii="Arial Narrow" w:hAnsi="Arial Narrow"/>
                <w:b/>
                <w:bCs/>
                <w:sz w:val="20"/>
                <w:szCs w:val="20"/>
              </w:rPr>
            </w:pPr>
            <w:r w:rsidRPr="007740EA">
              <w:rPr>
                <w:rFonts w:ascii="Arial Narrow" w:hAnsi="Arial Narrow" w:cs="Calibri"/>
                <w:b/>
                <w:bCs/>
                <w:color w:val="000000"/>
                <w:sz w:val="20"/>
                <w:szCs w:val="20"/>
              </w:rPr>
              <w:t xml:space="preserve">Number of patients eligible for </w:t>
            </w:r>
            <w:proofErr w:type="spellStart"/>
            <w:r w:rsidRPr="007740EA">
              <w:rPr>
                <w:rFonts w:ascii="Arial Narrow" w:hAnsi="Arial Narrow" w:cs="Calibri"/>
                <w:b/>
                <w:bCs/>
                <w:color w:val="000000"/>
                <w:sz w:val="20"/>
                <w:szCs w:val="20"/>
              </w:rPr>
              <w:t>PromarkerD</w:t>
            </w:r>
            <w:proofErr w:type="spellEnd"/>
          </w:p>
        </w:tc>
        <w:tc>
          <w:tcPr>
            <w:tcW w:w="1315" w:type="dxa"/>
            <w:noWrap/>
          </w:tcPr>
          <w:p w14:paraId="79DC9551" w14:textId="66966BF5"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930,715</w:t>
            </w:r>
          </w:p>
        </w:tc>
        <w:tc>
          <w:tcPr>
            <w:tcW w:w="1315" w:type="dxa"/>
            <w:noWrap/>
          </w:tcPr>
          <w:p w14:paraId="1E594AED" w14:textId="33B87B88"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945,267</w:t>
            </w:r>
          </w:p>
        </w:tc>
        <w:tc>
          <w:tcPr>
            <w:tcW w:w="1315" w:type="dxa"/>
            <w:noWrap/>
          </w:tcPr>
          <w:p w14:paraId="629C1B5F" w14:textId="4767EEF7"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960,035</w:t>
            </w:r>
          </w:p>
        </w:tc>
        <w:tc>
          <w:tcPr>
            <w:tcW w:w="1316" w:type="dxa"/>
            <w:noWrap/>
          </w:tcPr>
          <w:p w14:paraId="19D2EAF9" w14:textId="79475C68"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974,950</w:t>
            </w:r>
          </w:p>
        </w:tc>
      </w:tr>
      <w:tr w:rsidR="00195B80" w:rsidRPr="0034420E" w14:paraId="24E7BD3A" w14:textId="77777777" w:rsidTr="007740EA">
        <w:trPr>
          <w:trHeight w:val="320"/>
        </w:trPr>
        <w:tc>
          <w:tcPr>
            <w:tcW w:w="4095" w:type="dxa"/>
            <w:noWrap/>
            <w:hideMark/>
          </w:tcPr>
          <w:p w14:paraId="7E851856" w14:textId="41B10A73" w:rsidR="00195B80" w:rsidRPr="007740EA" w:rsidRDefault="00195B80" w:rsidP="00195B80">
            <w:pPr>
              <w:spacing w:before="40" w:after="40" w:line="240" w:lineRule="auto"/>
              <w:rPr>
                <w:rFonts w:ascii="Arial Narrow" w:hAnsi="Arial Narrow"/>
                <w:b/>
                <w:bCs/>
                <w:sz w:val="20"/>
                <w:szCs w:val="20"/>
              </w:rPr>
            </w:pPr>
            <w:r w:rsidRPr="007740EA">
              <w:rPr>
                <w:rFonts w:ascii="Arial Narrow" w:hAnsi="Arial Narrow"/>
                <w:b/>
                <w:bCs/>
                <w:sz w:val="20"/>
                <w:szCs w:val="20"/>
              </w:rPr>
              <w:lastRenderedPageBreak/>
              <w:t>Annual Eligible Population</w:t>
            </w:r>
          </w:p>
        </w:tc>
        <w:tc>
          <w:tcPr>
            <w:tcW w:w="1315" w:type="dxa"/>
            <w:noWrap/>
            <w:hideMark/>
          </w:tcPr>
          <w:p w14:paraId="53038591" w14:textId="3FEAC39B"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232,679</w:t>
            </w:r>
          </w:p>
        </w:tc>
        <w:tc>
          <w:tcPr>
            <w:tcW w:w="1315" w:type="dxa"/>
            <w:noWrap/>
            <w:hideMark/>
          </w:tcPr>
          <w:p w14:paraId="4927DBEC" w14:textId="2C5EE561"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236,317</w:t>
            </w:r>
          </w:p>
        </w:tc>
        <w:tc>
          <w:tcPr>
            <w:tcW w:w="1315" w:type="dxa"/>
            <w:noWrap/>
            <w:hideMark/>
          </w:tcPr>
          <w:p w14:paraId="192CDB2E" w14:textId="4F928C6F"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240,009</w:t>
            </w:r>
          </w:p>
        </w:tc>
        <w:tc>
          <w:tcPr>
            <w:tcW w:w="1316" w:type="dxa"/>
            <w:noWrap/>
            <w:hideMark/>
          </w:tcPr>
          <w:p w14:paraId="68E14382" w14:textId="44226221"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243,738</w:t>
            </w:r>
          </w:p>
        </w:tc>
      </w:tr>
      <w:tr w:rsidR="00195B80" w:rsidRPr="0034420E" w14:paraId="0CA58948" w14:textId="77777777" w:rsidTr="007740EA">
        <w:trPr>
          <w:trHeight w:val="320"/>
        </w:trPr>
        <w:tc>
          <w:tcPr>
            <w:tcW w:w="4095" w:type="dxa"/>
            <w:noWrap/>
            <w:hideMark/>
          </w:tcPr>
          <w:p w14:paraId="69531C3B" w14:textId="761B63BA" w:rsidR="00195B80" w:rsidRPr="007740EA" w:rsidRDefault="00195B80" w:rsidP="00195B80">
            <w:pPr>
              <w:spacing w:before="40" w:after="40" w:line="240" w:lineRule="auto"/>
              <w:rPr>
                <w:rFonts w:ascii="Arial Narrow" w:hAnsi="Arial Narrow"/>
                <w:b/>
                <w:bCs/>
                <w:sz w:val="20"/>
                <w:szCs w:val="20"/>
              </w:rPr>
            </w:pPr>
            <w:proofErr w:type="spellStart"/>
            <w:r w:rsidRPr="007740EA">
              <w:rPr>
                <w:rFonts w:ascii="Arial Narrow" w:hAnsi="Arial Narrow"/>
                <w:b/>
                <w:bCs/>
                <w:sz w:val="20"/>
                <w:szCs w:val="20"/>
              </w:rPr>
              <w:t>PromarkerD</w:t>
            </w:r>
            <w:proofErr w:type="spellEnd"/>
            <w:r w:rsidRPr="007740EA">
              <w:rPr>
                <w:rFonts w:ascii="Arial Narrow" w:hAnsi="Arial Narrow"/>
                <w:b/>
                <w:bCs/>
                <w:sz w:val="20"/>
                <w:szCs w:val="20"/>
              </w:rPr>
              <w:t xml:space="preserve"> Uptake Rate</w:t>
            </w:r>
          </w:p>
        </w:tc>
        <w:tc>
          <w:tcPr>
            <w:tcW w:w="1315" w:type="dxa"/>
            <w:noWrap/>
            <w:hideMark/>
          </w:tcPr>
          <w:p w14:paraId="346EEC2F" w14:textId="13CDCB50"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2.5%</w:t>
            </w:r>
          </w:p>
        </w:tc>
        <w:tc>
          <w:tcPr>
            <w:tcW w:w="1315" w:type="dxa"/>
            <w:noWrap/>
            <w:hideMark/>
          </w:tcPr>
          <w:p w14:paraId="1E679E5E" w14:textId="58FD6F89"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5.0%</w:t>
            </w:r>
          </w:p>
        </w:tc>
        <w:tc>
          <w:tcPr>
            <w:tcW w:w="1315" w:type="dxa"/>
            <w:noWrap/>
            <w:hideMark/>
          </w:tcPr>
          <w:p w14:paraId="08334715" w14:textId="0DACD2CF"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7.5%</w:t>
            </w:r>
          </w:p>
        </w:tc>
        <w:tc>
          <w:tcPr>
            <w:tcW w:w="1316" w:type="dxa"/>
            <w:noWrap/>
            <w:hideMark/>
          </w:tcPr>
          <w:p w14:paraId="323A9652" w14:textId="3A20023A"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10.0%</w:t>
            </w:r>
          </w:p>
        </w:tc>
      </w:tr>
      <w:tr w:rsidR="00195B80" w:rsidRPr="0034420E" w14:paraId="7E9FAEC4" w14:textId="77777777" w:rsidTr="007740EA">
        <w:trPr>
          <w:trHeight w:val="320"/>
        </w:trPr>
        <w:tc>
          <w:tcPr>
            <w:tcW w:w="4095" w:type="dxa"/>
            <w:noWrap/>
            <w:hideMark/>
          </w:tcPr>
          <w:p w14:paraId="45903931" w14:textId="7902394B" w:rsidR="00195B80" w:rsidRPr="007740EA" w:rsidRDefault="00195B80" w:rsidP="00195B80">
            <w:pPr>
              <w:spacing w:before="40" w:after="40" w:line="240" w:lineRule="auto"/>
              <w:rPr>
                <w:rFonts w:ascii="Arial Narrow" w:hAnsi="Arial Narrow"/>
                <w:b/>
                <w:bCs/>
                <w:sz w:val="20"/>
                <w:szCs w:val="20"/>
              </w:rPr>
            </w:pPr>
            <w:r w:rsidRPr="007740EA">
              <w:rPr>
                <w:rFonts w:ascii="Arial Narrow" w:hAnsi="Arial Narrow"/>
                <w:b/>
                <w:bCs/>
                <w:sz w:val="20"/>
                <w:szCs w:val="20"/>
              </w:rPr>
              <w:t xml:space="preserve">Estimated </w:t>
            </w:r>
            <w:proofErr w:type="spellStart"/>
            <w:r w:rsidRPr="007740EA">
              <w:rPr>
                <w:rFonts w:ascii="Arial Narrow" w:hAnsi="Arial Narrow"/>
                <w:b/>
                <w:bCs/>
                <w:sz w:val="20"/>
                <w:szCs w:val="20"/>
              </w:rPr>
              <w:t>PromarkerD</w:t>
            </w:r>
            <w:proofErr w:type="spellEnd"/>
            <w:r w:rsidRPr="007740EA">
              <w:rPr>
                <w:rFonts w:ascii="Arial Narrow" w:hAnsi="Arial Narrow"/>
                <w:b/>
                <w:bCs/>
                <w:sz w:val="20"/>
                <w:szCs w:val="20"/>
              </w:rPr>
              <w:t xml:space="preserve"> Population</w:t>
            </w:r>
          </w:p>
        </w:tc>
        <w:tc>
          <w:tcPr>
            <w:tcW w:w="1315" w:type="dxa"/>
            <w:noWrap/>
            <w:hideMark/>
          </w:tcPr>
          <w:p w14:paraId="48EEE2D1" w14:textId="655CE45C"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5,817</w:t>
            </w:r>
          </w:p>
        </w:tc>
        <w:tc>
          <w:tcPr>
            <w:tcW w:w="1315" w:type="dxa"/>
            <w:noWrap/>
            <w:hideMark/>
          </w:tcPr>
          <w:p w14:paraId="0F8059D9" w14:textId="37B18FD7"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11,816</w:t>
            </w:r>
          </w:p>
        </w:tc>
        <w:tc>
          <w:tcPr>
            <w:tcW w:w="1315" w:type="dxa"/>
            <w:noWrap/>
            <w:hideMark/>
          </w:tcPr>
          <w:p w14:paraId="4A039F37" w14:textId="31E7EC98"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18,001</w:t>
            </w:r>
          </w:p>
        </w:tc>
        <w:tc>
          <w:tcPr>
            <w:tcW w:w="1316" w:type="dxa"/>
            <w:noWrap/>
            <w:hideMark/>
          </w:tcPr>
          <w:p w14:paraId="07FFE277" w14:textId="296C539E"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24,374</w:t>
            </w:r>
          </w:p>
        </w:tc>
      </w:tr>
      <w:tr w:rsidR="00195B80" w:rsidRPr="0034420E" w14:paraId="7053AC28" w14:textId="77777777" w:rsidTr="007740EA">
        <w:trPr>
          <w:trHeight w:val="320"/>
        </w:trPr>
        <w:tc>
          <w:tcPr>
            <w:tcW w:w="4095" w:type="dxa"/>
            <w:noWrap/>
          </w:tcPr>
          <w:p w14:paraId="4F00969B" w14:textId="3BD0AA6B" w:rsidR="00195B80" w:rsidRPr="007740EA" w:rsidRDefault="00195B80" w:rsidP="00195B80">
            <w:pPr>
              <w:spacing w:before="40" w:after="40" w:line="240" w:lineRule="auto"/>
              <w:rPr>
                <w:rFonts w:ascii="Arial Narrow" w:hAnsi="Arial Narrow"/>
                <w:b/>
                <w:bCs/>
                <w:sz w:val="20"/>
                <w:szCs w:val="20"/>
              </w:rPr>
            </w:pPr>
            <w:r w:rsidRPr="007740EA">
              <w:rPr>
                <w:rFonts w:ascii="Arial Narrow" w:hAnsi="Arial Narrow"/>
                <w:b/>
                <w:bCs/>
                <w:sz w:val="20"/>
                <w:szCs w:val="20"/>
              </w:rPr>
              <w:t>Rate of Moderate-High Risk Patients</w:t>
            </w:r>
          </w:p>
        </w:tc>
        <w:tc>
          <w:tcPr>
            <w:tcW w:w="1315" w:type="dxa"/>
            <w:noWrap/>
          </w:tcPr>
          <w:p w14:paraId="649E8675" w14:textId="4F26926D"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15%</w:t>
            </w:r>
          </w:p>
        </w:tc>
        <w:tc>
          <w:tcPr>
            <w:tcW w:w="1315" w:type="dxa"/>
            <w:noWrap/>
          </w:tcPr>
          <w:p w14:paraId="309921A7" w14:textId="15CC4B59"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15%</w:t>
            </w:r>
          </w:p>
        </w:tc>
        <w:tc>
          <w:tcPr>
            <w:tcW w:w="1315" w:type="dxa"/>
            <w:noWrap/>
          </w:tcPr>
          <w:p w14:paraId="7DACD3C3" w14:textId="59735073"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15%</w:t>
            </w:r>
          </w:p>
        </w:tc>
        <w:tc>
          <w:tcPr>
            <w:tcW w:w="1316" w:type="dxa"/>
            <w:noWrap/>
          </w:tcPr>
          <w:p w14:paraId="6A44E6B5" w14:textId="37E231AE"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15%</w:t>
            </w:r>
          </w:p>
        </w:tc>
      </w:tr>
      <w:tr w:rsidR="00195B80" w:rsidRPr="0034420E" w14:paraId="40F1A026" w14:textId="77777777" w:rsidTr="007740EA">
        <w:trPr>
          <w:trHeight w:val="320"/>
        </w:trPr>
        <w:tc>
          <w:tcPr>
            <w:tcW w:w="4095" w:type="dxa"/>
            <w:noWrap/>
          </w:tcPr>
          <w:p w14:paraId="550064C7" w14:textId="7B98BB3F" w:rsidR="00195B80" w:rsidRPr="007740EA" w:rsidRDefault="00195B80" w:rsidP="00195B80">
            <w:pPr>
              <w:spacing w:before="40" w:after="40" w:line="240" w:lineRule="auto"/>
              <w:rPr>
                <w:rFonts w:ascii="Arial Narrow" w:hAnsi="Arial Narrow"/>
                <w:b/>
                <w:bCs/>
                <w:sz w:val="20"/>
                <w:szCs w:val="20"/>
              </w:rPr>
            </w:pPr>
            <w:r w:rsidRPr="007740EA">
              <w:rPr>
                <w:rFonts w:ascii="Arial Narrow" w:hAnsi="Arial Narrow"/>
                <w:b/>
                <w:bCs/>
                <w:sz w:val="20"/>
                <w:szCs w:val="20"/>
              </w:rPr>
              <w:t>Number of Moderate-High Risk Patients</w:t>
            </w:r>
          </w:p>
        </w:tc>
        <w:tc>
          <w:tcPr>
            <w:tcW w:w="1315" w:type="dxa"/>
            <w:noWrap/>
          </w:tcPr>
          <w:p w14:paraId="0B271604" w14:textId="2D545454"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850</w:t>
            </w:r>
          </w:p>
        </w:tc>
        <w:tc>
          <w:tcPr>
            <w:tcW w:w="1315" w:type="dxa"/>
            <w:noWrap/>
          </w:tcPr>
          <w:p w14:paraId="75844442" w14:textId="1733D87C"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1,728</w:t>
            </w:r>
          </w:p>
        </w:tc>
        <w:tc>
          <w:tcPr>
            <w:tcW w:w="1315" w:type="dxa"/>
            <w:noWrap/>
          </w:tcPr>
          <w:p w14:paraId="6E3B89A4" w14:textId="3B04C8D7"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2,632</w:t>
            </w:r>
          </w:p>
        </w:tc>
        <w:tc>
          <w:tcPr>
            <w:tcW w:w="1316" w:type="dxa"/>
            <w:noWrap/>
          </w:tcPr>
          <w:p w14:paraId="7D1C478B" w14:textId="4199B7FF"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3,564</w:t>
            </w:r>
          </w:p>
        </w:tc>
      </w:tr>
      <w:tr w:rsidR="00195B80" w:rsidRPr="0034420E" w14:paraId="0A553E74" w14:textId="77777777" w:rsidTr="007740EA">
        <w:trPr>
          <w:trHeight w:val="320"/>
        </w:trPr>
        <w:tc>
          <w:tcPr>
            <w:tcW w:w="4095" w:type="dxa"/>
            <w:noWrap/>
          </w:tcPr>
          <w:p w14:paraId="1099A700" w14:textId="41348DF3" w:rsidR="00195B80" w:rsidRPr="007740EA" w:rsidRDefault="00195B80" w:rsidP="00195B80">
            <w:pPr>
              <w:spacing w:before="40" w:after="40" w:line="240" w:lineRule="auto"/>
              <w:rPr>
                <w:rFonts w:ascii="Arial Narrow" w:hAnsi="Arial Narrow"/>
                <w:b/>
                <w:bCs/>
                <w:sz w:val="20"/>
                <w:szCs w:val="20"/>
              </w:rPr>
            </w:pPr>
            <w:r w:rsidRPr="007740EA">
              <w:rPr>
                <w:rFonts w:ascii="Arial Narrow" w:hAnsi="Arial Narrow"/>
                <w:b/>
                <w:bCs/>
                <w:sz w:val="20"/>
                <w:szCs w:val="20"/>
              </w:rPr>
              <w:t xml:space="preserve">Total </w:t>
            </w:r>
            <w:proofErr w:type="spellStart"/>
            <w:r w:rsidRPr="007740EA">
              <w:rPr>
                <w:rFonts w:ascii="Arial Narrow" w:hAnsi="Arial Narrow"/>
                <w:b/>
                <w:bCs/>
                <w:sz w:val="20"/>
                <w:szCs w:val="20"/>
              </w:rPr>
              <w:t>PromarkerD</w:t>
            </w:r>
            <w:proofErr w:type="spellEnd"/>
            <w:r w:rsidRPr="007740EA">
              <w:rPr>
                <w:rFonts w:ascii="Arial Narrow" w:hAnsi="Arial Narrow"/>
                <w:b/>
                <w:bCs/>
                <w:sz w:val="20"/>
                <w:szCs w:val="20"/>
              </w:rPr>
              <w:t xml:space="preserve"> Services</w:t>
            </w:r>
          </w:p>
        </w:tc>
        <w:tc>
          <w:tcPr>
            <w:tcW w:w="1315" w:type="dxa"/>
            <w:noWrap/>
          </w:tcPr>
          <w:p w14:paraId="71A872A1" w14:textId="183674BA"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6,667</w:t>
            </w:r>
          </w:p>
        </w:tc>
        <w:tc>
          <w:tcPr>
            <w:tcW w:w="1315" w:type="dxa"/>
            <w:noWrap/>
          </w:tcPr>
          <w:p w14:paraId="66427D34" w14:textId="7C28C80D"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13,543</w:t>
            </w:r>
          </w:p>
        </w:tc>
        <w:tc>
          <w:tcPr>
            <w:tcW w:w="1315" w:type="dxa"/>
            <w:noWrap/>
          </w:tcPr>
          <w:p w14:paraId="1FCA1154" w14:textId="438F9BAD"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20,632</w:t>
            </w:r>
          </w:p>
        </w:tc>
        <w:tc>
          <w:tcPr>
            <w:tcW w:w="1316" w:type="dxa"/>
            <w:noWrap/>
          </w:tcPr>
          <w:p w14:paraId="26078A66" w14:textId="7754068C" w:rsidR="00195B80" w:rsidRPr="007740EA" w:rsidRDefault="00195B80" w:rsidP="00195B80">
            <w:pPr>
              <w:spacing w:before="40" w:after="40" w:line="240" w:lineRule="auto"/>
              <w:jc w:val="center"/>
              <w:rPr>
                <w:rFonts w:ascii="Arial Narrow" w:hAnsi="Arial Narrow"/>
                <w:b/>
                <w:bCs/>
                <w:sz w:val="20"/>
                <w:szCs w:val="20"/>
              </w:rPr>
            </w:pPr>
            <w:r w:rsidRPr="007740EA">
              <w:rPr>
                <w:rFonts w:ascii="Arial Narrow" w:hAnsi="Arial Narrow"/>
                <w:b/>
                <w:bCs/>
                <w:sz w:val="20"/>
                <w:szCs w:val="20"/>
              </w:rPr>
              <w:t>27,937</w:t>
            </w:r>
          </w:p>
        </w:tc>
      </w:tr>
    </w:tbl>
    <w:p w14:paraId="414AE965" w14:textId="6E74EA68" w:rsidR="003610B1" w:rsidRPr="0034420E" w:rsidRDefault="003610B1" w:rsidP="00F64DB8">
      <w:pPr>
        <w:rPr>
          <w:rFonts w:ascii="Arial Narrow" w:hAnsi="Arial Narrow"/>
          <w:sz w:val="18"/>
          <w:szCs w:val="18"/>
        </w:rPr>
      </w:pPr>
      <w:r w:rsidRPr="0034420E">
        <w:rPr>
          <w:rFonts w:ascii="Arial Narrow" w:hAnsi="Arial Narrow"/>
          <w:sz w:val="18"/>
          <w:szCs w:val="18"/>
        </w:rPr>
        <w:t>Source: Table 3, p21 of the application</w:t>
      </w:r>
    </w:p>
    <w:p w14:paraId="7E169370" w14:textId="619BDF27" w:rsidR="008133D1" w:rsidRPr="0034420E" w:rsidRDefault="008133D1" w:rsidP="00F64DB8">
      <w:r w:rsidRPr="0034420E">
        <w:t>The application estimated there would be 1.1 million adults with type 2 diabetes (applying a prevalence rate of 5.3% to the Australian adult population in 2022</w:t>
      </w:r>
      <w:r w:rsidR="003610B1" w:rsidRPr="0034420E">
        <w:t>)</w:t>
      </w:r>
      <w:r w:rsidRPr="0034420E">
        <w:t xml:space="preserve">. From this prevalent population, </w:t>
      </w:r>
      <w:r w:rsidR="003610B1" w:rsidRPr="0034420E">
        <w:t>the application</w:t>
      </w:r>
      <w:r w:rsidR="004C3C2A" w:rsidRPr="0034420E">
        <w:t xml:space="preserve"> </w:t>
      </w:r>
      <w:r w:rsidR="003610B1" w:rsidRPr="0034420E">
        <w:t xml:space="preserve">stated </w:t>
      </w:r>
      <w:r w:rsidRPr="0034420E">
        <w:t xml:space="preserve">84.6% of patients </w:t>
      </w:r>
      <w:r w:rsidR="003610B1" w:rsidRPr="0034420E">
        <w:t xml:space="preserve">are </w:t>
      </w:r>
      <w:r w:rsidRPr="0034420E">
        <w:t>expected to have both an eGFR of greater than or equal to 60ml/min/1.73m</w:t>
      </w:r>
      <w:r w:rsidRPr="0034420E">
        <w:rPr>
          <w:vertAlign w:val="superscript"/>
        </w:rPr>
        <w:t>2</w:t>
      </w:r>
      <w:r w:rsidRPr="0034420E">
        <w:t xml:space="preserve"> and uACR test result of less than or equal to 30mg/mmol</w:t>
      </w:r>
      <w:r w:rsidR="003610B1" w:rsidRPr="0034420E">
        <w:t xml:space="preserve"> (the eligible population). Patients are required to have both an eGFR ≥60ml/min/1.73m</w:t>
      </w:r>
      <w:r w:rsidR="003610B1" w:rsidRPr="0034420E">
        <w:rPr>
          <w:vertAlign w:val="superscript"/>
        </w:rPr>
        <w:t xml:space="preserve">2 </w:t>
      </w:r>
      <w:r w:rsidR="003610B1" w:rsidRPr="0034420E">
        <w:t xml:space="preserve">AND uACR ≤30mg/mmol. </w:t>
      </w:r>
    </w:p>
    <w:p w14:paraId="09FDDB48" w14:textId="4BF0ECD8" w:rsidR="00DA1F65" w:rsidRPr="0034420E" w:rsidRDefault="003610B1" w:rsidP="00C05D31">
      <w:pPr>
        <w:rPr>
          <w:i/>
          <w:iCs/>
        </w:rPr>
      </w:pPr>
      <w:r w:rsidRPr="0034420E">
        <w:t xml:space="preserve">The application proceeds to divide the eligible population by four on the basis that the test will be conducted every four years to estimate the annual population. </w:t>
      </w:r>
      <w:r w:rsidR="00853E9F" w:rsidRPr="0034420E">
        <w:t>This is not a correct approach to estimating the annual tested population. All patients meeting the criteria would be eligible in Year 1 (2022), and levels of testing would be dependent on the uptake rate</w:t>
      </w:r>
      <w:r w:rsidR="00853E9F" w:rsidRPr="0034420E">
        <w:rPr>
          <w:i/>
          <w:iCs/>
        </w:rPr>
        <w:t xml:space="preserve">. </w:t>
      </w:r>
      <w:r w:rsidR="00853E9F" w:rsidRPr="0034420E">
        <w:t>Based on the application’s assumption of a 2.5% uptake rate in the first year of listing, up to 23,</w:t>
      </w:r>
      <w:r w:rsidR="00601498" w:rsidRPr="0034420E">
        <w:t>268</w:t>
      </w:r>
      <w:r w:rsidR="00853E9F" w:rsidRPr="0034420E">
        <w:t xml:space="preserve"> (930,715 x 2.5%) patients would be tested in Year 1 (2022). Retesting of those with low-risk PromarkerD scores (the majority of these patients) would not occur again until 2026 (</w:t>
      </w:r>
      <w:r w:rsidR="00640746" w:rsidRPr="0034420E">
        <w:t xml:space="preserve">in </w:t>
      </w:r>
      <w:r w:rsidR="00853E9F" w:rsidRPr="0034420E">
        <w:t>four years)</w:t>
      </w:r>
      <w:r w:rsidR="00D65D3A" w:rsidRPr="0034420E">
        <w:t xml:space="preserve"> – these retested patients would need to be added to the ‘new’ population tested in 2026, based on the assumed uptake rate for that year</w:t>
      </w:r>
      <w:r w:rsidR="00601498" w:rsidRPr="0034420E">
        <w:rPr>
          <w:i/>
          <w:iCs/>
        </w:rPr>
        <w:t xml:space="preserve">. </w:t>
      </w:r>
      <w:r w:rsidR="00601498" w:rsidRPr="0034420E">
        <w:t>The application further expects that 30% (although stating 30% on p21 of the application, a rate of 15% is applied in the table above) of eligible patients will have a moderate- to high-risk score and will therefore be eligible for one test every two years as opposed to four years. This value was divided by two (one test per two years) and added to the annual PromarkerD population to calculate the total number of PromarkerD services. Again, this is not a correct approach to estimating utilisation; retesting of 15% (or 30%) of the Year 1 population (3,490 [23,268*15%])</w:t>
      </w:r>
      <w:r w:rsidR="00853E9F" w:rsidRPr="0034420E">
        <w:t xml:space="preserve">, </w:t>
      </w:r>
      <w:r w:rsidR="00601498" w:rsidRPr="0034420E">
        <w:t xml:space="preserve">should have been added to the number of tests expected </w:t>
      </w:r>
      <w:r w:rsidR="00640746" w:rsidRPr="0034420E">
        <w:t xml:space="preserve">among ‘new’ patients </w:t>
      </w:r>
      <w:r w:rsidR="00601498" w:rsidRPr="0034420E">
        <w:t xml:space="preserve">in </w:t>
      </w:r>
      <w:r w:rsidR="00853E9F" w:rsidRPr="0034420E">
        <w:t>2024</w:t>
      </w:r>
      <w:r w:rsidR="00640746" w:rsidRPr="0034420E">
        <w:t>, based on the assumed uptake rate for that year</w:t>
      </w:r>
      <w:r w:rsidR="00853E9F" w:rsidRPr="0034420E">
        <w:t>.</w:t>
      </w:r>
      <w:r w:rsidR="006755E0" w:rsidRPr="0034420E">
        <w:t xml:space="preserve"> </w:t>
      </w:r>
      <w:r w:rsidR="006755E0" w:rsidRPr="0034420E">
        <w:rPr>
          <w:rFonts w:asciiTheme="minorHAnsi" w:hAnsiTheme="minorHAnsi" w:cstheme="minorHAnsi"/>
          <w:i/>
          <w:iCs/>
        </w:rPr>
        <w:t>PASC questioned whether the population for retesting should include those with ‘moderate’ or ‘high’ risk PromarkerD scores as this would already initiate intensified treatment that would be maintained over time. PASC stated that justification of continued retesting of those with ‘moderate’ and ‘high’ risk PromarkerD scores would need to be addressed in the assessment report.</w:t>
      </w:r>
    </w:p>
    <w:p w14:paraId="09CFB919" w14:textId="3F585549" w:rsidR="00640746" w:rsidRPr="0034420E" w:rsidRDefault="00640746" w:rsidP="00C05D31">
      <w:r w:rsidRPr="0034420E">
        <w:t>The estimates of the financial implications will need to be corrected and clarified in the assessment report.</w:t>
      </w:r>
    </w:p>
    <w:p w14:paraId="5A1F16A9" w14:textId="59D265AF" w:rsidR="004C3D28" w:rsidRPr="0034420E" w:rsidRDefault="004C3D28" w:rsidP="004C3D28">
      <w:pPr>
        <w:pStyle w:val="Heading3"/>
      </w:pPr>
      <w:r w:rsidRPr="0034420E">
        <w:t>Prior tests</w:t>
      </w:r>
    </w:p>
    <w:p w14:paraId="41C9144E" w14:textId="3C92DF84" w:rsidR="004C3D28" w:rsidRPr="0034420E" w:rsidRDefault="005C31F3" w:rsidP="004C3D28">
      <w:r w:rsidRPr="0034420E">
        <w:t xml:space="preserve">In order </w:t>
      </w:r>
      <w:r w:rsidR="004C3D28" w:rsidRPr="0034420E">
        <w:t>to determine which patients are eligible for PromarkerD</w:t>
      </w:r>
      <w:r w:rsidR="001A0D9A" w:rsidRPr="0034420E">
        <w:t>,</w:t>
      </w:r>
      <w:r w:rsidR="004C3D28" w:rsidRPr="0034420E">
        <w:t xml:space="preserve"> and because the use of PromarkerD requires the input of several clinical factors, the tests required prior to the use of PromarkerD are:</w:t>
      </w:r>
    </w:p>
    <w:p w14:paraId="3CA134D7" w14:textId="5158D2C8" w:rsidR="004C3D28" w:rsidRPr="0034420E" w:rsidRDefault="004C3D28" w:rsidP="00EC5DB4">
      <w:pPr>
        <w:pStyle w:val="ListParagraph"/>
        <w:numPr>
          <w:ilvl w:val="0"/>
          <w:numId w:val="2"/>
        </w:numPr>
        <w:ind w:left="284" w:hanging="284"/>
      </w:pPr>
      <w:r w:rsidRPr="0034420E">
        <w:t xml:space="preserve">Tests required to confirm diagnosis of </w:t>
      </w:r>
      <w:r w:rsidR="00B73AC5" w:rsidRPr="0034420E">
        <w:t>T2DM</w:t>
      </w:r>
      <w:r w:rsidR="005C31F3" w:rsidRPr="0034420E">
        <w:t>;</w:t>
      </w:r>
    </w:p>
    <w:p w14:paraId="0F74E4A4" w14:textId="61225259" w:rsidR="004C3D28" w:rsidRPr="0034420E" w:rsidRDefault="004C3D28" w:rsidP="00EC5DB4">
      <w:pPr>
        <w:pStyle w:val="ListParagraph"/>
        <w:numPr>
          <w:ilvl w:val="0"/>
          <w:numId w:val="2"/>
        </w:numPr>
        <w:ind w:left="284" w:hanging="284"/>
      </w:pPr>
      <w:r w:rsidRPr="0034420E">
        <w:t>Measurement of eGFR</w:t>
      </w:r>
      <w:r w:rsidR="005C31F3" w:rsidRPr="0034420E">
        <w:t>;</w:t>
      </w:r>
      <w:r w:rsidR="00310723" w:rsidRPr="0034420E">
        <w:t xml:space="preserve"> and</w:t>
      </w:r>
    </w:p>
    <w:p w14:paraId="3C7BAED5" w14:textId="08FCC2C4" w:rsidR="004C3D28" w:rsidRPr="0034420E" w:rsidRDefault="00496AE3" w:rsidP="00EC5DB4">
      <w:pPr>
        <w:pStyle w:val="ListParagraph"/>
        <w:numPr>
          <w:ilvl w:val="0"/>
          <w:numId w:val="2"/>
        </w:numPr>
        <w:ind w:left="284" w:hanging="284"/>
      </w:pPr>
      <w:r w:rsidRPr="0034420E">
        <w:t>Measurement of uACR</w:t>
      </w:r>
      <w:r w:rsidR="005C31F3" w:rsidRPr="0034420E">
        <w:t>.</w:t>
      </w:r>
    </w:p>
    <w:p w14:paraId="1AE1804E" w14:textId="08CEC15A" w:rsidR="00310723" w:rsidRPr="0034420E" w:rsidRDefault="00310723" w:rsidP="00EB28D9">
      <w:pPr>
        <w:rPr>
          <w:rFonts w:asciiTheme="minorHAnsi" w:hAnsiTheme="minorHAnsi" w:cstheme="minorHAnsi"/>
          <w:i/>
          <w:iCs/>
        </w:rPr>
      </w:pPr>
      <w:r w:rsidRPr="0034420E">
        <w:rPr>
          <w:rFonts w:asciiTheme="minorHAnsi" w:hAnsiTheme="minorHAnsi" w:cstheme="minorHAnsi"/>
          <w:i/>
          <w:iCs/>
        </w:rPr>
        <w:t xml:space="preserve">PASC confirmed the prior tests to be tests to diagnose T2DM, </w:t>
      </w:r>
      <w:r w:rsidR="00C47E52" w:rsidRPr="0034420E">
        <w:rPr>
          <w:rFonts w:asciiTheme="minorHAnsi" w:hAnsiTheme="minorHAnsi" w:cstheme="minorHAnsi"/>
          <w:i/>
          <w:iCs/>
        </w:rPr>
        <w:t xml:space="preserve">i.e., </w:t>
      </w:r>
      <w:r w:rsidRPr="0034420E">
        <w:rPr>
          <w:rFonts w:asciiTheme="minorHAnsi" w:hAnsiTheme="minorHAnsi" w:cstheme="minorHAnsi"/>
          <w:i/>
          <w:iCs/>
        </w:rPr>
        <w:t>eGFR and uACR.</w:t>
      </w:r>
    </w:p>
    <w:p w14:paraId="18620DA6" w14:textId="74BB07F0" w:rsidR="00420AB8" w:rsidRPr="0034420E" w:rsidRDefault="00A63E58" w:rsidP="00EB28D9">
      <w:r w:rsidRPr="0034420E">
        <w:lastRenderedPageBreak/>
        <w:t xml:space="preserve">It is </w:t>
      </w:r>
      <w:r w:rsidR="002B54A9" w:rsidRPr="0034420E">
        <w:t xml:space="preserve">generally </w:t>
      </w:r>
      <w:r w:rsidRPr="0034420E">
        <w:t xml:space="preserve">recommended that people with </w:t>
      </w:r>
      <w:r w:rsidR="00B73AC5" w:rsidRPr="0034420E">
        <w:t>T2DM</w:t>
      </w:r>
      <w:r w:rsidRPr="0034420E">
        <w:t xml:space="preserve"> undergo annual measurement eGFR and uACR</w:t>
      </w:r>
      <w:r w:rsidR="00B72896" w:rsidRPr="0034420E">
        <w:t xml:space="preserve"> (RACGP, Management of type 2 diabetes handbook for general practice)</w:t>
      </w:r>
      <w:r w:rsidR="004A4C66" w:rsidRPr="0034420E">
        <w:t xml:space="preserve">. </w:t>
      </w:r>
      <w:r w:rsidR="004A4C66" w:rsidRPr="0034420E">
        <w:rPr>
          <w:i/>
          <w:iCs/>
        </w:rPr>
        <w:t>N</w:t>
      </w:r>
      <w:r w:rsidR="00A10F43" w:rsidRPr="0034420E">
        <w:rPr>
          <w:i/>
          <w:iCs/>
        </w:rPr>
        <w:t>o timeframe for the eGFR</w:t>
      </w:r>
      <w:r w:rsidR="00310723" w:rsidRPr="0034420E">
        <w:rPr>
          <w:i/>
          <w:iCs/>
        </w:rPr>
        <w:t xml:space="preserve"> and </w:t>
      </w:r>
      <w:r w:rsidR="00A10F43" w:rsidRPr="0034420E">
        <w:rPr>
          <w:i/>
          <w:iCs/>
        </w:rPr>
        <w:t>uACR tests were provided in the application</w:t>
      </w:r>
      <w:r w:rsidR="004A4C66" w:rsidRPr="0034420E">
        <w:rPr>
          <w:i/>
          <w:iCs/>
        </w:rPr>
        <w:t xml:space="preserve"> other than that they are required prior</w:t>
      </w:r>
      <w:r w:rsidR="0045691F" w:rsidRPr="0034420E">
        <w:rPr>
          <w:i/>
          <w:iCs/>
        </w:rPr>
        <w:t xml:space="preserve"> </w:t>
      </w:r>
      <w:r w:rsidR="004A4C66" w:rsidRPr="0034420E">
        <w:rPr>
          <w:i/>
          <w:iCs/>
        </w:rPr>
        <w:t>to use of PromarkerD</w:t>
      </w:r>
      <w:r w:rsidR="00A10F43" w:rsidRPr="0034420E">
        <w:rPr>
          <w:i/>
          <w:iCs/>
        </w:rPr>
        <w:t>.</w:t>
      </w:r>
      <w:r w:rsidR="0045691F" w:rsidRPr="0034420E">
        <w:rPr>
          <w:i/>
          <w:iCs/>
        </w:rPr>
        <w:t xml:space="preserve"> </w:t>
      </w:r>
      <w:r w:rsidR="0045691F" w:rsidRPr="0034420E">
        <w:t xml:space="preserve">The applicant provided additional information that the eGFR </w:t>
      </w:r>
      <w:r w:rsidR="00420AB8" w:rsidRPr="0034420E">
        <w:t xml:space="preserve">and HDL </w:t>
      </w:r>
      <w:r w:rsidR="0045691F" w:rsidRPr="0034420E">
        <w:t>results should be no older than six months</w:t>
      </w:r>
      <w:r w:rsidR="00420AB8" w:rsidRPr="0034420E">
        <w:t xml:space="preserve">. The applicant suggested that as uACR is not a required input of the PromarkerD test itself, the uACR results may be from the same period as the eGFR result, </w:t>
      </w:r>
      <w:proofErr w:type="gramStart"/>
      <w:r w:rsidR="00420AB8" w:rsidRPr="0034420E">
        <w:t>i.e.</w:t>
      </w:r>
      <w:proofErr w:type="gramEnd"/>
      <w:r w:rsidR="00420AB8" w:rsidRPr="0034420E">
        <w:t xml:space="preserve"> no older than 6 months.</w:t>
      </w:r>
    </w:p>
    <w:p w14:paraId="67A58135" w14:textId="30FE1142" w:rsidR="00EB28D9" w:rsidRPr="0034420E" w:rsidRDefault="00A90641" w:rsidP="00EB28D9">
      <w:r w:rsidRPr="0034420E">
        <w:rPr>
          <w:i/>
          <w:iCs/>
        </w:rPr>
        <w:t xml:space="preserve">The “age” of test results will be important to the financial estimates as patients with test results deemed “too old” may receive </w:t>
      </w:r>
      <w:proofErr w:type="gramStart"/>
      <w:r w:rsidRPr="0034420E">
        <w:rPr>
          <w:i/>
          <w:iCs/>
        </w:rPr>
        <w:t>these test</w:t>
      </w:r>
      <w:proofErr w:type="gramEnd"/>
      <w:r w:rsidRPr="0034420E">
        <w:rPr>
          <w:i/>
          <w:iCs/>
        </w:rPr>
        <w:t xml:space="preserve"> more than annually, as recommended.</w:t>
      </w:r>
    </w:p>
    <w:p w14:paraId="5FD7D3CD" w14:textId="3D2B4DF7" w:rsidR="00B3390D" w:rsidRPr="0034420E" w:rsidRDefault="007A66C8" w:rsidP="0076589E">
      <w:pPr>
        <w:pStyle w:val="Heading3"/>
      </w:pPr>
      <w:r w:rsidRPr="0034420E">
        <w:t>Intervention</w:t>
      </w:r>
    </w:p>
    <w:p w14:paraId="260FAFD9" w14:textId="2BEC40F6" w:rsidR="000F3984" w:rsidRPr="0034420E" w:rsidRDefault="000F3984" w:rsidP="000F3984">
      <w:r w:rsidRPr="0034420E">
        <w:t xml:space="preserve">PromarkerD is an </w:t>
      </w:r>
      <w:r w:rsidRPr="0034420E">
        <w:rPr>
          <w:i/>
          <w:iCs/>
        </w:rPr>
        <w:t>in</w:t>
      </w:r>
      <w:r w:rsidR="00AD0957" w:rsidRPr="0034420E">
        <w:rPr>
          <w:i/>
          <w:iCs/>
        </w:rPr>
        <w:t xml:space="preserve"> </w:t>
      </w:r>
      <w:r w:rsidRPr="0034420E">
        <w:rPr>
          <w:i/>
          <w:iCs/>
        </w:rPr>
        <w:t>vitro</w:t>
      </w:r>
      <w:r w:rsidRPr="0034420E">
        <w:t xml:space="preserve"> quantitative blood test designed to predict incident DKD or progression of DKD in patients with </w:t>
      </w:r>
      <w:r w:rsidR="00B73AC5" w:rsidRPr="0034420E">
        <w:t>T2DM</w:t>
      </w:r>
      <w:r w:rsidR="004C3D28" w:rsidRPr="0034420E">
        <w:t xml:space="preserve"> before kidney damage occurs</w:t>
      </w:r>
      <w:r w:rsidRPr="0034420E">
        <w:t>.</w:t>
      </w:r>
    </w:p>
    <w:p w14:paraId="2916635B" w14:textId="7898AC8A" w:rsidR="00746F75" w:rsidRPr="0034420E" w:rsidRDefault="00746F75" w:rsidP="00746F75">
      <w:pPr>
        <w:jc w:val="both"/>
      </w:pPr>
      <w:r w:rsidRPr="0034420E">
        <w:t>PromarkerD detects three protein biomarkers (analytes) in human plasma:</w:t>
      </w:r>
    </w:p>
    <w:p w14:paraId="5AEE503B" w14:textId="3E775DF5" w:rsidR="00746F75" w:rsidRPr="0034420E" w:rsidRDefault="00746F75" w:rsidP="00EC5DB4">
      <w:pPr>
        <w:pStyle w:val="ListParagraph"/>
        <w:numPr>
          <w:ilvl w:val="0"/>
          <w:numId w:val="2"/>
        </w:numPr>
        <w:ind w:left="284" w:hanging="284"/>
      </w:pPr>
      <w:r w:rsidRPr="0034420E">
        <w:t>Biomarker-1 Apolipoprotein A4 (ApoA4)</w:t>
      </w:r>
      <w:r w:rsidR="00AD0957" w:rsidRPr="0034420E">
        <w:t>;</w:t>
      </w:r>
    </w:p>
    <w:p w14:paraId="0388CDCA" w14:textId="7BB58F8B" w:rsidR="00746F75" w:rsidRPr="0034420E" w:rsidRDefault="00746F75" w:rsidP="00EC5DB4">
      <w:pPr>
        <w:pStyle w:val="ListParagraph"/>
        <w:numPr>
          <w:ilvl w:val="0"/>
          <w:numId w:val="2"/>
        </w:numPr>
        <w:ind w:left="284" w:hanging="284"/>
      </w:pPr>
      <w:r w:rsidRPr="0034420E">
        <w:t>Biomarker-2 CD5 antigen-like (CD5L)</w:t>
      </w:r>
      <w:r w:rsidR="00AD0957" w:rsidRPr="0034420E">
        <w:t>; and</w:t>
      </w:r>
    </w:p>
    <w:p w14:paraId="324B7681" w14:textId="7F50D3C2" w:rsidR="00746F75" w:rsidRPr="0034420E" w:rsidRDefault="00746F75" w:rsidP="00EC5DB4">
      <w:pPr>
        <w:pStyle w:val="ListParagraph"/>
        <w:numPr>
          <w:ilvl w:val="0"/>
          <w:numId w:val="2"/>
        </w:numPr>
        <w:ind w:left="284" w:hanging="284"/>
      </w:pPr>
      <w:r w:rsidRPr="0034420E">
        <w:t>Biomarker-3 Insulin growth factor binding protein 3 (IBP3)</w:t>
      </w:r>
      <w:r w:rsidR="00AD0957" w:rsidRPr="0034420E">
        <w:t>.</w:t>
      </w:r>
    </w:p>
    <w:p w14:paraId="42D9D0ED" w14:textId="524F5249" w:rsidR="000F3984" w:rsidRPr="0034420E" w:rsidRDefault="000F3984" w:rsidP="000F3984">
      <w:r w:rsidRPr="0034420E">
        <w:t>The concentration of the biomarkers, along with clinical factors</w:t>
      </w:r>
      <w:bookmarkStart w:id="4" w:name="_Hlk84750238"/>
      <w:r w:rsidR="00746F75" w:rsidRPr="0034420E">
        <w:t xml:space="preserve"> (age, HDL-cholesterol, eGFR)</w:t>
      </w:r>
      <w:bookmarkEnd w:id="4"/>
      <w:r w:rsidRPr="0034420E">
        <w:t xml:space="preserve">, are entered into the PromarkerD Hub, a static proprietary software algorithm which characterises </w:t>
      </w:r>
      <w:r w:rsidR="00F872EE" w:rsidRPr="0034420E">
        <w:t xml:space="preserve">each </w:t>
      </w:r>
      <w:r w:rsidRPr="0034420E">
        <w:t xml:space="preserve">patient as </w:t>
      </w:r>
      <w:r w:rsidR="00F872EE" w:rsidRPr="0034420E">
        <w:t xml:space="preserve">having </w:t>
      </w:r>
      <w:r w:rsidRPr="0034420E">
        <w:t>low-risk, moderate-risk or high-risk of developing DKD (defined as eGFR below 60 mL/min/1.73m</w:t>
      </w:r>
      <w:r w:rsidRPr="0034420E">
        <w:rPr>
          <w:vertAlign w:val="superscript"/>
        </w:rPr>
        <w:t>2</w:t>
      </w:r>
      <w:r w:rsidRPr="0034420E">
        <w:t>) within</w:t>
      </w:r>
      <w:r w:rsidR="00B73AC5" w:rsidRPr="0034420E">
        <w:t xml:space="preserve"> the next</w:t>
      </w:r>
      <w:r w:rsidRPr="0034420E">
        <w:t xml:space="preserve"> </w:t>
      </w:r>
      <w:r w:rsidR="00F872EE" w:rsidRPr="0034420E">
        <w:t>four</w:t>
      </w:r>
      <w:r w:rsidRPr="0034420E">
        <w:t xml:space="preserve"> years or a decline in eGFR of ≥30% over </w:t>
      </w:r>
      <w:r w:rsidR="00F872EE" w:rsidRPr="0034420E">
        <w:t>four</w:t>
      </w:r>
      <w:r w:rsidRPr="0034420E">
        <w:t xml:space="preserve"> years.</w:t>
      </w:r>
    </w:p>
    <w:p w14:paraId="48149256" w14:textId="25985FF1" w:rsidR="00310723" w:rsidRPr="0034420E" w:rsidRDefault="00310723" w:rsidP="000F3984">
      <w:r w:rsidRPr="0034420E">
        <w:rPr>
          <w:rFonts w:asciiTheme="minorHAnsi" w:hAnsiTheme="minorHAnsi" w:cstheme="minorHAnsi"/>
          <w:i/>
          <w:iCs/>
        </w:rPr>
        <w:t xml:space="preserve">PASC noted that the PromarkerD risk score was based on the analysis of three biomarkers (ApoA4, CD5L and IBP3) AND </w:t>
      </w:r>
      <w:r w:rsidR="00C47E52" w:rsidRPr="0034420E">
        <w:rPr>
          <w:rFonts w:asciiTheme="minorHAnsi" w:hAnsiTheme="minorHAnsi" w:cstheme="minorHAnsi"/>
          <w:i/>
          <w:iCs/>
        </w:rPr>
        <w:t xml:space="preserve">the </w:t>
      </w:r>
      <w:r w:rsidRPr="0034420E">
        <w:rPr>
          <w:rFonts w:asciiTheme="minorHAnsi" w:hAnsiTheme="minorHAnsi" w:cstheme="minorHAnsi"/>
          <w:i/>
          <w:iCs/>
        </w:rPr>
        <w:t xml:space="preserve">patient’s age, HDL-cholesterol and eGFR. Although the applicant indicated that HDL-cholesterol and eGFR should not be more than 6 months old, PASC questioned whether the pathologist would routinely have this information easily accessible to input to the PromarkerD hub. </w:t>
      </w:r>
      <w:r w:rsidRPr="0034420E">
        <w:rPr>
          <w:rFonts w:asciiTheme="minorHAnsi" w:hAnsiTheme="minorHAnsi" w:cstheme="minorHAnsi"/>
        </w:rPr>
        <w:t xml:space="preserve">The applicant asked whether these details could be provided by the general practitioner (GP). </w:t>
      </w:r>
      <w:r w:rsidRPr="0034420E">
        <w:rPr>
          <w:rFonts w:asciiTheme="minorHAnsi" w:hAnsiTheme="minorHAnsi" w:cstheme="minorHAnsi"/>
          <w:i/>
          <w:iCs/>
        </w:rPr>
        <w:t>PASC considered that provision of this information by the GP would be unlikely and that it was more likely the tests for HDL-cholesterol and eGFR would need to done (or repeated) at the time of PromarkerD testing. PASC stated that this (re)testing of HDL and eGFR needs to be considered in the costings.</w:t>
      </w:r>
    </w:p>
    <w:p w14:paraId="13FBB662" w14:textId="2BE50697" w:rsidR="00D124FA" w:rsidRPr="0034420E" w:rsidRDefault="00D124FA" w:rsidP="00AD0957">
      <w:pPr>
        <w:pStyle w:val="Heading4"/>
        <w:spacing w:after="200"/>
      </w:pPr>
      <w:r w:rsidRPr="0034420E">
        <w:t>PromarkerD clinical process</w:t>
      </w:r>
    </w:p>
    <w:p w14:paraId="21FBA3E9" w14:textId="0C3A9A89" w:rsidR="00FB47AB" w:rsidRPr="0034420E" w:rsidRDefault="00FB47AB" w:rsidP="00FB47AB">
      <w:pPr>
        <w:jc w:val="both"/>
      </w:pPr>
      <w:r w:rsidRPr="0034420E">
        <w:t>The steps involved in the use of PromarkerD are:</w:t>
      </w:r>
    </w:p>
    <w:p w14:paraId="4DCBDFFC" w14:textId="783F5641" w:rsidR="00FB47AB" w:rsidRPr="0034420E" w:rsidRDefault="00FB47AB" w:rsidP="00EC5DB4">
      <w:pPr>
        <w:pStyle w:val="ListParagraph"/>
        <w:numPr>
          <w:ilvl w:val="0"/>
          <w:numId w:val="3"/>
        </w:numPr>
        <w:spacing w:before="120" w:after="120"/>
        <w:ind w:left="284" w:hanging="284"/>
      </w:pPr>
      <w:r w:rsidRPr="0034420E">
        <w:t xml:space="preserve">A patient with </w:t>
      </w:r>
      <w:r w:rsidR="00663972" w:rsidRPr="0034420E">
        <w:t>T2DM</w:t>
      </w:r>
      <w:r w:rsidRPr="0034420E">
        <w:t xml:space="preserve"> would be seen by their managing clinician </w:t>
      </w:r>
      <w:r w:rsidR="00185659" w:rsidRPr="0034420E">
        <w:t xml:space="preserve">(most commonly a </w:t>
      </w:r>
      <w:r w:rsidR="00AD0957" w:rsidRPr="0034420E">
        <w:t>GP</w:t>
      </w:r>
      <w:r w:rsidR="00185659" w:rsidRPr="0034420E">
        <w:t xml:space="preserve">) </w:t>
      </w:r>
      <w:r w:rsidRPr="0034420E">
        <w:t>regularly for general monitoring and annual standard of care tests, including eGFR and uACR to assess their kidney function</w:t>
      </w:r>
      <w:r w:rsidR="00AD0957" w:rsidRPr="0034420E">
        <w:t>.</w:t>
      </w:r>
    </w:p>
    <w:p w14:paraId="215CA52F" w14:textId="6E990F0F" w:rsidR="00FB47AB" w:rsidRPr="0034420E" w:rsidRDefault="00FB47AB" w:rsidP="00EC5DB4">
      <w:pPr>
        <w:pStyle w:val="ListParagraph"/>
        <w:numPr>
          <w:ilvl w:val="0"/>
          <w:numId w:val="3"/>
        </w:numPr>
        <w:spacing w:before="120" w:after="120"/>
        <w:ind w:left="284" w:hanging="284"/>
      </w:pPr>
      <w:r w:rsidRPr="0034420E">
        <w:t>The managing clinician would request PromarkerD for patients with a recent history of eGFR and uACR results who meet the eligibility criteria</w:t>
      </w:r>
      <w:r w:rsidR="00AD0957" w:rsidRPr="0034420E">
        <w:t>.</w:t>
      </w:r>
    </w:p>
    <w:p w14:paraId="7A39BF5B" w14:textId="39B40924" w:rsidR="00FB47AB" w:rsidRPr="0034420E" w:rsidRDefault="00FB47AB" w:rsidP="00EC5DB4">
      <w:pPr>
        <w:pStyle w:val="ListParagraph"/>
        <w:numPr>
          <w:ilvl w:val="0"/>
          <w:numId w:val="3"/>
        </w:numPr>
        <w:spacing w:before="120" w:after="0"/>
        <w:ind w:left="284" w:hanging="284"/>
      </w:pPr>
      <w:r w:rsidRPr="0034420E">
        <w:t>Patients would be referred to pathology for a blood draw</w:t>
      </w:r>
      <w:r w:rsidR="00AD0957" w:rsidRPr="0034420E">
        <w:t>.</w:t>
      </w:r>
    </w:p>
    <w:p w14:paraId="146F0A9C" w14:textId="1155EB33" w:rsidR="00FB47AB" w:rsidRPr="0034420E" w:rsidRDefault="00FB47AB" w:rsidP="00EC5DB4">
      <w:pPr>
        <w:pStyle w:val="ListParagraph"/>
        <w:numPr>
          <w:ilvl w:val="0"/>
          <w:numId w:val="3"/>
        </w:numPr>
        <w:spacing w:before="120" w:after="120"/>
        <w:ind w:left="284" w:hanging="284"/>
      </w:pPr>
      <w:r w:rsidRPr="0034420E">
        <w:t xml:space="preserve">Blood samples would be sent to accredited pathology laboratories where the PromarkerD kit would be used to </w:t>
      </w:r>
      <w:r w:rsidR="002734F9" w:rsidRPr="0034420E">
        <w:t>measure each protein</w:t>
      </w:r>
      <w:r w:rsidRPr="0034420E">
        <w:t xml:space="preserve"> biomarker </w:t>
      </w:r>
      <w:r w:rsidR="002734F9" w:rsidRPr="0034420E">
        <w:t xml:space="preserve">in the sample </w:t>
      </w:r>
      <w:r w:rsidRPr="0034420E">
        <w:t>via ELISA</w:t>
      </w:r>
      <w:r w:rsidR="00FE0ACE" w:rsidRPr="0034420E">
        <w:t xml:space="preserve"> (enzyme-linked immuno</w:t>
      </w:r>
      <w:r w:rsidR="00C47E52" w:rsidRPr="0034420E">
        <w:t xml:space="preserve">sorbent </w:t>
      </w:r>
      <w:r w:rsidR="00FE0ACE" w:rsidRPr="0034420E">
        <w:t>assay)</w:t>
      </w:r>
      <w:r w:rsidR="00AD0957" w:rsidRPr="0034420E">
        <w:t>.</w:t>
      </w:r>
    </w:p>
    <w:p w14:paraId="02F6C297" w14:textId="75CD871D" w:rsidR="00FB47AB" w:rsidRPr="0034420E" w:rsidRDefault="00FB47AB" w:rsidP="00EC5DB4">
      <w:pPr>
        <w:pStyle w:val="ListParagraph"/>
        <w:numPr>
          <w:ilvl w:val="0"/>
          <w:numId w:val="3"/>
        </w:numPr>
        <w:spacing w:before="120" w:after="120"/>
        <w:ind w:left="284" w:hanging="284"/>
      </w:pPr>
      <w:r w:rsidRPr="0034420E">
        <w:t>Test results would be interpreted and uploaded into the PromarkerD hub by pathologists to produce a risk score</w:t>
      </w:r>
      <w:r w:rsidR="00AD0957" w:rsidRPr="0034420E">
        <w:t>.</w:t>
      </w:r>
    </w:p>
    <w:p w14:paraId="4F93CC02" w14:textId="7545B5C9" w:rsidR="00FB47AB" w:rsidRPr="0034420E" w:rsidRDefault="00FB47AB" w:rsidP="00EC5DB4">
      <w:pPr>
        <w:pStyle w:val="ListParagraph"/>
        <w:numPr>
          <w:ilvl w:val="0"/>
          <w:numId w:val="3"/>
        </w:numPr>
        <w:spacing w:before="120" w:after="120"/>
        <w:ind w:left="284" w:hanging="284"/>
      </w:pPr>
      <w:r w:rsidRPr="0034420E">
        <w:lastRenderedPageBreak/>
        <w:t>The PromarkerD risk score would be provided to managing clinicians who would then relay that information to patients</w:t>
      </w:r>
      <w:r w:rsidR="00AD0957" w:rsidRPr="0034420E">
        <w:t>.</w:t>
      </w:r>
    </w:p>
    <w:p w14:paraId="7406488F" w14:textId="54D20DEA" w:rsidR="00FB47AB" w:rsidRPr="0034420E" w:rsidRDefault="00FB47AB" w:rsidP="00EC5DB4">
      <w:pPr>
        <w:pStyle w:val="ListParagraph"/>
        <w:numPr>
          <w:ilvl w:val="0"/>
          <w:numId w:val="3"/>
        </w:numPr>
        <w:spacing w:before="120" w:after="120"/>
        <w:ind w:left="284" w:hanging="284"/>
      </w:pPr>
      <w:r w:rsidRPr="0034420E">
        <w:t>The test risk score would inform further patient care such as monitoring frequency, lifestyle modification, initiation of more aggressive treatment measures, patient education on risk factors.</w:t>
      </w:r>
    </w:p>
    <w:p w14:paraId="3C3FBF19" w14:textId="6124B6DC" w:rsidR="00611F7A" w:rsidRPr="0034420E" w:rsidRDefault="00611F7A" w:rsidP="00A85561">
      <w:r w:rsidRPr="0034420E">
        <w:t>The PromarkerD ELISA is provided to laboratories in three parts with each part containing reagents to measure one of the biomarkers. The three parts are intended to be used together. The test is intended to be used by laboratory trained personnel.</w:t>
      </w:r>
    </w:p>
    <w:p w14:paraId="0F90529C" w14:textId="051B40C3" w:rsidR="00FE0ACE" w:rsidRPr="0034420E" w:rsidRDefault="00FE0ACE" w:rsidP="00A85561">
      <w:r w:rsidRPr="0034420E">
        <w:t xml:space="preserve">The PromarkerD ELISA is based on the principle of a traditional sandwich format. </w:t>
      </w:r>
      <w:r w:rsidR="009B2C34" w:rsidRPr="0034420E">
        <w:t>It uses a platform</w:t>
      </w:r>
      <w:r w:rsidRPr="0034420E">
        <w:t xml:space="preserve"> whereby the analyte and </w:t>
      </w:r>
      <w:r w:rsidR="009B2C34" w:rsidRPr="0034420E">
        <w:t>two</w:t>
      </w:r>
      <w:r w:rsidRPr="0034420E">
        <w:t xml:space="preserve"> chemically tagged antibodies are added to the PromarkerD assay microplate at the same time. </w:t>
      </w:r>
      <w:r w:rsidR="009B2C34" w:rsidRPr="0034420E">
        <w:t>(This is i</w:t>
      </w:r>
      <w:r w:rsidRPr="0034420E">
        <w:t xml:space="preserve">n contrast to standard ELISA formats, </w:t>
      </w:r>
      <w:r w:rsidR="009B2C34" w:rsidRPr="0034420E">
        <w:t xml:space="preserve">as </w:t>
      </w:r>
      <w:r w:rsidRPr="0034420E">
        <w:t>no assay-specific antibodies are present on the microplate itself</w:t>
      </w:r>
      <w:r w:rsidR="009B2C34" w:rsidRPr="0034420E">
        <w:t>)</w:t>
      </w:r>
      <w:r w:rsidRPr="0034420E">
        <w:t xml:space="preserve">. The microplate is instead coated with a proprietary </w:t>
      </w:r>
      <w:proofErr w:type="spellStart"/>
      <w:r w:rsidRPr="0034420E">
        <w:t>Capt</w:t>
      </w:r>
      <w:r w:rsidRPr="0034420E">
        <w:rPr>
          <w:i/>
          <w:iCs/>
        </w:rPr>
        <w:t>Sure</w:t>
      </w:r>
      <w:proofErr w:type="spellEnd"/>
      <w:r w:rsidRPr="0034420E">
        <w:t xml:space="preserve">™ reagent, which immobilises the antibody/biomarker complex via a </w:t>
      </w:r>
      <w:proofErr w:type="spellStart"/>
      <w:r w:rsidRPr="0034420E">
        <w:t>Capt</w:t>
      </w:r>
      <w:r w:rsidRPr="0034420E">
        <w:rPr>
          <w:i/>
          <w:iCs/>
        </w:rPr>
        <w:t>Sure</w:t>
      </w:r>
      <w:proofErr w:type="spellEnd"/>
      <w:r w:rsidRPr="0034420E">
        <w:t xml:space="preserve">™ tag on each primary antibody. Any surface that is </w:t>
      </w:r>
      <w:proofErr w:type="spellStart"/>
      <w:r w:rsidRPr="0034420E">
        <w:t>Capt</w:t>
      </w:r>
      <w:r w:rsidRPr="0034420E">
        <w:rPr>
          <w:i/>
          <w:iCs/>
        </w:rPr>
        <w:t>Sure</w:t>
      </w:r>
      <w:proofErr w:type="spellEnd"/>
      <w:r w:rsidRPr="0034420E">
        <w:t xml:space="preserve">™ reagent coated can bind any </w:t>
      </w:r>
      <w:proofErr w:type="spellStart"/>
      <w:r w:rsidRPr="0034420E">
        <w:t>Capt</w:t>
      </w:r>
      <w:r w:rsidRPr="0034420E">
        <w:rPr>
          <w:i/>
          <w:iCs/>
        </w:rPr>
        <w:t>Sure</w:t>
      </w:r>
      <w:proofErr w:type="spellEnd"/>
      <w:r w:rsidRPr="0034420E">
        <w:t>™-tagged antibody. After a short incubation period, unbound assay reagents and analytes are washed away and immuno-complexes containing both antibodies are detected</w:t>
      </w:r>
      <w:r w:rsidR="005552DA" w:rsidRPr="0034420E">
        <w:t>.</w:t>
      </w:r>
    </w:p>
    <w:p w14:paraId="4F0A2501" w14:textId="1E1D8761" w:rsidR="00676E07" w:rsidRPr="0034420E" w:rsidRDefault="00896D1B" w:rsidP="00540484">
      <w:r w:rsidRPr="0034420E">
        <w:t xml:space="preserve">The three absolute biomarker concentrations, along with the three clinical factors are processed by the PromarkerD Hub algorithm. The PromarkerD </w:t>
      </w:r>
      <w:r w:rsidR="005E21E2" w:rsidRPr="0034420E">
        <w:t>H</w:t>
      </w:r>
      <w:r w:rsidRPr="0034420E">
        <w:t>ub algorithm generates a report with prognostic and diagnostic risk scores calculated for DKD.</w:t>
      </w:r>
      <w:r w:rsidR="00676E07" w:rsidRPr="0034420E">
        <w:t xml:space="preserve"> </w:t>
      </w:r>
      <w:r w:rsidR="009B2C34" w:rsidRPr="0034420E">
        <w:t>The prognostic risk score estimates patient risk of developing DKD within the next four years, defined as incident diabetic kidney disease (eGFR &lt;60mL/min/1.73m</w:t>
      </w:r>
      <w:r w:rsidR="009B2C34" w:rsidRPr="0034420E">
        <w:rPr>
          <w:vertAlign w:val="superscript"/>
        </w:rPr>
        <w:t>2</w:t>
      </w:r>
      <w:r w:rsidR="009B2C34" w:rsidRPr="0034420E">
        <w:t>)</w:t>
      </w:r>
      <w:r w:rsidR="005552DA" w:rsidRPr="0034420E">
        <w:t>,</w:t>
      </w:r>
      <w:r w:rsidR="00540484" w:rsidRPr="0034420E">
        <w:t xml:space="preserve"> as shown in </w:t>
      </w:r>
      <w:r w:rsidR="00E5120D" w:rsidRPr="0034420E">
        <w:fldChar w:fldCharType="begin"/>
      </w:r>
      <w:r w:rsidR="00E5120D" w:rsidRPr="0034420E">
        <w:instrText xml:space="preserve"> REF _Ref87016224 \h </w:instrText>
      </w:r>
      <w:r w:rsidR="009E1D30" w:rsidRPr="0034420E">
        <w:instrText xml:space="preserve"> \* MERGEFORMAT </w:instrText>
      </w:r>
      <w:r w:rsidR="00E5120D" w:rsidRPr="0034420E">
        <w:fldChar w:fldCharType="separate"/>
      </w:r>
      <w:r w:rsidR="00523E59" w:rsidRPr="0034420E">
        <w:t xml:space="preserve">Figure </w:t>
      </w:r>
      <w:r w:rsidR="00523E59" w:rsidRPr="0034420E">
        <w:rPr>
          <w:noProof/>
        </w:rPr>
        <w:t>2</w:t>
      </w:r>
      <w:r w:rsidR="00E5120D" w:rsidRPr="0034420E">
        <w:fldChar w:fldCharType="end"/>
      </w:r>
      <w:r w:rsidR="009B2C34" w:rsidRPr="0034420E">
        <w:t>.</w:t>
      </w:r>
      <w:r w:rsidR="00540484" w:rsidRPr="0034420E">
        <w:t xml:space="preserve"> </w:t>
      </w:r>
      <w:r w:rsidR="00A85561" w:rsidRPr="0034420E">
        <w:t xml:space="preserve">The cut-offs that </w:t>
      </w:r>
      <w:r w:rsidR="00A90641" w:rsidRPr="0034420E">
        <w:t>ar</w:t>
      </w:r>
      <w:r w:rsidR="00A85561" w:rsidRPr="0034420E">
        <w:t xml:space="preserve">e proposed for use in clinical practice to determine risk are as described by Peters </w:t>
      </w:r>
      <w:r w:rsidR="003B19E0" w:rsidRPr="0034420E">
        <w:t>(</w:t>
      </w:r>
      <w:r w:rsidR="00A85561" w:rsidRPr="0034420E">
        <w:t>2020</w:t>
      </w:r>
      <w:r w:rsidR="003B19E0" w:rsidRPr="0034420E">
        <w:t>)</w:t>
      </w:r>
      <w:r w:rsidR="00A85561" w:rsidRPr="0034420E">
        <w:t xml:space="preserve"> - cut offs of &lt;10% for low</w:t>
      </w:r>
      <w:r w:rsidR="008405C5" w:rsidRPr="0034420E">
        <w:t>-</w:t>
      </w:r>
      <w:r w:rsidR="00A85561" w:rsidRPr="0034420E">
        <w:t>risk, 10% to &lt;20% as moderate</w:t>
      </w:r>
      <w:r w:rsidR="008405C5" w:rsidRPr="0034420E">
        <w:t>-</w:t>
      </w:r>
      <w:r w:rsidR="00A85561" w:rsidRPr="0034420E">
        <w:t xml:space="preserve">risk and </w:t>
      </w:r>
      <w:r w:rsidR="00A85561" w:rsidRPr="0034420E">
        <w:rPr>
          <w:rFonts w:cstheme="minorHAnsi"/>
        </w:rPr>
        <w:t>≥</w:t>
      </w:r>
      <w:r w:rsidR="00A85561" w:rsidRPr="0034420E">
        <w:t>20% as high</w:t>
      </w:r>
      <w:r w:rsidR="008405C5" w:rsidRPr="0034420E">
        <w:t>-</w:t>
      </w:r>
      <w:r w:rsidR="00A85561" w:rsidRPr="0034420E">
        <w:t>risk.</w:t>
      </w:r>
    </w:p>
    <w:p w14:paraId="2F095C5B" w14:textId="1A3AC6ED" w:rsidR="00E5120D" w:rsidRPr="0034420E" w:rsidRDefault="009B2C34" w:rsidP="00E5120D">
      <w:pPr>
        <w:pStyle w:val="ListParagraph"/>
        <w:ind w:left="426"/>
      </w:pPr>
      <w:r w:rsidRPr="0034420E">
        <w:rPr>
          <w:noProof/>
          <w:lang w:eastAsia="en-AU"/>
        </w:rPr>
        <w:drawing>
          <wp:inline distT="0" distB="0" distL="0" distR="0" wp14:anchorId="6943DF64" wp14:editId="48A26CF5">
            <wp:extent cx="5577994" cy="1400175"/>
            <wp:effectExtent l="0" t="0" r="3810" b="0"/>
            <wp:docPr id="2" name="Picture 2" descr="Figure 2 Prognostic risk score estimates provided by Promarker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 Prognostic risk score estimates provided by PromarkerD&#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88780" cy="1402883"/>
                    </a:xfrm>
                    <a:prstGeom prst="rect">
                      <a:avLst/>
                    </a:prstGeom>
                    <a:noFill/>
                    <a:ln>
                      <a:noFill/>
                    </a:ln>
                  </pic:spPr>
                </pic:pic>
              </a:graphicData>
            </a:graphic>
          </wp:inline>
        </w:drawing>
      </w:r>
    </w:p>
    <w:p w14:paraId="012CCF9E" w14:textId="29981B97" w:rsidR="003B19E0" w:rsidRPr="0034420E" w:rsidRDefault="00E5120D" w:rsidP="00E5120D">
      <w:pPr>
        <w:pStyle w:val="Caption"/>
      </w:pPr>
      <w:bookmarkStart w:id="5" w:name="_Ref87016224"/>
      <w:r w:rsidRPr="0034420E">
        <w:t xml:space="preserve">Figure </w:t>
      </w:r>
      <w:r w:rsidRPr="0034420E">
        <w:fldChar w:fldCharType="begin"/>
      </w:r>
      <w:r w:rsidRPr="0034420E">
        <w:instrText xml:space="preserve"> SEQ Figure \* ARABIC </w:instrText>
      </w:r>
      <w:r w:rsidRPr="0034420E">
        <w:fldChar w:fldCharType="separate"/>
      </w:r>
      <w:r w:rsidR="00523E59" w:rsidRPr="0034420E">
        <w:rPr>
          <w:noProof/>
        </w:rPr>
        <w:t>2</w:t>
      </w:r>
      <w:r w:rsidRPr="0034420E">
        <w:fldChar w:fldCharType="end"/>
      </w:r>
      <w:bookmarkEnd w:id="5"/>
      <w:r w:rsidR="003B19E0" w:rsidRPr="0034420E">
        <w:tab/>
        <w:t>Prognostic risk score estimates provided by PromarkerD</w:t>
      </w:r>
    </w:p>
    <w:p w14:paraId="2B81D147" w14:textId="67C373A5" w:rsidR="009F1C41" w:rsidRPr="0034420E" w:rsidRDefault="00CD77C4" w:rsidP="003B19E0">
      <w:pPr>
        <w:pStyle w:val="Tablenotes"/>
        <w:spacing w:after="200"/>
      </w:pPr>
      <w:r w:rsidRPr="0034420E">
        <w:t xml:space="preserve">Source: PromarkerD </w:t>
      </w:r>
      <w:r w:rsidR="00663972" w:rsidRPr="0034420E">
        <w:t>i</w:t>
      </w:r>
      <w:r w:rsidRPr="0034420E">
        <w:t>nstructions for use</w:t>
      </w:r>
    </w:p>
    <w:p w14:paraId="3A66C478" w14:textId="79AEA042" w:rsidR="00B253CD" w:rsidRPr="0034420E" w:rsidRDefault="00663972" w:rsidP="0003475E">
      <w:r w:rsidRPr="0034420E">
        <w:t xml:space="preserve">The </w:t>
      </w:r>
      <w:r w:rsidR="00DD5372" w:rsidRPr="0034420E">
        <w:t xml:space="preserve">PromarkerD </w:t>
      </w:r>
      <w:r w:rsidRPr="0034420E">
        <w:t>instructions for use state that patients found to be at low</w:t>
      </w:r>
      <w:r w:rsidR="008405C5" w:rsidRPr="0034420E">
        <w:t>-</w:t>
      </w:r>
      <w:r w:rsidRPr="0034420E">
        <w:t xml:space="preserve">risk should </w:t>
      </w:r>
      <w:r w:rsidR="00B253CD" w:rsidRPr="0034420E">
        <w:t xml:space="preserve">be </w:t>
      </w:r>
      <w:r w:rsidRPr="0034420E">
        <w:t>retest</w:t>
      </w:r>
      <w:r w:rsidR="00B253CD" w:rsidRPr="0034420E">
        <w:t>ed</w:t>
      </w:r>
      <w:r w:rsidRPr="0034420E">
        <w:t xml:space="preserve"> annually, </w:t>
      </w:r>
      <w:r w:rsidR="00B253CD" w:rsidRPr="0034420E">
        <w:t xml:space="preserve">those </w:t>
      </w:r>
      <w:r w:rsidRPr="0034420E">
        <w:t>at moderate</w:t>
      </w:r>
      <w:r w:rsidR="008405C5" w:rsidRPr="0034420E">
        <w:t>-</w:t>
      </w:r>
      <w:r w:rsidRPr="0034420E">
        <w:t xml:space="preserve">risk should </w:t>
      </w:r>
      <w:r w:rsidR="00B253CD" w:rsidRPr="0034420E">
        <w:t xml:space="preserve">be </w:t>
      </w:r>
      <w:r w:rsidRPr="0034420E">
        <w:t>retest</w:t>
      </w:r>
      <w:r w:rsidR="00B253CD" w:rsidRPr="0034420E">
        <w:t>ed</w:t>
      </w:r>
      <w:r w:rsidRPr="0034420E">
        <w:t xml:space="preserve"> every </w:t>
      </w:r>
      <w:r w:rsidR="001820AF" w:rsidRPr="0034420E">
        <w:t>three</w:t>
      </w:r>
      <w:r w:rsidRPr="0034420E">
        <w:t xml:space="preserve"> to </w:t>
      </w:r>
      <w:r w:rsidR="001820AF" w:rsidRPr="0034420E">
        <w:t>six</w:t>
      </w:r>
      <w:r w:rsidRPr="0034420E">
        <w:t xml:space="preserve"> months and </w:t>
      </w:r>
      <w:r w:rsidR="00B253CD" w:rsidRPr="0034420E">
        <w:t xml:space="preserve">those </w:t>
      </w:r>
      <w:r w:rsidRPr="0034420E">
        <w:t>at high</w:t>
      </w:r>
      <w:r w:rsidR="008405C5" w:rsidRPr="0034420E">
        <w:t>-</w:t>
      </w:r>
      <w:r w:rsidRPr="0034420E">
        <w:t xml:space="preserve">risk should </w:t>
      </w:r>
      <w:r w:rsidR="00B253CD" w:rsidRPr="0034420E">
        <w:t xml:space="preserve">be </w:t>
      </w:r>
      <w:r w:rsidRPr="0034420E">
        <w:t>retest</w:t>
      </w:r>
      <w:r w:rsidR="00B253CD" w:rsidRPr="0034420E">
        <w:t>ed</w:t>
      </w:r>
      <w:r w:rsidRPr="0034420E">
        <w:t xml:space="preserve"> every </w:t>
      </w:r>
      <w:r w:rsidR="001820AF" w:rsidRPr="0034420E">
        <w:t>three</w:t>
      </w:r>
      <w:r w:rsidRPr="0034420E">
        <w:t xml:space="preserve"> months. This is in contrast to </w:t>
      </w:r>
      <w:r w:rsidR="00B253CD" w:rsidRPr="0034420E">
        <w:t xml:space="preserve">retesting durations proposed in the application, where it was proposed that patients with a low-risk PromarkerD score be limited to one test every </w:t>
      </w:r>
      <w:r w:rsidR="001820AF" w:rsidRPr="0034420E">
        <w:t>four</w:t>
      </w:r>
      <w:r w:rsidR="00B253CD" w:rsidRPr="0034420E">
        <w:t xml:space="preserve"> years and patients who receive a moderate- or high-risk PromarkerD result are retesting every </w:t>
      </w:r>
      <w:r w:rsidR="001820AF" w:rsidRPr="0034420E">
        <w:t>two</w:t>
      </w:r>
      <w:r w:rsidR="00B253CD" w:rsidRPr="0034420E">
        <w:t xml:space="preserve"> years. This is discussed further in the</w:t>
      </w:r>
      <w:r w:rsidR="000873CC" w:rsidRPr="0034420E">
        <w:t xml:space="preserve"> </w:t>
      </w:r>
      <w:r w:rsidR="00ED68DC" w:rsidRPr="0034420E">
        <w:t>proposal for public funding</w:t>
      </w:r>
      <w:r w:rsidR="000873CC" w:rsidRPr="0034420E">
        <w:t xml:space="preserve"> section</w:t>
      </w:r>
      <w:r w:rsidR="0016745B" w:rsidRPr="0034420E">
        <w:t xml:space="preserve"> below</w:t>
      </w:r>
      <w:r w:rsidR="000873CC" w:rsidRPr="0034420E">
        <w:t>.</w:t>
      </w:r>
    </w:p>
    <w:p w14:paraId="0886037D" w14:textId="184096AC" w:rsidR="008A6BB7" w:rsidRPr="0034420E" w:rsidRDefault="008A6BB7" w:rsidP="0003475E">
      <w:r w:rsidRPr="0034420E">
        <w:rPr>
          <w:rFonts w:asciiTheme="minorHAnsi" w:hAnsiTheme="minorHAnsi" w:cstheme="minorHAnsi"/>
          <w:i/>
          <w:iCs/>
        </w:rPr>
        <w:t>PASC noted the discrepancies in the retesting frequency requested and those recommended in the PromarkerD kit. PASC considered that the frequency of retesting and the rationale for retesting needs to be clarified in the assessment report.</w:t>
      </w:r>
    </w:p>
    <w:p w14:paraId="299E92CC" w14:textId="2CFABAE1" w:rsidR="00D124FA" w:rsidRPr="0034420E" w:rsidRDefault="00D124FA" w:rsidP="003B19E0">
      <w:pPr>
        <w:pStyle w:val="Heading4"/>
        <w:spacing w:after="200"/>
      </w:pPr>
      <w:r w:rsidRPr="0034420E">
        <w:lastRenderedPageBreak/>
        <w:t>Selection of biomarkers</w:t>
      </w:r>
    </w:p>
    <w:p w14:paraId="36BF6354" w14:textId="61677FAA" w:rsidR="00D124FA" w:rsidRPr="0034420E" w:rsidRDefault="00D124FA" w:rsidP="00D124FA">
      <w:pPr>
        <w:jc w:val="both"/>
      </w:pPr>
      <w:r w:rsidRPr="0034420E">
        <w:t xml:space="preserve">The application did not include details of why </w:t>
      </w:r>
      <w:r w:rsidR="000D7105" w:rsidRPr="0034420E">
        <w:rPr>
          <w:rFonts w:asciiTheme="minorHAnsi" w:hAnsiTheme="minorHAnsi" w:cstheme="minorHAnsi"/>
        </w:rPr>
        <w:t xml:space="preserve">ApoA4, CD5L and IBP3 </w:t>
      </w:r>
      <w:r w:rsidRPr="0034420E">
        <w:t xml:space="preserve">were </w:t>
      </w:r>
      <w:r w:rsidR="00331620" w:rsidRPr="0034420E">
        <w:t>selected</w:t>
      </w:r>
      <w:r w:rsidR="000D7105" w:rsidRPr="0034420E">
        <w:t xml:space="preserve"> for inclu</w:t>
      </w:r>
      <w:r w:rsidR="005303E2" w:rsidRPr="0034420E">
        <w:t xml:space="preserve">sion in </w:t>
      </w:r>
      <w:r w:rsidR="00331620" w:rsidRPr="0034420E">
        <w:t xml:space="preserve">the </w:t>
      </w:r>
      <w:r w:rsidR="005303E2" w:rsidRPr="0034420E">
        <w:t>PromarkerD</w:t>
      </w:r>
      <w:r w:rsidR="00331620" w:rsidRPr="0034420E">
        <w:t xml:space="preserve"> test</w:t>
      </w:r>
      <w:r w:rsidRPr="0034420E">
        <w:t>. The applicant provided the following additional information</w:t>
      </w:r>
      <w:r w:rsidR="000D7105" w:rsidRPr="0034420E">
        <w:t xml:space="preserve"> to support the selection of these biomarkers</w:t>
      </w:r>
      <w:r w:rsidR="005303E2" w:rsidRPr="0034420E">
        <w:t>.</w:t>
      </w:r>
    </w:p>
    <w:p w14:paraId="3D0976AA" w14:textId="4224391B" w:rsidR="000D7105" w:rsidRPr="0034420E" w:rsidRDefault="000D7105" w:rsidP="003B19E0">
      <w:r w:rsidRPr="0034420E">
        <w:t>The clinical evidence to support the selection of plasma biomarkers in the PromarkerD test comes from a range of cross-sectional and longitudinal studies. An iterative process was used for the development and validation of PromarkerD that involved the following stages: discovery, verification, analytical validation, diagnostic disease correlation (cross-sectional),</w:t>
      </w:r>
      <w:r w:rsidR="00331620" w:rsidRPr="0034420E">
        <w:t xml:space="preserve"> </w:t>
      </w:r>
      <w:r w:rsidRPr="0034420E">
        <w:t>prognostic utility development (longitudinal), internal validation (longitudinal) and</w:t>
      </w:r>
      <w:r w:rsidR="00331620" w:rsidRPr="0034420E">
        <w:t xml:space="preserve"> </w:t>
      </w:r>
      <w:r w:rsidRPr="0034420E">
        <w:t xml:space="preserve">external validation. A number of potential biomarkers were identified in the discovery phase that were correlated with kidney disease in individuals with </w:t>
      </w:r>
      <w:r w:rsidR="00663972" w:rsidRPr="0034420E">
        <w:t>T2DM</w:t>
      </w:r>
      <w:r w:rsidRPr="0034420E">
        <w:t xml:space="preserve">. The diagnostic and prognostic utility of these biomarkers was then assessed in a larger representative community-based cohort of individuals with </w:t>
      </w:r>
      <w:r w:rsidR="00663972" w:rsidRPr="0034420E">
        <w:t>T2DM</w:t>
      </w:r>
      <w:r w:rsidRPr="0034420E">
        <w:t xml:space="preserve"> from the Fremantle Diabetes Study Phase II (FDS2) to determine if there was an association with kidney measures (ACR and eGFR, cross-sectionally), renal decline (longitudinally), and whether the biomarkers added additional benefit to known clinical variables for predicting renal decline. Following this, a diagnostic and prognostic algorithm w</w:t>
      </w:r>
      <w:r w:rsidR="00D321F1" w:rsidRPr="0034420E">
        <w:t>as</w:t>
      </w:r>
      <w:r w:rsidRPr="0034420E">
        <w:t xml:space="preserve"> developed using a subset of 345 individuals from FDS2, internally validated using an independent cohort of 447 patients from FDS2 (separate to the 345 used during development), and externally validated in a cohort of 3,500 patients with </w:t>
      </w:r>
      <w:r w:rsidR="00663972" w:rsidRPr="0034420E">
        <w:t>T2DM</w:t>
      </w:r>
      <w:r w:rsidRPr="0034420E">
        <w:t xml:space="preserve"> at high-risk of cardiovascular disease from the large-scale </w:t>
      </w:r>
      <w:r w:rsidRPr="0034420E">
        <w:rPr>
          <w:shd w:val="clear" w:color="auto" w:fill="FFFFFF"/>
        </w:rPr>
        <w:t xml:space="preserve">CANagliflozin CardioVascular Assessment Study (CANVAS). </w:t>
      </w:r>
    </w:p>
    <w:p w14:paraId="2F1A20D0" w14:textId="77777777" w:rsidR="000D7105" w:rsidRPr="0034420E" w:rsidRDefault="000D7105" w:rsidP="003B19E0">
      <w:pPr>
        <w:pStyle w:val="Heading5"/>
        <w:spacing w:after="200"/>
      </w:pPr>
      <w:r w:rsidRPr="0034420E">
        <w:t>Early Discovery, Verification, Analytical Validation and Disease Correlation (Cross-sectional)</w:t>
      </w:r>
    </w:p>
    <w:p w14:paraId="1869A93A" w14:textId="6DDF6229" w:rsidR="000D7105" w:rsidRPr="0034420E" w:rsidRDefault="000D7105" w:rsidP="003B19E0">
      <w:r w:rsidRPr="0034420E">
        <w:t xml:space="preserve">In the earlier cross-sectional discovery work, 11 biomarkers were found to be analytically validated from the mass spectrometry workflow (presented at the International Diabetes Federation World Diabetes Congress </w:t>
      </w:r>
      <w:r w:rsidR="0016745B" w:rsidRPr="0034420E">
        <w:t>[</w:t>
      </w:r>
      <w:r w:rsidRPr="0034420E">
        <w:t>IDF WDC</w:t>
      </w:r>
      <w:r w:rsidR="0016745B" w:rsidRPr="0034420E">
        <w:t>]</w:t>
      </w:r>
      <w:r w:rsidRPr="0034420E">
        <w:t xml:space="preserve"> in 2015). These biomarkers were then analysed</w:t>
      </w:r>
      <w:r w:rsidR="0016745B" w:rsidRPr="0034420E">
        <w:t>,</w:t>
      </w:r>
      <w:r w:rsidRPr="0034420E">
        <w:t xml:space="preserve"> with ApoA4, CD5L and IBP3 (among others) found to be significantly correlated with eGFR and ACR in </w:t>
      </w:r>
      <w:r w:rsidR="00331620" w:rsidRPr="0034420E">
        <w:t xml:space="preserve">the </w:t>
      </w:r>
      <w:r w:rsidRPr="0034420E">
        <w:t>FDS2 or Busselton Diabetes Study (</w:t>
      </w:r>
      <w:r w:rsidR="00E5120D" w:rsidRPr="0034420E">
        <w:fldChar w:fldCharType="begin"/>
      </w:r>
      <w:r w:rsidR="00E5120D" w:rsidRPr="0034420E">
        <w:instrText xml:space="preserve"> REF _Ref87016283 \h </w:instrText>
      </w:r>
      <w:r w:rsidR="009E1D30" w:rsidRPr="0034420E">
        <w:instrText xml:space="preserve"> \* MERGEFORMAT </w:instrText>
      </w:r>
      <w:r w:rsidR="00E5120D" w:rsidRPr="0034420E">
        <w:fldChar w:fldCharType="separate"/>
      </w:r>
      <w:r w:rsidR="00523E59" w:rsidRPr="0034420E">
        <w:t xml:space="preserve">Table </w:t>
      </w:r>
      <w:r w:rsidR="00523E59" w:rsidRPr="0034420E">
        <w:rPr>
          <w:noProof/>
        </w:rPr>
        <w:t>3</w:t>
      </w:r>
      <w:r w:rsidR="00E5120D" w:rsidRPr="0034420E">
        <w:fldChar w:fldCharType="end"/>
      </w:r>
      <w:r w:rsidRPr="0034420E">
        <w:t xml:space="preserve">). The data from the FDS2 cohort </w:t>
      </w:r>
      <w:r w:rsidR="003F3640" w:rsidRPr="0034420E">
        <w:t xml:space="preserve">were </w:t>
      </w:r>
      <w:r w:rsidRPr="0034420E">
        <w:t xml:space="preserve">subsequently published </w:t>
      </w:r>
      <w:r w:rsidR="00E12138" w:rsidRPr="0034420E">
        <w:t>(</w:t>
      </w:r>
      <w:r w:rsidRPr="0034420E">
        <w:t>Bringans 2017</w:t>
      </w:r>
      <w:r w:rsidR="00E12138" w:rsidRPr="0034420E">
        <w:t>)</w:t>
      </w:r>
      <w:r w:rsidRPr="0034420E">
        <w:t>.</w:t>
      </w:r>
    </w:p>
    <w:p w14:paraId="288DCB7F" w14:textId="2ED14686" w:rsidR="000D7105" w:rsidRPr="0034420E" w:rsidRDefault="00E5120D" w:rsidP="00E5120D">
      <w:pPr>
        <w:pStyle w:val="Caption"/>
      </w:pPr>
      <w:bookmarkStart w:id="6" w:name="_Ref87016283"/>
      <w:r w:rsidRPr="0034420E">
        <w:lastRenderedPageBreak/>
        <w:t xml:space="preserve">Table </w:t>
      </w:r>
      <w:r w:rsidRPr="0034420E">
        <w:fldChar w:fldCharType="begin"/>
      </w:r>
      <w:r w:rsidRPr="0034420E">
        <w:instrText xml:space="preserve"> SEQ Table \* ARABIC </w:instrText>
      </w:r>
      <w:r w:rsidRPr="0034420E">
        <w:fldChar w:fldCharType="separate"/>
      </w:r>
      <w:r w:rsidR="00523E59" w:rsidRPr="0034420E">
        <w:rPr>
          <w:noProof/>
        </w:rPr>
        <w:t>3</w:t>
      </w:r>
      <w:r w:rsidRPr="0034420E">
        <w:fldChar w:fldCharType="end"/>
      </w:r>
      <w:bookmarkEnd w:id="6"/>
      <w:r w:rsidR="00D321F1" w:rsidRPr="0034420E">
        <w:rPr>
          <w:bCs/>
        </w:rPr>
        <w:tab/>
      </w:r>
      <w:r w:rsidR="000D7105" w:rsidRPr="0034420E">
        <w:t>Candidate biomarkers correlated with kidney disease measures ACR and eGFR (IDF WDC 2015)</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1"/>
        <w:gridCol w:w="3211"/>
        <w:gridCol w:w="3212"/>
      </w:tblGrid>
      <w:tr w:rsidR="00315502" w:rsidRPr="0034420E" w14:paraId="0C030D98" w14:textId="77777777" w:rsidTr="006B09B8">
        <w:trPr>
          <w:trHeight w:val="288"/>
        </w:trPr>
        <w:tc>
          <w:tcPr>
            <w:tcW w:w="3211" w:type="dxa"/>
            <w:shd w:val="clear" w:color="auto" w:fill="auto"/>
            <w:noWrap/>
            <w:vAlign w:val="center"/>
            <w:hideMark/>
          </w:tcPr>
          <w:p w14:paraId="62C48E2B" w14:textId="2D8B5D58" w:rsidR="00315502" w:rsidRPr="0034420E" w:rsidRDefault="00315502" w:rsidP="00315502">
            <w:pPr>
              <w:pStyle w:val="TableText0"/>
              <w:keepNext/>
              <w:jc w:val="center"/>
              <w:rPr>
                <w:b/>
                <w:bCs/>
                <w:lang w:eastAsia="en-AU"/>
              </w:rPr>
            </w:pPr>
            <w:r w:rsidRPr="0034420E">
              <w:rPr>
                <w:b/>
                <w:bCs/>
                <w:lang w:eastAsia="en-AU"/>
              </w:rPr>
              <w:t>Protein Name</w:t>
            </w:r>
          </w:p>
        </w:tc>
        <w:tc>
          <w:tcPr>
            <w:tcW w:w="3211" w:type="dxa"/>
            <w:shd w:val="clear" w:color="auto" w:fill="auto"/>
            <w:noWrap/>
            <w:vAlign w:val="center"/>
            <w:hideMark/>
          </w:tcPr>
          <w:p w14:paraId="298EE8F4" w14:textId="5688CA91" w:rsidR="00315502" w:rsidRPr="0034420E" w:rsidRDefault="00315502" w:rsidP="00315502">
            <w:pPr>
              <w:pStyle w:val="TableText0"/>
              <w:keepNext/>
              <w:jc w:val="center"/>
              <w:rPr>
                <w:b/>
                <w:bCs/>
                <w:lang w:eastAsia="en-AU"/>
              </w:rPr>
            </w:pPr>
            <w:r w:rsidRPr="0034420E">
              <w:rPr>
                <w:b/>
                <w:bCs/>
                <w:lang w:eastAsia="en-AU"/>
              </w:rPr>
              <w:t>vs ACR*</w:t>
            </w:r>
          </w:p>
        </w:tc>
        <w:tc>
          <w:tcPr>
            <w:tcW w:w="3212" w:type="dxa"/>
            <w:shd w:val="clear" w:color="auto" w:fill="auto"/>
            <w:vAlign w:val="center"/>
          </w:tcPr>
          <w:p w14:paraId="6A8BB09B" w14:textId="58CFEF19" w:rsidR="00315502" w:rsidRPr="0034420E" w:rsidRDefault="00315502" w:rsidP="00315502">
            <w:pPr>
              <w:pStyle w:val="TableText0"/>
              <w:keepNext/>
              <w:jc w:val="center"/>
              <w:rPr>
                <w:b/>
                <w:bCs/>
                <w:lang w:eastAsia="en-AU"/>
              </w:rPr>
            </w:pPr>
            <w:r w:rsidRPr="0034420E">
              <w:rPr>
                <w:b/>
                <w:bCs/>
                <w:lang w:eastAsia="en-AU"/>
              </w:rPr>
              <w:t>vs eGFR*</w:t>
            </w:r>
          </w:p>
        </w:tc>
      </w:tr>
      <w:tr w:rsidR="00315502" w:rsidRPr="0034420E" w14:paraId="1062DC17" w14:textId="77777777" w:rsidTr="006B09B8">
        <w:trPr>
          <w:trHeight w:val="107"/>
        </w:trPr>
        <w:tc>
          <w:tcPr>
            <w:tcW w:w="3211" w:type="dxa"/>
            <w:shd w:val="clear" w:color="auto" w:fill="auto"/>
            <w:noWrap/>
            <w:vAlign w:val="center"/>
          </w:tcPr>
          <w:p w14:paraId="6C2D272E" w14:textId="3C14646E" w:rsidR="00315502" w:rsidRPr="0034420E" w:rsidRDefault="00315502" w:rsidP="00315502">
            <w:pPr>
              <w:pStyle w:val="TableText0"/>
              <w:keepNext/>
              <w:jc w:val="center"/>
              <w:rPr>
                <w:lang w:eastAsia="en-AU"/>
              </w:rPr>
            </w:pPr>
            <w:r w:rsidRPr="0034420E">
              <w:rPr>
                <w:lang w:eastAsia="en-AU"/>
              </w:rPr>
              <w:t>ADIPO</w:t>
            </w:r>
          </w:p>
        </w:tc>
        <w:tc>
          <w:tcPr>
            <w:tcW w:w="3211" w:type="dxa"/>
            <w:shd w:val="clear" w:color="auto" w:fill="auto"/>
            <w:noWrap/>
            <w:vAlign w:val="center"/>
          </w:tcPr>
          <w:p w14:paraId="1B44FAF0" w14:textId="755D9B56" w:rsidR="00315502" w:rsidRPr="0034420E" w:rsidRDefault="00315502" w:rsidP="00315502">
            <w:pPr>
              <w:pStyle w:val="TableText0"/>
              <w:keepNext/>
              <w:jc w:val="center"/>
              <w:rPr>
                <w:lang w:eastAsia="en-AU"/>
              </w:rPr>
            </w:pPr>
            <w:r w:rsidRPr="0034420E">
              <w:rPr>
                <w:lang w:eastAsia="en-AU"/>
              </w:rPr>
              <w:t>0.55</w:t>
            </w:r>
          </w:p>
        </w:tc>
        <w:tc>
          <w:tcPr>
            <w:tcW w:w="3212" w:type="dxa"/>
            <w:vAlign w:val="center"/>
          </w:tcPr>
          <w:p w14:paraId="405B79F7" w14:textId="231D281B" w:rsidR="00315502" w:rsidRPr="0034420E" w:rsidRDefault="00315502" w:rsidP="00315502">
            <w:pPr>
              <w:pStyle w:val="TableText0"/>
              <w:keepNext/>
              <w:jc w:val="center"/>
              <w:rPr>
                <w:lang w:eastAsia="en-AU"/>
              </w:rPr>
            </w:pPr>
            <w:r w:rsidRPr="0034420E">
              <w:rPr>
                <w:lang w:eastAsia="en-AU"/>
              </w:rPr>
              <w:t>0.43</w:t>
            </w:r>
          </w:p>
        </w:tc>
      </w:tr>
      <w:tr w:rsidR="00315502" w:rsidRPr="0034420E" w14:paraId="58C5CDC1" w14:textId="77777777" w:rsidTr="006B09B8">
        <w:trPr>
          <w:trHeight w:val="154"/>
        </w:trPr>
        <w:tc>
          <w:tcPr>
            <w:tcW w:w="3211" w:type="dxa"/>
            <w:shd w:val="clear" w:color="auto" w:fill="auto"/>
            <w:noWrap/>
            <w:vAlign w:val="center"/>
            <w:hideMark/>
          </w:tcPr>
          <w:p w14:paraId="3BA20C49" w14:textId="30986302" w:rsidR="00315502" w:rsidRPr="0034420E" w:rsidRDefault="00315502" w:rsidP="00315502">
            <w:pPr>
              <w:pStyle w:val="TableText0"/>
              <w:keepNext/>
              <w:jc w:val="center"/>
              <w:rPr>
                <w:b/>
                <w:bCs/>
                <w:lang w:eastAsia="en-AU"/>
              </w:rPr>
            </w:pPr>
            <w:r w:rsidRPr="0034420E">
              <w:rPr>
                <w:b/>
                <w:bCs/>
                <w:lang w:eastAsia="en-AU"/>
              </w:rPr>
              <w:t>APOA4</w:t>
            </w:r>
          </w:p>
        </w:tc>
        <w:tc>
          <w:tcPr>
            <w:tcW w:w="3211" w:type="dxa"/>
            <w:shd w:val="clear" w:color="auto" w:fill="auto"/>
            <w:noWrap/>
            <w:vAlign w:val="center"/>
          </w:tcPr>
          <w:p w14:paraId="52BE339F" w14:textId="611B1D57" w:rsidR="00315502" w:rsidRPr="0034420E" w:rsidRDefault="00315502" w:rsidP="00315502">
            <w:pPr>
              <w:pStyle w:val="TableText0"/>
              <w:keepNext/>
              <w:jc w:val="center"/>
              <w:rPr>
                <w:b/>
                <w:bCs/>
                <w:lang w:eastAsia="en-AU"/>
              </w:rPr>
            </w:pPr>
            <w:r w:rsidRPr="0034420E">
              <w:rPr>
                <w:b/>
                <w:bCs/>
                <w:lang w:eastAsia="en-AU"/>
              </w:rPr>
              <w:t>&lt;0.001</w:t>
            </w:r>
          </w:p>
        </w:tc>
        <w:tc>
          <w:tcPr>
            <w:tcW w:w="3212" w:type="dxa"/>
            <w:vAlign w:val="center"/>
          </w:tcPr>
          <w:p w14:paraId="65CF3233" w14:textId="684175BC" w:rsidR="00315502" w:rsidRPr="0034420E" w:rsidRDefault="00315502" w:rsidP="00315502">
            <w:pPr>
              <w:pStyle w:val="TableText0"/>
              <w:keepNext/>
              <w:jc w:val="center"/>
              <w:rPr>
                <w:b/>
                <w:bCs/>
                <w:lang w:eastAsia="en-AU"/>
              </w:rPr>
            </w:pPr>
            <w:r w:rsidRPr="0034420E">
              <w:rPr>
                <w:b/>
                <w:bCs/>
                <w:lang w:eastAsia="en-AU"/>
              </w:rPr>
              <w:t>&lt;0.001</w:t>
            </w:r>
          </w:p>
        </w:tc>
      </w:tr>
      <w:tr w:rsidR="00315502" w:rsidRPr="0034420E" w14:paraId="16B46292" w14:textId="77777777" w:rsidTr="006B09B8">
        <w:trPr>
          <w:trHeight w:val="143"/>
        </w:trPr>
        <w:tc>
          <w:tcPr>
            <w:tcW w:w="3211" w:type="dxa"/>
            <w:shd w:val="clear" w:color="auto" w:fill="auto"/>
            <w:noWrap/>
            <w:vAlign w:val="center"/>
            <w:hideMark/>
          </w:tcPr>
          <w:p w14:paraId="37734F4A" w14:textId="324E930D" w:rsidR="00315502" w:rsidRPr="0034420E" w:rsidRDefault="00315502" w:rsidP="00315502">
            <w:pPr>
              <w:pStyle w:val="TableText0"/>
              <w:keepNext/>
              <w:jc w:val="center"/>
              <w:rPr>
                <w:lang w:eastAsia="en-AU"/>
              </w:rPr>
            </w:pPr>
            <w:r w:rsidRPr="0034420E">
              <w:rPr>
                <w:lang w:eastAsia="en-AU"/>
              </w:rPr>
              <w:t>APOB100^</w:t>
            </w:r>
          </w:p>
        </w:tc>
        <w:tc>
          <w:tcPr>
            <w:tcW w:w="3211" w:type="dxa"/>
            <w:shd w:val="clear" w:color="auto" w:fill="auto"/>
            <w:noWrap/>
            <w:vAlign w:val="center"/>
          </w:tcPr>
          <w:p w14:paraId="5DB58C1E" w14:textId="0B6C26D4" w:rsidR="00315502" w:rsidRPr="0034420E" w:rsidRDefault="00315502" w:rsidP="00315502">
            <w:pPr>
              <w:pStyle w:val="TableText0"/>
              <w:keepNext/>
              <w:jc w:val="center"/>
              <w:rPr>
                <w:lang w:eastAsia="en-AU"/>
              </w:rPr>
            </w:pPr>
            <w:r w:rsidRPr="0034420E">
              <w:rPr>
                <w:lang w:eastAsia="en-AU"/>
              </w:rPr>
              <w:t>0.11</w:t>
            </w:r>
          </w:p>
        </w:tc>
        <w:tc>
          <w:tcPr>
            <w:tcW w:w="3212" w:type="dxa"/>
            <w:vAlign w:val="center"/>
          </w:tcPr>
          <w:p w14:paraId="18CD4A9F" w14:textId="4F1A42F8" w:rsidR="00315502" w:rsidRPr="0034420E" w:rsidRDefault="00315502" w:rsidP="00315502">
            <w:pPr>
              <w:pStyle w:val="TableText0"/>
              <w:keepNext/>
              <w:jc w:val="center"/>
              <w:rPr>
                <w:lang w:eastAsia="en-AU"/>
              </w:rPr>
            </w:pPr>
            <w:r w:rsidRPr="0034420E">
              <w:rPr>
                <w:lang w:eastAsia="en-AU"/>
              </w:rPr>
              <w:t>0.99</w:t>
            </w:r>
          </w:p>
        </w:tc>
      </w:tr>
      <w:tr w:rsidR="00315502" w:rsidRPr="0034420E" w14:paraId="702AE4A8" w14:textId="77777777" w:rsidTr="006B09B8">
        <w:trPr>
          <w:trHeight w:val="133"/>
        </w:trPr>
        <w:tc>
          <w:tcPr>
            <w:tcW w:w="3211" w:type="dxa"/>
            <w:shd w:val="clear" w:color="auto" w:fill="auto"/>
            <w:noWrap/>
            <w:vAlign w:val="center"/>
            <w:hideMark/>
          </w:tcPr>
          <w:p w14:paraId="21364658" w14:textId="3D880786" w:rsidR="00315502" w:rsidRPr="0034420E" w:rsidRDefault="00315502" w:rsidP="00315502">
            <w:pPr>
              <w:pStyle w:val="TableText0"/>
              <w:keepNext/>
              <w:jc w:val="center"/>
              <w:rPr>
                <w:b/>
                <w:bCs/>
                <w:lang w:eastAsia="en-AU"/>
              </w:rPr>
            </w:pPr>
            <w:r w:rsidRPr="0034420E">
              <w:rPr>
                <w:b/>
                <w:bCs/>
                <w:lang w:eastAsia="en-AU"/>
              </w:rPr>
              <w:t>APOC3</w:t>
            </w:r>
          </w:p>
        </w:tc>
        <w:tc>
          <w:tcPr>
            <w:tcW w:w="3211" w:type="dxa"/>
            <w:shd w:val="clear" w:color="auto" w:fill="auto"/>
            <w:noWrap/>
            <w:vAlign w:val="center"/>
          </w:tcPr>
          <w:p w14:paraId="3A356680" w14:textId="26957AF2" w:rsidR="00315502" w:rsidRPr="0034420E" w:rsidRDefault="00315502" w:rsidP="00315502">
            <w:pPr>
              <w:pStyle w:val="TableText0"/>
              <w:keepNext/>
              <w:jc w:val="center"/>
              <w:rPr>
                <w:lang w:eastAsia="en-AU"/>
              </w:rPr>
            </w:pPr>
            <w:r w:rsidRPr="0034420E">
              <w:rPr>
                <w:lang w:eastAsia="en-AU"/>
              </w:rPr>
              <w:t>0.50</w:t>
            </w:r>
          </w:p>
        </w:tc>
        <w:tc>
          <w:tcPr>
            <w:tcW w:w="3212" w:type="dxa"/>
            <w:vAlign w:val="center"/>
          </w:tcPr>
          <w:p w14:paraId="2DAA0FBF" w14:textId="4F9A5288" w:rsidR="00315502" w:rsidRPr="0034420E" w:rsidRDefault="00315502" w:rsidP="00315502">
            <w:pPr>
              <w:pStyle w:val="TableText0"/>
              <w:keepNext/>
              <w:jc w:val="center"/>
              <w:rPr>
                <w:b/>
                <w:bCs/>
                <w:lang w:eastAsia="en-AU"/>
              </w:rPr>
            </w:pPr>
            <w:r w:rsidRPr="0034420E">
              <w:rPr>
                <w:b/>
                <w:bCs/>
                <w:lang w:eastAsia="en-AU"/>
              </w:rPr>
              <w:t>0.020</w:t>
            </w:r>
          </w:p>
        </w:tc>
      </w:tr>
      <w:tr w:rsidR="00315502" w:rsidRPr="0034420E" w14:paraId="5D7BF1AC" w14:textId="77777777" w:rsidTr="006B09B8">
        <w:trPr>
          <w:trHeight w:val="123"/>
        </w:trPr>
        <w:tc>
          <w:tcPr>
            <w:tcW w:w="3211" w:type="dxa"/>
            <w:shd w:val="clear" w:color="auto" w:fill="auto"/>
            <w:noWrap/>
            <w:vAlign w:val="center"/>
            <w:hideMark/>
          </w:tcPr>
          <w:p w14:paraId="3892EBCE" w14:textId="6E5D0338" w:rsidR="00315502" w:rsidRPr="0034420E" w:rsidRDefault="00315502" w:rsidP="00315502">
            <w:pPr>
              <w:pStyle w:val="TableText0"/>
              <w:keepNext/>
              <w:jc w:val="center"/>
              <w:rPr>
                <w:b/>
                <w:bCs/>
                <w:lang w:eastAsia="en-AU"/>
              </w:rPr>
            </w:pPr>
            <w:r w:rsidRPr="0034420E">
              <w:rPr>
                <w:b/>
                <w:bCs/>
                <w:lang w:eastAsia="en-AU"/>
              </w:rPr>
              <w:t>CD5L^</w:t>
            </w:r>
          </w:p>
        </w:tc>
        <w:tc>
          <w:tcPr>
            <w:tcW w:w="3211" w:type="dxa"/>
            <w:shd w:val="clear" w:color="auto" w:fill="auto"/>
            <w:noWrap/>
            <w:vAlign w:val="center"/>
          </w:tcPr>
          <w:p w14:paraId="776D1187" w14:textId="0151770E" w:rsidR="00315502" w:rsidRPr="0034420E" w:rsidRDefault="00315502" w:rsidP="00315502">
            <w:pPr>
              <w:pStyle w:val="TableText0"/>
              <w:keepNext/>
              <w:jc w:val="center"/>
              <w:rPr>
                <w:b/>
                <w:bCs/>
                <w:lang w:eastAsia="en-AU"/>
              </w:rPr>
            </w:pPr>
            <w:r w:rsidRPr="0034420E">
              <w:rPr>
                <w:b/>
                <w:bCs/>
                <w:lang w:eastAsia="en-AU"/>
              </w:rPr>
              <w:t>&lt;0.001</w:t>
            </w:r>
          </w:p>
        </w:tc>
        <w:tc>
          <w:tcPr>
            <w:tcW w:w="3212" w:type="dxa"/>
            <w:vAlign w:val="center"/>
          </w:tcPr>
          <w:p w14:paraId="2E466420" w14:textId="2D51035E" w:rsidR="00315502" w:rsidRPr="0034420E" w:rsidRDefault="00315502" w:rsidP="00315502">
            <w:pPr>
              <w:pStyle w:val="TableText0"/>
              <w:keepNext/>
              <w:jc w:val="center"/>
              <w:rPr>
                <w:b/>
                <w:bCs/>
                <w:lang w:eastAsia="en-AU"/>
              </w:rPr>
            </w:pPr>
            <w:r w:rsidRPr="0034420E">
              <w:rPr>
                <w:b/>
                <w:bCs/>
                <w:lang w:eastAsia="en-AU"/>
              </w:rPr>
              <w:t>0.041</w:t>
            </w:r>
          </w:p>
        </w:tc>
      </w:tr>
      <w:tr w:rsidR="00315502" w:rsidRPr="0034420E" w14:paraId="34F53B59" w14:textId="77777777" w:rsidTr="006B09B8">
        <w:trPr>
          <w:trHeight w:val="50"/>
        </w:trPr>
        <w:tc>
          <w:tcPr>
            <w:tcW w:w="3211" w:type="dxa"/>
            <w:shd w:val="clear" w:color="auto" w:fill="auto"/>
            <w:noWrap/>
            <w:vAlign w:val="center"/>
            <w:hideMark/>
          </w:tcPr>
          <w:p w14:paraId="76F32959" w14:textId="17FAF83B" w:rsidR="00315502" w:rsidRPr="0034420E" w:rsidRDefault="00315502" w:rsidP="00315502">
            <w:pPr>
              <w:pStyle w:val="TableText0"/>
              <w:keepNext/>
              <w:jc w:val="center"/>
              <w:rPr>
                <w:lang w:eastAsia="en-AU"/>
              </w:rPr>
            </w:pPr>
            <w:r w:rsidRPr="0034420E">
              <w:rPr>
                <w:lang w:eastAsia="en-AU"/>
              </w:rPr>
              <w:t>C1QB</w:t>
            </w:r>
          </w:p>
        </w:tc>
        <w:tc>
          <w:tcPr>
            <w:tcW w:w="3211" w:type="dxa"/>
            <w:shd w:val="clear" w:color="auto" w:fill="auto"/>
            <w:noWrap/>
            <w:vAlign w:val="center"/>
          </w:tcPr>
          <w:p w14:paraId="698641AD" w14:textId="1211AE90" w:rsidR="00315502" w:rsidRPr="0034420E" w:rsidRDefault="00315502" w:rsidP="00315502">
            <w:pPr>
              <w:pStyle w:val="TableText0"/>
              <w:keepNext/>
              <w:jc w:val="center"/>
              <w:rPr>
                <w:lang w:eastAsia="en-AU"/>
              </w:rPr>
            </w:pPr>
            <w:r w:rsidRPr="0034420E">
              <w:rPr>
                <w:lang w:eastAsia="en-AU"/>
              </w:rPr>
              <w:t>0.21</w:t>
            </w:r>
          </w:p>
        </w:tc>
        <w:tc>
          <w:tcPr>
            <w:tcW w:w="3212" w:type="dxa"/>
            <w:vAlign w:val="center"/>
          </w:tcPr>
          <w:p w14:paraId="5E927DE9" w14:textId="4B629235" w:rsidR="00315502" w:rsidRPr="0034420E" w:rsidRDefault="00315502" w:rsidP="00315502">
            <w:pPr>
              <w:pStyle w:val="TableText0"/>
              <w:keepNext/>
              <w:jc w:val="center"/>
              <w:rPr>
                <w:lang w:eastAsia="en-AU"/>
              </w:rPr>
            </w:pPr>
            <w:r w:rsidRPr="0034420E">
              <w:rPr>
                <w:lang w:eastAsia="en-AU"/>
              </w:rPr>
              <w:t>0.30</w:t>
            </w:r>
          </w:p>
        </w:tc>
      </w:tr>
      <w:tr w:rsidR="00315502" w:rsidRPr="0034420E" w14:paraId="5986F845" w14:textId="77777777" w:rsidTr="006B09B8">
        <w:trPr>
          <w:trHeight w:val="142"/>
        </w:trPr>
        <w:tc>
          <w:tcPr>
            <w:tcW w:w="3211" w:type="dxa"/>
            <w:shd w:val="clear" w:color="auto" w:fill="auto"/>
            <w:noWrap/>
            <w:vAlign w:val="center"/>
            <w:hideMark/>
          </w:tcPr>
          <w:p w14:paraId="3EF287CB" w14:textId="1F8FCCD1" w:rsidR="00315502" w:rsidRPr="0034420E" w:rsidRDefault="00315502" w:rsidP="00315502">
            <w:pPr>
              <w:pStyle w:val="TableText0"/>
              <w:keepNext/>
              <w:jc w:val="center"/>
              <w:rPr>
                <w:lang w:eastAsia="en-AU"/>
              </w:rPr>
            </w:pPr>
            <w:r w:rsidRPr="0034420E">
              <w:rPr>
                <w:lang w:eastAsia="en-AU"/>
              </w:rPr>
              <w:t>C8B^</w:t>
            </w:r>
          </w:p>
        </w:tc>
        <w:tc>
          <w:tcPr>
            <w:tcW w:w="3211" w:type="dxa"/>
            <w:shd w:val="clear" w:color="auto" w:fill="auto"/>
            <w:noWrap/>
            <w:vAlign w:val="center"/>
          </w:tcPr>
          <w:p w14:paraId="79505501" w14:textId="6AB129B7" w:rsidR="00315502" w:rsidRPr="0034420E" w:rsidRDefault="00315502" w:rsidP="00315502">
            <w:pPr>
              <w:pStyle w:val="TableText0"/>
              <w:keepNext/>
              <w:jc w:val="center"/>
              <w:rPr>
                <w:lang w:eastAsia="en-AU"/>
              </w:rPr>
            </w:pPr>
            <w:r w:rsidRPr="0034420E">
              <w:rPr>
                <w:lang w:eastAsia="en-AU"/>
              </w:rPr>
              <w:t>0.24</w:t>
            </w:r>
          </w:p>
        </w:tc>
        <w:tc>
          <w:tcPr>
            <w:tcW w:w="3212" w:type="dxa"/>
            <w:vAlign w:val="center"/>
          </w:tcPr>
          <w:p w14:paraId="19D9F489" w14:textId="299A4FBD" w:rsidR="00315502" w:rsidRPr="0034420E" w:rsidRDefault="00315502" w:rsidP="00315502">
            <w:pPr>
              <w:pStyle w:val="TableText0"/>
              <w:keepNext/>
              <w:jc w:val="center"/>
              <w:rPr>
                <w:lang w:eastAsia="en-AU"/>
              </w:rPr>
            </w:pPr>
            <w:r w:rsidRPr="0034420E">
              <w:rPr>
                <w:lang w:eastAsia="en-AU"/>
              </w:rPr>
              <w:t>0.65</w:t>
            </w:r>
          </w:p>
        </w:tc>
      </w:tr>
      <w:tr w:rsidR="00315502" w:rsidRPr="0034420E" w14:paraId="107BE761" w14:textId="77777777" w:rsidTr="006B09B8">
        <w:trPr>
          <w:trHeight w:val="65"/>
        </w:trPr>
        <w:tc>
          <w:tcPr>
            <w:tcW w:w="3211" w:type="dxa"/>
            <w:shd w:val="clear" w:color="auto" w:fill="auto"/>
            <w:noWrap/>
            <w:vAlign w:val="center"/>
            <w:hideMark/>
          </w:tcPr>
          <w:p w14:paraId="29EF5A5E" w14:textId="1FF1BB9C" w:rsidR="00315502" w:rsidRPr="0034420E" w:rsidRDefault="00315502" w:rsidP="00315502">
            <w:pPr>
              <w:pStyle w:val="TableText0"/>
              <w:keepNext/>
              <w:jc w:val="center"/>
              <w:rPr>
                <w:b/>
                <w:bCs/>
                <w:lang w:eastAsia="en-AU"/>
              </w:rPr>
            </w:pPr>
            <w:r w:rsidRPr="0034420E">
              <w:rPr>
                <w:b/>
                <w:bCs/>
                <w:lang w:eastAsia="en-AU"/>
              </w:rPr>
              <w:t>CFHR2</w:t>
            </w:r>
          </w:p>
        </w:tc>
        <w:tc>
          <w:tcPr>
            <w:tcW w:w="3211" w:type="dxa"/>
            <w:shd w:val="clear" w:color="auto" w:fill="auto"/>
            <w:noWrap/>
            <w:vAlign w:val="center"/>
          </w:tcPr>
          <w:p w14:paraId="5E6A7FD2" w14:textId="17B7211F" w:rsidR="00315502" w:rsidRPr="0034420E" w:rsidRDefault="00315502" w:rsidP="00315502">
            <w:pPr>
              <w:pStyle w:val="TableText0"/>
              <w:keepNext/>
              <w:jc w:val="center"/>
              <w:rPr>
                <w:b/>
                <w:bCs/>
                <w:lang w:eastAsia="en-AU"/>
              </w:rPr>
            </w:pPr>
            <w:r w:rsidRPr="0034420E">
              <w:rPr>
                <w:b/>
                <w:bCs/>
                <w:lang w:eastAsia="en-AU"/>
              </w:rPr>
              <w:t>0.002</w:t>
            </w:r>
          </w:p>
        </w:tc>
        <w:tc>
          <w:tcPr>
            <w:tcW w:w="3212" w:type="dxa"/>
            <w:vAlign w:val="center"/>
          </w:tcPr>
          <w:p w14:paraId="36B6738E" w14:textId="677E66BE" w:rsidR="00315502" w:rsidRPr="0034420E" w:rsidRDefault="00315502" w:rsidP="00315502">
            <w:pPr>
              <w:pStyle w:val="TableText0"/>
              <w:keepNext/>
              <w:jc w:val="center"/>
              <w:rPr>
                <w:b/>
                <w:bCs/>
                <w:lang w:eastAsia="en-AU"/>
              </w:rPr>
            </w:pPr>
            <w:r w:rsidRPr="0034420E">
              <w:rPr>
                <w:b/>
                <w:bCs/>
                <w:lang w:eastAsia="en-AU"/>
              </w:rPr>
              <w:t>&lt;0.001</w:t>
            </w:r>
          </w:p>
        </w:tc>
      </w:tr>
      <w:tr w:rsidR="00315502" w:rsidRPr="0034420E" w14:paraId="0F580365" w14:textId="77777777" w:rsidTr="006B09B8">
        <w:trPr>
          <w:trHeight w:val="211"/>
        </w:trPr>
        <w:tc>
          <w:tcPr>
            <w:tcW w:w="3211" w:type="dxa"/>
            <w:shd w:val="clear" w:color="auto" w:fill="auto"/>
            <w:noWrap/>
            <w:vAlign w:val="center"/>
            <w:hideMark/>
          </w:tcPr>
          <w:p w14:paraId="7C683114" w14:textId="773887F9" w:rsidR="00315502" w:rsidRPr="0034420E" w:rsidRDefault="00315502" w:rsidP="00315502">
            <w:pPr>
              <w:pStyle w:val="TableText0"/>
              <w:keepNext/>
              <w:jc w:val="center"/>
              <w:rPr>
                <w:b/>
                <w:bCs/>
                <w:lang w:eastAsia="en-AU"/>
              </w:rPr>
            </w:pPr>
            <w:r w:rsidRPr="0034420E">
              <w:rPr>
                <w:b/>
                <w:bCs/>
                <w:lang w:eastAsia="en-AU"/>
              </w:rPr>
              <w:t>HBB</w:t>
            </w:r>
          </w:p>
        </w:tc>
        <w:tc>
          <w:tcPr>
            <w:tcW w:w="3211" w:type="dxa"/>
            <w:shd w:val="clear" w:color="auto" w:fill="auto"/>
            <w:noWrap/>
            <w:vAlign w:val="center"/>
          </w:tcPr>
          <w:p w14:paraId="442FB8FD" w14:textId="4EC54C73" w:rsidR="00315502" w:rsidRPr="0034420E" w:rsidRDefault="00315502" w:rsidP="00315502">
            <w:pPr>
              <w:pStyle w:val="TableText0"/>
              <w:keepNext/>
              <w:jc w:val="center"/>
              <w:rPr>
                <w:b/>
                <w:bCs/>
                <w:lang w:eastAsia="en-AU"/>
              </w:rPr>
            </w:pPr>
            <w:r w:rsidRPr="0034420E">
              <w:rPr>
                <w:b/>
                <w:bCs/>
                <w:lang w:eastAsia="en-AU"/>
              </w:rPr>
              <w:t>0.001</w:t>
            </w:r>
          </w:p>
        </w:tc>
        <w:tc>
          <w:tcPr>
            <w:tcW w:w="3212" w:type="dxa"/>
            <w:vAlign w:val="center"/>
          </w:tcPr>
          <w:p w14:paraId="75D88AF6" w14:textId="0212AE53" w:rsidR="00315502" w:rsidRPr="0034420E" w:rsidRDefault="00315502" w:rsidP="00315502">
            <w:pPr>
              <w:pStyle w:val="TableText0"/>
              <w:keepNext/>
              <w:jc w:val="center"/>
              <w:rPr>
                <w:lang w:eastAsia="en-AU"/>
              </w:rPr>
            </w:pPr>
            <w:r w:rsidRPr="0034420E">
              <w:rPr>
                <w:lang w:eastAsia="en-AU"/>
              </w:rPr>
              <w:t>0.41</w:t>
            </w:r>
          </w:p>
        </w:tc>
      </w:tr>
      <w:tr w:rsidR="00315502" w:rsidRPr="0034420E" w14:paraId="52E33B1E" w14:textId="77777777" w:rsidTr="006B09B8">
        <w:trPr>
          <w:trHeight w:val="50"/>
        </w:trPr>
        <w:tc>
          <w:tcPr>
            <w:tcW w:w="3211" w:type="dxa"/>
            <w:shd w:val="clear" w:color="auto" w:fill="auto"/>
            <w:noWrap/>
            <w:vAlign w:val="center"/>
            <w:hideMark/>
          </w:tcPr>
          <w:p w14:paraId="3E86EF44" w14:textId="21B651C3" w:rsidR="00315502" w:rsidRPr="0034420E" w:rsidRDefault="00315502" w:rsidP="00315502">
            <w:pPr>
              <w:pStyle w:val="TableText0"/>
              <w:keepNext/>
              <w:jc w:val="center"/>
              <w:rPr>
                <w:b/>
                <w:bCs/>
                <w:lang w:eastAsia="en-AU"/>
              </w:rPr>
            </w:pPr>
            <w:r w:rsidRPr="0034420E">
              <w:rPr>
                <w:b/>
                <w:bCs/>
                <w:lang w:eastAsia="en-AU"/>
              </w:rPr>
              <w:t>IBP3</w:t>
            </w:r>
          </w:p>
        </w:tc>
        <w:tc>
          <w:tcPr>
            <w:tcW w:w="3211" w:type="dxa"/>
            <w:shd w:val="clear" w:color="auto" w:fill="auto"/>
            <w:noWrap/>
            <w:vAlign w:val="center"/>
          </w:tcPr>
          <w:p w14:paraId="5995D8AC" w14:textId="6A6B74BD" w:rsidR="00315502" w:rsidRPr="0034420E" w:rsidRDefault="00315502" w:rsidP="00315502">
            <w:pPr>
              <w:pStyle w:val="TableText0"/>
              <w:keepNext/>
              <w:jc w:val="center"/>
              <w:rPr>
                <w:b/>
                <w:bCs/>
                <w:lang w:eastAsia="en-AU"/>
              </w:rPr>
            </w:pPr>
            <w:r w:rsidRPr="0034420E">
              <w:rPr>
                <w:b/>
                <w:bCs/>
                <w:lang w:eastAsia="en-AU"/>
              </w:rPr>
              <w:t>&lt;0.001</w:t>
            </w:r>
          </w:p>
        </w:tc>
        <w:tc>
          <w:tcPr>
            <w:tcW w:w="3212" w:type="dxa"/>
            <w:vAlign w:val="center"/>
          </w:tcPr>
          <w:p w14:paraId="64A61792" w14:textId="376A71C5" w:rsidR="00315502" w:rsidRPr="0034420E" w:rsidRDefault="00315502" w:rsidP="00315502">
            <w:pPr>
              <w:pStyle w:val="TableText0"/>
              <w:keepNext/>
              <w:jc w:val="center"/>
              <w:rPr>
                <w:b/>
                <w:bCs/>
                <w:lang w:eastAsia="en-AU"/>
              </w:rPr>
            </w:pPr>
            <w:r w:rsidRPr="0034420E">
              <w:rPr>
                <w:b/>
                <w:bCs/>
                <w:lang w:eastAsia="en-AU"/>
              </w:rPr>
              <w:t>0.001</w:t>
            </w:r>
          </w:p>
        </w:tc>
      </w:tr>
      <w:tr w:rsidR="00315502" w:rsidRPr="0034420E" w14:paraId="4C6E9085" w14:textId="77777777" w:rsidTr="006B09B8">
        <w:trPr>
          <w:trHeight w:val="69"/>
        </w:trPr>
        <w:tc>
          <w:tcPr>
            <w:tcW w:w="3211" w:type="dxa"/>
            <w:shd w:val="clear" w:color="auto" w:fill="auto"/>
            <w:noWrap/>
            <w:vAlign w:val="center"/>
            <w:hideMark/>
          </w:tcPr>
          <w:p w14:paraId="725FCA22" w14:textId="099B56C1" w:rsidR="00315502" w:rsidRPr="0034420E" w:rsidRDefault="00315502" w:rsidP="00315502">
            <w:pPr>
              <w:pStyle w:val="TableText0"/>
              <w:keepNext/>
              <w:jc w:val="center"/>
              <w:rPr>
                <w:b/>
                <w:bCs/>
                <w:lang w:eastAsia="en-AU"/>
              </w:rPr>
            </w:pPr>
            <w:r w:rsidRPr="0034420E">
              <w:rPr>
                <w:b/>
                <w:bCs/>
                <w:lang w:eastAsia="en-AU"/>
              </w:rPr>
              <w:t>AMBP</w:t>
            </w:r>
          </w:p>
        </w:tc>
        <w:tc>
          <w:tcPr>
            <w:tcW w:w="3211" w:type="dxa"/>
            <w:shd w:val="clear" w:color="auto" w:fill="auto"/>
            <w:noWrap/>
            <w:vAlign w:val="center"/>
          </w:tcPr>
          <w:p w14:paraId="5FDA6B31" w14:textId="275BE8D5" w:rsidR="00315502" w:rsidRPr="0034420E" w:rsidRDefault="00315502" w:rsidP="00315502">
            <w:pPr>
              <w:pStyle w:val="TableText0"/>
              <w:keepNext/>
              <w:jc w:val="center"/>
              <w:rPr>
                <w:lang w:eastAsia="en-AU"/>
              </w:rPr>
            </w:pPr>
            <w:r w:rsidRPr="0034420E">
              <w:rPr>
                <w:lang w:eastAsia="en-AU"/>
              </w:rPr>
              <w:t>0.070</w:t>
            </w:r>
          </w:p>
        </w:tc>
        <w:tc>
          <w:tcPr>
            <w:tcW w:w="3212" w:type="dxa"/>
            <w:vAlign w:val="center"/>
          </w:tcPr>
          <w:p w14:paraId="594F25EB" w14:textId="0BFFE822" w:rsidR="00315502" w:rsidRPr="0034420E" w:rsidRDefault="00315502" w:rsidP="00315502">
            <w:pPr>
              <w:pStyle w:val="TableText0"/>
              <w:keepNext/>
              <w:jc w:val="center"/>
              <w:rPr>
                <w:b/>
                <w:bCs/>
                <w:lang w:eastAsia="en-AU"/>
              </w:rPr>
            </w:pPr>
            <w:r w:rsidRPr="0034420E">
              <w:rPr>
                <w:b/>
                <w:bCs/>
                <w:lang w:eastAsia="en-AU"/>
              </w:rPr>
              <w:t>0.001</w:t>
            </w:r>
          </w:p>
        </w:tc>
      </w:tr>
    </w:tbl>
    <w:p w14:paraId="5C5B73FA" w14:textId="77777777" w:rsidR="00071C51" w:rsidRPr="0034420E" w:rsidRDefault="00071C51" w:rsidP="003B19E0">
      <w:pPr>
        <w:pStyle w:val="Tablenotes"/>
        <w:keepNext/>
        <w:spacing w:after="0"/>
      </w:pPr>
      <w:proofErr w:type="spellStart"/>
      <w:r w:rsidRPr="0034420E">
        <w:t>uACR</w:t>
      </w:r>
      <w:proofErr w:type="spellEnd"/>
      <w:r w:rsidRPr="0034420E">
        <w:t xml:space="preserve"> = Albumin: Creatinine Ratio; eGFR = estimated glomerular filtration rate</w:t>
      </w:r>
    </w:p>
    <w:p w14:paraId="48AB2A96" w14:textId="6DED806D" w:rsidR="000D7105" w:rsidRPr="0034420E" w:rsidRDefault="000D7105" w:rsidP="003B19E0">
      <w:pPr>
        <w:pStyle w:val="Tablenotes"/>
        <w:keepNext/>
        <w:tabs>
          <w:tab w:val="left" w:pos="284"/>
        </w:tabs>
        <w:spacing w:after="0"/>
      </w:pPr>
      <w:r w:rsidRPr="0034420E">
        <w:t>*</w:t>
      </w:r>
      <w:r w:rsidR="003B19E0" w:rsidRPr="0034420E">
        <w:rPr>
          <w:rFonts w:ascii="Roboto" w:eastAsia="Roboto" w:hAnsi="Roboto"/>
          <w:lang w:eastAsia="en-AU"/>
        </w:rPr>
        <w:tab/>
      </w:r>
      <w:r w:rsidRPr="0034420E">
        <w:t>p-value based on Spearman’s correlation</w:t>
      </w:r>
    </w:p>
    <w:p w14:paraId="698DA863" w14:textId="37ACF729" w:rsidR="000D7105" w:rsidRPr="0034420E" w:rsidRDefault="000D7105" w:rsidP="003B19E0">
      <w:pPr>
        <w:pStyle w:val="Tablenotes"/>
        <w:keepNext/>
        <w:tabs>
          <w:tab w:val="left" w:pos="284"/>
        </w:tabs>
        <w:spacing w:after="200"/>
      </w:pPr>
      <w:r w:rsidRPr="0034420E">
        <w:t>^</w:t>
      </w:r>
      <w:r w:rsidR="003B19E0" w:rsidRPr="0034420E">
        <w:tab/>
      </w:r>
      <w:r w:rsidRPr="0034420E">
        <w:t>Analysed in Busselton Diabetes Study</w:t>
      </w:r>
    </w:p>
    <w:p w14:paraId="60B10643" w14:textId="2DC5BB80" w:rsidR="000D7105" w:rsidRPr="0034420E" w:rsidRDefault="000D7105" w:rsidP="003B19E0">
      <w:r w:rsidRPr="0034420E">
        <w:t>All 11 candidate biomarkers were then measured in the FDS2 cohort and a series of multivariate models derived for assessing diagnostic outcomes (</w:t>
      </w:r>
      <w:r w:rsidR="00E5120D" w:rsidRPr="0034420E">
        <w:fldChar w:fldCharType="begin"/>
      </w:r>
      <w:r w:rsidR="00E5120D" w:rsidRPr="0034420E">
        <w:instrText xml:space="preserve"> REF _Ref87016300 \h </w:instrText>
      </w:r>
      <w:r w:rsidR="009E1D30" w:rsidRPr="0034420E">
        <w:instrText xml:space="preserve"> \* MERGEFORMAT </w:instrText>
      </w:r>
      <w:r w:rsidR="00E5120D" w:rsidRPr="0034420E">
        <w:fldChar w:fldCharType="separate"/>
      </w:r>
      <w:r w:rsidR="00523E59" w:rsidRPr="0034420E">
        <w:t xml:space="preserve">Table </w:t>
      </w:r>
      <w:r w:rsidR="00523E59" w:rsidRPr="0034420E">
        <w:rPr>
          <w:noProof/>
        </w:rPr>
        <w:t>4</w:t>
      </w:r>
      <w:r w:rsidR="00E5120D" w:rsidRPr="0034420E">
        <w:fldChar w:fldCharType="end"/>
      </w:r>
      <w:r w:rsidRPr="0034420E">
        <w:t xml:space="preserve">). All biomarkers in the models were </w:t>
      </w:r>
      <w:r w:rsidR="001820AF" w:rsidRPr="0034420E">
        <w:t xml:space="preserve">found to be </w:t>
      </w:r>
      <w:r w:rsidRPr="0034420E">
        <w:t>significant and independent associates of the respective renal complication (unpublished data).</w:t>
      </w:r>
    </w:p>
    <w:p w14:paraId="024A1448" w14:textId="064285F8" w:rsidR="000D7105" w:rsidRPr="0034420E" w:rsidRDefault="00E5120D" w:rsidP="00E5120D">
      <w:pPr>
        <w:pStyle w:val="Caption"/>
      </w:pPr>
      <w:bookmarkStart w:id="7" w:name="_Ref87016300"/>
      <w:r w:rsidRPr="0034420E">
        <w:t xml:space="preserve">Table </w:t>
      </w:r>
      <w:r w:rsidRPr="0034420E">
        <w:fldChar w:fldCharType="begin"/>
      </w:r>
      <w:r w:rsidRPr="0034420E">
        <w:instrText xml:space="preserve"> SEQ Table \* ARABIC </w:instrText>
      </w:r>
      <w:r w:rsidRPr="0034420E">
        <w:fldChar w:fldCharType="separate"/>
      </w:r>
      <w:r w:rsidR="00523E59" w:rsidRPr="0034420E">
        <w:rPr>
          <w:noProof/>
        </w:rPr>
        <w:t>4</w:t>
      </w:r>
      <w:r w:rsidRPr="0034420E">
        <w:fldChar w:fldCharType="end"/>
      </w:r>
      <w:bookmarkEnd w:id="7"/>
      <w:r w:rsidR="00E12138" w:rsidRPr="0034420E">
        <w:rPr>
          <w:bCs/>
        </w:rPr>
        <w:tab/>
      </w:r>
      <w:r w:rsidR="000D7105" w:rsidRPr="0034420E">
        <w:t>Multivariate biomarker models for renal complications in the Fremantle Diabetes Study Phase II</w:t>
      </w:r>
    </w:p>
    <w:tbl>
      <w:tblPr>
        <w:tblW w:w="9503"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1281"/>
        <w:gridCol w:w="1701"/>
        <w:gridCol w:w="1843"/>
        <w:gridCol w:w="850"/>
        <w:gridCol w:w="1134"/>
        <w:gridCol w:w="1134"/>
        <w:gridCol w:w="851"/>
        <w:gridCol w:w="709"/>
      </w:tblGrid>
      <w:tr w:rsidR="00315502" w:rsidRPr="0034420E" w14:paraId="757B51DE" w14:textId="77777777" w:rsidTr="00334438">
        <w:tc>
          <w:tcPr>
            <w:tcW w:w="1281" w:type="dxa"/>
            <w:shd w:val="clear" w:color="auto" w:fill="auto"/>
          </w:tcPr>
          <w:p w14:paraId="6EF8BCC2" w14:textId="411A297A" w:rsidR="00315502" w:rsidRPr="0034420E" w:rsidRDefault="00315502" w:rsidP="00315502">
            <w:pPr>
              <w:pStyle w:val="TableText0"/>
              <w:rPr>
                <w:b/>
                <w:bCs/>
              </w:rPr>
            </w:pPr>
            <w:r w:rsidRPr="0034420E">
              <w:rPr>
                <w:b/>
                <w:bCs/>
              </w:rPr>
              <w:t>Renal complication</w:t>
            </w:r>
          </w:p>
        </w:tc>
        <w:tc>
          <w:tcPr>
            <w:tcW w:w="1701" w:type="dxa"/>
            <w:shd w:val="clear" w:color="auto" w:fill="auto"/>
          </w:tcPr>
          <w:p w14:paraId="576E5DEE" w14:textId="23B5F182" w:rsidR="00315502" w:rsidRPr="0034420E" w:rsidRDefault="00315502" w:rsidP="00315502">
            <w:pPr>
              <w:pStyle w:val="TableText0"/>
              <w:rPr>
                <w:b/>
                <w:bCs/>
              </w:rPr>
            </w:pPr>
            <w:r w:rsidRPr="0034420E">
              <w:rPr>
                <w:b/>
                <w:bCs/>
              </w:rPr>
              <w:t>No. with/without renal complication</w:t>
            </w:r>
          </w:p>
        </w:tc>
        <w:tc>
          <w:tcPr>
            <w:tcW w:w="1843" w:type="dxa"/>
            <w:shd w:val="clear" w:color="auto" w:fill="auto"/>
          </w:tcPr>
          <w:p w14:paraId="4016632E" w14:textId="15FEC6F2" w:rsidR="00315502" w:rsidRPr="0034420E" w:rsidRDefault="00315502" w:rsidP="00315502">
            <w:pPr>
              <w:pStyle w:val="TableText0"/>
              <w:rPr>
                <w:b/>
                <w:bCs/>
              </w:rPr>
            </w:pPr>
            <w:r w:rsidRPr="0034420E">
              <w:rPr>
                <w:b/>
                <w:bCs/>
              </w:rPr>
              <w:t>Model^</w:t>
            </w:r>
          </w:p>
        </w:tc>
        <w:tc>
          <w:tcPr>
            <w:tcW w:w="850" w:type="dxa"/>
            <w:shd w:val="clear" w:color="auto" w:fill="auto"/>
          </w:tcPr>
          <w:p w14:paraId="35E7AEE2" w14:textId="6A22E6A9" w:rsidR="00315502" w:rsidRPr="0034420E" w:rsidRDefault="00315502" w:rsidP="00315502">
            <w:pPr>
              <w:pStyle w:val="TableText0"/>
              <w:jc w:val="center"/>
              <w:rPr>
                <w:b/>
                <w:bCs/>
              </w:rPr>
            </w:pPr>
            <w:r w:rsidRPr="0034420E">
              <w:rPr>
                <w:b/>
                <w:bCs/>
              </w:rPr>
              <w:t>AUC</w:t>
            </w:r>
          </w:p>
        </w:tc>
        <w:tc>
          <w:tcPr>
            <w:tcW w:w="1134" w:type="dxa"/>
            <w:shd w:val="clear" w:color="auto" w:fill="auto"/>
          </w:tcPr>
          <w:p w14:paraId="142CDF68" w14:textId="57F7DCCD" w:rsidR="00315502" w:rsidRPr="0034420E" w:rsidRDefault="00315502" w:rsidP="00315502">
            <w:pPr>
              <w:pStyle w:val="TableText0"/>
              <w:jc w:val="center"/>
              <w:rPr>
                <w:b/>
                <w:bCs/>
              </w:rPr>
            </w:pPr>
            <w:r w:rsidRPr="0034420E">
              <w:rPr>
                <w:b/>
                <w:bCs/>
              </w:rPr>
              <w:t>Sensitivity</w:t>
            </w:r>
          </w:p>
        </w:tc>
        <w:tc>
          <w:tcPr>
            <w:tcW w:w="1134" w:type="dxa"/>
            <w:shd w:val="clear" w:color="auto" w:fill="auto"/>
          </w:tcPr>
          <w:p w14:paraId="18836151" w14:textId="5ADE8488" w:rsidR="00315502" w:rsidRPr="0034420E" w:rsidRDefault="00315502" w:rsidP="00315502">
            <w:pPr>
              <w:pStyle w:val="TableText0"/>
              <w:jc w:val="center"/>
              <w:rPr>
                <w:b/>
                <w:bCs/>
              </w:rPr>
            </w:pPr>
            <w:r w:rsidRPr="0034420E">
              <w:rPr>
                <w:b/>
                <w:bCs/>
              </w:rPr>
              <w:t>Specificity</w:t>
            </w:r>
          </w:p>
        </w:tc>
        <w:tc>
          <w:tcPr>
            <w:tcW w:w="851" w:type="dxa"/>
            <w:shd w:val="clear" w:color="auto" w:fill="auto"/>
          </w:tcPr>
          <w:p w14:paraId="03390D50" w14:textId="258F2A01" w:rsidR="00315502" w:rsidRPr="0034420E" w:rsidRDefault="00315502" w:rsidP="00315502">
            <w:pPr>
              <w:pStyle w:val="TableText0"/>
              <w:jc w:val="center"/>
              <w:rPr>
                <w:b/>
                <w:bCs/>
              </w:rPr>
            </w:pPr>
            <w:r w:rsidRPr="0034420E">
              <w:rPr>
                <w:b/>
                <w:bCs/>
              </w:rPr>
              <w:t>PPV</w:t>
            </w:r>
          </w:p>
        </w:tc>
        <w:tc>
          <w:tcPr>
            <w:tcW w:w="709" w:type="dxa"/>
            <w:shd w:val="clear" w:color="auto" w:fill="auto"/>
          </w:tcPr>
          <w:p w14:paraId="3EC061F9" w14:textId="004B1E9E" w:rsidR="00315502" w:rsidRPr="0034420E" w:rsidRDefault="00315502" w:rsidP="00315502">
            <w:pPr>
              <w:pStyle w:val="TableText0"/>
              <w:jc w:val="center"/>
              <w:rPr>
                <w:b/>
                <w:bCs/>
              </w:rPr>
            </w:pPr>
            <w:r w:rsidRPr="0034420E">
              <w:rPr>
                <w:b/>
                <w:bCs/>
              </w:rPr>
              <w:t>NPV</w:t>
            </w:r>
          </w:p>
        </w:tc>
      </w:tr>
      <w:tr w:rsidR="00315502" w:rsidRPr="0034420E" w14:paraId="18E7756B" w14:textId="77777777" w:rsidTr="00334438">
        <w:tc>
          <w:tcPr>
            <w:tcW w:w="1281" w:type="dxa"/>
            <w:shd w:val="clear" w:color="auto" w:fill="auto"/>
          </w:tcPr>
          <w:p w14:paraId="17009C46" w14:textId="5CE233FE" w:rsidR="00315502" w:rsidRPr="0034420E" w:rsidRDefault="00315502" w:rsidP="00315502">
            <w:pPr>
              <w:pStyle w:val="TableText0"/>
            </w:pPr>
            <w:r w:rsidRPr="0034420E">
              <w:t>ACR ≥3.0 mg/mmol</w:t>
            </w:r>
          </w:p>
        </w:tc>
        <w:tc>
          <w:tcPr>
            <w:tcW w:w="1701" w:type="dxa"/>
          </w:tcPr>
          <w:p w14:paraId="0D77EF31" w14:textId="6CF171A3" w:rsidR="00315502" w:rsidRPr="0034420E" w:rsidRDefault="00315502" w:rsidP="00315502">
            <w:pPr>
              <w:pStyle w:val="TableText0"/>
            </w:pPr>
            <w:r w:rsidRPr="0034420E">
              <w:t>264/326</w:t>
            </w:r>
          </w:p>
        </w:tc>
        <w:tc>
          <w:tcPr>
            <w:tcW w:w="1843" w:type="dxa"/>
          </w:tcPr>
          <w:p w14:paraId="4D1FE266" w14:textId="05A164B1" w:rsidR="00315502" w:rsidRPr="0034420E" w:rsidRDefault="00315502" w:rsidP="00315502">
            <w:pPr>
              <w:pStyle w:val="TableText0"/>
            </w:pPr>
            <w:r w:rsidRPr="0034420E">
              <w:rPr>
                <w:b/>
              </w:rPr>
              <w:t>ApoA4</w:t>
            </w:r>
            <w:r w:rsidRPr="0034420E">
              <w:t xml:space="preserve">, ApoB100, </w:t>
            </w:r>
            <w:r w:rsidRPr="0034420E">
              <w:rPr>
                <w:b/>
              </w:rPr>
              <w:t>CD5L</w:t>
            </w:r>
            <w:r w:rsidRPr="0034420E">
              <w:t>, CFHR2, HBB</w:t>
            </w:r>
          </w:p>
        </w:tc>
        <w:tc>
          <w:tcPr>
            <w:tcW w:w="850" w:type="dxa"/>
            <w:shd w:val="clear" w:color="auto" w:fill="auto"/>
          </w:tcPr>
          <w:p w14:paraId="5B3D345A" w14:textId="1BA09220" w:rsidR="00315502" w:rsidRPr="0034420E" w:rsidRDefault="00315502" w:rsidP="00315502">
            <w:pPr>
              <w:pStyle w:val="TableText0"/>
              <w:jc w:val="center"/>
            </w:pPr>
            <w:r w:rsidRPr="0034420E">
              <w:t>0.67</w:t>
            </w:r>
          </w:p>
        </w:tc>
        <w:tc>
          <w:tcPr>
            <w:tcW w:w="1134" w:type="dxa"/>
          </w:tcPr>
          <w:p w14:paraId="560E3D9B" w14:textId="7A129576" w:rsidR="00315502" w:rsidRPr="0034420E" w:rsidRDefault="00315502" w:rsidP="00315502">
            <w:pPr>
              <w:pStyle w:val="TableText0"/>
              <w:jc w:val="center"/>
            </w:pPr>
            <w:r w:rsidRPr="0034420E">
              <w:t>67%</w:t>
            </w:r>
          </w:p>
        </w:tc>
        <w:tc>
          <w:tcPr>
            <w:tcW w:w="1134" w:type="dxa"/>
            <w:shd w:val="clear" w:color="auto" w:fill="auto"/>
          </w:tcPr>
          <w:p w14:paraId="7B5E4623" w14:textId="35FCC6C8" w:rsidR="00315502" w:rsidRPr="0034420E" w:rsidRDefault="00315502" w:rsidP="00315502">
            <w:pPr>
              <w:pStyle w:val="TableText0"/>
              <w:jc w:val="center"/>
            </w:pPr>
            <w:r w:rsidRPr="0034420E">
              <w:t>62%</w:t>
            </w:r>
          </w:p>
        </w:tc>
        <w:tc>
          <w:tcPr>
            <w:tcW w:w="851" w:type="dxa"/>
            <w:shd w:val="clear" w:color="auto" w:fill="auto"/>
          </w:tcPr>
          <w:p w14:paraId="6AB59CF5" w14:textId="3D62A453" w:rsidR="00315502" w:rsidRPr="0034420E" w:rsidRDefault="00315502" w:rsidP="00315502">
            <w:pPr>
              <w:pStyle w:val="TableText0"/>
              <w:jc w:val="center"/>
            </w:pPr>
            <w:r w:rsidRPr="0034420E">
              <w:t>59%</w:t>
            </w:r>
          </w:p>
        </w:tc>
        <w:tc>
          <w:tcPr>
            <w:tcW w:w="709" w:type="dxa"/>
            <w:shd w:val="clear" w:color="auto" w:fill="auto"/>
          </w:tcPr>
          <w:p w14:paraId="545340BD" w14:textId="0C46CA70" w:rsidR="00315502" w:rsidRPr="0034420E" w:rsidRDefault="00315502" w:rsidP="00315502">
            <w:pPr>
              <w:pStyle w:val="TableText0"/>
              <w:jc w:val="center"/>
            </w:pPr>
            <w:r w:rsidRPr="0034420E">
              <w:t>70%</w:t>
            </w:r>
          </w:p>
        </w:tc>
      </w:tr>
      <w:tr w:rsidR="00315502" w:rsidRPr="0034420E" w14:paraId="46DE57C5" w14:textId="77777777" w:rsidTr="00334438">
        <w:tc>
          <w:tcPr>
            <w:tcW w:w="1281" w:type="dxa"/>
            <w:shd w:val="clear" w:color="auto" w:fill="auto"/>
          </w:tcPr>
          <w:p w14:paraId="02904CC9" w14:textId="12D0ECB4" w:rsidR="00315502" w:rsidRPr="0034420E" w:rsidRDefault="00315502" w:rsidP="00315502">
            <w:pPr>
              <w:pStyle w:val="TableText0"/>
            </w:pPr>
            <w:r w:rsidRPr="0034420E">
              <w:t>ACR ≥30.0 mg/mmol</w:t>
            </w:r>
          </w:p>
        </w:tc>
        <w:tc>
          <w:tcPr>
            <w:tcW w:w="1701" w:type="dxa"/>
          </w:tcPr>
          <w:p w14:paraId="74DE765C" w14:textId="741569D6" w:rsidR="00315502" w:rsidRPr="0034420E" w:rsidRDefault="00315502" w:rsidP="00315502">
            <w:pPr>
              <w:pStyle w:val="TableText0"/>
            </w:pPr>
            <w:r w:rsidRPr="0034420E">
              <w:t>71/519</w:t>
            </w:r>
          </w:p>
        </w:tc>
        <w:tc>
          <w:tcPr>
            <w:tcW w:w="1843" w:type="dxa"/>
          </w:tcPr>
          <w:p w14:paraId="156FA23C" w14:textId="748A3CA3" w:rsidR="00315502" w:rsidRPr="0034420E" w:rsidRDefault="00315502" w:rsidP="00315502">
            <w:pPr>
              <w:pStyle w:val="TableText0"/>
            </w:pPr>
            <w:r w:rsidRPr="0034420E">
              <w:rPr>
                <w:b/>
              </w:rPr>
              <w:t>ApoA4</w:t>
            </w:r>
            <w:r w:rsidRPr="0034420E">
              <w:t xml:space="preserve">, </w:t>
            </w:r>
            <w:r w:rsidRPr="0034420E">
              <w:rPr>
                <w:b/>
              </w:rPr>
              <w:t>CD5L</w:t>
            </w:r>
            <w:r w:rsidRPr="0034420E">
              <w:t xml:space="preserve">, </w:t>
            </w:r>
            <w:r w:rsidRPr="0034420E">
              <w:rPr>
                <w:b/>
              </w:rPr>
              <w:t>IBP3</w:t>
            </w:r>
            <w:r w:rsidRPr="0034420E">
              <w:t>, ApoB100, C1QB</w:t>
            </w:r>
          </w:p>
        </w:tc>
        <w:tc>
          <w:tcPr>
            <w:tcW w:w="850" w:type="dxa"/>
            <w:shd w:val="clear" w:color="auto" w:fill="auto"/>
          </w:tcPr>
          <w:p w14:paraId="76AF971C" w14:textId="764529D4" w:rsidR="00315502" w:rsidRPr="0034420E" w:rsidRDefault="00315502" w:rsidP="00315502">
            <w:pPr>
              <w:pStyle w:val="TableText0"/>
              <w:jc w:val="center"/>
            </w:pPr>
            <w:r w:rsidRPr="0034420E">
              <w:t>0.75</w:t>
            </w:r>
          </w:p>
        </w:tc>
        <w:tc>
          <w:tcPr>
            <w:tcW w:w="1134" w:type="dxa"/>
          </w:tcPr>
          <w:p w14:paraId="4944F9AB" w14:textId="5662AA84" w:rsidR="00315502" w:rsidRPr="0034420E" w:rsidRDefault="00315502" w:rsidP="00315502">
            <w:pPr>
              <w:pStyle w:val="TableText0"/>
              <w:jc w:val="center"/>
            </w:pPr>
            <w:r w:rsidRPr="0034420E">
              <w:t>72%</w:t>
            </w:r>
          </w:p>
        </w:tc>
        <w:tc>
          <w:tcPr>
            <w:tcW w:w="1134" w:type="dxa"/>
            <w:shd w:val="clear" w:color="auto" w:fill="auto"/>
          </w:tcPr>
          <w:p w14:paraId="762AEF8E" w14:textId="22347793" w:rsidR="00315502" w:rsidRPr="0034420E" w:rsidRDefault="00315502" w:rsidP="00315502">
            <w:pPr>
              <w:pStyle w:val="TableText0"/>
              <w:jc w:val="center"/>
            </w:pPr>
            <w:r w:rsidRPr="0034420E">
              <w:t>70%</w:t>
            </w:r>
          </w:p>
        </w:tc>
        <w:tc>
          <w:tcPr>
            <w:tcW w:w="851" w:type="dxa"/>
            <w:shd w:val="clear" w:color="auto" w:fill="auto"/>
          </w:tcPr>
          <w:p w14:paraId="68352401" w14:textId="51DC1246" w:rsidR="00315502" w:rsidRPr="0034420E" w:rsidRDefault="00315502" w:rsidP="00315502">
            <w:pPr>
              <w:pStyle w:val="TableText0"/>
              <w:jc w:val="center"/>
            </w:pPr>
            <w:r w:rsidRPr="0034420E">
              <w:t>25%</w:t>
            </w:r>
          </w:p>
        </w:tc>
        <w:tc>
          <w:tcPr>
            <w:tcW w:w="709" w:type="dxa"/>
            <w:shd w:val="clear" w:color="auto" w:fill="auto"/>
          </w:tcPr>
          <w:p w14:paraId="59B3194C" w14:textId="02B5F966" w:rsidR="00315502" w:rsidRPr="0034420E" w:rsidRDefault="00315502" w:rsidP="00315502">
            <w:pPr>
              <w:pStyle w:val="TableText0"/>
              <w:jc w:val="center"/>
            </w:pPr>
            <w:r w:rsidRPr="0034420E">
              <w:t>95%</w:t>
            </w:r>
          </w:p>
        </w:tc>
      </w:tr>
      <w:tr w:rsidR="00315502" w:rsidRPr="0034420E" w14:paraId="002DD77E" w14:textId="77777777" w:rsidTr="00334438">
        <w:tc>
          <w:tcPr>
            <w:tcW w:w="1281" w:type="dxa"/>
            <w:shd w:val="clear" w:color="auto" w:fill="auto"/>
          </w:tcPr>
          <w:p w14:paraId="5AD9EE44" w14:textId="1A2D7C19" w:rsidR="00315502" w:rsidRPr="0034420E" w:rsidRDefault="00315502" w:rsidP="00315502">
            <w:pPr>
              <w:pStyle w:val="TableText0"/>
            </w:pPr>
            <w:r w:rsidRPr="0034420E">
              <w:t>eGFR &lt;60 ml/min/1.73m</w:t>
            </w:r>
            <w:r w:rsidRPr="0034420E">
              <w:rPr>
                <w:vertAlign w:val="superscript"/>
              </w:rPr>
              <w:t>2</w:t>
            </w:r>
          </w:p>
        </w:tc>
        <w:tc>
          <w:tcPr>
            <w:tcW w:w="1701" w:type="dxa"/>
          </w:tcPr>
          <w:p w14:paraId="75968E67" w14:textId="5DFE8DD8" w:rsidR="00315502" w:rsidRPr="0034420E" w:rsidRDefault="00315502" w:rsidP="00315502">
            <w:pPr>
              <w:pStyle w:val="TableText0"/>
            </w:pPr>
            <w:r w:rsidRPr="0034420E">
              <w:t>94/496</w:t>
            </w:r>
          </w:p>
        </w:tc>
        <w:tc>
          <w:tcPr>
            <w:tcW w:w="1843" w:type="dxa"/>
          </w:tcPr>
          <w:p w14:paraId="2BE1EE3F" w14:textId="0994823F" w:rsidR="00315502" w:rsidRPr="0034420E" w:rsidRDefault="00315502" w:rsidP="00315502">
            <w:pPr>
              <w:pStyle w:val="TableText0"/>
            </w:pPr>
            <w:r w:rsidRPr="0034420E">
              <w:rPr>
                <w:b/>
              </w:rPr>
              <w:t>ApoA4</w:t>
            </w:r>
            <w:r w:rsidRPr="0034420E">
              <w:t xml:space="preserve">, CFHR2, </w:t>
            </w:r>
            <w:r w:rsidRPr="0034420E">
              <w:rPr>
                <w:b/>
              </w:rPr>
              <w:t>IBP3</w:t>
            </w:r>
            <w:r w:rsidRPr="0034420E">
              <w:t>, AMBP</w:t>
            </w:r>
          </w:p>
        </w:tc>
        <w:tc>
          <w:tcPr>
            <w:tcW w:w="850" w:type="dxa"/>
            <w:shd w:val="clear" w:color="auto" w:fill="auto"/>
          </w:tcPr>
          <w:p w14:paraId="157D9EDC" w14:textId="21555825" w:rsidR="00315502" w:rsidRPr="0034420E" w:rsidRDefault="00315502" w:rsidP="00315502">
            <w:pPr>
              <w:pStyle w:val="TableText0"/>
              <w:jc w:val="center"/>
            </w:pPr>
            <w:r w:rsidRPr="0034420E">
              <w:t>0.75</w:t>
            </w:r>
          </w:p>
        </w:tc>
        <w:tc>
          <w:tcPr>
            <w:tcW w:w="1134" w:type="dxa"/>
          </w:tcPr>
          <w:p w14:paraId="0F442BB3" w14:textId="62235230" w:rsidR="00315502" w:rsidRPr="0034420E" w:rsidRDefault="00315502" w:rsidP="00315502">
            <w:pPr>
              <w:pStyle w:val="TableText0"/>
              <w:jc w:val="center"/>
            </w:pPr>
            <w:r w:rsidRPr="0034420E">
              <w:t>68%</w:t>
            </w:r>
          </w:p>
        </w:tc>
        <w:tc>
          <w:tcPr>
            <w:tcW w:w="1134" w:type="dxa"/>
            <w:shd w:val="clear" w:color="auto" w:fill="auto"/>
          </w:tcPr>
          <w:p w14:paraId="454D3A55" w14:textId="0014F7F9" w:rsidR="00315502" w:rsidRPr="0034420E" w:rsidRDefault="00315502" w:rsidP="00315502">
            <w:pPr>
              <w:pStyle w:val="TableText0"/>
              <w:jc w:val="center"/>
            </w:pPr>
            <w:r w:rsidRPr="0034420E">
              <w:t>78%</w:t>
            </w:r>
          </w:p>
        </w:tc>
        <w:tc>
          <w:tcPr>
            <w:tcW w:w="851" w:type="dxa"/>
            <w:shd w:val="clear" w:color="auto" w:fill="auto"/>
          </w:tcPr>
          <w:p w14:paraId="3EC3B395" w14:textId="3F79BA96" w:rsidR="00315502" w:rsidRPr="0034420E" w:rsidRDefault="00315502" w:rsidP="00315502">
            <w:pPr>
              <w:pStyle w:val="TableText0"/>
              <w:jc w:val="center"/>
            </w:pPr>
            <w:r w:rsidRPr="0034420E">
              <w:t>37%</w:t>
            </w:r>
          </w:p>
        </w:tc>
        <w:tc>
          <w:tcPr>
            <w:tcW w:w="709" w:type="dxa"/>
            <w:shd w:val="clear" w:color="auto" w:fill="auto"/>
          </w:tcPr>
          <w:p w14:paraId="74CD39C3" w14:textId="3BF7F000" w:rsidR="00315502" w:rsidRPr="0034420E" w:rsidRDefault="00315502" w:rsidP="00315502">
            <w:pPr>
              <w:pStyle w:val="TableText0"/>
              <w:jc w:val="center"/>
            </w:pPr>
            <w:r w:rsidRPr="0034420E">
              <w:t>93%</w:t>
            </w:r>
          </w:p>
        </w:tc>
      </w:tr>
      <w:tr w:rsidR="00315502" w:rsidRPr="0034420E" w14:paraId="730269FB" w14:textId="77777777" w:rsidTr="00334438">
        <w:tc>
          <w:tcPr>
            <w:tcW w:w="1281" w:type="dxa"/>
            <w:shd w:val="clear" w:color="auto" w:fill="auto"/>
          </w:tcPr>
          <w:p w14:paraId="79B0B4BE" w14:textId="31BEF981" w:rsidR="00315502" w:rsidRPr="0034420E" w:rsidRDefault="00315502" w:rsidP="00315502">
            <w:pPr>
              <w:pStyle w:val="TableText0"/>
            </w:pPr>
            <w:r w:rsidRPr="0034420E">
              <w:t>CKD risk ≥2</w:t>
            </w:r>
          </w:p>
        </w:tc>
        <w:tc>
          <w:tcPr>
            <w:tcW w:w="1701" w:type="dxa"/>
          </w:tcPr>
          <w:p w14:paraId="0B12D12B" w14:textId="0676AAF9" w:rsidR="00315502" w:rsidRPr="0034420E" w:rsidRDefault="00315502" w:rsidP="00315502">
            <w:pPr>
              <w:pStyle w:val="TableText0"/>
            </w:pPr>
            <w:r w:rsidRPr="0034420E">
              <w:t>121/469</w:t>
            </w:r>
          </w:p>
        </w:tc>
        <w:tc>
          <w:tcPr>
            <w:tcW w:w="1843" w:type="dxa"/>
          </w:tcPr>
          <w:p w14:paraId="6BEF0EF3" w14:textId="1189D585" w:rsidR="00315502" w:rsidRPr="0034420E" w:rsidRDefault="00315502" w:rsidP="00315502">
            <w:pPr>
              <w:pStyle w:val="TableText0"/>
            </w:pPr>
            <w:r w:rsidRPr="0034420E">
              <w:rPr>
                <w:b/>
              </w:rPr>
              <w:t>ApoA4</w:t>
            </w:r>
            <w:r w:rsidRPr="0034420E">
              <w:t xml:space="preserve">, </w:t>
            </w:r>
            <w:r w:rsidRPr="0034420E">
              <w:rPr>
                <w:b/>
              </w:rPr>
              <w:t>CD5L</w:t>
            </w:r>
            <w:r w:rsidRPr="0034420E">
              <w:t xml:space="preserve">, C1QB, </w:t>
            </w:r>
            <w:r w:rsidRPr="0034420E">
              <w:rPr>
                <w:b/>
              </w:rPr>
              <w:t>IBP3</w:t>
            </w:r>
          </w:p>
        </w:tc>
        <w:tc>
          <w:tcPr>
            <w:tcW w:w="850" w:type="dxa"/>
            <w:shd w:val="clear" w:color="auto" w:fill="auto"/>
          </w:tcPr>
          <w:p w14:paraId="4D1D602F" w14:textId="6FD11898" w:rsidR="00315502" w:rsidRPr="0034420E" w:rsidRDefault="00315502" w:rsidP="00315502">
            <w:pPr>
              <w:pStyle w:val="TableText0"/>
              <w:jc w:val="center"/>
            </w:pPr>
            <w:r w:rsidRPr="0034420E">
              <w:t>0.79</w:t>
            </w:r>
          </w:p>
        </w:tc>
        <w:tc>
          <w:tcPr>
            <w:tcW w:w="1134" w:type="dxa"/>
          </w:tcPr>
          <w:p w14:paraId="7AFFD817" w14:textId="43A971C9" w:rsidR="00315502" w:rsidRPr="0034420E" w:rsidRDefault="00315502" w:rsidP="00315502">
            <w:pPr>
              <w:pStyle w:val="TableText0"/>
              <w:jc w:val="center"/>
            </w:pPr>
            <w:r w:rsidRPr="0034420E">
              <w:t>74%</w:t>
            </w:r>
          </w:p>
        </w:tc>
        <w:tc>
          <w:tcPr>
            <w:tcW w:w="1134" w:type="dxa"/>
            <w:shd w:val="clear" w:color="auto" w:fill="auto"/>
          </w:tcPr>
          <w:p w14:paraId="4411F593" w14:textId="567EFB84" w:rsidR="00315502" w:rsidRPr="0034420E" w:rsidRDefault="00315502" w:rsidP="00315502">
            <w:pPr>
              <w:pStyle w:val="TableText0"/>
              <w:jc w:val="center"/>
            </w:pPr>
            <w:r w:rsidRPr="0034420E">
              <w:t>76%</w:t>
            </w:r>
          </w:p>
        </w:tc>
        <w:tc>
          <w:tcPr>
            <w:tcW w:w="851" w:type="dxa"/>
            <w:shd w:val="clear" w:color="auto" w:fill="auto"/>
          </w:tcPr>
          <w:p w14:paraId="0006CEC4" w14:textId="6083EC70" w:rsidR="00315502" w:rsidRPr="0034420E" w:rsidRDefault="00315502" w:rsidP="00315502">
            <w:pPr>
              <w:pStyle w:val="TableText0"/>
              <w:jc w:val="center"/>
            </w:pPr>
            <w:r w:rsidRPr="0034420E">
              <w:t>45%</w:t>
            </w:r>
          </w:p>
        </w:tc>
        <w:tc>
          <w:tcPr>
            <w:tcW w:w="709" w:type="dxa"/>
            <w:shd w:val="clear" w:color="auto" w:fill="auto"/>
          </w:tcPr>
          <w:p w14:paraId="2036D7D3" w14:textId="40127DB2" w:rsidR="00315502" w:rsidRPr="0034420E" w:rsidRDefault="00315502" w:rsidP="00315502">
            <w:pPr>
              <w:pStyle w:val="TableText0"/>
              <w:jc w:val="center"/>
            </w:pPr>
            <w:r w:rsidRPr="0034420E">
              <w:t>92%</w:t>
            </w:r>
          </w:p>
        </w:tc>
      </w:tr>
    </w:tbl>
    <w:p w14:paraId="2A1BBD7D" w14:textId="5351ACEC" w:rsidR="007946C7" w:rsidRPr="0034420E" w:rsidRDefault="00071C51" w:rsidP="00071C51">
      <w:pPr>
        <w:pStyle w:val="Tablenotes"/>
        <w:spacing w:after="0"/>
      </w:pPr>
      <w:r w:rsidRPr="0034420E">
        <w:t xml:space="preserve">uACR = Albumin: Creatinine Ratio; eGFR = estimated glomerular filtration rate; </w:t>
      </w:r>
      <w:r w:rsidR="007946C7" w:rsidRPr="0034420E">
        <w:t>PPV = positive predictive value; NPV = negative predictive value</w:t>
      </w:r>
    </w:p>
    <w:p w14:paraId="3EA8AFBB" w14:textId="3D4C1057" w:rsidR="000D7105" w:rsidRPr="0034420E" w:rsidRDefault="000D7105" w:rsidP="003B19E0">
      <w:pPr>
        <w:pStyle w:val="Tablenotes"/>
        <w:spacing w:after="200"/>
      </w:pPr>
      <w:r w:rsidRPr="0034420E">
        <w:t>^ Only biomarkers were considered for diagnostic models. Untransformed biomarkers were used in each model. CKD risk as described by the KDIGO guidelines. Performance metrics were determined at the maximum Youden Index for each model.</w:t>
      </w:r>
    </w:p>
    <w:p w14:paraId="543E0492" w14:textId="77777777" w:rsidR="000D7105" w:rsidRPr="0034420E" w:rsidRDefault="000D7105" w:rsidP="003B19E0">
      <w:pPr>
        <w:pStyle w:val="Heading5"/>
        <w:spacing w:after="200"/>
      </w:pPr>
      <w:r w:rsidRPr="0034420E">
        <w:t>Longitudinal Development</w:t>
      </w:r>
    </w:p>
    <w:p w14:paraId="6A4230D3" w14:textId="7EBDDB9E" w:rsidR="000D7105" w:rsidRPr="0034420E" w:rsidRDefault="000D7105" w:rsidP="003B19E0">
      <w:r w:rsidRPr="0034420E">
        <w:t xml:space="preserve">For the prognostic utility, the number of biomarkers was minimised to those that provided the most benefit in addition to clinical variables, to predict renal outcomes in the next </w:t>
      </w:r>
      <w:r w:rsidR="001820AF" w:rsidRPr="0034420E">
        <w:t>four</w:t>
      </w:r>
      <w:r w:rsidRPr="0034420E">
        <w:t xml:space="preserve"> years. Given the low number of ESRD endpoints </w:t>
      </w:r>
      <w:r w:rsidR="001820AF" w:rsidRPr="0034420E">
        <w:t xml:space="preserve">experienced </w:t>
      </w:r>
      <w:r w:rsidRPr="0034420E">
        <w:t xml:space="preserve">in the FDS2 cohort, surrogate endpoints for DKD progression were explored. Four different definitions of renal decline were assessed with a different predictive model defined for each (Peters 2017). Peters </w:t>
      </w:r>
      <w:r w:rsidR="003B19E0" w:rsidRPr="0034420E">
        <w:t>(</w:t>
      </w:r>
      <w:r w:rsidRPr="0034420E">
        <w:t>2017</w:t>
      </w:r>
      <w:r w:rsidR="003B19E0" w:rsidRPr="0034420E">
        <w:t>)</w:t>
      </w:r>
      <w:r w:rsidRPr="0034420E">
        <w:t xml:space="preserve"> </w:t>
      </w:r>
      <w:r w:rsidR="00D95B62" w:rsidRPr="0034420E">
        <w:t>reported</w:t>
      </w:r>
      <w:r w:rsidRPr="0034420E">
        <w:t xml:space="preserve"> that the biomarkers added significant independent value to known clinical variables in predicting renal decline. </w:t>
      </w:r>
      <w:r w:rsidR="00156E37" w:rsidRPr="0034420E">
        <w:t>Of</w:t>
      </w:r>
      <w:r w:rsidRPr="0034420E">
        <w:t xml:space="preserve"> note</w:t>
      </w:r>
      <w:r w:rsidR="00156E37" w:rsidRPr="0034420E">
        <w:t xml:space="preserve"> was</w:t>
      </w:r>
      <w:r w:rsidRPr="0034420E">
        <w:t xml:space="preserve"> that the biomarkers that were significantly associated with outcomes differed by outcome definition and whether univariate or multivariate modelling was used.</w:t>
      </w:r>
    </w:p>
    <w:p w14:paraId="0857FC0D" w14:textId="77777777" w:rsidR="000D7105" w:rsidRPr="0034420E" w:rsidRDefault="000D7105" w:rsidP="003B19E0">
      <w:pPr>
        <w:pStyle w:val="Heading5"/>
        <w:spacing w:after="200"/>
      </w:pPr>
      <w:r w:rsidRPr="0034420E">
        <w:t>Longitudinal Validation</w:t>
      </w:r>
    </w:p>
    <w:p w14:paraId="234B1345" w14:textId="09A9E097" w:rsidR="000D7105" w:rsidRPr="0034420E" w:rsidRDefault="000D7105" w:rsidP="003B19E0">
      <w:pPr>
        <w:textAlignment w:val="baseline"/>
        <w:rPr>
          <w:rFonts w:eastAsia="ArialMT" w:cstheme="minorHAnsi"/>
        </w:rPr>
      </w:pPr>
      <w:r w:rsidRPr="0034420E">
        <w:rPr>
          <w:rFonts w:cstheme="minorHAnsi"/>
        </w:rPr>
        <w:t xml:space="preserve">Validation of the models was described </w:t>
      </w:r>
      <w:r w:rsidR="00156E37" w:rsidRPr="0034420E">
        <w:rPr>
          <w:rFonts w:cstheme="minorHAnsi"/>
        </w:rPr>
        <w:t>by</w:t>
      </w:r>
      <w:r w:rsidRPr="0034420E">
        <w:rPr>
          <w:rFonts w:cstheme="minorHAnsi"/>
        </w:rPr>
        <w:t xml:space="preserve"> Peters </w:t>
      </w:r>
      <w:r w:rsidR="003B19E0" w:rsidRPr="0034420E">
        <w:rPr>
          <w:rFonts w:cstheme="minorHAnsi"/>
        </w:rPr>
        <w:t>(</w:t>
      </w:r>
      <w:r w:rsidRPr="0034420E">
        <w:rPr>
          <w:rFonts w:cstheme="minorHAnsi"/>
        </w:rPr>
        <w:t>2019</w:t>
      </w:r>
      <w:r w:rsidR="003B19E0" w:rsidRPr="0034420E">
        <w:rPr>
          <w:rFonts w:cstheme="minorHAnsi"/>
        </w:rPr>
        <w:t>)</w:t>
      </w:r>
      <w:r w:rsidRPr="0034420E">
        <w:rPr>
          <w:rFonts w:cstheme="minorHAnsi"/>
        </w:rPr>
        <w:t xml:space="preserve"> in two stages</w:t>
      </w:r>
      <w:r w:rsidR="00156E37" w:rsidRPr="0034420E">
        <w:rPr>
          <w:rFonts w:cstheme="minorHAnsi"/>
        </w:rPr>
        <w:t>:</w:t>
      </w:r>
      <w:r w:rsidRPr="0034420E">
        <w:rPr>
          <w:rFonts w:cstheme="minorHAnsi"/>
        </w:rPr>
        <w:t xml:space="preserve"> </w:t>
      </w:r>
      <w:r w:rsidR="00156E37" w:rsidRPr="0034420E">
        <w:rPr>
          <w:rFonts w:cstheme="minorHAnsi"/>
        </w:rPr>
        <w:t>(</w:t>
      </w:r>
      <w:r w:rsidRPr="0034420E">
        <w:rPr>
          <w:rFonts w:cstheme="minorHAnsi"/>
        </w:rPr>
        <w:t>1) validation of separate models for each definition of renal decline</w:t>
      </w:r>
      <w:r w:rsidR="00156E37" w:rsidRPr="0034420E">
        <w:rPr>
          <w:rFonts w:cstheme="minorHAnsi"/>
        </w:rPr>
        <w:t>, and (</w:t>
      </w:r>
      <w:r w:rsidRPr="0034420E">
        <w:rPr>
          <w:rFonts w:cstheme="minorHAnsi"/>
        </w:rPr>
        <w:t xml:space="preserve">2) development and validation of a simple consensus model that </w:t>
      </w:r>
      <w:r w:rsidRPr="0034420E">
        <w:rPr>
          <w:rFonts w:cstheme="minorHAnsi"/>
        </w:rPr>
        <w:lastRenderedPageBreak/>
        <w:t xml:space="preserve">could be used across the different definitions of renal decline. </w:t>
      </w:r>
      <w:r w:rsidRPr="0034420E">
        <w:rPr>
          <w:rFonts w:eastAsia="Times New Roman" w:cstheme="minorHAnsi"/>
          <w:lang w:eastAsia="en-AU"/>
        </w:rPr>
        <w:t xml:space="preserve">Given the range of clinical variables required for the different models in Peters </w:t>
      </w:r>
      <w:r w:rsidR="003B19E0" w:rsidRPr="0034420E">
        <w:rPr>
          <w:rFonts w:eastAsia="Times New Roman" w:cstheme="minorHAnsi"/>
          <w:lang w:eastAsia="en-AU"/>
        </w:rPr>
        <w:t>(</w:t>
      </w:r>
      <w:r w:rsidRPr="0034420E">
        <w:rPr>
          <w:rFonts w:eastAsia="Times New Roman" w:cstheme="minorHAnsi"/>
          <w:lang w:eastAsia="en-AU"/>
        </w:rPr>
        <w:t>2017</w:t>
      </w:r>
      <w:r w:rsidR="003B19E0" w:rsidRPr="0034420E">
        <w:rPr>
          <w:rFonts w:eastAsia="Times New Roman" w:cstheme="minorHAnsi"/>
          <w:lang w:eastAsia="en-AU"/>
        </w:rPr>
        <w:t>)</w:t>
      </w:r>
      <w:r w:rsidRPr="0034420E">
        <w:rPr>
          <w:rFonts w:eastAsia="Times New Roman" w:cstheme="minorHAnsi"/>
          <w:lang w:eastAsia="en-AU"/>
        </w:rPr>
        <w:t>, a simpl</w:t>
      </w:r>
      <w:r w:rsidR="002365D4" w:rsidRPr="0034420E">
        <w:rPr>
          <w:rFonts w:eastAsia="Times New Roman" w:cstheme="minorHAnsi"/>
          <w:lang w:eastAsia="en-AU"/>
        </w:rPr>
        <w:t xml:space="preserve">ified </w:t>
      </w:r>
      <w:r w:rsidRPr="0034420E">
        <w:rPr>
          <w:rFonts w:eastAsia="Times New Roman" w:cstheme="minorHAnsi"/>
          <w:lang w:eastAsia="en-AU"/>
        </w:rPr>
        <w:t xml:space="preserve">consensus model was derived </w:t>
      </w:r>
      <w:r w:rsidR="00A96D40" w:rsidRPr="0034420E">
        <w:rPr>
          <w:rFonts w:eastAsia="Times New Roman" w:cstheme="minorHAnsi"/>
          <w:lang w:eastAsia="en-AU"/>
        </w:rPr>
        <w:t>for the</w:t>
      </w:r>
      <w:r w:rsidRPr="0034420E">
        <w:rPr>
          <w:rFonts w:eastAsia="Times New Roman" w:cstheme="minorHAnsi"/>
          <w:lang w:eastAsia="en-AU"/>
        </w:rPr>
        <w:t xml:space="preserve"> PromarkerD model/algorithm. </w:t>
      </w:r>
      <w:r w:rsidR="00A96D40" w:rsidRPr="0034420E">
        <w:rPr>
          <w:rFonts w:eastAsia="Times New Roman" w:cstheme="minorHAnsi"/>
          <w:lang w:eastAsia="en-AU"/>
        </w:rPr>
        <w:t>The</w:t>
      </w:r>
      <w:r w:rsidRPr="0034420E">
        <w:rPr>
          <w:rFonts w:eastAsia="Times New Roman" w:cstheme="minorHAnsi"/>
          <w:lang w:eastAsia="en-AU"/>
        </w:rPr>
        <w:t xml:space="preserve"> </w:t>
      </w:r>
      <w:r w:rsidRPr="0034420E">
        <w:rPr>
          <w:rFonts w:eastAsia="ArialMT" w:cstheme="minorHAnsi"/>
        </w:rPr>
        <w:t>three clinical variables (</w:t>
      </w:r>
      <w:r w:rsidRPr="0034420E">
        <w:rPr>
          <w:rFonts w:eastAsia="Times New Roman" w:cstheme="minorHAnsi"/>
          <w:lang w:eastAsia="en-AU"/>
        </w:rPr>
        <w:t>age, serum HDL-cholesterol and eGFR)</w:t>
      </w:r>
      <w:r w:rsidRPr="0034420E">
        <w:rPr>
          <w:rFonts w:eastAsia="ArialMT" w:cstheme="minorHAnsi"/>
        </w:rPr>
        <w:t xml:space="preserve"> which were chosen </w:t>
      </w:r>
      <w:r w:rsidR="00A96D40" w:rsidRPr="0034420E">
        <w:rPr>
          <w:rFonts w:eastAsia="ArialMT" w:cstheme="minorHAnsi"/>
        </w:rPr>
        <w:t xml:space="preserve">for incorporation into PromarkerD were </w:t>
      </w:r>
      <w:r w:rsidRPr="0034420E">
        <w:rPr>
          <w:rFonts w:eastAsia="ArialMT" w:cstheme="minorHAnsi"/>
        </w:rPr>
        <w:t xml:space="preserve">based on accessibility in routine diabetes care and statistical significance across the different definitions of renal decline, and were </w:t>
      </w:r>
      <w:r w:rsidRPr="0034420E">
        <w:rPr>
          <w:rFonts w:eastAsia="Times New Roman" w:cstheme="minorHAnsi"/>
          <w:lang w:eastAsia="en-AU"/>
        </w:rPr>
        <w:t xml:space="preserve">combined with the three plasma proteins </w:t>
      </w:r>
      <w:r w:rsidR="00AE12AA" w:rsidRPr="0034420E">
        <w:rPr>
          <w:rFonts w:eastAsia="ArialMT" w:cstheme="minorHAnsi"/>
        </w:rPr>
        <w:t>A</w:t>
      </w:r>
      <w:r w:rsidRPr="0034420E">
        <w:rPr>
          <w:rFonts w:eastAsia="ArialMT" w:cstheme="minorHAnsi"/>
        </w:rPr>
        <w:t xml:space="preserve">poA4, CD5L and IBP3. </w:t>
      </w:r>
      <w:r w:rsidR="002365D4" w:rsidRPr="0034420E">
        <w:rPr>
          <w:rFonts w:eastAsia="ArialMT" w:cstheme="minorHAnsi"/>
        </w:rPr>
        <w:t>Alternative b</w:t>
      </w:r>
      <w:r w:rsidRPr="0034420E">
        <w:rPr>
          <w:rFonts w:eastAsia="ArialMT" w:cstheme="minorHAnsi"/>
        </w:rPr>
        <w:t xml:space="preserve">iomarkers </w:t>
      </w:r>
      <w:r w:rsidR="002365D4" w:rsidRPr="0034420E">
        <w:rPr>
          <w:rFonts w:eastAsia="ArialMT" w:cstheme="minorHAnsi"/>
        </w:rPr>
        <w:t>(</w:t>
      </w:r>
      <w:r w:rsidRPr="0034420E">
        <w:rPr>
          <w:rFonts w:eastAsia="ArialMT" w:cstheme="minorHAnsi"/>
        </w:rPr>
        <w:t>C1QB, CFHR2 and ApoC3</w:t>
      </w:r>
      <w:r w:rsidR="002365D4" w:rsidRPr="0034420E">
        <w:rPr>
          <w:rFonts w:eastAsia="ArialMT" w:cstheme="minorHAnsi"/>
        </w:rPr>
        <w:t>)</w:t>
      </w:r>
      <w:r w:rsidRPr="0034420E">
        <w:rPr>
          <w:rFonts w:eastAsia="ArialMT" w:cstheme="minorHAnsi"/>
        </w:rPr>
        <w:t xml:space="preserve"> were considered for entry in the </w:t>
      </w:r>
      <w:proofErr w:type="spellStart"/>
      <w:r w:rsidRPr="0034420E">
        <w:rPr>
          <w:rFonts w:eastAsia="ArialMT" w:cstheme="minorHAnsi"/>
        </w:rPr>
        <w:t>PromarkerD</w:t>
      </w:r>
      <w:proofErr w:type="spellEnd"/>
      <w:r w:rsidRPr="0034420E">
        <w:rPr>
          <w:rFonts w:eastAsia="ArialMT" w:cstheme="minorHAnsi"/>
        </w:rPr>
        <w:t xml:space="preserve"> consensus model, but did not </w:t>
      </w:r>
      <w:r w:rsidR="002365D4" w:rsidRPr="0034420E">
        <w:rPr>
          <w:rFonts w:cstheme="minorHAnsi"/>
          <w:bCs/>
        </w:rPr>
        <w:t>provide</w:t>
      </w:r>
      <w:r w:rsidRPr="0034420E">
        <w:rPr>
          <w:rFonts w:cstheme="minorHAnsi"/>
          <w:bCs/>
        </w:rPr>
        <w:t xml:space="preserve"> sufficient added prognostic benefit. </w:t>
      </w:r>
      <w:r w:rsidRPr="0034420E">
        <w:rPr>
          <w:rFonts w:eastAsia="ArialMT" w:cstheme="minorHAnsi"/>
        </w:rPr>
        <w:t>The consensus model provided similar discriminative ability to the previous models, but improved on performance in terms of calibration across the three definitions of renal decline (Peters 2019).</w:t>
      </w:r>
    </w:p>
    <w:p w14:paraId="122EFAFC" w14:textId="1988015C" w:rsidR="000D7105" w:rsidRPr="0034420E" w:rsidRDefault="00E5120D" w:rsidP="00E5120D">
      <w:pPr>
        <w:pStyle w:val="Caption"/>
      </w:pPr>
      <w:r w:rsidRPr="0034420E">
        <w:t xml:space="preserve">Table </w:t>
      </w:r>
      <w:r w:rsidRPr="0034420E">
        <w:fldChar w:fldCharType="begin"/>
      </w:r>
      <w:r w:rsidRPr="0034420E">
        <w:instrText xml:space="preserve"> SEQ Table \* ARABIC </w:instrText>
      </w:r>
      <w:r w:rsidRPr="0034420E">
        <w:fldChar w:fldCharType="separate"/>
      </w:r>
      <w:r w:rsidR="00523E59" w:rsidRPr="0034420E">
        <w:rPr>
          <w:noProof/>
        </w:rPr>
        <w:t>5</w:t>
      </w:r>
      <w:r w:rsidRPr="0034420E">
        <w:fldChar w:fldCharType="end"/>
      </w:r>
      <w:r w:rsidR="00156E37" w:rsidRPr="0034420E">
        <w:rPr>
          <w:bCs/>
        </w:rPr>
        <w:tab/>
      </w:r>
      <w:r w:rsidR="000D7105" w:rsidRPr="0034420E">
        <w:t>Updated clinical evidence to support PromarkerD</w:t>
      </w:r>
    </w:p>
    <w:tbl>
      <w:tblPr>
        <w:tblStyle w:val="TableGrid"/>
        <w:tblW w:w="9639" w:type="dxa"/>
        <w:tblInd w:w="-5" w:type="dxa"/>
        <w:tblCellMar>
          <w:left w:w="28" w:type="dxa"/>
          <w:right w:w="28" w:type="dxa"/>
        </w:tblCellMar>
        <w:tblLook w:val="04A0" w:firstRow="1" w:lastRow="0" w:firstColumn="1" w:lastColumn="0" w:noHBand="0" w:noVBand="1"/>
      </w:tblPr>
      <w:tblGrid>
        <w:gridCol w:w="1560"/>
        <w:gridCol w:w="1417"/>
        <w:gridCol w:w="1200"/>
        <w:gridCol w:w="1200"/>
        <w:gridCol w:w="1201"/>
        <w:gridCol w:w="3061"/>
      </w:tblGrid>
      <w:tr w:rsidR="000D7105" w:rsidRPr="0034420E" w14:paraId="55239F86" w14:textId="77777777" w:rsidTr="003B19E0">
        <w:trPr>
          <w:tblHeader/>
        </w:trPr>
        <w:tc>
          <w:tcPr>
            <w:tcW w:w="1560" w:type="dxa"/>
            <w:shd w:val="clear" w:color="auto" w:fill="auto"/>
            <w:vAlign w:val="center"/>
          </w:tcPr>
          <w:p w14:paraId="2F5F62E0" w14:textId="77777777" w:rsidR="000D7105" w:rsidRPr="0034420E" w:rsidRDefault="000D7105" w:rsidP="00156E37">
            <w:pPr>
              <w:pStyle w:val="TableText0"/>
              <w:rPr>
                <w:b/>
                <w:bCs/>
              </w:rPr>
            </w:pPr>
            <w:r w:rsidRPr="0034420E">
              <w:rPr>
                <w:b/>
                <w:bCs/>
              </w:rPr>
              <w:t>Study</w:t>
            </w:r>
          </w:p>
        </w:tc>
        <w:tc>
          <w:tcPr>
            <w:tcW w:w="1417" w:type="dxa"/>
            <w:shd w:val="clear" w:color="auto" w:fill="auto"/>
            <w:vAlign w:val="center"/>
          </w:tcPr>
          <w:p w14:paraId="7960F03B" w14:textId="77777777" w:rsidR="000D7105" w:rsidRPr="0034420E" w:rsidRDefault="000D7105" w:rsidP="003B19E0">
            <w:pPr>
              <w:pStyle w:val="TableText0"/>
              <w:jc w:val="center"/>
              <w:rPr>
                <w:b/>
                <w:bCs/>
              </w:rPr>
            </w:pPr>
            <w:r w:rsidRPr="0034420E">
              <w:rPr>
                <w:b/>
                <w:bCs/>
              </w:rPr>
              <w:t>Biomarkers investigated</w:t>
            </w:r>
          </w:p>
        </w:tc>
        <w:tc>
          <w:tcPr>
            <w:tcW w:w="1200" w:type="dxa"/>
            <w:shd w:val="clear" w:color="auto" w:fill="auto"/>
            <w:vAlign w:val="center"/>
          </w:tcPr>
          <w:p w14:paraId="16ED04DE" w14:textId="77777777" w:rsidR="000D7105" w:rsidRPr="0034420E" w:rsidRDefault="000D7105" w:rsidP="003B19E0">
            <w:pPr>
              <w:pStyle w:val="TableText0"/>
              <w:jc w:val="center"/>
              <w:rPr>
                <w:b/>
                <w:bCs/>
              </w:rPr>
            </w:pPr>
            <w:r w:rsidRPr="0034420E">
              <w:rPr>
                <w:b/>
                <w:bCs/>
              </w:rPr>
              <w:t>ApoA4</w:t>
            </w:r>
          </w:p>
        </w:tc>
        <w:tc>
          <w:tcPr>
            <w:tcW w:w="1200" w:type="dxa"/>
            <w:shd w:val="clear" w:color="auto" w:fill="auto"/>
            <w:vAlign w:val="center"/>
          </w:tcPr>
          <w:p w14:paraId="1DE06ED3" w14:textId="77777777" w:rsidR="000D7105" w:rsidRPr="0034420E" w:rsidRDefault="000D7105" w:rsidP="003B19E0">
            <w:pPr>
              <w:pStyle w:val="TableText0"/>
              <w:jc w:val="center"/>
              <w:rPr>
                <w:b/>
                <w:bCs/>
              </w:rPr>
            </w:pPr>
            <w:r w:rsidRPr="0034420E">
              <w:rPr>
                <w:b/>
                <w:bCs/>
              </w:rPr>
              <w:t>CD5L</w:t>
            </w:r>
          </w:p>
        </w:tc>
        <w:tc>
          <w:tcPr>
            <w:tcW w:w="1201" w:type="dxa"/>
            <w:shd w:val="clear" w:color="auto" w:fill="auto"/>
            <w:vAlign w:val="center"/>
          </w:tcPr>
          <w:p w14:paraId="460854A4" w14:textId="77777777" w:rsidR="000D7105" w:rsidRPr="0034420E" w:rsidRDefault="000D7105" w:rsidP="003B19E0">
            <w:pPr>
              <w:pStyle w:val="TableText0"/>
              <w:jc w:val="center"/>
              <w:rPr>
                <w:b/>
                <w:bCs/>
              </w:rPr>
            </w:pPr>
            <w:r w:rsidRPr="0034420E">
              <w:rPr>
                <w:b/>
                <w:bCs/>
              </w:rPr>
              <w:t>IBP3</w:t>
            </w:r>
          </w:p>
        </w:tc>
        <w:tc>
          <w:tcPr>
            <w:tcW w:w="3061" w:type="dxa"/>
            <w:shd w:val="clear" w:color="auto" w:fill="auto"/>
            <w:vAlign w:val="center"/>
          </w:tcPr>
          <w:p w14:paraId="48A3F610" w14:textId="77777777" w:rsidR="000D7105" w:rsidRPr="0034420E" w:rsidRDefault="000D7105" w:rsidP="003B19E0">
            <w:pPr>
              <w:pStyle w:val="TableText0"/>
              <w:jc w:val="center"/>
              <w:rPr>
                <w:b/>
                <w:bCs/>
              </w:rPr>
            </w:pPr>
            <w:r w:rsidRPr="0034420E">
              <w:rPr>
                <w:b/>
                <w:bCs/>
              </w:rPr>
              <w:t>Other</w:t>
            </w:r>
          </w:p>
        </w:tc>
      </w:tr>
      <w:tr w:rsidR="000D7105" w:rsidRPr="0034420E" w14:paraId="5BEF34EE" w14:textId="77777777" w:rsidTr="00927773">
        <w:tc>
          <w:tcPr>
            <w:tcW w:w="1560" w:type="dxa"/>
            <w:vAlign w:val="center"/>
          </w:tcPr>
          <w:p w14:paraId="52ABBE1B" w14:textId="77777777" w:rsidR="000D7105" w:rsidRPr="0034420E" w:rsidRDefault="000D7105" w:rsidP="00156E37">
            <w:pPr>
              <w:pStyle w:val="TableText0"/>
            </w:pPr>
            <w:r w:rsidRPr="0034420E">
              <w:t xml:space="preserve">IDF/WDC 2015 conference presentation. Biomarkers of DKD </w:t>
            </w:r>
          </w:p>
        </w:tc>
        <w:tc>
          <w:tcPr>
            <w:tcW w:w="1417" w:type="dxa"/>
            <w:vAlign w:val="center"/>
          </w:tcPr>
          <w:p w14:paraId="21A8F744" w14:textId="77777777" w:rsidR="000D7105" w:rsidRPr="0034420E" w:rsidRDefault="000D7105" w:rsidP="00156E37">
            <w:pPr>
              <w:pStyle w:val="TableText0"/>
              <w:rPr>
                <w:b/>
                <w:bCs/>
              </w:rPr>
            </w:pPr>
            <w:r w:rsidRPr="0034420E">
              <w:rPr>
                <w:b/>
                <w:bCs/>
              </w:rPr>
              <w:t>ApoA4</w:t>
            </w:r>
          </w:p>
          <w:p w14:paraId="6A229CEE" w14:textId="77777777" w:rsidR="000D7105" w:rsidRPr="0034420E" w:rsidRDefault="000D7105" w:rsidP="00156E37">
            <w:pPr>
              <w:pStyle w:val="TableText0"/>
              <w:rPr>
                <w:b/>
                <w:bCs/>
              </w:rPr>
            </w:pPr>
            <w:r w:rsidRPr="0034420E">
              <w:rPr>
                <w:b/>
                <w:bCs/>
              </w:rPr>
              <w:t>CD5L</w:t>
            </w:r>
          </w:p>
          <w:p w14:paraId="4CEB3D43" w14:textId="77777777" w:rsidR="000D7105" w:rsidRPr="0034420E" w:rsidRDefault="000D7105" w:rsidP="00156E37">
            <w:pPr>
              <w:pStyle w:val="TableText0"/>
              <w:rPr>
                <w:b/>
                <w:bCs/>
              </w:rPr>
            </w:pPr>
            <w:r w:rsidRPr="0034420E">
              <w:rPr>
                <w:b/>
                <w:bCs/>
              </w:rPr>
              <w:t>IBP3</w:t>
            </w:r>
          </w:p>
          <w:p w14:paraId="779A1545" w14:textId="77777777" w:rsidR="000D7105" w:rsidRPr="0034420E" w:rsidRDefault="000D7105" w:rsidP="00156E37">
            <w:pPr>
              <w:pStyle w:val="TableText0"/>
            </w:pPr>
            <w:r w:rsidRPr="0034420E">
              <w:t>plus others</w:t>
            </w:r>
          </w:p>
        </w:tc>
        <w:tc>
          <w:tcPr>
            <w:tcW w:w="1200" w:type="dxa"/>
            <w:vAlign w:val="center"/>
          </w:tcPr>
          <w:p w14:paraId="6D2EE16A" w14:textId="77777777" w:rsidR="000D7105" w:rsidRPr="0034420E" w:rsidRDefault="000D7105" w:rsidP="00156E37">
            <w:pPr>
              <w:pStyle w:val="TableText0"/>
            </w:pPr>
            <w:r w:rsidRPr="0034420E">
              <w:t>&lt;0.001 ACR and eGFR</w:t>
            </w:r>
          </w:p>
        </w:tc>
        <w:tc>
          <w:tcPr>
            <w:tcW w:w="1200" w:type="dxa"/>
            <w:vAlign w:val="center"/>
          </w:tcPr>
          <w:p w14:paraId="3A8A8855" w14:textId="77777777" w:rsidR="000D7105" w:rsidRPr="0034420E" w:rsidRDefault="000D7105" w:rsidP="00156E37">
            <w:pPr>
              <w:pStyle w:val="TableText0"/>
            </w:pPr>
            <w:r w:rsidRPr="0034420E">
              <w:t>&lt;0.001 ACR and 0.041 eGFR</w:t>
            </w:r>
          </w:p>
        </w:tc>
        <w:tc>
          <w:tcPr>
            <w:tcW w:w="1201" w:type="dxa"/>
            <w:vAlign w:val="center"/>
          </w:tcPr>
          <w:p w14:paraId="6F9D0336" w14:textId="77777777" w:rsidR="000D7105" w:rsidRPr="0034420E" w:rsidRDefault="000D7105" w:rsidP="00156E37">
            <w:pPr>
              <w:pStyle w:val="TableText0"/>
            </w:pPr>
            <w:r w:rsidRPr="0034420E">
              <w:t>&lt;0.001 ACR and 0.001 eGFR</w:t>
            </w:r>
          </w:p>
        </w:tc>
        <w:tc>
          <w:tcPr>
            <w:tcW w:w="3061" w:type="dxa"/>
            <w:vAlign w:val="center"/>
          </w:tcPr>
          <w:p w14:paraId="759122C1" w14:textId="77777777" w:rsidR="000D7105" w:rsidRPr="0034420E" w:rsidRDefault="000D7105" w:rsidP="00156E37">
            <w:pPr>
              <w:pStyle w:val="TableText0"/>
            </w:pPr>
          </w:p>
        </w:tc>
      </w:tr>
      <w:tr w:rsidR="000D7105" w:rsidRPr="0034420E" w14:paraId="557743EB" w14:textId="77777777" w:rsidTr="00927773">
        <w:tc>
          <w:tcPr>
            <w:tcW w:w="1560" w:type="dxa"/>
            <w:vAlign w:val="center"/>
          </w:tcPr>
          <w:p w14:paraId="02CE812E" w14:textId="5DCB176C" w:rsidR="000D7105" w:rsidRPr="0034420E" w:rsidRDefault="000D7105" w:rsidP="00156E37">
            <w:pPr>
              <w:pStyle w:val="TableText0"/>
            </w:pPr>
            <w:r w:rsidRPr="0034420E">
              <w:t>Bringans 2017 – discovery of biomarkers correlated with DKD (cross-sectional)</w:t>
            </w:r>
          </w:p>
        </w:tc>
        <w:tc>
          <w:tcPr>
            <w:tcW w:w="1417" w:type="dxa"/>
            <w:vAlign w:val="center"/>
          </w:tcPr>
          <w:p w14:paraId="473E78B5" w14:textId="77777777" w:rsidR="000D7105" w:rsidRPr="0034420E" w:rsidRDefault="000D7105" w:rsidP="00156E37">
            <w:pPr>
              <w:pStyle w:val="TableText0"/>
            </w:pPr>
            <w:r w:rsidRPr="0034420E">
              <w:rPr>
                <w:b/>
                <w:bCs/>
              </w:rPr>
              <w:t>ApoA4</w:t>
            </w:r>
          </w:p>
          <w:p w14:paraId="42A99E09" w14:textId="77777777" w:rsidR="000D7105" w:rsidRPr="0034420E" w:rsidRDefault="000D7105" w:rsidP="00156E37">
            <w:pPr>
              <w:pStyle w:val="TableText0"/>
            </w:pPr>
            <w:r w:rsidRPr="0034420E">
              <w:t>ApoC3</w:t>
            </w:r>
          </w:p>
          <w:p w14:paraId="0020876E" w14:textId="77777777" w:rsidR="000D7105" w:rsidRPr="0034420E" w:rsidRDefault="000D7105" w:rsidP="00156E37">
            <w:pPr>
              <w:pStyle w:val="TableText0"/>
              <w:rPr>
                <w:b/>
                <w:bCs/>
              </w:rPr>
            </w:pPr>
            <w:r w:rsidRPr="0034420E">
              <w:rPr>
                <w:b/>
                <w:bCs/>
              </w:rPr>
              <w:t>IBP3</w:t>
            </w:r>
          </w:p>
          <w:p w14:paraId="7AF8375D" w14:textId="77777777" w:rsidR="000D7105" w:rsidRPr="0034420E" w:rsidRDefault="000D7105" w:rsidP="00156E37">
            <w:pPr>
              <w:pStyle w:val="TableText0"/>
              <w:rPr>
                <w:b/>
                <w:bCs/>
              </w:rPr>
            </w:pPr>
            <w:r w:rsidRPr="0034420E">
              <w:rPr>
                <w:b/>
                <w:bCs/>
              </w:rPr>
              <w:t>CFHR2</w:t>
            </w:r>
          </w:p>
          <w:p w14:paraId="1F70D1AA" w14:textId="77777777" w:rsidR="000D7105" w:rsidRPr="0034420E" w:rsidRDefault="000D7105" w:rsidP="00156E37">
            <w:pPr>
              <w:pStyle w:val="TableText0"/>
              <w:rPr>
                <w:b/>
                <w:bCs/>
              </w:rPr>
            </w:pPr>
            <w:r w:rsidRPr="0034420E">
              <w:rPr>
                <w:b/>
                <w:bCs/>
              </w:rPr>
              <w:t>HBB</w:t>
            </w:r>
          </w:p>
          <w:p w14:paraId="462837C1" w14:textId="77777777" w:rsidR="000D7105" w:rsidRPr="0034420E" w:rsidRDefault="000D7105" w:rsidP="00156E37">
            <w:pPr>
              <w:pStyle w:val="TableText0"/>
              <w:rPr>
                <w:b/>
                <w:bCs/>
              </w:rPr>
            </w:pPr>
            <w:r w:rsidRPr="0034420E">
              <w:rPr>
                <w:b/>
                <w:bCs/>
              </w:rPr>
              <w:t>AMBP</w:t>
            </w:r>
          </w:p>
          <w:p w14:paraId="0FEFCE85" w14:textId="77777777" w:rsidR="000D7105" w:rsidRPr="0034420E" w:rsidRDefault="000D7105" w:rsidP="00156E37">
            <w:pPr>
              <w:pStyle w:val="TableText0"/>
            </w:pPr>
            <w:r w:rsidRPr="0034420E">
              <w:t>C1QB</w:t>
            </w:r>
          </w:p>
          <w:p w14:paraId="7DD26AE7" w14:textId="77777777" w:rsidR="000D7105" w:rsidRPr="0034420E" w:rsidRDefault="000D7105" w:rsidP="00156E37">
            <w:pPr>
              <w:pStyle w:val="TableText0"/>
            </w:pPr>
            <w:r w:rsidRPr="0034420E">
              <w:t>ADIPO</w:t>
            </w:r>
          </w:p>
        </w:tc>
        <w:tc>
          <w:tcPr>
            <w:tcW w:w="1200" w:type="dxa"/>
            <w:vAlign w:val="center"/>
          </w:tcPr>
          <w:p w14:paraId="0C5C0EAA" w14:textId="77777777" w:rsidR="000D7105" w:rsidRPr="0034420E" w:rsidRDefault="000D7105" w:rsidP="00156E37">
            <w:pPr>
              <w:pStyle w:val="TableText0"/>
            </w:pPr>
            <w:r w:rsidRPr="0034420E">
              <w:t>ACR and eGFR p≤0.002 for pep 1 and 2</w:t>
            </w:r>
          </w:p>
        </w:tc>
        <w:tc>
          <w:tcPr>
            <w:tcW w:w="1200" w:type="dxa"/>
            <w:vAlign w:val="center"/>
          </w:tcPr>
          <w:p w14:paraId="42AB5537" w14:textId="77777777" w:rsidR="000D7105" w:rsidRPr="0034420E" w:rsidRDefault="000D7105" w:rsidP="00156E37">
            <w:pPr>
              <w:pStyle w:val="TableText0"/>
            </w:pPr>
            <w:r w:rsidRPr="0034420E">
              <w:t>Not tested</w:t>
            </w:r>
          </w:p>
        </w:tc>
        <w:tc>
          <w:tcPr>
            <w:tcW w:w="1201" w:type="dxa"/>
            <w:vAlign w:val="center"/>
          </w:tcPr>
          <w:p w14:paraId="41F1076E" w14:textId="77777777" w:rsidR="000D7105" w:rsidRPr="0034420E" w:rsidRDefault="000D7105" w:rsidP="00156E37">
            <w:pPr>
              <w:pStyle w:val="TableText0"/>
              <w:rPr>
                <w:u w:val="single"/>
              </w:rPr>
            </w:pPr>
            <w:r w:rsidRPr="0034420E">
              <w:t>pep1 ACR &lt;0.001, eGFR p = 0.060</w:t>
            </w:r>
          </w:p>
          <w:p w14:paraId="56B6E8BE" w14:textId="77777777" w:rsidR="000D7105" w:rsidRPr="0034420E" w:rsidRDefault="000D7105" w:rsidP="00156E37">
            <w:pPr>
              <w:pStyle w:val="TableText0"/>
              <w:rPr>
                <w:u w:val="single"/>
              </w:rPr>
            </w:pPr>
          </w:p>
          <w:p w14:paraId="420B9C70" w14:textId="77777777" w:rsidR="000D7105" w:rsidRPr="0034420E" w:rsidRDefault="000D7105" w:rsidP="00156E37">
            <w:pPr>
              <w:pStyle w:val="TableText0"/>
            </w:pPr>
            <w:r w:rsidRPr="0034420E">
              <w:t>pep2 ACR and eGFR p&lt;0.02</w:t>
            </w:r>
          </w:p>
        </w:tc>
        <w:tc>
          <w:tcPr>
            <w:tcW w:w="3061" w:type="dxa"/>
            <w:vAlign w:val="center"/>
          </w:tcPr>
          <w:p w14:paraId="527D3F3E" w14:textId="77777777" w:rsidR="000D7105" w:rsidRPr="0034420E" w:rsidRDefault="000D7105" w:rsidP="00156E37">
            <w:pPr>
              <w:pStyle w:val="TableText0"/>
            </w:pPr>
            <w:r w:rsidRPr="0034420E">
              <w:t>CFHR2 (pep2) ACR 0.10, eGFR &lt;0.001</w:t>
            </w:r>
          </w:p>
          <w:p w14:paraId="76CD7E2C" w14:textId="77777777" w:rsidR="000D7105" w:rsidRPr="0034420E" w:rsidRDefault="000D7105" w:rsidP="00156E37">
            <w:pPr>
              <w:pStyle w:val="TableText0"/>
            </w:pPr>
            <w:r w:rsidRPr="0034420E">
              <w:t>AMBP (pep 1) ACR 0.017, eGFR 0.049</w:t>
            </w:r>
          </w:p>
          <w:p w14:paraId="364D7B12" w14:textId="10010762" w:rsidR="000D7105" w:rsidRPr="0034420E" w:rsidRDefault="000D7105" w:rsidP="00156E37">
            <w:pPr>
              <w:pStyle w:val="TableText0"/>
            </w:pPr>
            <w:r w:rsidRPr="0034420E">
              <w:t>C1QB was investigated but no association found.</w:t>
            </w:r>
          </w:p>
        </w:tc>
      </w:tr>
      <w:tr w:rsidR="000D7105" w:rsidRPr="0034420E" w14:paraId="19C3E873" w14:textId="77777777" w:rsidTr="00927773">
        <w:tc>
          <w:tcPr>
            <w:tcW w:w="1560" w:type="dxa"/>
            <w:vAlign w:val="center"/>
          </w:tcPr>
          <w:p w14:paraId="4502F092" w14:textId="03AC6432" w:rsidR="000D7105" w:rsidRPr="0034420E" w:rsidRDefault="000D7105" w:rsidP="00A96D40">
            <w:pPr>
              <w:pStyle w:val="TableText0"/>
            </w:pPr>
            <w:r w:rsidRPr="0034420E">
              <w:t>Peters 2017 – development of clinical</w:t>
            </w:r>
            <w:r w:rsidR="00AE12AA" w:rsidRPr="0034420E">
              <w:t xml:space="preserve"> </w:t>
            </w:r>
            <w:r w:rsidRPr="0034420E">
              <w:t>+</w:t>
            </w:r>
            <w:r w:rsidR="00AE12AA" w:rsidRPr="0034420E">
              <w:t xml:space="preserve"> </w:t>
            </w:r>
            <w:r w:rsidRPr="0034420E">
              <w:t>biomarker models for predicting future DKD. Both bivariate and multivariate analysis</w:t>
            </w:r>
          </w:p>
        </w:tc>
        <w:tc>
          <w:tcPr>
            <w:tcW w:w="1417" w:type="dxa"/>
            <w:vAlign w:val="center"/>
          </w:tcPr>
          <w:p w14:paraId="1CD3E39D" w14:textId="77777777" w:rsidR="000D7105" w:rsidRPr="0034420E" w:rsidRDefault="000D7105" w:rsidP="00156E37">
            <w:pPr>
              <w:pStyle w:val="TableText0"/>
              <w:rPr>
                <w:b/>
                <w:bCs/>
              </w:rPr>
            </w:pPr>
            <w:r w:rsidRPr="0034420E">
              <w:rPr>
                <w:b/>
                <w:bCs/>
              </w:rPr>
              <w:t>ApoA4</w:t>
            </w:r>
          </w:p>
          <w:p w14:paraId="07CFB7F5" w14:textId="77777777" w:rsidR="000D7105" w:rsidRPr="0034420E" w:rsidRDefault="000D7105" w:rsidP="00156E37">
            <w:pPr>
              <w:pStyle w:val="TableText0"/>
              <w:rPr>
                <w:b/>
                <w:bCs/>
              </w:rPr>
            </w:pPr>
            <w:r w:rsidRPr="0034420E">
              <w:rPr>
                <w:b/>
                <w:bCs/>
              </w:rPr>
              <w:t>ApoC3</w:t>
            </w:r>
          </w:p>
          <w:p w14:paraId="46D0F524" w14:textId="77777777" w:rsidR="000D7105" w:rsidRPr="0034420E" w:rsidRDefault="000D7105" w:rsidP="00156E37">
            <w:pPr>
              <w:pStyle w:val="TableText0"/>
            </w:pPr>
            <w:r w:rsidRPr="0034420E">
              <w:t>CD5L</w:t>
            </w:r>
          </w:p>
          <w:p w14:paraId="59593653" w14:textId="77777777" w:rsidR="000D7105" w:rsidRPr="0034420E" w:rsidRDefault="000D7105" w:rsidP="00156E37">
            <w:pPr>
              <w:pStyle w:val="TableText0"/>
            </w:pPr>
            <w:r w:rsidRPr="0034420E">
              <w:rPr>
                <w:b/>
                <w:bCs/>
              </w:rPr>
              <w:t>C1QB</w:t>
            </w:r>
          </w:p>
          <w:p w14:paraId="4E85FC99" w14:textId="77777777" w:rsidR="000D7105" w:rsidRPr="0034420E" w:rsidRDefault="000D7105" w:rsidP="00156E37">
            <w:pPr>
              <w:pStyle w:val="TableText0"/>
            </w:pPr>
            <w:r w:rsidRPr="0034420E">
              <w:t>IBP3</w:t>
            </w:r>
          </w:p>
          <w:p w14:paraId="05384962" w14:textId="77777777" w:rsidR="000D7105" w:rsidRPr="0034420E" w:rsidRDefault="000D7105" w:rsidP="00156E37">
            <w:pPr>
              <w:pStyle w:val="TableText0"/>
            </w:pPr>
            <w:r w:rsidRPr="0034420E">
              <w:rPr>
                <w:b/>
                <w:bCs/>
              </w:rPr>
              <w:t>CFHR2</w:t>
            </w:r>
          </w:p>
        </w:tc>
        <w:tc>
          <w:tcPr>
            <w:tcW w:w="1200" w:type="dxa"/>
            <w:vAlign w:val="center"/>
          </w:tcPr>
          <w:p w14:paraId="5B63F93C" w14:textId="77777777" w:rsidR="000D7105" w:rsidRPr="0034420E" w:rsidRDefault="000D7105" w:rsidP="00156E37">
            <w:pPr>
              <w:pStyle w:val="TableText0"/>
            </w:pPr>
            <w:r w:rsidRPr="0034420E">
              <w:t>P &lt;0.001</w:t>
            </w:r>
          </w:p>
        </w:tc>
        <w:tc>
          <w:tcPr>
            <w:tcW w:w="1200" w:type="dxa"/>
            <w:vAlign w:val="center"/>
          </w:tcPr>
          <w:p w14:paraId="255D5B53" w14:textId="77777777" w:rsidR="000D7105" w:rsidRPr="0034420E" w:rsidRDefault="000D7105" w:rsidP="00156E37">
            <w:pPr>
              <w:pStyle w:val="TableText0"/>
            </w:pPr>
            <w:r w:rsidRPr="0034420E">
              <w:t>P = 0.59</w:t>
            </w:r>
          </w:p>
        </w:tc>
        <w:tc>
          <w:tcPr>
            <w:tcW w:w="1201" w:type="dxa"/>
            <w:vAlign w:val="center"/>
          </w:tcPr>
          <w:p w14:paraId="0985418B" w14:textId="77777777" w:rsidR="000D7105" w:rsidRPr="0034420E" w:rsidRDefault="000D7105" w:rsidP="00156E37">
            <w:pPr>
              <w:pStyle w:val="TableText0"/>
            </w:pPr>
            <w:r w:rsidRPr="0034420E">
              <w:t>P = 0.22</w:t>
            </w:r>
          </w:p>
        </w:tc>
        <w:tc>
          <w:tcPr>
            <w:tcW w:w="3061" w:type="dxa"/>
            <w:vAlign w:val="center"/>
          </w:tcPr>
          <w:p w14:paraId="5830226C" w14:textId="77777777" w:rsidR="000D7105" w:rsidRPr="0034420E" w:rsidRDefault="000D7105" w:rsidP="00156E37">
            <w:pPr>
              <w:pStyle w:val="TableText0"/>
            </w:pPr>
            <w:r w:rsidRPr="0034420E">
              <w:t>ApoC3 (0.031), C1QB (0.012), CFHR2 (&lt;0.001)</w:t>
            </w:r>
          </w:p>
          <w:p w14:paraId="49A57A87" w14:textId="77777777" w:rsidR="000D7105" w:rsidRPr="0034420E" w:rsidRDefault="000D7105" w:rsidP="00156E37">
            <w:pPr>
              <w:pStyle w:val="TableText0"/>
            </w:pPr>
            <w:r w:rsidRPr="0034420E">
              <w:t xml:space="preserve">Many other factors also statistically significant (e.g. diuretic use, triglycerides, uric acids, serum creatinine) </w:t>
            </w:r>
          </w:p>
          <w:p w14:paraId="6118D591" w14:textId="77777777" w:rsidR="000D7105" w:rsidRPr="0034420E" w:rsidRDefault="000D7105" w:rsidP="00156E37">
            <w:pPr>
              <w:pStyle w:val="TableText0"/>
            </w:pPr>
            <w:r w:rsidRPr="0034420E">
              <w:t xml:space="preserve">IBP3 was not significant in multivariate model (p=0.573), but its inclusion provided an improvement in model fit, discrimination and reclassification. (p1552, Peters 2017). </w:t>
            </w:r>
          </w:p>
          <w:p w14:paraId="10C61297" w14:textId="43592711" w:rsidR="000D7105" w:rsidRPr="0034420E" w:rsidRDefault="000D7105" w:rsidP="00156E37">
            <w:pPr>
              <w:pStyle w:val="TableText0"/>
            </w:pPr>
            <w:r w:rsidRPr="0034420E">
              <w:t>C1QB was significant but not part of algorithm</w:t>
            </w:r>
            <w:r w:rsidR="00A96D40" w:rsidRPr="0034420E">
              <w:t>.</w:t>
            </w:r>
          </w:p>
        </w:tc>
      </w:tr>
      <w:tr w:rsidR="000D7105" w:rsidRPr="0034420E" w14:paraId="4561D5FF" w14:textId="77777777" w:rsidTr="00927773">
        <w:tc>
          <w:tcPr>
            <w:tcW w:w="1560" w:type="dxa"/>
            <w:vAlign w:val="center"/>
          </w:tcPr>
          <w:p w14:paraId="0BB94318" w14:textId="77777777" w:rsidR="000D7105" w:rsidRPr="0034420E" w:rsidRDefault="000D7105" w:rsidP="00156E37">
            <w:pPr>
              <w:pStyle w:val="TableText0"/>
            </w:pPr>
            <w:r w:rsidRPr="0034420E">
              <w:t>Peters 2019 (Fremantle)</w:t>
            </w:r>
          </w:p>
        </w:tc>
        <w:tc>
          <w:tcPr>
            <w:tcW w:w="1417" w:type="dxa"/>
            <w:vAlign w:val="center"/>
          </w:tcPr>
          <w:p w14:paraId="5D4FB5DA" w14:textId="77777777" w:rsidR="000D7105" w:rsidRPr="0034420E" w:rsidRDefault="000D7105" w:rsidP="00156E37">
            <w:pPr>
              <w:pStyle w:val="TableText0"/>
            </w:pPr>
            <w:r w:rsidRPr="0034420E">
              <w:t>ApoA4</w:t>
            </w:r>
          </w:p>
          <w:p w14:paraId="560046A2" w14:textId="77777777" w:rsidR="000D7105" w:rsidRPr="0034420E" w:rsidRDefault="000D7105" w:rsidP="00156E37">
            <w:pPr>
              <w:pStyle w:val="TableText0"/>
            </w:pPr>
            <w:r w:rsidRPr="0034420E">
              <w:t>CD5L</w:t>
            </w:r>
          </w:p>
          <w:p w14:paraId="63A297E8" w14:textId="77777777" w:rsidR="000D7105" w:rsidRPr="0034420E" w:rsidRDefault="000D7105" w:rsidP="00156E37">
            <w:pPr>
              <w:pStyle w:val="TableText0"/>
            </w:pPr>
            <w:r w:rsidRPr="0034420E">
              <w:t>IBP3</w:t>
            </w:r>
          </w:p>
        </w:tc>
        <w:tc>
          <w:tcPr>
            <w:tcW w:w="3601" w:type="dxa"/>
            <w:gridSpan w:val="3"/>
            <w:vAlign w:val="center"/>
          </w:tcPr>
          <w:p w14:paraId="6FAA7E10" w14:textId="77777777" w:rsidR="000D7105" w:rsidRPr="0034420E" w:rsidRDefault="000D7105" w:rsidP="00156E37">
            <w:pPr>
              <w:pStyle w:val="TableText0"/>
            </w:pPr>
            <w:r w:rsidRPr="0034420E">
              <w:t>ApoA4, CD5L, IBP3 (plus age, serum HDL-cholesterol and eGFR) were used by PromarkerD to predict diabetic kidney disease. Individual biomarker data not provided – performance data only</w:t>
            </w:r>
          </w:p>
        </w:tc>
        <w:tc>
          <w:tcPr>
            <w:tcW w:w="3061" w:type="dxa"/>
            <w:vAlign w:val="center"/>
          </w:tcPr>
          <w:p w14:paraId="7AB32365" w14:textId="77777777" w:rsidR="000D7105" w:rsidRPr="0034420E" w:rsidRDefault="000D7105" w:rsidP="00156E37">
            <w:pPr>
              <w:pStyle w:val="TableText0"/>
            </w:pPr>
            <w:r w:rsidRPr="0034420E">
              <w:t>C1QB was not analysed as it previously predicted a group-based rapidly declining eGFR trajectory but this outcome definition was not included in this study. (page 2, Peters 2019)</w:t>
            </w:r>
          </w:p>
        </w:tc>
      </w:tr>
    </w:tbl>
    <w:p w14:paraId="141C9B61" w14:textId="64F18C4A" w:rsidR="002365D4" w:rsidRPr="0034420E" w:rsidRDefault="002365D4" w:rsidP="002365D4">
      <w:pPr>
        <w:pStyle w:val="Tablenotes"/>
        <w:spacing w:after="0"/>
      </w:pPr>
      <w:r w:rsidRPr="0034420E">
        <w:t>DKD = diabetic kidney disease; IDF/WDC = International Diabetes Federation World Diabetes Congress</w:t>
      </w:r>
    </w:p>
    <w:p w14:paraId="555B7EAA" w14:textId="4BD3B6E7" w:rsidR="000D7105" w:rsidRPr="0034420E" w:rsidRDefault="002365D4" w:rsidP="003B19E0">
      <w:pPr>
        <w:pStyle w:val="Tablenotes"/>
        <w:spacing w:after="200"/>
      </w:pPr>
      <w:r w:rsidRPr="0034420E">
        <w:t>B</w:t>
      </w:r>
      <w:r w:rsidR="000D7105" w:rsidRPr="0034420E">
        <w:t xml:space="preserve">iomarkers found to have an association with decline in kidney function are in </w:t>
      </w:r>
      <w:r w:rsidR="000D7105" w:rsidRPr="0034420E">
        <w:rPr>
          <w:b/>
          <w:bCs/>
        </w:rPr>
        <w:t xml:space="preserve">bold </w:t>
      </w:r>
      <w:r w:rsidR="000D7105" w:rsidRPr="0034420E">
        <w:t>text</w:t>
      </w:r>
    </w:p>
    <w:p w14:paraId="39D6846C" w14:textId="15B6FA0A" w:rsidR="000D7105" w:rsidRPr="0034420E" w:rsidRDefault="00D544F8" w:rsidP="003B19E0">
      <w:pPr>
        <w:rPr>
          <w:rFonts w:cs="Calibri"/>
          <w:bCs/>
          <w:noProof/>
        </w:rPr>
      </w:pPr>
      <w:r w:rsidRPr="0034420E">
        <w:t>The additional information provided by the applicant stated that t</w:t>
      </w:r>
      <w:r w:rsidR="000D7105" w:rsidRPr="0034420E">
        <w:t>here is a growing body of evidence to support t</w:t>
      </w:r>
      <w:r w:rsidRPr="0034420E">
        <w:t>he</w:t>
      </w:r>
      <w:r w:rsidR="000D7105" w:rsidRPr="0034420E">
        <w:t xml:space="preserve"> utility of biomarkers in the diagnosis of </w:t>
      </w:r>
      <w:r w:rsidR="00663972" w:rsidRPr="0034420E">
        <w:t>T2DM</w:t>
      </w:r>
      <w:r w:rsidR="000D7105" w:rsidRPr="0034420E">
        <w:t xml:space="preserve"> and in detecting early stage kidney disease. </w:t>
      </w:r>
      <w:r w:rsidR="000D7105" w:rsidRPr="0034420E">
        <w:rPr>
          <w:rFonts w:cs="Calibri"/>
          <w:bCs/>
          <w:noProof/>
        </w:rPr>
        <w:t xml:space="preserve">The biological plausibility of the three PromarkerD biomarkers (biochemical functions outlined in </w:t>
      </w:r>
      <w:r w:rsidR="00E5120D" w:rsidRPr="0034420E">
        <w:rPr>
          <w:rFonts w:cs="Calibri"/>
          <w:bCs/>
          <w:noProof/>
        </w:rPr>
        <w:fldChar w:fldCharType="begin"/>
      </w:r>
      <w:r w:rsidR="00E5120D" w:rsidRPr="0034420E">
        <w:rPr>
          <w:rFonts w:cs="Calibri"/>
          <w:bCs/>
          <w:noProof/>
        </w:rPr>
        <w:instrText xml:space="preserve"> REF _Ref87016377 \h </w:instrText>
      </w:r>
      <w:r w:rsidR="009E1D30" w:rsidRPr="0034420E">
        <w:rPr>
          <w:rFonts w:cs="Calibri"/>
          <w:bCs/>
          <w:noProof/>
        </w:rPr>
        <w:instrText xml:space="preserve"> \* MERGEFORMAT </w:instrText>
      </w:r>
      <w:r w:rsidR="00E5120D" w:rsidRPr="0034420E">
        <w:rPr>
          <w:rFonts w:cs="Calibri"/>
          <w:bCs/>
          <w:noProof/>
        </w:rPr>
      </w:r>
      <w:r w:rsidR="00E5120D" w:rsidRPr="0034420E">
        <w:rPr>
          <w:rFonts w:cs="Calibri"/>
          <w:bCs/>
          <w:noProof/>
        </w:rPr>
        <w:fldChar w:fldCharType="separate"/>
      </w:r>
      <w:r w:rsidR="00523E59" w:rsidRPr="0034420E">
        <w:t xml:space="preserve">Table </w:t>
      </w:r>
      <w:r w:rsidR="00523E59" w:rsidRPr="0034420E">
        <w:rPr>
          <w:noProof/>
        </w:rPr>
        <w:t>6</w:t>
      </w:r>
      <w:r w:rsidR="00E5120D" w:rsidRPr="0034420E">
        <w:rPr>
          <w:rFonts w:cs="Calibri"/>
          <w:bCs/>
          <w:noProof/>
        </w:rPr>
        <w:fldChar w:fldCharType="end"/>
      </w:r>
      <w:r w:rsidR="000D7105" w:rsidRPr="0034420E">
        <w:rPr>
          <w:rFonts w:cs="Calibri"/>
          <w:bCs/>
          <w:noProof/>
        </w:rPr>
        <w:t xml:space="preserve">) is as follows: </w:t>
      </w:r>
    </w:p>
    <w:p w14:paraId="75A2E6AB" w14:textId="28AAC0A9" w:rsidR="000D7105" w:rsidRPr="0034420E" w:rsidRDefault="000D7105" w:rsidP="00EC5DB4">
      <w:pPr>
        <w:pStyle w:val="ListParagraph"/>
        <w:numPr>
          <w:ilvl w:val="0"/>
          <w:numId w:val="8"/>
        </w:numPr>
        <w:ind w:left="284" w:hanging="284"/>
      </w:pPr>
      <w:r w:rsidRPr="0034420E">
        <w:rPr>
          <w:bCs/>
          <w:noProof/>
        </w:rPr>
        <w:t>Raised ApoA4 levels are</w:t>
      </w:r>
      <w:r w:rsidRPr="0034420E">
        <w:t xml:space="preserve"> an early marker of mild to moderate CKD, predict CKD progression in patients recruited from renal outpatient clinics and are strongly associated with CKD independent of known risk </w:t>
      </w:r>
      <w:r w:rsidRPr="0034420E">
        <w:lastRenderedPageBreak/>
        <w:t xml:space="preserve">factors in the general population. </w:t>
      </w:r>
      <w:r w:rsidRPr="0034420E">
        <w:rPr>
          <w:shd w:val="clear" w:color="auto" w:fill="FFFFFF"/>
        </w:rPr>
        <w:t xml:space="preserve">There is also evidence for increased renal </w:t>
      </w:r>
      <w:r w:rsidRPr="0034420E">
        <w:t xml:space="preserve">ApoA4 </w:t>
      </w:r>
      <w:r w:rsidRPr="0034420E">
        <w:rPr>
          <w:shd w:val="clear" w:color="auto" w:fill="FFFFFF"/>
        </w:rPr>
        <w:t>excretion in diabetic nephropathy</w:t>
      </w:r>
      <w:r w:rsidRPr="0034420E">
        <w:rPr>
          <w:noProof/>
          <w:shd w:val="clear" w:color="auto" w:fill="FFFFFF"/>
        </w:rPr>
        <w:t>.</w:t>
      </w:r>
    </w:p>
    <w:p w14:paraId="05781A3F" w14:textId="39ADD3D5" w:rsidR="000D7105" w:rsidRPr="0034420E" w:rsidRDefault="000D7105" w:rsidP="00EC5DB4">
      <w:pPr>
        <w:pStyle w:val="ListParagraph"/>
        <w:numPr>
          <w:ilvl w:val="0"/>
          <w:numId w:val="8"/>
        </w:numPr>
        <w:ind w:left="284" w:hanging="284"/>
      </w:pPr>
      <w:r w:rsidRPr="0034420E">
        <w:rPr>
          <w:rFonts w:eastAsia="Times New Roman"/>
        </w:rPr>
        <w:t xml:space="preserve">In human acute kidney injury, serum levels of free CD5L increase in correlation with increasing serum creatinine and consequently kidney impairment. </w:t>
      </w:r>
    </w:p>
    <w:p w14:paraId="6B939A8E" w14:textId="0708A4E5" w:rsidR="000D7105" w:rsidRPr="0034420E" w:rsidRDefault="000D7105" w:rsidP="00EC5DB4">
      <w:pPr>
        <w:pStyle w:val="ListParagraph"/>
        <w:numPr>
          <w:ilvl w:val="0"/>
          <w:numId w:val="8"/>
        </w:numPr>
        <w:ind w:left="284" w:hanging="284"/>
      </w:pPr>
      <w:r w:rsidRPr="0034420E">
        <w:rPr>
          <w:rFonts w:cs="Calibri"/>
        </w:rPr>
        <w:t>A number of renal and systemic perturbations of the growth hormone/insulin-like growth factor system, of which IBP3 is a member, are known to occur in diabetic nephropathy</w:t>
      </w:r>
      <w:r w:rsidRPr="0034420E">
        <w:rPr>
          <w:rFonts w:cs="Calibri"/>
          <w:shd w:val="clear" w:color="auto" w:fill="FFFFFF"/>
        </w:rPr>
        <w:t xml:space="preserve">. </w:t>
      </w:r>
      <w:r w:rsidRPr="0034420E">
        <w:rPr>
          <w:rFonts w:cs="Calibri"/>
        </w:rPr>
        <w:t xml:space="preserve">Patients with </w:t>
      </w:r>
      <w:r w:rsidR="00AD60C8" w:rsidRPr="0034420E">
        <w:rPr>
          <w:rFonts w:cs="Calibri"/>
        </w:rPr>
        <w:t>type 1 diabetes</w:t>
      </w:r>
      <w:r w:rsidRPr="0034420E">
        <w:rPr>
          <w:rFonts w:cs="Calibri"/>
        </w:rPr>
        <w:t xml:space="preserve"> and microalbuminuria have decreased circulating IBP3 levels and higher urinary levels of IBP3 compared to normoalbuminuric patients. </w:t>
      </w:r>
      <w:r w:rsidRPr="0034420E">
        <w:rPr>
          <w:rFonts w:cs="Calibri"/>
        </w:rPr>
        <w:fldChar w:fldCharType="begin"/>
      </w:r>
      <w:r w:rsidRPr="0034420E">
        <w:rPr>
          <w:rFonts w:cs="Calibri"/>
        </w:rPr>
        <w:instrText xml:space="preserve"> ADDIN EN.CITE &lt;EndNote&gt;&lt;Cite&gt;&lt;Author&gt;Sharma&lt;/Author&gt;&lt;Year&gt;2016&lt;/Year&gt;&lt;RecNum&gt;43&lt;/RecNum&gt;&lt;DisplayText&gt;[12, 13]&lt;/DisplayText&gt;&lt;record&gt;&lt;rec-number&gt;43&lt;/rec-number&gt;&lt;foreign-keys&gt;&lt;key app="EN" db-id="zfzas9fs9xszx0espvapzadd5dwa9t99wwdr" timestamp="1635260559"&gt;43&lt;/key&gt;&lt;/foreign-keys&gt;&lt;ref-type name="Journal Article"&gt;17&lt;/ref-type&gt;&lt;contributors&gt;&lt;authors&gt;&lt;author&gt;Sharma, Ashok&lt;/author&gt;&lt;author&gt;Purohit, Sharad&lt;/author&gt;&lt;author&gt;Sharma, Shruti&lt;/author&gt;&lt;author&gt;Bai, Shan&lt;/author&gt;&lt;author&gt;Zhi, Wenbo&lt;/author&gt;&lt;author&gt;Ponny, Sithara Raju&lt;/author&gt;&lt;author&gt;Hopkins, Diane&lt;/author&gt;&lt;author&gt;Steed, Leigh&lt;/author&gt;&lt;author&gt;Bode, Bruce&lt;/author&gt;&lt;author&gt;Anderson, Stephen W&lt;/author&gt;&lt;/authors&gt;&lt;/contributors&gt;&lt;titles&gt;&lt;title&gt;IGF-binding proteins in type-1 diabetes are more severely altered in the presence of complications&lt;/title&gt;&lt;secondary-title&gt;Frontiers in endocrinology&lt;/secondary-title&gt;&lt;/titles&gt;&lt;periodical&gt;&lt;full-title&gt;Frontiers in endocrinology&lt;/full-title&gt;&lt;/periodical&gt;&lt;pages&gt;2&lt;/pages&gt;&lt;volume&gt;7&lt;/volume&gt;&lt;dates&gt;&lt;year&gt;2016&lt;/year&gt;&lt;/dates&gt;&lt;isbn&gt;1664-2392&lt;/isbn&gt;&lt;urls&gt;&lt;/urls&gt;&lt;/record&gt;&lt;/Cite&gt;&lt;Cite&gt;&lt;Author&gt;Vasylyeva&lt;/Author&gt;&lt;Year&gt;2007&lt;/Year&gt;&lt;RecNum&gt;42&lt;/RecNum&gt;&lt;record&gt;&lt;rec-number&gt;42&lt;/rec-number&gt;&lt;foreign-keys&gt;&lt;key app="EN" db-id="zfzas9fs9xszx0espvapzadd5dwa9t99wwdr" timestamp="1635260505"&gt;42&lt;/key&gt;&lt;/foreign-keys&gt;&lt;ref-type name="Journal Article"&gt;17&lt;/ref-type&gt;&lt;contributors&gt;&lt;authors&gt;&lt;author&gt;Vasylyeva, Tetyana L&lt;/author&gt;&lt;author&gt;Ferry Jr, Robert J&lt;/author&gt;&lt;/authors&gt;&lt;/contributors&gt;&lt;titles&gt;&lt;title&gt;Novel roles of the IGF–IGFBP axis in etiopathophysiology of diabetic nephropathy&lt;/title&gt;&lt;secondary-title&gt;Diabetes research and clinical practice&lt;/secondary-title&gt;&lt;/titles&gt;&lt;periodical&gt;&lt;full-title&gt;Diabetes research and clinical practice&lt;/full-title&gt;&lt;/periodical&gt;&lt;pages&gt;177-186&lt;/pages&gt;&lt;volume&gt;76&lt;/volume&gt;&lt;number&gt;2&lt;/number&gt;&lt;dates&gt;&lt;year&gt;2007&lt;/year&gt;&lt;/dates&gt;&lt;isbn&gt;0168-8227&lt;/isbn&gt;&lt;urls&gt;&lt;/urls&gt;&lt;/record&gt;&lt;/Cite&gt;&lt;/EndNote&gt;</w:instrText>
      </w:r>
      <w:r w:rsidRPr="0034420E">
        <w:rPr>
          <w:rFonts w:cs="Calibri"/>
        </w:rPr>
        <w:fldChar w:fldCharType="end"/>
      </w:r>
      <w:r w:rsidRPr="0034420E">
        <w:rPr>
          <w:rFonts w:cs="Calibri"/>
        </w:rPr>
        <w:t>The urinary levels of IBP3 have been shown to directly correlate with urine albumin excretion (p &lt;0.001)</w:t>
      </w:r>
      <w:r w:rsidR="00D544F8" w:rsidRPr="0034420E">
        <w:rPr>
          <w:rFonts w:cs="Calibri"/>
        </w:rPr>
        <w:t xml:space="preserve"> (Miyazaki 2011)</w:t>
      </w:r>
      <w:r w:rsidRPr="0034420E">
        <w:rPr>
          <w:rFonts w:cs="Calibri"/>
        </w:rPr>
        <w:t>.</w:t>
      </w:r>
    </w:p>
    <w:p w14:paraId="189D3838" w14:textId="7662E4C7" w:rsidR="000D7105" w:rsidRPr="0034420E" w:rsidRDefault="00E5120D" w:rsidP="00E5120D">
      <w:pPr>
        <w:pStyle w:val="Caption"/>
      </w:pPr>
      <w:bookmarkStart w:id="8" w:name="_Ref87016377"/>
      <w:r w:rsidRPr="0034420E">
        <w:t xml:space="preserve">Table </w:t>
      </w:r>
      <w:r w:rsidRPr="0034420E">
        <w:fldChar w:fldCharType="begin"/>
      </w:r>
      <w:r w:rsidRPr="0034420E">
        <w:instrText xml:space="preserve"> SEQ Table \* ARABIC </w:instrText>
      </w:r>
      <w:r w:rsidRPr="0034420E">
        <w:fldChar w:fldCharType="separate"/>
      </w:r>
      <w:r w:rsidR="00523E59" w:rsidRPr="0034420E">
        <w:rPr>
          <w:noProof/>
        </w:rPr>
        <w:t>6</w:t>
      </w:r>
      <w:r w:rsidRPr="0034420E">
        <w:fldChar w:fldCharType="end"/>
      </w:r>
      <w:bookmarkEnd w:id="8"/>
      <w:r w:rsidRPr="0034420E">
        <w:tab/>
      </w:r>
      <w:r w:rsidR="000D7105" w:rsidRPr="0034420E">
        <w:t xml:space="preserve">Biochemical functions of </w:t>
      </w:r>
      <w:proofErr w:type="spellStart"/>
      <w:r w:rsidR="000D7105" w:rsidRPr="0034420E">
        <w:t>PromarkerD</w:t>
      </w:r>
      <w:proofErr w:type="spellEnd"/>
      <w:r w:rsidR="000D7105" w:rsidRPr="0034420E">
        <w:t xml:space="preserve"> biomarkers</w:t>
      </w:r>
    </w:p>
    <w:tbl>
      <w:tblPr>
        <w:tblW w:w="8936" w:type="dxa"/>
        <w:tblInd w:w="-10" w:type="dxa"/>
        <w:tblBorders>
          <w:top w:val="single" w:sz="4" w:space="0" w:color="000000"/>
          <w:left w:val="single" w:sz="4" w:space="0" w:color="000000"/>
          <w:bottom w:val="single" w:sz="4" w:space="0" w:color="000000"/>
          <w:right w:val="single" w:sz="4" w:space="0" w:color="auto"/>
          <w:insideH w:val="single" w:sz="4" w:space="0" w:color="000000"/>
          <w:insideV w:val="single" w:sz="4" w:space="0" w:color="000000"/>
        </w:tblBorders>
        <w:tblLayout w:type="fixed"/>
        <w:tblLook w:val="0000" w:firstRow="0" w:lastRow="0" w:firstColumn="0" w:lastColumn="0" w:noHBand="0" w:noVBand="0"/>
      </w:tblPr>
      <w:tblGrid>
        <w:gridCol w:w="2982"/>
        <w:gridCol w:w="2835"/>
        <w:gridCol w:w="3119"/>
      </w:tblGrid>
      <w:tr w:rsidR="000D7105" w:rsidRPr="0034420E" w14:paraId="0497B846" w14:textId="77777777" w:rsidTr="00D544F8">
        <w:tc>
          <w:tcPr>
            <w:tcW w:w="2982" w:type="dxa"/>
            <w:shd w:val="clear" w:color="auto" w:fill="auto"/>
            <w:vAlign w:val="center"/>
          </w:tcPr>
          <w:p w14:paraId="62826EEB" w14:textId="09DDE1DF" w:rsidR="000D7105" w:rsidRPr="0034420E" w:rsidRDefault="000D7105" w:rsidP="00D544F8">
            <w:pPr>
              <w:pStyle w:val="TableText0"/>
              <w:jc w:val="center"/>
              <w:rPr>
                <w:b/>
              </w:rPr>
            </w:pPr>
            <w:r w:rsidRPr="0034420E">
              <w:rPr>
                <w:b/>
              </w:rPr>
              <w:t>ApoA4</w:t>
            </w:r>
          </w:p>
        </w:tc>
        <w:tc>
          <w:tcPr>
            <w:tcW w:w="2835" w:type="dxa"/>
            <w:shd w:val="clear" w:color="auto" w:fill="auto"/>
            <w:vAlign w:val="center"/>
          </w:tcPr>
          <w:p w14:paraId="40E61E83" w14:textId="3F53EB58" w:rsidR="000D7105" w:rsidRPr="0034420E" w:rsidRDefault="000D7105" w:rsidP="00D544F8">
            <w:pPr>
              <w:pStyle w:val="TableText0"/>
              <w:jc w:val="center"/>
              <w:rPr>
                <w:b/>
              </w:rPr>
            </w:pPr>
            <w:r w:rsidRPr="0034420E">
              <w:rPr>
                <w:b/>
              </w:rPr>
              <w:t>CD5L</w:t>
            </w:r>
          </w:p>
        </w:tc>
        <w:tc>
          <w:tcPr>
            <w:tcW w:w="3119" w:type="dxa"/>
            <w:shd w:val="clear" w:color="auto" w:fill="auto"/>
            <w:vAlign w:val="center"/>
          </w:tcPr>
          <w:p w14:paraId="572D6C11" w14:textId="11785BEC" w:rsidR="000D7105" w:rsidRPr="0034420E" w:rsidRDefault="000D7105" w:rsidP="00D544F8">
            <w:pPr>
              <w:pStyle w:val="TableText0"/>
              <w:jc w:val="center"/>
              <w:rPr>
                <w:b/>
              </w:rPr>
            </w:pPr>
            <w:r w:rsidRPr="0034420E">
              <w:rPr>
                <w:b/>
              </w:rPr>
              <w:t>IBP3</w:t>
            </w:r>
          </w:p>
        </w:tc>
      </w:tr>
      <w:tr w:rsidR="000D7105" w:rsidRPr="0034420E" w14:paraId="6B89E9B2" w14:textId="77777777" w:rsidTr="009E46CC">
        <w:tc>
          <w:tcPr>
            <w:tcW w:w="2982" w:type="dxa"/>
            <w:shd w:val="clear" w:color="auto" w:fill="auto"/>
          </w:tcPr>
          <w:p w14:paraId="4B84FEB7" w14:textId="16678A7C" w:rsidR="000D7105" w:rsidRPr="0034420E" w:rsidRDefault="000D7105" w:rsidP="00D544F8">
            <w:pPr>
              <w:pStyle w:val="TableText0"/>
            </w:pPr>
            <w:r w:rsidRPr="0034420E">
              <w:t>ApoA4 is one of the most abundant and versatile apolipoproteins facilitating lipid transport and metabolism. ApoA4 is synthesi</w:t>
            </w:r>
            <w:r w:rsidR="0031453D" w:rsidRPr="0034420E">
              <w:t>s</w:t>
            </w:r>
            <w:r w:rsidRPr="0034420E">
              <w:t>ed in the small intestine, packaged onto chylomicrons, secreted into intestinal lymph and transported via circulation to several tissues, including adipose.</w:t>
            </w:r>
          </w:p>
          <w:p w14:paraId="482C8F8B" w14:textId="77777777" w:rsidR="000D7105" w:rsidRPr="0034420E" w:rsidRDefault="000D7105" w:rsidP="00D544F8">
            <w:pPr>
              <w:pStyle w:val="TableText0"/>
            </w:pPr>
            <w:r w:rsidRPr="0034420E">
              <w:t>In addition to facilitating fatty acid uptake and lipid metabolism, ApoA4 is involved in various aspects of glucose homeostasis, including inhibition of gluconeogenesis in hepatocytes promotion of glucose uptake in adipocytes and enhancement of insulin secretion in pancreatic islets.</w:t>
            </w:r>
          </w:p>
          <w:p w14:paraId="708B91E6" w14:textId="77777777" w:rsidR="000D7105" w:rsidRPr="0034420E" w:rsidRDefault="000D7105" w:rsidP="00D544F8">
            <w:pPr>
              <w:pStyle w:val="TableText0"/>
            </w:pPr>
            <w:r w:rsidRPr="0034420E">
              <w:t>ApoA4 is proposed as an early diagnostic biomarker for prediabetes, liver fibrosis, and impaired renal function.</w:t>
            </w:r>
          </w:p>
        </w:tc>
        <w:tc>
          <w:tcPr>
            <w:tcW w:w="2835" w:type="dxa"/>
          </w:tcPr>
          <w:p w14:paraId="35690C8E" w14:textId="77777777" w:rsidR="000D7105" w:rsidRPr="0034420E" w:rsidRDefault="000D7105" w:rsidP="00D544F8">
            <w:pPr>
              <w:pStyle w:val="TableText0"/>
              <w:rPr>
                <w:rFonts w:cstheme="minorHAnsi"/>
              </w:rPr>
            </w:pPr>
            <w:r w:rsidRPr="0034420E">
              <w:rPr>
                <w:rFonts w:cstheme="minorHAnsi"/>
              </w:rPr>
              <w:t>CD5L has been implicated in the modulation of leukocyte apoptosis, autophagy and inflammation, adipose lipolysis, B cell proliferation, antimicrobial responses, atherosclerosis, among others.</w:t>
            </w:r>
          </w:p>
          <w:p w14:paraId="1A1381EC" w14:textId="6B5759E4" w:rsidR="000D7105" w:rsidRPr="0034420E" w:rsidRDefault="000D7105" w:rsidP="00D544F8">
            <w:pPr>
              <w:pStyle w:val="TableText0"/>
              <w:rPr>
                <w:rFonts w:cstheme="minorHAnsi"/>
              </w:rPr>
            </w:pPr>
            <w:r w:rsidRPr="0034420E">
              <w:rPr>
                <w:rFonts w:cstheme="minorHAnsi"/>
              </w:rPr>
              <w:t>CD5L may also have an additional role related to vascular damage—this time, locali</w:t>
            </w:r>
            <w:r w:rsidR="00BF4B1B" w:rsidRPr="0034420E">
              <w:rPr>
                <w:rFonts w:cstheme="minorHAnsi"/>
              </w:rPr>
              <w:t>s</w:t>
            </w:r>
            <w:r w:rsidRPr="0034420E">
              <w:rPr>
                <w:rFonts w:cstheme="minorHAnsi"/>
              </w:rPr>
              <w:t>ed in the small arteries and arterioles in the kidney, causing nephrosclerosis. This is one of the main pathologies underlying chronic kidney disease, and it may lead to ischemic changes in the glomeruli and interstitium, consequently compromising renal function.</w:t>
            </w:r>
          </w:p>
          <w:p w14:paraId="796C0882" w14:textId="77777777" w:rsidR="000D7105" w:rsidRPr="0034420E" w:rsidRDefault="000D7105" w:rsidP="00D544F8">
            <w:pPr>
              <w:pStyle w:val="TableText0"/>
              <w:rPr>
                <w:rFonts w:cstheme="minorHAnsi"/>
              </w:rPr>
            </w:pPr>
            <w:r w:rsidRPr="0034420E">
              <w:rPr>
                <w:rFonts w:cstheme="minorHAnsi"/>
              </w:rPr>
              <w:t>Plasma levels of CD5L are altered in several conditions that arise in an inﬂammatory context, making it a potentially useful biomarker.</w:t>
            </w:r>
          </w:p>
        </w:tc>
        <w:tc>
          <w:tcPr>
            <w:tcW w:w="3119" w:type="dxa"/>
          </w:tcPr>
          <w:p w14:paraId="408F51E5" w14:textId="0E0D46AE" w:rsidR="000D7105" w:rsidRPr="0034420E" w:rsidRDefault="00BF4B1B" w:rsidP="00D544F8">
            <w:pPr>
              <w:pStyle w:val="TableText0"/>
            </w:pPr>
            <w:r w:rsidRPr="0034420E">
              <w:t>IBP3, a</w:t>
            </w:r>
            <w:r w:rsidR="000D7105" w:rsidRPr="0034420E">
              <w:t>lso known as IGFBP3, is in the insulin-like growth factor binding protein (IGFBP) family and encodes a protein with an IGFBP domain and a thyroglobulin type-I domain. The protein forms a ternary complex with insulin-like growth factor acid-labile subunit (IGFALS) and either insulin-like growth factor (IGF) I or II. In this form, it circulates in the plasma, prolonging the half-life of IGFs and altering their interaction with cell surface receptors.</w:t>
            </w:r>
          </w:p>
          <w:p w14:paraId="5545A2F8" w14:textId="77777777" w:rsidR="000D7105" w:rsidRPr="0034420E" w:rsidRDefault="000D7105" w:rsidP="00D544F8">
            <w:pPr>
              <w:pStyle w:val="TableText0"/>
            </w:pPr>
            <w:r w:rsidRPr="0034420E">
              <w:t>It is involved in glucose metabolism and apoptosis.</w:t>
            </w:r>
          </w:p>
        </w:tc>
      </w:tr>
    </w:tbl>
    <w:p w14:paraId="7D86C84E" w14:textId="77777777" w:rsidR="00D124FA" w:rsidRPr="0034420E" w:rsidRDefault="00D124FA" w:rsidP="002C7753">
      <w:pPr>
        <w:spacing w:after="0"/>
        <w:jc w:val="both"/>
      </w:pPr>
    </w:p>
    <w:p w14:paraId="1965D9FA" w14:textId="37020D03" w:rsidR="00D124FA" w:rsidRPr="0034420E" w:rsidRDefault="00D124FA" w:rsidP="003B19E0">
      <w:pPr>
        <w:pStyle w:val="Heading4"/>
        <w:spacing w:after="200"/>
      </w:pPr>
      <w:r w:rsidRPr="0034420E">
        <w:t>Privacy and data management</w:t>
      </w:r>
    </w:p>
    <w:p w14:paraId="21A87195" w14:textId="415A7C0F" w:rsidR="002C7753" w:rsidRPr="0034420E" w:rsidRDefault="00D124FA" w:rsidP="003B19E0">
      <w:r w:rsidRPr="0034420E">
        <w:t xml:space="preserve">In additional information provided after the application was </w:t>
      </w:r>
      <w:r w:rsidR="007743B0" w:rsidRPr="0034420E">
        <w:t>submitted</w:t>
      </w:r>
      <w:bookmarkStart w:id="9" w:name="_Hlk93995656"/>
      <w:r w:rsidRPr="0034420E">
        <w:t xml:space="preserve">, </w:t>
      </w:r>
      <w:r w:rsidR="002C7753" w:rsidRPr="0034420E">
        <w:t xml:space="preserve">the applicant stated that physical, technical and organisational measures are adopted to ensure the security of </w:t>
      </w:r>
      <w:r w:rsidR="007743B0" w:rsidRPr="0034420E">
        <w:t>p</w:t>
      </w:r>
      <w:r w:rsidR="002C7753" w:rsidRPr="0034420E">
        <w:t xml:space="preserve">ersonal </w:t>
      </w:r>
      <w:r w:rsidR="007743B0" w:rsidRPr="0034420E">
        <w:t>d</w:t>
      </w:r>
      <w:r w:rsidR="002C7753" w:rsidRPr="0034420E">
        <w:t>ata collected</w:t>
      </w:r>
      <w:r w:rsidR="00AD60C8" w:rsidRPr="0034420E">
        <w:t xml:space="preserve"> for use with PromarkerD</w:t>
      </w:r>
      <w:r w:rsidR="002C7753" w:rsidRPr="0034420E">
        <w:t xml:space="preserve">. This includes the prevention of loss or damage, unauthorised alteration, access or processing and other risks to which it may be exposed by virtue of human action or the physical or natural environment. Personal </w:t>
      </w:r>
      <w:r w:rsidR="00046647" w:rsidRPr="0034420E">
        <w:t>d</w:t>
      </w:r>
      <w:r w:rsidR="002C7753" w:rsidRPr="0034420E">
        <w:t xml:space="preserve">ata related security measures are applied whenever appropriate to protect data held on </w:t>
      </w:r>
      <w:r w:rsidR="003463C0" w:rsidRPr="0034420E">
        <w:t xml:space="preserve">the </w:t>
      </w:r>
      <w:r w:rsidR="002C7753" w:rsidRPr="0034420E">
        <w:t xml:space="preserve">PromarkerD system and include: </w:t>
      </w:r>
    </w:p>
    <w:p w14:paraId="32BF46BD" w14:textId="1D7D2369" w:rsidR="00D85A1B" w:rsidRPr="0034420E" w:rsidRDefault="00D85A1B" w:rsidP="00EC5DB4">
      <w:pPr>
        <w:pStyle w:val="ListParagraph"/>
        <w:numPr>
          <w:ilvl w:val="0"/>
          <w:numId w:val="2"/>
        </w:numPr>
        <w:ind w:left="284" w:hanging="284"/>
      </w:pPr>
      <w:r w:rsidRPr="0034420E">
        <w:t>PromarkerD Hub is password restricted to authorised parties only</w:t>
      </w:r>
      <w:r w:rsidR="00A90641" w:rsidRPr="0034420E">
        <w:t>.</w:t>
      </w:r>
    </w:p>
    <w:p w14:paraId="6F099BEC" w14:textId="1400DFCD" w:rsidR="00D85A1B" w:rsidRPr="0034420E" w:rsidRDefault="00D85A1B" w:rsidP="00EC5DB4">
      <w:pPr>
        <w:pStyle w:val="ListParagraph"/>
        <w:numPr>
          <w:ilvl w:val="0"/>
          <w:numId w:val="2"/>
        </w:numPr>
        <w:ind w:left="284" w:hanging="284"/>
      </w:pPr>
      <w:r w:rsidRPr="0034420E">
        <w:t>Periodic review of current user logins to ensure currency and validity of the PromarkerD Hub access</w:t>
      </w:r>
      <w:r w:rsidR="00DC3D86" w:rsidRPr="0034420E">
        <w:t>.</w:t>
      </w:r>
    </w:p>
    <w:p w14:paraId="5EAF8FB7" w14:textId="358B720B" w:rsidR="00D85A1B" w:rsidRPr="0034420E" w:rsidRDefault="00D85A1B" w:rsidP="00EC5DB4">
      <w:pPr>
        <w:pStyle w:val="ListParagraph"/>
        <w:numPr>
          <w:ilvl w:val="0"/>
          <w:numId w:val="2"/>
        </w:numPr>
        <w:ind w:left="284" w:hanging="284"/>
      </w:pPr>
      <w:r w:rsidRPr="0034420E">
        <w:t>Firewalls and virus protection are employed at all times to prevent the possibility of hackers accessing the PromarkerD Hub system. All data</w:t>
      </w:r>
      <w:r w:rsidR="00DC3D86" w:rsidRPr="0034420E">
        <w:t xml:space="preserve"> </w:t>
      </w:r>
      <w:r w:rsidR="003F3640" w:rsidRPr="0034420E">
        <w:t xml:space="preserve">are </w:t>
      </w:r>
      <w:r w:rsidRPr="0034420E">
        <w:t>encrypted</w:t>
      </w:r>
      <w:r w:rsidR="00DC3D86" w:rsidRPr="0034420E">
        <w:t>.</w:t>
      </w:r>
    </w:p>
    <w:p w14:paraId="10293760" w14:textId="2C4230DB" w:rsidR="00D85A1B" w:rsidRPr="0034420E" w:rsidRDefault="00D85A1B" w:rsidP="00EC5DB4">
      <w:pPr>
        <w:pStyle w:val="ListParagraph"/>
        <w:numPr>
          <w:ilvl w:val="0"/>
          <w:numId w:val="2"/>
        </w:numPr>
        <w:ind w:left="284" w:hanging="284"/>
      </w:pPr>
      <w:r w:rsidRPr="0034420E">
        <w:t xml:space="preserve">Cloud based computing infrastructure </w:t>
      </w:r>
      <w:r w:rsidR="00DC3D86" w:rsidRPr="0034420E">
        <w:t xml:space="preserve">is </w:t>
      </w:r>
      <w:r w:rsidRPr="0034420E">
        <w:t>hosted by providers with associated logical and physical security implementations</w:t>
      </w:r>
      <w:r w:rsidR="00DC3D86" w:rsidRPr="0034420E">
        <w:t>.</w:t>
      </w:r>
    </w:p>
    <w:p w14:paraId="183E13D3" w14:textId="41A2E856" w:rsidR="00D85A1B" w:rsidRPr="0034420E" w:rsidRDefault="00D85A1B" w:rsidP="00EC5DB4">
      <w:pPr>
        <w:pStyle w:val="ListParagraph"/>
        <w:numPr>
          <w:ilvl w:val="0"/>
          <w:numId w:val="2"/>
        </w:numPr>
        <w:ind w:left="284" w:hanging="284"/>
      </w:pPr>
      <w:r w:rsidRPr="0034420E">
        <w:t xml:space="preserve">Safe disposal of e-waste to ensure no data </w:t>
      </w:r>
      <w:r w:rsidR="003F3640" w:rsidRPr="0034420E">
        <w:t xml:space="preserve">are </w:t>
      </w:r>
      <w:r w:rsidRPr="0034420E">
        <w:t>retrievable upon end-of-life of physical products used to previously store data</w:t>
      </w:r>
      <w:r w:rsidR="00DC3D86" w:rsidRPr="0034420E">
        <w:t>.</w:t>
      </w:r>
    </w:p>
    <w:p w14:paraId="7B77C4B5" w14:textId="52A68FC9" w:rsidR="00DC3D86" w:rsidRPr="0034420E" w:rsidRDefault="00DC3D86" w:rsidP="003B19E0">
      <w:r w:rsidRPr="0034420E">
        <w:lastRenderedPageBreak/>
        <w:t xml:space="preserve">The </w:t>
      </w:r>
      <w:proofErr w:type="spellStart"/>
      <w:r w:rsidRPr="0034420E">
        <w:t>PromarkerD</w:t>
      </w:r>
      <w:proofErr w:type="spellEnd"/>
      <w:r w:rsidRPr="0034420E">
        <w:t xml:space="preserve"> Hub consists of the Web App interface and the Secure App hosted on the Microsoft Azure secure </w:t>
      </w:r>
      <w:proofErr w:type="gramStart"/>
      <w:r w:rsidRPr="0034420E">
        <w:t>cloud based</w:t>
      </w:r>
      <w:proofErr w:type="gramEnd"/>
      <w:r w:rsidRPr="0034420E">
        <w:t xml:space="preserve"> computing infrastructure. </w:t>
      </w:r>
      <w:r w:rsidR="00046647" w:rsidRPr="0034420E">
        <w:t>With t</w:t>
      </w:r>
      <w:r w:rsidRPr="0034420E">
        <w:t>he PromarkerD Hub Security Architecture:</w:t>
      </w:r>
    </w:p>
    <w:p w14:paraId="02B796D0" w14:textId="0FBE4EFA" w:rsidR="00DC3D86" w:rsidRPr="0034420E" w:rsidRDefault="00DC3D86" w:rsidP="00EC5DB4">
      <w:pPr>
        <w:pStyle w:val="ListParagraph"/>
        <w:numPr>
          <w:ilvl w:val="0"/>
          <w:numId w:val="2"/>
        </w:numPr>
        <w:ind w:left="284" w:hanging="284"/>
      </w:pPr>
      <w:r w:rsidRPr="0034420E">
        <w:t>Users enter a domain name (https://hub.promarkerd.com/#!) into the local internet browser which then looks up an IP address of the Azure Load Balancer.</w:t>
      </w:r>
    </w:p>
    <w:p w14:paraId="58214E20" w14:textId="66A48F81" w:rsidR="00DC3D86" w:rsidRPr="0034420E" w:rsidRDefault="00DC3D86" w:rsidP="00EC5DB4">
      <w:pPr>
        <w:pStyle w:val="ListParagraph"/>
        <w:numPr>
          <w:ilvl w:val="0"/>
          <w:numId w:val="2"/>
        </w:numPr>
        <w:ind w:left="284" w:hanging="284"/>
      </w:pPr>
      <w:r w:rsidRPr="0034420E">
        <w:t xml:space="preserve">All data transferred to and from the browser to the entry point of the load balancer is encrypted using SSL (Secure Sockets Layers) for data in transit, and </w:t>
      </w:r>
      <w:r w:rsidR="00A3089B" w:rsidRPr="0034420E">
        <w:t xml:space="preserve">is </w:t>
      </w:r>
      <w:r w:rsidRPr="0034420E">
        <w:t>authenticated with a private certificate installed on the server.</w:t>
      </w:r>
    </w:p>
    <w:p w14:paraId="10BF140C" w14:textId="2853A478" w:rsidR="00DC3D86" w:rsidRPr="0034420E" w:rsidRDefault="00DC3D86" w:rsidP="00EC5DB4">
      <w:pPr>
        <w:pStyle w:val="ListParagraph"/>
        <w:numPr>
          <w:ilvl w:val="0"/>
          <w:numId w:val="2"/>
        </w:numPr>
        <w:ind w:left="284" w:hanging="284"/>
      </w:pPr>
      <w:r w:rsidRPr="0034420E">
        <w:t xml:space="preserve">All data traffic coming in and out of the Azure cloud </w:t>
      </w:r>
      <w:r w:rsidR="003F3640" w:rsidRPr="0034420E">
        <w:t xml:space="preserve">are </w:t>
      </w:r>
      <w:r w:rsidRPr="0034420E">
        <w:t>protected by a firewall and defined by a Network Security Group (NSG) access protocol. Data packets are also monitored by the default Microsoft Security Services Centre in the Azure cloud.</w:t>
      </w:r>
    </w:p>
    <w:p w14:paraId="0D70C27D" w14:textId="1BD64BBE" w:rsidR="00DC3D86" w:rsidRPr="0034420E" w:rsidRDefault="00DC3D86" w:rsidP="00EC5DB4">
      <w:pPr>
        <w:pStyle w:val="ListParagraph"/>
        <w:numPr>
          <w:ilvl w:val="0"/>
          <w:numId w:val="2"/>
        </w:numPr>
        <w:ind w:left="284" w:hanging="284"/>
      </w:pPr>
      <w:r w:rsidRPr="0034420E">
        <w:t xml:space="preserve">The Load Balancer then makes requests to the Azure Virtual Machine (VM) within Docker containers, depending on load and other variables (such as geography or time). Users then interact with the </w:t>
      </w:r>
      <w:proofErr w:type="spellStart"/>
      <w:r w:rsidRPr="0034420E">
        <w:t>PromarkerD</w:t>
      </w:r>
      <w:proofErr w:type="spellEnd"/>
      <w:r w:rsidRPr="0034420E">
        <w:t xml:space="preserve"> WebApp securely, accessing data in the PostgreSQL database installed on an Azure Encrypted Storage disk using AES-256 encryption for data at rest.</w:t>
      </w:r>
    </w:p>
    <w:p w14:paraId="764AA37B" w14:textId="3026C62E" w:rsidR="00A3089B" w:rsidRPr="006B09B8" w:rsidRDefault="00DC3D86" w:rsidP="00EC5DB4">
      <w:pPr>
        <w:pStyle w:val="ListParagraph"/>
        <w:numPr>
          <w:ilvl w:val="0"/>
          <w:numId w:val="2"/>
        </w:numPr>
        <w:ind w:left="284" w:hanging="284"/>
      </w:pPr>
      <w:r w:rsidRPr="006B09B8">
        <w:t xml:space="preserve">The </w:t>
      </w:r>
      <w:proofErr w:type="spellStart"/>
      <w:r w:rsidRPr="006B09B8">
        <w:t>SecureApp</w:t>
      </w:r>
      <w:proofErr w:type="spellEnd"/>
      <w:r w:rsidRPr="006B09B8">
        <w:t xml:space="preserve"> is installed on a VM located in a Delegated Subnet of the VNET that can communicate with the VMs running the WebApp, but is not exposed to the external-facing network. The </w:t>
      </w:r>
      <w:proofErr w:type="spellStart"/>
      <w:r w:rsidRPr="006B09B8">
        <w:t>SecureApp</w:t>
      </w:r>
      <w:proofErr w:type="spellEnd"/>
      <w:r w:rsidRPr="006B09B8">
        <w:t xml:space="preserve"> application then processes the incoming CSV files and returns PDF result reports to the WebApp.</w:t>
      </w:r>
    </w:p>
    <w:p w14:paraId="2CFCFA98" w14:textId="1C094A92" w:rsidR="00D85A1B" w:rsidRPr="006B09B8" w:rsidRDefault="00DC3D86" w:rsidP="00EC5DB4">
      <w:pPr>
        <w:pStyle w:val="ListParagraph"/>
        <w:numPr>
          <w:ilvl w:val="0"/>
          <w:numId w:val="2"/>
        </w:numPr>
        <w:ind w:left="284" w:hanging="284"/>
      </w:pPr>
      <w:r w:rsidRPr="006B09B8">
        <w:t>All files are saved onto Azure Storage disks which are encrypted by default.</w:t>
      </w:r>
    </w:p>
    <w:p w14:paraId="68991D08" w14:textId="2D47DB1E" w:rsidR="00526C3F" w:rsidRPr="0034420E" w:rsidRDefault="00790065" w:rsidP="00526C3F">
      <w:r w:rsidRPr="006B09B8">
        <w:t xml:space="preserve">As part of the pre-PASC response, the applicant advised that </w:t>
      </w:r>
      <w:r w:rsidRPr="006B09B8">
        <w:rPr>
          <w:rFonts w:asciiTheme="minorHAnsi" w:hAnsiTheme="minorHAnsi" w:cstheme="minorHAnsi"/>
        </w:rPr>
        <w:t xml:space="preserve">the actual patient result data </w:t>
      </w:r>
      <w:r w:rsidR="003F3640" w:rsidRPr="006B09B8">
        <w:rPr>
          <w:rFonts w:asciiTheme="minorHAnsi" w:hAnsiTheme="minorHAnsi" w:cstheme="minorHAnsi"/>
        </w:rPr>
        <w:t xml:space="preserve">are </w:t>
      </w:r>
      <w:r w:rsidRPr="006B09B8">
        <w:rPr>
          <w:rFonts w:asciiTheme="minorHAnsi" w:hAnsiTheme="minorHAnsi" w:cstheme="minorHAnsi"/>
        </w:rPr>
        <w:t>stored in the Secure SQL Database located on an encrypted hard disk drive at the Azure data centre in Sydney (physically).</w:t>
      </w:r>
      <w:r w:rsidRPr="0034420E">
        <w:rPr>
          <w:rFonts w:asciiTheme="minorHAnsi" w:hAnsiTheme="minorHAnsi" w:cstheme="minorHAnsi"/>
        </w:rPr>
        <w:t xml:space="preserve"> </w:t>
      </w:r>
    </w:p>
    <w:bookmarkEnd w:id="9"/>
    <w:p w14:paraId="15863BAA" w14:textId="23F3F1C0" w:rsidR="00677AE3" w:rsidRPr="0034420E" w:rsidRDefault="00677AE3" w:rsidP="00713728">
      <w:pPr>
        <w:pStyle w:val="Heading3"/>
      </w:pPr>
      <w:r w:rsidRPr="0034420E">
        <w:t>Reference standard (for investigative technologies only)</w:t>
      </w:r>
    </w:p>
    <w:p w14:paraId="1B60B6B7" w14:textId="7BA35BED" w:rsidR="00E77F8B" w:rsidRPr="0034420E" w:rsidRDefault="00E77F8B" w:rsidP="00526C3F">
      <w:r w:rsidRPr="0034420E">
        <w:t xml:space="preserve">No reference standard was </w:t>
      </w:r>
      <w:r w:rsidR="00670C7B" w:rsidRPr="0034420E">
        <w:t>defined</w:t>
      </w:r>
      <w:r w:rsidRPr="0034420E">
        <w:t xml:space="preserve"> in the application.</w:t>
      </w:r>
      <w:r w:rsidR="00526C3F" w:rsidRPr="0034420E">
        <w:t xml:space="preserve"> Given Pr</w:t>
      </w:r>
      <w:r w:rsidR="00DA1F65" w:rsidRPr="0034420E">
        <w:t>o</w:t>
      </w:r>
      <w:r w:rsidR="00526C3F" w:rsidRPr="0034420E">
        <w:t xml:space="preserve">markerD is a predictive test, the reference standard </w:t>
      </w:r>
      <w:r w:rsidR="00332DB6" w:rsidRPr="0034420E">
        <w:t>should</w:t>
      </w:r>
      <w:r w:rsidR="00526C3F" w:rsidRPr="0034420E">
        <w:t xml:space="preserve"> be the health outcome (development of </w:t>
      </w:r>
      <w:r w:rsidR="00332DB6" w:rsidRPr="0034420E">
        <w:t>D</w:t>
      </w:r>
      <w:r w:rsidR="00526C3F" w:rsidRPr="0034420E">
        <w:t>KD).</w:t>
      </w:r>
    </w:p>
    <w:p w14:paraId="450A8DD5" w14:textId="1FC179DC" w:rsidR="008A6BB7" w:rsidRPr="0034420E" w:rsidRDefault="008A6BB7" w:rsidP="00526C3F">
      <w:pPr>
        <w:rPr>
          <w:i/>
          <w:iCs/>
        </w:rPr>
      </w:pPr>
      <w:r w:rsidRPr="0034420E">
        <w:rPr>
          <w:rFonts w:asciiTheme="minorHAnsi" w:hAnsiTheme="minorHAnsi" w:cstheme="minorHAnsi"/>
          <w:i/>
          <w:iCs/>
        </w:rPr>
        <w:t>PASC accepted that the reference standard was the health outcome (development of DKD). PASC however, also noted the KDIGO guidelines and observational data presented regarding KDIGO and progression.</w:t>
      </w:r>
    </w:p>
    <w:p w14:paraId="2C894130" w14:textId="77777777" w:rsidR="0076589E" w:rsidRPr="0034420E" w:rsidRDefault="0076589E" w:rsidP="0076589E">
      <w:pPr>
        <w:pStyle w:val="Heading3"/>
      </w:pPr>
      <w:r w:rsidRPr="0034420E">
        <w:t>Comparator(s)</w:t>
      </w:r>
    </w:p>
    <w:p w14:paraId="2896A069" w14:textId="77777777" w:rsidR="0076589E" w:rsidRPr="0034420E" w:rsidRDefault="0076589E" w:rsidP="0076589E">
      <w:r w:rsidRPr="0034420E">
        <w:t>The application stated that there is no comparator test to PromarkerD as it is proposed as an add-on to usual care. The test would be added to the current testing regimen. Patients with T2DM currently should have laboratory risk factors (e.g. eGFR, uACR, lipids, HbA1c, etc) measured annually as part of usual monitoring. Should abnormalities in renal function be found and tracked properly by primary care and pathologists – e.g., decreasing eGFR over time, increasing uACR over time – primary care clinicians can elevate interventions. If renal function is declining rapidly or has passed a threshold of 30 ml/min eGFR, the patient is referred to a specialist for maximal intervention.</w:t>
      </w:r>
    </w:p>
    <w:p w14:paraId="3594AB0C" w14:textId="77777777" w:rsidR="0076589E" w:rsidRPr="0034420E" w:rsidRDefault="0076589E" w:rsidP="0076589E">
      <w:r w:rsidRPr="0034420E">
        <w:rPr>
          <w:rFonts w:asciiTheme="minorHAnsi" w:hAnsiTheme="minorHAnsi" w:cstheme="minorHAnsi"/>
          <w:i/>
          <w:iCs/>
        </w:rPr>
        <w:t>PASC accepted that the comparator was standard care as PromarkerD would be added to the current testing regimen.</w:t>
      </w:r>
    </w:p>
    <w:p w14:paraId="2372A91A" w14:textId="77777777" w:rsidR="0076589E" w:rsidRPr="0034420E" w:rsidRDefault="0076589E" w:rsidP="0076589E">
      <w:r w:rsidRPr="0034420E">
        <w:t>The KDIGO guidelines for evaluation and management of chronic kidney disease, as used by Kidney Health Australia (</w:t>
      </w:r>
      <w:r w:rsidRPr="0034420E">
        <w:fldChar w:fldCharType="begin"/>
      </w:r>
      <w:r w:rsidRPr="0034420E">
        <w:instrText xml:space="preserve"> REF _Ref87016813 \h  \* MERGEFORMAT </w:instrText>
      </w:r>
      <w:r w:rsidRPr="0034420E">
        <w:fldChar w:fldCharType="separate"/>
      </w:r>
      <w:r w:rsidRPr="0034420E">
        <w:t xml:space="preserve">Figure </w:t>
      </w:r>
      <w:r w:rsidRPr="0034420E">
        <w:rPr>
          <w:noProof/>
        </w:rPr>
        <w:t>1</w:t>
      </w:r>
      <w:r w:rsidRPr="0034420E">
        <w:fldChar w:fldCharType="end"/>
      </w:r>
      <w:r w:rsidRPr="0034420E">
        <w:t>), was used to assess the sensitivity/specificity of PromarkerD. C</w:t>
      </w:r>
      <w:r w:rsidRPr="0034420E">
        <w:rPr>
          <w:bCs/>
          <w:szCs w:val="20"/>
        </w:rPr>
        <w:t>linical observation study details investigating whether patients were correctly predicted to</w:t>
      </w:r>
      <w:r w:rsidRPr="0034420E">
        <w:t xml:space="preserve"> progress to DKD </w:t>
      </w:r>
      <w:r w:rsidRPr="0034420E">
        <w:rPr>
          <w:bCs/>
          <w:szCs w:val="20"/>
        </w:rPr>
        <w:t>using the KDIGO guidelines compared to using PromarkerD are provided in the Assessment framework section below.</w:t>
      </w:r>
    </w:p>
    <w:p w14:paraId="29C1EA87" w14:textId="01B48F07" w:rsidR="007A66C8" w:rsidRPr="0034420E" w:rsidRDefault="007A66C8" w:rsidP="00713728">
      <w:pPr>
        <w:pStyle w:val="Heading3"/>
      </w:pPr>
      <w:r w:rsidRPr="0034420E">
        <w:lastRenderedPageBreak/>
        <w:t>Outcomes</w:t>
      </w:r>
    </w:p>
    <w:p w14:paraId="11CA6B6D" w14:textId="38EA5E9D" w:rsidR="009A35A4" w:rsidRPr="0034420E" w:rsidRDefault="009A35A4" w:rsidP="00022E42">
      <w:r w:rsidRPr="0034420E">
        <w:t>The application state</w:t>
      </w:r>
      <w:r w:rsidR="00327CDF" w:rsidRPr="0034420E">
        <w:t>d</w:t>
      </w:r>
      <w:r w:rsidRPr="0034420E">
        <w:t xml:space="preserve"> that the following </w:t>
      </w:r>
      <w:r w:rsidR="0001730F" w:rsidRPr="0034420E">
        <w:t xml:space="preserve">are the key health </w:t>
      </w:r>
      <w:r w:rsidRPr="0034420E">
        <w:t xml:space="preserve">outcomes </w:t>
      </w:r>
      <w:r w:rsidR="0001730F" w:rsidRPr="0034420E">
        <w:t xml:space="preserve">that </w:t>
      </w:r>
      <w:r w:rsidRPr="0034420E">
        <w:t>will need to be measured in assessing the clinical claim for PromarkerD.</w:t>
      </w:r>
    </w:p>
    <w:p w14:paraId="0A565E7C" w14:textId="721E5C5E" w:rsidR="00022E42" w:rsidRPr="0034420E" w:rsidRDefault="00022E42" w:rsidP="00022E42">
      <w:r w:rsidRPr="0034420E">
        <w:t xml:space="preserve">Clinical Effectiveness Outcomes: </w:t>
      </w:r>
    </w:p>
    <w:p w14:paraId="2E737E42" w14:textId="50DBFF54" w:rsidR="00022E42" w:rsidRPr="0034420E" w:rsidRDefault="00022E42" w:rsidP="00EC5DB4">
      <w:pPr>
        <w:pStyle w:val="ListParagraph"/>
        <w:numPr>
          <w:ilvl w:val="0"/>
          <w:numId w:val="2"/>
        </w:numPr>
        <w:ind w:left="284" w:hanging="284"/>
      </w:pPr>
      <w:r w:rsidRPr="0034420E">
        <w:t>Life Years Saved</w:t>
      </w:r>
    </w:p>
    <w:p w14:paraId="1FBF8132" w14:textId="21148070" w:rsidR="00022E42" w:rsidRPr="0034420E" w:rsidRDefault="00022E42" w:rsidP="00EC5DB4">
      <w:pPr>
        <w:pStyle w:val="ListParagraph"/>
        <w:numPr>
          <w:ilvl w:val="0"/>
          <w:numId w:val="2"/>
        </w:numPr>
        <w:ind w:left="284" w:hanging="284"/>
      </w:pPr>
      <w:r w:rsidRPr="0034420E">
        <w:t>ESRD</w:t>
      </w:r>
    </w:p>
    <w:p w14:paraId="10CC1F21" w14:textId="3FF28909" w:rsidR="00022E42" w:rsidRPr="0034420E" w:rsidRDefault="00022E42" w:rsidP="00EC5DB4">
      <w:pPr>
        <w:pStyle w:val="ListParagraph"/>
        <w:numPr>
          <w:ilvl w:val="0"/>
          <w:numId w:val="2"/>
        </w:numPr>
        <w:ind w:left="284" w:hanging="284"/>
      </w:pPr>
      <w:r w:rsidRPr="0034420E">
        <w:t>Quality Adjusted Life Years (QALYs)</w:t>
      </w:r>
    </w:p>
    <w:p w14:paraId="0344BF8B" w14:textId="25C3A889" w:rsidR="009B40BD" w:rsidRPr="0034420E" w:rsidRDefault="00A90641" w:rsidP="009B40BD">
      <w:r w:rsidRPr="0034420E">
        <w:t xml:space="preserve">Given PromarkerD is a </w:t>
      </w:r>
      <w:r w:rsidR="00AB1502" w:rsidRPr="0034420E">
        <w:t>predictive</w:t>
      </w:r>
      <w:r w:rsidRPr="0034420E">
        <w:t xml:space="preserve"> test, any changes in the nominated (and relevant) clinical outcomes are predicated on ‘c</w:t>
      </w:r>
      <w:r w:rsidR="009B40BD" w:rsidRPr="0034420E">
        <w:t>hange in management</w:t>
      </w:r>
      <w:r w:rsidRPr="0034420E">
        <w:t>’.</w:t>
      </w:r>
      <w:r w:rsidRPr="0034420E">
        <w:rPr>
          <w:i/>
          <w:iCs/>
        </w:rPr>
        <w:t xml:space="preserve"> </w:t>
      </w:r>
      <w:r w:rsidRPr="0034420E">
        <w:t>The application did not suggest any change in management outcomes (other than ‘patients initiated on treatment’</w:t>
      </w:r>
      <w:r w:rsidR="009B40BD" w:rsidRPr="0034420E">
        <w:t xml:space="preserve"> </w:t>
      </w:r>
      <w:r w:rsidRPr="0034420E">
        <w:t xml:space="preserve">under ‘Other test related outcomes’). Similarly, the application did not nominate any specific ‘intermediate outcomes’ </w:t>
      </w:r>
      <w:r w:rsidR="00526C3F" w:rsidRPr="0034420E">
        <w:t xml:space="preserve">(such as lipids, blood pressure and glycaemic control) </w:t>
      </w:r>
      <w:r w:rsidRPr="0034420E">
        <w:t>that result as a consequence of change in management and lead to the health outcomes of interest</w:t>
      </w:r>
      <w:r w:rsidR="00526C3F" w:rsidRPr="0034420E">
        <w:t xml:space="preserve"> (i.e. a decrease in incident </w:t>
      </w:r>
      <w:r w:rsidR="00332DB6" w:rsidRPr="0034420E">
        <w:t>D</w:t>
      </w:r>
      <w:r w:rsidR="00526C3F" w:rsidRPr="0034420E">
        <w:t>KD (eGFR &lt;60mL/min/1.73m</w:t>
      </w:r>
      <w:r w:rsidR="00526C3F" w:rsidRPr="0034420E">
        <w:rPr>
          <w:vertAlign w:val="superscript"/>
        </w:rPr>
        <w:t>2</w:t>
      </w:r>
      <w:r w:rsidR="00526C3F" w:rsidRPr="0034420E">
        <w:t>) and eGFR decline ≥30%)</w:t>
      </w:r>
      <w:r w:rsidRPr="0034420E">
        <w:t xml:space="preserve">. </w:t>
      </w:r>
    </w:p>
    <w:p w14:paraId="48455EEE" w14:textId="1D9CBACE" w:rsidR="008A6BB7" w:rsidRPr="0034420E" w:rsidRDefault="008A6BB7" w:rsidP="009B40BD">
      <w:pPr>
        <w:rPr>
          <w:i/>
          <w:iCs/>
        </w:rPr>
      </w:pPr>
      <w:r w:rsidRPr="0034420E">
        <w:rPr>
          <w:i/>
          <w:iCs/>
        </w:rPr>
        <w:t xml:space="preserve">PASC noted that as PromarkerD is presented as a predictive test, this would estimate the differences in the proportion of people who will develop DKD over time according to different test results if clinical management changes in response to one or more of these different test results. Therefore any changes in nominated and relevant clinical outcomes are predicated on ‘change in management’. The decision question was thus what changes of management will be associated with PromarkerD? Would (or should) those changes in management occur in the absence of PromarkerD if optimal patient management is considered? PASC considered that it was unclear whether PromarkerD would change clinical decisions and result in changes in management that would lead to changes in clinical outcomes and costs. PASC noted that many of the possible changes in clinical management were relevant to all people with T2DM, such as managing HbA1c, blood pressure, lipids, and management of body weight. PASC noted that the application stated that SGLT2 inhibitors reduced PromarkerD scores and may prevent progression to DKD. PASC noted that the PBS restrictions for SGLT2 </w:t>
      </w:r>
      <w:r w:rsidR="00655378" w:rsidRPr="0034420E">
        <w:rPr>
          <w:i/>
          <w:iCs/>
        </w:rPr>
        <w:t>inhibitors</w:t>
      </w:r>
      <w:r w:rsidRPr="0034420E">
        <w:rPr>
          <w:i/>
          <w:iCs/>
        </w:rPr>
        <w:t xml:space="preserve"> may not allow this use. PASC considered that evidence for how PromarkerD leads to change in clinical practice (clinical utility) and the impact of this on clinical outcomes </w:t>
      </w:r>
      <w:r w:rsidR="00CD0AAB" w:rsidRPr="0034420E">
        <w:rPr>
          <w:i/>
          <w:iCs/>
        </w:rPr>
        <w:t xml:space="preserve">has </w:t>
      </w:r>
      <w:r w:rsidRPr="0034420E">
        <w:rPr>
          <w:i/>
          <w:iCs/>
        </w:rPr>
        <w:t>not been demonstrated and needs to be addressed.</w:t>
      </w:r>
    </w:p>
    <w:p w14:paraId="01D2DECD" w14:textId="77777777" w:rsidR="00022E42" w:rsidRPr="0034420E" w:rsidRDefault="00022E42" w:rsidP="00022E42">
      <w:r w:rsidRPr="0034420E">
        <w:t>Test outcomes:</w:t>
      </w:r>
    </w:p>
    <w:p w14:paraId="11BA1F97" w14:textId="4547EA46" w:rsidR="00022E42" w:rsidRPr="0034420E" w:rsidRDefault="00022E42" w:rsidP="00EC5DB4">
      <w:pPr>
        <w:pStyle w:val="ListParagraph"/>
        <w:numPr>
          <w:ilvl w:val="0"/>
          <w:numId w:val="2"/>
        </w:numPr>
        <w:ind w:left="284" w:hanging="284"/>
      </w:pPr>
      <w:r w:rsidRPr="0034420E">
        <w:t>Sensitivity</w:t>
      </w:r>
    </w:p>
    <w:p w14:paraId="2C5A916A" w14:textId="1491F490" w:rsidR="00022E42" w:rsidRPr="0034420E" w:rsidRDefault="00022E42" w:rsidP="00EC5DB4">
      <w:pPr>
        <w:pStyle w:val="ListParagraph"/>
        <w:numPr>
          <w:ilvl w:val="0"/>
          <w:numId w:val="2"/>
        </w:numPr>
        <w:ind w:left="284" w:hanging="284"/>
      </w:pPr>
      <w:r w:rsidRPr="0034420E">
        <w:t>Specificity</w:t>
      </w:r>
    </w:p>
    <w:p w14:paraId="29896AC6" w14:textId="3E5FF7ED" w:rsidR="00022E42" w:rsidRPr="0034420E" w:rsidRDefault="00022E42" w:rsidP="00EC5DB4">
      <w:pPr>
        <w:pStyle w:val="ListParagraph"/>
        <w:numPr>
          <w:ilvl w:val="0"/>
          <w:numId w:val="2"/>
        </w:numPr>
        <w:ind w:left="284" w:hanging="284"/>
      </w:pPr>
      <w:r w:rsidRPr="0034420E">
        <w:t>Positive predictive value (PPV)</w:t>
      </w:r>
    </w:p>
    <w:p w14:paraId="197C221E" w14:textId="232D09A2" w:rsidR="00327CDF" w:rsidRPr="0034420E" w:rsidRDefault="00022E42" w:rsidP="00EC5DB4">
      <w:pPr>
        <w:pStyle w:val="ListParagraph"/>
        <w:numPr>
          <w:ilvl w:val="0"/>
          <w:numId w:val="2"/>
        </w:numPr>
        <w:ind w:left="284" w:hanging="284"/>
      </w:pPr>
      <w:r w:rsidRPr="0034420E">
        <w:t>Negative predictive value (NPV)</w:t>
      </w:r>
    </w:p>
    <w:p w14:paraId="1F4DDA5E" w14:textId="77777777" w:rsidR="0001730F" w:rsidRPr="0034420E" w:rsidRDefault="0001730F" w:rsidP="0001730F">
      <w:r w:rsidRPr="0034420E">
        <w:t xml:space="preserve">Clinical utility of test: </w:t>
      </w:r>
    </w:p>
    <w:p w14:paraId="08BF0811" w14:textId="77777777" w:rsidR="0001730F" w:rsidRPr="0034420E" w:rsidRDefault="0001730F" w:rsidP="00EC5DB4">
      <w:pPr>
        <w:pStyle w:val="ListParagraph"/>
        <w:numPr>
          <w:ilvl w:val="0"/>
          <w:numId w:val="2"/>
        </w:numPr>
        <w:ind w:left="284" w:hanging="284"/>
      </w:pPr>
      <w:r w:rsidRPr="0034420E">
        <w:t>Predictive effect of testing of patients to detect DKD</w:t>
      </w:r>
    </w:p>
    <w:p w14:paraId="23A52555" w14:textId="77777777" w:rsidR="0001730F" w:rsidRPr="0034420E" w:rsidRDefault="0001730F" w:rsidP="0001730F">
      <w:r w:rsidRPr="0034420E">
        <w:t xml:space="preserve">Other test-related considerations: </w:t>
      </w:r>
    </w:p>
    <w:p w14:paraId="1195E75A" w14:textId="77777777" w:rsidR="0001730F" w:rsidRPr="0034420E" w:rsidRDefault="0001730F" w:rsidP="00EC5DB4">
      <w:pPr>
        <w:pStyle w:val="ListParagraph"/>
        <w:numPr>
          <w:ilvl w:val="0"/>
          <w:numId w:val="2"/>
        </w:numPr>
        <w:ind w:left="284" w:hanging="284"/>
      </w:pPr>
      <w:r w:rsidRPr="0034420E">
        <w:t>Patients initiated on treatment</w:t>
      </w:r>
    </w:p>
    <w:p w14:paraId="3ED92762" w14:textId="102562D8" w:rsidR="0001730F" w:rsidRPr="0034420E" w:rsidRDefault="0001730F" w:rsidP="00EC5DB4">
      <w:pPr>
        <w:pStyle w:val="ListParagraph"/>
        <w:numPr>
          <w:ilvl w:val="0"/>
          <w:numId w:val="2"/>
        </w:numPr>
        <w:ind w:left="284" w:hanging="284"/>
      </w:pPr>
      <w:r w:rsidRPr="0034420E">
        <w:t>Estimated number of patients being tested</w:t>
      </w:r>
    </w:p>
    <w:p w14:paraId="2BC8C394" w14:textId="054DAF18" w:rsidR="0001730F" w:rsidRPr="0034420E" w:rsidRDefault="0001730F" w:rsidP="00EC5DB4">
      <w:pPr>
        <w:pStyle w:val="ListParagraph"/>
        <w:numPr>
          <w:ilvl w:val="0"/>
          <w:numId w:val="2"/>
        </w:numPr>
        <w:ind w:left="284" w:hanging="284"/>
      </w:pPr>
      <w:r w:rsidRPr="0034420E">
        <w:t>Number needed to test</w:t>
      </w:r>
    </w:p>
    <w:p w14:paraId="5003CA99" w14:textId="77777777" w:rsidR="0001730F" w:rsidRPr="0034420E" w:rsidRDefault="0001730F" w:rsidP="00EC5DB4">
      <w:pPr>
        <w:pStyle w:val="ListParagraph"/>
        <w:numPr>
          <w:ilvl w:val="0"/>
          <w:numId w:val="2"/>
        </w:numPr>
        <w:ind w:left="284" w:hanging="284"/>
      </w:pPr>
      <w:r w:rsidRPr="0034420E">
        <w:t>Cost of testing per patient</w:t>
      </w:r>
    </w:p>
    <w:p w14:paraId="72DD9749" w14:textId="78410033" w:rsidR="0001730F" w:rsidRPr="0034420E" w:rsidRDefault="0001730F" w:rsidP="0001730F">
      <w:r w:rsidRPr="0034420E">
        <w:lastRenderedPageBreak/>
        <w:t>The application did not make any claims regarding the value of knowing.</w:t>
      </w:r>
      <w:r w:rsidR="00EA698E" w:rsidRPr="0034420E">
        <w:t xml:space="preserve"> </w:t>
      </w:r>
      <w:r w:rsidR="00EA698E" w:rsidRPr="0034420E">
        <w:rPr>
          <w:rFonts w:asciiTheme="minorHAnsi" w:hAnsiTheme="minorHAnsi" w:cstheme="minorHAnsi"/>
          <w:i/>
          <w:iCs/>
        </w:rPr>
        <w:t>PASC noted that the application relates to “an improvement in the information provided…” as in the MSAC Guidelines (p23). PASC advised that MSAC generally places a greater value on changes in clinical management that lead to improvements in clinical outcomes.</w:t>
      </w:r>
    </w:p>
    <w:p w14:paraId="2D67908A" w14:textId="77777777" w:rsidR="00FC014C" w:rsidRPr="0034420E" w:rsidRDefault="00FC014C" w:rsidP="00FC014C">
      <w:r w:rsidRPr="0034420E">
        <w:t>Additional information provided by the applicant stated that PromarkerD prevents/delays the occurrence of DKD and thus improves patient quality of life, reduces need of dialysis and reduces the risk of end-stage kidney failure. Treatment goals (based on Kidney Health Australia – CKD Management in Primary Care) include:</w:t>
      </w:r>
    </w:p>
    <w:p w14:paraId="7920D7AB" w14:textId="3ABA103A" w:rsidR="00FC014C" w:rsidRPr="0034420E" w:rsidRDefault="00FC014C" w:rsidP="00EC5DB4">
      <w:pPr>
        <w:pStyle w:val="ListParagraph"/>
        <w:numPr>
          <w:ilvl w:val="0"/>
          <w:numId w:val="2"/>
        </w:numPr>
        <w:ind w:left="284" w:hanging="284"/>
      </w:pPr>
      <w:r w:rsidRPr="0034420E">
        <w:t>Glycaemic control</w:t>
      </w:r>
      <w:r w:rsidR="00A90641" w:rsidRPr="0034420E">
        <w:t>; HbA</w:t>
      </w:r>
      <w:r w:rsidR="00CD0AAB" w:rsidRPr="0034420E">
        <w:t>1</w:t>
      </w:r>
      <w:r w:rsidR="00A90641" w:rsidRPr="0034420E">
        <w:t>c</w:t>
      </w:r>
      <w:r w:rsidRPr="0034420E">
        <w:t xml:space="preserve"> &lt;7%</w:t>
      </w:r>
      <w:r w:rsidR="00A90641" w:rsidRPr="0034420E">
        <w:t>.</w:t>
      </w:r>
    </w:p>
    <w:p w14:paraId="7BFEBDA5" w14:textId="2E52C374" w:rsidR="00FC014C" w:rsidRPr="0034420E" w:rsidRDefault="00FC014C" w:rsidP="00EC5DB4">
      <w:pPr>
        <w:pStyle w:val="ListParagraph"/>
        <w:numPr>
          <w:ilvl w:val="0"/>
          <w:numId w:val="2"/>
        </w:numPr>
        <w:ind w:left="284" w:hanging="284"/>
      </w:pPr>
      <w:r w:rsidRPr="0034420E">
        <w:t>50% reduction in uACR</w:t>
      </w:r>
      <w:r w:rsidR="00A90641" w:rsidRPr="0034420E">
        <w:t>.</w:t>
      </w:r>
      <w:r w:rsidRPr="0034420E">
        <w:t xml:space="preserve"> </w:t>
      </w:r>
    </w:p>
    <w:p w14:paraId="04EB2A82" w14:textId="1E29F280" w:rsidR="00FC014C" w:rsidRPr="0034420E" w:rsidRDefault="00FC014C" w:rsidP="00EC5DB4">
      <w:pPr>
        <w:pStyle w:val="ListParagraph"/>
        <w:numPr>
          <w:ilvl w:val="0"/>
          <w:numId w:val="2"/>
        </w:numPr>
        <w:ind w:left="284" w:hanging="284"/>
      </w:pPr>
      <w:r w:rsidRPr="0034420E">
        <w:t>Maintain blood pressure below 130/80 mmHg</w:t>
      </w:r>
      <w:r w:rsidR="00A90641" w:rsidRPr="0034420E">
        <w:t>.</w:t>
      </w:r>
      <w:r w:rsidRPr="0034420E">
        <w:t xml:space="preserve"> </w:t>
      </w:r>
    </w:p>
    <w:p w14:paraId="4D204909" w14:textId="4CB272E9" w:rsidR="00FC014C" w:rsidRPr="0034420E" w:rsidRDefault="00FC014C" w:rsidP="00EC5DB4">
      <w:pPr>
        <w:pStyle w:val="ListParagraph"/>
        <w:numPr>
          <w:ilvl w:val="0"/>
          <w:numId w:val="2"/>
        </w:numPr>
        <w:ind w:left="284" w:hanging="284"/>
      </w:pPr>
      <w:r w:rsidRPr="0034420E">
        <w:t>BMI &lt;25</w:t>
      </w:r>
      <w:r w:rsidR="00A90641" w:rsidRPr="0034420E">
        <w:t>.</w:t>
      </w:r>
    </w:p>
    <w:p w14:paraId="4BBF84CB" w14:textId="72F51DB4" w:rsidR="009B31CC" w:rsidRPr="0034420E" w:rsidRDefault="009B31CC" w:rsidP="00713728">
      <w:pPr>
        <w:pStyle w:val="Heading2"/>
      </w:pPr>
      <w:r w:rsidRPr="0034420E">
        <w:t>Assessment framework (for investigative technologies)</w:t>
      </w:r>
    </w:p>
    <w:p w14:paraId="733984DE" w14:textId="1396B037" w:rsidR="00004C4A" w:rsidRPr="0034420E" w:rsidRDefault="00ED2142" w:rsidP="00ED2142">
      <w:r w:rsidRPr="0034420E">
        <w:t xml:space="preserve">The application identified one </w:t>
      </w:r>
      <w:r w:rsidR="002B3349" w:rsidRPr="0034420E">
        <w:t xml:space="preserve">study </w:t>
      </w:r>
      <w:r w:rsidR="00B231DF" w:rsidRPr="0034420E">
        <w:t xml:space="preserve">(Peters 2020) </w:t>
      </w:r>
      <w:r w:rsidR="002B3349" w:rsidRPr="0034420E">
        <w:t xml:space="preserve">that investigated the </w:t>
      </w:r>
      <w:r w:rsidR="00004C4A" w:rsidRPr="0034420E">
        <w:t>use</w:t>
      </w:r>
      <w:r w:rsidR="002B3349" w:rsidRPr="0034420E">
        <w:t xml:space="preserve"> of PromarkerD for predicting future renal function decline in individuals with </w:t>
      </w:r>
      <w:r w:rsidR="00663972" w:rsidRPr="0034420E">
        <w:t>T2DM</w:t>
      </w:r>
      <w:r w:rsidR="002B3349" w:rsidRPr="0034420E">
        <w:t xml:space="preserve"> </w:t>
      </w:r>
      <w:r w:rsidR="00210510" w:rsidRPr="0034420E">
        <w:t xml:space="preserve">who were </w:t>
      </w:r>
      <w:r w:rsidR="005F7D34" w:rsidRPr="0034420E">
        <w:t>enrolled in</w:t>
      </w:r>
      <w:r w:rsidR="002B3349" w:rsidRPr="0034420E">
        <w:t xml:space="preserve"> the </w:t>
      </w:r>
      <w:r w:rsidR="00210510" w:rsidRPr="0034420E">
        <w:t xml:space="preserve">CANVAS </w:t>
      </w:r>
      <w:r w:rsidR="002B3349" w:rsidRPr="0034420E">
        <w:t>trial</w:t>
      </w:r>
      <w:r w:rsidR="003B19E0" w:rsidRPr="0034420E">
        <w:t xml:space="preserve"> (</w:t>
      </w:r>
      <w:r w:rsidR="00E5120D" w:rsidRPr="0034420E">
        <w:t>p</w:t>
      </w:r>
      <w:r w:rsidR="002B3349" w:rsidRPr="0034420E">
        <w:t>atients were randomised to receive either placebo (n=1195) or canagliflozin (n=2373)</w:t>
      </w:r>
      <w:r w:rsidR="00E5120D" w:rsidRPr="0034420E">
        <w:t>)</w:t>
      </w:r>
      <w:r w:rsidR="002B3349" w:rsidRPr="0034420E">
        <w:t>. PromarkerD scores were measured at baseline and used to predict incident CKD (eGFR &lt;60mL/min/1.73m</w:t>
      </w:r>
      <w:r w:rsidR="002B3349" w:rsidRPr="0034420E">
        <w:rPr>
          <w:vertAlign w:val="superscript"/>
        </w:rPr>
        <w:t>2</w:t>
      </w:r>
      <w:r w:rsidR="002B3349" w:rsidRPr="0034420E">
        <w:t xml:space="preserve">) and eGFR decline </w:t>
      </w:r>
      <w:r w:rsidR="002B3349" w:rsidRPr="0034420E">
        <w:rPr>
          <w:rFonts w:cs="Calibri"/>
        </w:rPr>
        <w:t>≥</w:t>
      </w:r>
      <w:r w:rsidR="002B3349" w:rsidRPr="0034420E">
        <w:t xml:space="preserve">30% </w:t>
      </w:r>
      <w:r w:rsidR="00004C4A" w:rsidRPr="0034420E">
        <w:t>over</w:t>
      </w:r>
      <w:r w:rsidR="002B3349" w:rsidRPr="0034420E">
        <w:t xml:space="preserve"> four years. </w:t>
      </w:r>
      <w:r w:rsidR="00004C4A" w:rsidRPr="0034420E">
        <w:t xml:space="preserve">The participants had a median PromarkerD score of 2.9%, with 70.5% categorised as low-risk, 13.6% as moderate-risk and 15.9% as high-risk for developing incident CKD. After adjusting for treatment, baseline PromarkerD moderate-risk and high-risk scores were found to be increasingly prognostic for incident CKD (odds ratio 5.29 and 13.52 versus low-risk, respectively; both </w:t>
      </w:r>
      <w:r w:rsidR="00004C4A" w:rsidRPr="0034420E">
        <w:rPr>
          <w:rFonts w:ascii="URWPalladioL-Ital" w:hAnsi="URWPalladioL-Ital" w:cs="URWPalladioL-Ital"/>
        </w:rPr>
        <w:t xml:space="preserve">p </w:t>
      </w:r>
      <w:r w:rsidR="00004C4A" w:rsidRPr="0034420E">
        <w:rPr>
          <w:rFonts w:ascii="Rpxr" w:hAnsi="Rpxr" w:cs="Rpxr"/>
        </w:rPr>
        <w:t>&lt;</w:t>
      </w:r>
      <w:r w:rsidR="00004C4A" w:rsidRPr="0034420E">
        <w:t>0.001).</w:t>
      </w:r>
    </w:p>
    <w:p w14:paraId="37B60EA8" w14:textId="27A311A0" w:rsidR="00057D40" w:rsidRPr="0034420E" w:rsidRDefault="00057D40" w:rsidP="00057D40">
      <w:r w:rsidRPr="0034420E">
        <w:t xml:space="preserve">The application reported that a cohort of patients from the </w:t>
      </w:r>
      <w:r w:rsidR="00D321F1" w:rsidRPr="0034420E">
        <w:rPr>
          <w:rFonts w:asciiTheme="minorHAnsi" w:hAnsiTheme="minorHAnsi" w:cstheme="minorHAnsi"/>
        </w:rPr>
        <w:t>FDS2</w:t>
      </w:r>
      <w:r w:rsidR="008238DC" w:rsidRPr="0034420E">
        <w:t xml:space="preserve"> </w:t>
      </w:r>
      <w:r w:rsidRPr="0034420E">
        <w:t>database (n=857) were analysed in and assigned to their respective KDIGO risk categories as per their eGFR (≥60 mL/min/1.73m</w:t>
      </w:r>
      <w:r w:rsidRPr="0034420E">
        <w:rPr>
          <w:vertAlign w:val="superscript"/>
        </w:rPr>
        <w:t>2</w:t>
      </w:r>
      <w:r w:rsidRPr="0034420E">
        <w:t>) and uACR (≤30 mg/mmol) measurements. A total of 725 patients were assigned to the categories.</w:t>
      </w:r>
      <w:r w:rsidR="004F736A" w:rsidRPr="0034420E">
        <w:t xml:space="preserve"> </w:t>
      </w:r>
      <w:r w:rsidRPr="0034420E">
        <w:t>The</w:t>
      </w:r>
      <w:r w:rsidR="004F736A" w:rsidRPr="0034420E">
        <w:t>se</w:t>
      </w:r>
      <w:r w:rsidRPr="0034420E">
        <w:t xml:space="preserve"> patients were then categorised under their PromarkerD risk scor</w:t>
      </w:r>
      <w:r w:rsidR="00E5120D" w:rsidRPr="0034420E">
        <w:t>e</w:t>
      </w:r>
      <w:r w:rsidRPr="0034420E">
        <w:t xml:space="preserve"> at baseline – low, moderate or high. Whether patients progressed to DKD, (defined as eGFR &lt;60 mL/min/1.73m</w:t>
      </w:r>
      <w:r w:rsidRPr="0034420E">
        <w:rPr>
          <w:vertAlign w:val="superscript"/>
        </w:rPr>
        <w:t>2</w:t>
      </w:r>
      <w:r w:rsidRPr="0034420E">
        <w:t xml:space="preserve">) was assessed after four years. A total of 69/81 patients were </w:t>
      </w:r>
      <w:r w:rsidR="003C0423" w:rsidRPr="0034420E">
        <w:t xml:space="preserve">found to be </w:t>
      </w:r>
      <w:r w:rsidRPr="0034420E">
        <w:t xml:space="preserve">correctly classified as moderate- or high-risk </w:t>
      </w:r>
      <w:r w:rsidR="004F736A" w:rsidRPr="0034420E">
        <w:t>(</w:t>
      </w:r>
      <w:r w:rsidRPr="0034420E">
        <w:t xml:space="preserve">sensitivity </w:t>
      </w:r>
      <w:r w:rsidR="00004AD0" w:rsidRPr="0034420E">
        <w:t>=</w:t>
      </w:r>
      <w:r w:rsidRPr="0034420E">
        <w:t xml:space="preserve"> 85.2%</w:t>
      </w:r>
      <w:r w:rsidR="004F736A" w:rsidRPr="0034420E">
        <w:t>)</w:t>
      </w:r>
      <w:r w:rsidRPr="0034420E">
        <w:t xml:space="preserve"> and a total of 501/644 were correctly classified as low-risk </w:t>
      </w:r>
      <w:r w:rsidR="004F736A" w:rsidRPr="0034420E">
        <w:t>(</w:t>
      </w:r>
      <w:r w:rsidRPr="0034420E">
        <w:t xml:space="preserve">specificity </w:t>
      </w:r>
      <w:r w:rsidR="00004AD0" w:rsidRPr="0034420E">
        <w:t>=</w:t>
      </w:r>
      <w:r w:rsidRPr="0034420E">
        <w:t xml:space="preserve"> 77.8%</w:t>
      </w:r>
      <w:r w:rsidR="004F736A" w:rsidRPr="0034420E">
        <w:t>)</w:t>
      </w:r>
      <w:r w:rsidR="00E5120D" w:rsidRPr="0034420E">
        <w:t xml:space="preserve">, see </w:t>
      </w:r>
      <w:r w:rsidR="00E5120D" w:rsidRPr="0034420E">
        <w:fldChar w:fldCharType="begin"/>
      </w:r>
      <w:r w:rsidR="00E5120D" w:rsidRPr="0034420E">
        <w:instrText xml:space="preserve"> REF _Ref87016502 \h </w:instrText>
      </w:r>
      <w:r w:rsidR="009E1D30" w:rsidRPr="0034420E">
        <w:instrText xml:space="preserve"> \* MERGEFORMAT </w:instrText>
      </w:r>
      <w:r w:rsidR="00E5120D" w:rsidRPr="0034420E">
        <w:fldChar w:fldCharType="separate"/>
      </w:r>
      <w:r w:rsidR="00523E59" w:rsidRPr="0034420E">
        <w:t xml:space="preserve">Table </w:t>
      </w:r>
      <w:r w:rsidR="00523E59" w:rsidRPr="0034420E">
        <w:rPr>
          <w:noProof/>
        </w:rPr>
        <w:t>7</w:t>
      </w:r>
      <w:r w:rsidR="00E5120D" w:rsidRPr="0034420E">
        <w:fldChar w:fldCharType="end"/>
      </w:r>
      <w:r w:rsidRPr="0034420E">
        <w:t>. The application note</w:t>
      </w:r>
      <w:r w:rsidR="004F736A" w:rsidRPr="0034420E">
        <w:t>d</w:t>
      </w:r>
      <w:r w:rsidRPr="0034420E">
        <w:t xml:space="preserve"> that this compares favourably to the sensitivity and specificity of simply using KDIGO (and Kidney Health Australia) risk categories prognostically, at 44.4% and 70.2% respectively.</w:t>
      </w:r>
    </w:p>
    <w:p w14:paraId="5E5D15D3" w14:textId="380B2DF1" w:rsidR="00057D40" w:rsidRPr="0034420E" w:rsidRDefault="00E5120D" w:rsidP="00057D40">
      <w:pPr>
        <w:pStyle w:val="Caption"/>
      </w:pPr>
      <w:bookmarkStart w:id="10" w:name="_Ref87016502"/>
      <w:r w:rsidRPr="0034420E">
        <w:lastRenderedPageBreak/>
        <w:t xml:space="preserve">Table </w:t>
      </w:r>
      <w:r w:rsidRPr="0034420E">
        <w:fldChar w:fldCharType="begin"/>
      </w:r>
      <w:r w:rsidRPr="0034420E">
        <w:instrText xml:space="preserve"> SEQ Table \* ARABIC </w:instrText>
      </w:r>
      <w:r w:rsidRPr="0034420E">
        <w:fldChar w:fldCharType="separate"/>
      </w:r>
      <w:r w:rsidR="00523E59" w:rsidRPr="0034420E">
        <w:rPr>
          <w:noProof/>
        </w:rPr>
        <w:t>7</w:t>
      </w:r>
      <w:r w:rsidRPr="0034420E">
        <w:fldChar w:fldCharType="end"/>
      </w:r>
      <w:bookmarkEnd w:id="10"/>
      <w:r w:rsidR="00057D40" w:rsidRPr="0034420E">
        <w:tab/>
        <w:t>Assignment of patients from the Fremantle Diabetes Study 2 according to KDIGO and PromarkerD risk categories</w:t>
      </w:r>
    </w:p>
    <w:tbl>
      <w:tblPr>
        <w:tblW w:w="9639" w:type="dxa"/>
        <w:tblInd w:w="-10" w:type="dxa"/>
        <w:tblLook w:val="04A0" w:firstRow="1" w:lastRow="0" w:firstColumn="1" w:lastColumn="0" w:noHBand="0" w:noVBand="1"/>
      </w:tblPr>
      <w:tblGrid>
        <w:gridCol w:w="4111"/>
        <w:gridCol w:w="851"/>
        <w:gridCol w:w="708"/>
        <w:gridCol w:w="851"/>
        <w:gridCol w:w="850"/>
        <w:gridCol w:w="851"/>
        <w:gridCol w:w="1417"/>
      </w:tblGrid>
      <w:tr w:rsidR="00057D40" w:rsidRPr="0034420E" w14:paraId="25478513" w14:textId="77777777" w:rsidTr="00E5120D">
        <w:trPr>
          <w:trHeight w:val="315"/>
        </w:trPr>
        <w:tc>
          <w:tcPr>
            <w:tcW w:w="4111" w:type="dxa"/>
            <w:tcBorders>
              <w:top w:val="single" w:sz="8" w:space="0" w:color="auto"/>
              <w:left w:val="single" w:sz="8" w:space="0" w:color="auto"/>
              <w:bottom w:val="nil"/>
              <w:right w:val="nil"/>
            </w:tcBorders>
            <w:shd w:val="clear" w:color="auto" w:fill="auto"/>
            <w:noWrap/>
            <w:vAlign w:val="center"/>
            <w:hideMark/>
          </w:tcPr>
          <w:p w14:paraId="341B34D7" w14:textId="77777777" w:rsidR="00057D40" w:rsidRPr="0034420E" w:rsidRDefault="00057D40" w:rsidP="00E5120D">
            <w:pPr>
              <w:pStyle w:val="Tabletext"/>
              <w:keepNext/>
            </w:pPr>
            <w:r w:rsidRPr="0034420E">
              <w:t> </w:t>
            </w:r>
          </w:p>
        </w:tc>
        <w:tc>
          <w:tcPr>
            <w:tcW w:w="851" w:type="dxa"/>
            <w:tcBorders>
              <w:top w:val="single" w:sz="8" w:space="0" w:color="auto"/>
              <w:left w:val="single" w:sz="8" w:space="0" w:color="auto"/>
              <w:bottom w:val="nil"/>
              <w:right w:val="nil"/>
            </w:tcBorders>
            <w:shd w:val="clear" w:color="auto" w:fill="auto"/>
            <w:noWrap/>
            <w:vAlign w:val="center"/>
            <w:hideMark/>
          </w:tcPr>
          <w:p w14:paraId="12C6F93F" w14:textId="727D0AD6" w:rsidR="00057D40" w:rsidRPr="0034420E" w:rsidRDefault="00057D40" w:rsidP="00E5120D">
            <w:pPr>
              <w:pStyle w:val="Tabletext"/>
              <w:keepNext/>
              <w:jc w:val="center"/>
            </w:pPr>
          </w:p>
        </w:tc>
        <w:tc>
          <w:tcPr>
            <w:tcW w:w="467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65490E4" w14:textId="77777777" w:rsidR="00057D40" w:rsidRPr="0034420E" w:rsidRDefault="00057D40" w:rsidP="00E5120D">
            <w:pPr>
              <w:pStyle w:val="Tabletext"/>
              <w:keepNext/>
              <w:jc w:val="center"/>
              <w:rPr>
                <w:b/>
                <w:bCs/>
              </w:rPr>
            </w:pPr>
            <w:r w:rsidRPr="0034420E">
              <w:rPr>
                <w:b/>
                <w:bCs/>
              </w:rPr>
              <w:t>Patients at 4 years - Incident DKD (eGFR &lt;60)</w:t>
            </w:r>
          </w:p>
        </w:tc>
      </w:tr>
      <w:tr w:rsidR="00057D40" w:rsidRPr="0034420E" w14:paraId="642F63B4" w14:textId="77777777" w:rsidTr="00E5120D">
        <w:trPr>
          <w:trHeight w:val="315"/>
        </w:trPr>
        <w:tc>
          <w:tcPr>
            <w:tcW w:w="4111" w:type="dxa"/>
            <w:tcBorders>
              <w:top w:val="nil"/>
              <w:left w:val="single" w:sz="8" w:space="0" w:color="auto"/>
              <w:bottom w:val="nil"/>
              <w:right w:val="nil"/>
            </w:tcBorders>
            <w:shd w:val="clear" w:color="auto" w:fill="auto"/>
            <w:noWrap/>
            <w:vAlign w:val="center"/>
            <w:hideMark/>
          </w:tcPr>
          <w:p w14:paraId="43C8E253" w14:textId="77777777" w:rsidR="00057D40" w:rsidRPr="0034420E" w:rsidRDefault="00057D40" w:rsidP="00E5120D">
            <w:pPr>
              <w:pStyle w:val="Tabletext"/>
              <w:keepNext/>
            </w:pPr>
            <w:r w:rsidRPr="0034420E">
              <w:t> </w:t>
            </w:r>
          </w:p>
        </w:tc>
        <w:tc>
          <w:tcPr>
            <w:tcW w:w="851" w:type="dxa"/>
            <w:tcBorders>
              <w:top w:val="nil"/>
              <w:left w:val="single" w:sz="8" w:space="0" w:color="auto"/>
              <w:bottom w:val="nil"/>
              <w:right w:val="single" w:sz="8" w:space="0" w:color="auto"/>
            </w:tcBorders>
            <w:shd w:val="clear" w:color="auto" w:fill="auto"/>
            <w:noWrap/>
            <w:vAlign w:val="center"/>
            <w:hideMark/>
          </w:tcPr>
          <w:p w14:paraId="0C9F5B61" w14:textId="4215A15D" w:rsidR="00057D40" w:rsidRPr="0034420E" w:rsidRDefault="00057D40" w:rsidP="00E5120D">
            <w:pPr>
              <w:pStyle w:val="Tabletext"/>
              <w:keepNext/>
              <w:jc w:val="center"/>
            </w:pPr>
          </w:p>
        </w:tc>
        <w:tc>
          <w:tcPr>
            <w:tcW w:w="1559"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588147D1" w14:textId="77777777" w:rsidR="00057D40" w:rsidRPr="0034420E" w:rsidRDefault="00057D40" w:rsidP="00E5120D">
            <w:pPr>
              <w:pStyle w:val="Tabletext"/>
              <w:keepNext/>
              <w:jc w:val="center"/>
              <w:rPr>
                <w:b/>
                <w:bCs/>
              </w:rPr>
            </w:pPr>
            <w:r w:rsidRPr="0034420E">
              <w:rPr>
                <w:b/>
                <w:bCs/>
              </w:rPr>
              <w:t>No outcome</w:t>
            </w:r>
          </w:p>
        </w:tc>
        <w:tc>
          <w:tcPr>
            <w:tcW w:w="1701"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72AD03E0" w14:textId="77777777" w:rsidR="00057D40" w:rsidRPr="0034420E" w:rsidRDefault="00057D40" w:rsidP="00E5120D">
            <w:pPr>
              <w:pStyle w:val="Tabletext"/>
              <w:keepNext/>
              <w:jc w:val="center"/>
              <w:rPr>
                <w:b/>
                <w:bCs/>
              </w:rPr>
            </w:pPr>
            <w:r w:rsidRPr="0034420E">
              <w:rPr>
                <w:b/>
                <w:bCs/>
              </w:rPr>
              <w:t>Outcome</w:t>
            </w:r>
          </w:p>
        </w:tc>
        <w:tc>
          <w:tcPr>
            <w:tcW w:w="1417" w:type="dxa"/>
            <w:tcBorders>
              <w:top w:val="nil"/>
              <w:left w:val="nil"/>
              <w:bottom w:val="single" w:sz="8" w:space="0" w:color="auto"/>
              <w:right w:val="single" w:sz="8" w:space="0" w:color="auto"/>
            </w:tcBorders>
            <w:shd w:val="clear" w:color="auto" w:fill="auto"/>
            <w:noWrap/>
            <w:vAlign w:val="center"/>
            <w:hideMark/>
          </w:tcPr>
          <w:p w14:paraId="727A983D" w14:textId="77777777" w:rsidR="00057D40" w:rsidRPr="0034420E" w:rsidRDefault="00057D40" w:rsidP="00E5120D">
            <w:pPr>
              <w:pStyle w:val="Tabletext"/>
              <w:keepNext/>
              <w:jc w:val="center"/>
              <w:rPr>
                <w:b/>
                <w:bCs/>
              </w:rPr>
            </w:pPr>
            <w:r w:rsidRPr="0034420E">
              <w:rPr>
                <w:b/>
                <w:bCs/>
              </w:rPr>
              <w:t>Total</w:t>
            </w:r>
          </w:p>
        </w:tc>
      </w:tr>
      <w:tr w:rsidR="00057D40" w:rsidRPr="0034420E" w14:paraId="58960278" w14:textId="77777777" w:rsidTr="00E5120D">
        <w:trPr>
          <w:trHeight w:val="315"/>
        </w:trPr>
        <w:tc>
          <w:tcPr>
            <w:tcW w:w="4111" w:type="dxa"/>
            <w:tcBorders>
              <w:top w:val="nil"/>
              <w:left w:val="single" w:sz="8" w:space="0" w:color="auto"/>
              <w:bottom w:val="single" w:sz="8" w:space="0" w:color="auto"/>
              <w:right w:val="nil"/>
            </w:tcBorders>
            <w:shd w:val="clear" w:color="auto" w:fill="auto"/>
            <w:noWrap/>
            <w:vAlign w:val="center"/>
            <w:hideMark/>
          </w:tcPr>
          <w:p w14:paraId="0910E0DD" w14:textId="77777777" w:rsidR="00057D40" w:rsidRPr="0034420E" w:rsidRDefault="00057D40" w:rsidP="00E5120D">
            <w:pPr>
              <w:pStyle w:val="Tabletext"/>
              <w:keepNext/>
            </w:pPr>
            <w:r w:rsidRPr="0034420E">
              <w:t> </w:t>
            </w:r>
          </w:p>
        </w:tc>
        <w:tc>
          <w:tcPr>
            <w:tcW w:w="851" w:type="dxa"/>
            <w:tcBorders>
              <w:top w:val="nil"/>
              <w:left w:val="single" w:sz="8" w:space="0" w:color="auto"/>
              <w:bottom w:val="single" w:sz="8" w:space="0" w:color="auto"/>
              <w:right w:val="single" w:sz="8" w:space="0" w:color="auto"/>
            </w:tcBorders>
            <w:shd w:val="clear" w:color="auto" w:fill="auto"/>
            <w:noWrap/>
            <w:vAlign w:val="center"/>
            <w:hideMark/>
          </w:tcPr>
          <w:p w14:paraId="678F240C" w14:textId="77777777" w:rsidR="00057D40" w:rsidRPr="0034420E" w:rsidRDefault="00057D40" w:rsidP="00E5120D">
            <w:pPr>
              <w:pStyle w:val="Tabletext"/>
              <w:keepNext/>
              <w:jc w:val="center"/>
            </w:pPr>
            <w:r w:rsidRPr="0034420E">
              <w:t>N</w:t>
            </w:r>
          </w:p>
        </w:tc>
        <w:tc>
          <w:tcPr>
            <w:tcW w:w="708" w:type="dxa"/>
            <w:tcBorders>
              <w:top w:val="single" w:sz="8" w:space="0" w:color="auto"/>
              <w:left w:val="nil"/>
              <w:bottom w:val="single" w:sz="8" w:space="0" w:color="auto"/>
              <w:right w:val="single" w:sz="8" w:space="0" w:color="auto"/>
            </w:tcBorders>
            <w:shd w:val="clear" w:color="auto" w:fill="auto"/>
            <w:noWrap/>
            <w:vAlign w:val="center"/>
            <w:hideMark/>
          </w:tcPr>
          <w:p w14:paraId="7966CF2D" w14:textId="77777777" w:rsidR="00057D40" w:rsidRPr="0034420E" w:rsidRDefault="00057D40" w:rsidP="00E5120D">
            <w:pPr>
              <w:pStyle w:val="Tabletext"/>
              <w:keepNext/>
              <w:jc w:val="center"/>
            </w:pPr>
            <w:r w:rsidRPr="0034420E">
              <w:t>N</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7826E3FC" w14:textId="77777777" w:rsidR="00057D40" w:rsidRPr="0034420E" w:rsidRDefault="00057D40" w:rsidP="00E5120D">
            <w:pPr>
              <w:pStyle w:val="Tabletext"/>
              <w:keepNext/>
              <w:jc w:val="center"/>
            </w:pPr>
            <w:r w:rsidRPr="0034420E">
              <w:t>%</w:t>
            </w:r>
          </w:p>
        </w:tc>
        <w:tc>
          <w:tcPr>
            <w:tcW w:w="850" w:type="dxa"/>
            <w:tcBorders>
              <w:top w:val="single" w:sz="8" w:space="0" w:color="auto"/>
              <w:left w:val="nil"/>
              <w:bottom w:val="single" w:sz="8" w:space="0" w:color="auto"/>
              <w:right w:val="single" w:sz="8" w:space="0" w:color="auto"/>
            </w:tcBorders>
            <w:shd w:val="clear" w:color="auto" w:fill="auto"/>
            <w:noWrap/>
            <w:vAlign w:val="center"/>
            <w:hideMark/>
          </w:tcPr>
          <w:p w14:paraId="07053775" w14:textId="77777777" w:rsidR="00057D40" w:rsidRPr="0034420E" w:rsidRDefault="00057D40" w:rsidP="00E5120D">
            <w:pPr>
              <w:pStyle w:val="Tabletext"/>
              <w:keepNext/>
              <w:jc w:val="center"/>
            </w:pPr>
            <w:r w:rsidRPr="0034420E">
              <w:t>N</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6E2D2F2F" w14:textId="77777777" w:rsidR="00057D40" w:rsidRPr="0034420E" w:rsidRDefault="00057D40" w:rsidP="00E5120D">
            <w:pPr>
              <w:pStyle w:val="Tabletext"/>
              <w:keepNext/>
              <w:jc w:val="center"/>
            </w:pPr>
            <w:r w:rsidRPr="0034420E">
              <w:t>%</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14:paraId="56781A4E" w14:textId="77777777" w:rsidR="00057D40" w:rsidRPr="0034420E" w:rsidRDefault="00057D40" w:rsidP="00E5120D">
            <w:pPr>
              <w:pStyle w:val="Tabletext"/>
              <w:keepNext/>
              <w:jc w:val="center"/>
            </w:pPr>
            <w:r w:rsidRPr="0034420E">
              <w:t>N</w:t>
            </w:r>
          </w:p>
        </w:tc>
      </w:tr>
      <w:tr w:rsidR="00057D40" w:rsidRPr="0034420E" w14:paraId="4E44BBBE" w14:textId="77777777" w:rsidTr="00E5120D">
        <w:trPr>
          <w:trHeight w:val="315"/>
        </w:trPr>
        <w:tc>
          <w:tcPr>
            <w:tcW w:w="4111" w:type="dxa"/>
            <w:tcBorders>
              <w:top w:val="nil"/>
              <w:left w:val="single" w:sz="8" w:space="0" w:color="auto"/>
              <w:bottom w:val="nil"/>
              <w:right w:val="nil"/>
            </w:tcBorders>
            <w:shd w:val="clear" w:color="auto" w:fill="auto"/>
            <w:noWrap/>
            <w:vAlign w:val="center"/>
          </w:tcPr>
          <w:p w14:paraId="0DE99129" w14:textId="5641AADC" w:rsidR="00057D40" w:rsidRPr="0034420E" w:rsidRDefault="00057D40" w:rsidP="00E5120D">
            <w:pPr>
              <w:pStyle w:val="Tabletext"/>
              <w:keepNext/>
              <w:rPr>
                <w:b/>
                <w:bCs/>
              </w:rPr>
            </w:pPr>
            <w:r w:rsidRPr="0034420E">
              <w:rPr>
                <w:b/>
                <w:bCs/>
              </w:rPr>
              <w:t>Yr0 KDIGO Low-</w:t>
            </w:r>
            <w:r w:rsidR="008238DC" w:rsidRPr="0034420E">
              <w:rPr>
                <w:b/>
                <w:bCs/>
              </w:rPr>
              <w:t>r</w:t>
            </w:r>
            <w:r w:rsidRPr="0034420E">
              <w:rPr>
                <w:b/>
                <w:bCs/>
              </w:rPr>
              <w:t xml:space="preserve">isk </w:t>
            </w:r>
            <w:r w:rsidR="008238DC" w:rsidRPr="0034420E">
              <w:rPr>
                <w:b/>
                <w:bCs/>
              </w:rPr>
              <w:t xml:space="preserve">(Green) </w:t>
            </w:r>
            <w:r w:rsidRPr="0034420E">
              <w:rPr>
                <w:b/>
                <w:bCs/>
              </w:rPr>
              <w:t>Category</w:t>
            </w:r>
          </w:p>
        </w:tc>
        <w:tc>
          <w:tcPr>
            <w:tcW w:w="851" w:type="dxa"/>
            <w:tcBorders>
              <w:top w:val="nil"/>
              <w:left w:val="single" w:sz="8" w:space="0" w:color="auto"/>
              <w:bottom w:val="nil"/>
              <w:right w:val="single" w:sz="8" w:space="0" w:color="auto"/>
            </w:tcBorders>
            <w:shd w:val="clear" w:color="auto" w:fill="auto"/>
            <w:noWrap/>
            <w:vAlign w:val="center"/>
          </w:tcPr>
          <w:p w14:paraId="54728405" w14:textId="77777777" w:rsidR="00057D40" w:rsidRPr="0034420E" w:rsidRDefault="00057D40" w:rsidP="00E5120D">
            <w:pPr>
              <w:pStyle w:val="Tabletext"/>
              <w:keepNext/>
              <w:jc w:val="center"/>
              <w:rPr>
                <w:b/>
                <w:bCs/>
              </w:rPr>
            </w:pPr>
            <w:r w:rsidRPr="0034420E">
              <w:rPr>
                <w:b/>
                <w:bCs/>
              </w:rPr>
              <w:t>497</w:t>
            </w:r>
          </w:p>
        </w:tc>
        <w:tc>
          <w:tcPr>
            <w:tcW w:w="708" w:type="dxa"/>
            <w:tcBorders>
              <w:top w:val="single" w:sz="8" w:space="0" w:color="auto"/>
              <w:left w:val="nil"/>
              <w:bottom w:val="nil"/>
              <w:right w:val="single" w:sz="8" w:space="0" w:color="auto"/>
            </w:tcBorders>
            <w:shd w:val="clear" w:color="auto" w:fill="FFFFFF" w:themeFill="background1"/>
            <w:noWrap/>
            <w:vAlign w:val="center"/>
          </w:tcPr>
          <w:p w14:paraId="483FA183" w14:textId="77777777" w:rsidR="00057D40" w:rsidRPr="0034420E" w:rsidRDefault="00057D40" w:rsidP="00E5120D">
            <w:pPr>
              <w:pStyle w:val="Tabletext"/>
              <w:keepNext/>
              <w:jc w:val="center"/>
            </w:pPr>
            <w:r w:rsidRPr="0034420E">
              <w:t>452</w:t>
            </w:r>
          </w:p>
        </w:tc>
        <w:tc>
          <w:tcPr>
            <w:tcW w:w="851" w:type="dxa"/>
            <w:tcBorders>
              <w:top w:val="single" w:sz="8" w:space="0" w:color="auto"/>
              <w:left w:val="nil"/>
              <w:bottom w:val="nil"/>
              <w:right w:val="single" w:sz="8" w:space="0" w:color="auto"/>
            </w:tcBorders>
            <w:shd w:val="clear" w:color="auto" w:fill="FFFFFF" w:themeFill="background1"/>
            <w:noWrap/>
            <w:vAlign w:val="center"/>
          </w:tcPr>
          <w:p w14:paraId="4C23F56E" w14:textId="77777777" w:rsidR="00057D40" w:rsidRPr="0034420E" w:rsidRDefault="00057D40" w:rsidP="00E5120D">
            <w:pPr>
              <w:pStyle w:val="Tabletext"/>
              <w:keepNext/>
              <w:jc w:val="center"/>
            </w:pPr>
            <w:r w:rsidRPr="0034420E">
              <w:t>90.9%</w:t>
            </w:r>
          </w:p>
        </w:tc>
        <w:tc>
          <w:tcPr>
            <w:tcW w:w="850" w:type="dxa"/>
            <w:tcBorders>
              <w:top w:val="single" w:sz="8" w:space="0" w:color="auto"/>
              <w:left w:val="nil"/>
              <w:bottom w:val="nil"/>
              <w:right w:val="single" w:sz="8" w:space="0" w:color="auto"/>
            </w:tcBorders>
            <w:shd w:val="clear" w:color="auto" w:fill="FFFFFF" w:themeFill="background1"/>
            <w:noWrap/>
            <w:vAlign w:val="center"/>
          </w:tcPr>
          <w:p w14:paraId="1A8B6ACF" w14:textId="77777777" w:rsidR="00057D40" w:rsidRPr="0034420E" w:rsidRDefault="00057D40" w:rsidP="00E5120D">
            <w:pPr>
              <w:pStyle w:val="Tabletext"/>
              <w:keepNext/>
              <w:jc w:val="center"/>
            </w:pPr>
            <w:r w:rsidRPr="0034420E">
              <w:t>45</w:t>
            </w:r>
          </w:p>
        </w:tc>
        <w:tc>
          <w:tcPr>
            <w:tcW w:w="851" w:type="dxa"/>
            <w:tcBorders>
              <w:top w:val="single" w:sz="8" w:space="0" w:color="auto"/>
              <w:left w:val="nil"/>
              <w:bottom w:val="nil"/>
              <w:right w:val="single" w:sz="8" w:space="0" w:color="auto"/>
            </w:tcBorders>
            <w:shd w:val="clear" w:color="auto" w:fill="auto"/>
            <w:noWrap/>
            <w:vAlign w:val="center"/>
          </w:tcPr>
          <w:p w14:paraId="718D459D" w14:textId="77777777" w:rsidR="00057D40" w:rsidRPr="0034420E" w:rsidRDefault="00057D40" w:rsidP="00E5120D">
            <w:pPr>
              <w:pStyle w:val="Tabletext"/>
              <w:keepNext/>
              <w:jc w:val="center"/>
            </w:pPr>
            <w:r w:rsidRPr="0034420E">
              <w:t>9.1%</w:t>
            </w:r>
          </w:p>
        </w:tc>
        <w:tc>
          <w:tcPr>
            <w:tcW w:w="1417" w:type="dxa"/>
            <w:tcBorders>
              <w:top w:val="single" w:sz="8" w:space="0" w:color="auto"/>
              <w:left w:val="nil"/>
              <w:bottom w:val="nil"/>
              <w:right w:val="single" w:sz="8" w:space="0" w:color="auto"/>
            </w:tcBorders>
            <w:shd w:val="clear" w:color="auto" w:fill="auto"/>
            <w:noWrap/>
            <w:vAlign w:val="center"/>
          </w:tcPr>
          <w:p w14:paraId="53B47DA3" w14:textId="77777777" w:rsidR="00057D40" w:rsidRPr="0034420E" w:rsidRDefault="00057D40" w:rsidP="00E5120D">
            <w:pPr>
              <w:pStyle w:val="Tabletext"/>
              <w:keepNext/>
              <w:jc w:val="center"/>
            </w:pPr>
            <w:r w:rsidRPr="0034420E">
              <w:t>497</w:t>
            </w:r>
          </w:p>
        </w:tc>
      </w:tr>
      <w:tr w:rsidR="00057D40" w:rsidRPr="0034420E" w14:paraId="5B4355B0" w14:textId="77777777" w:rsidTr="00E5120D">
        <w:trPr>
          <w:trHeight w:val="315"/>
        </w:trPr>
        <w:tc>
          <w:tcPr>
            <w:tcW w:w="4111" w:type="dxa"/>
            <w:tcBorders>
              <w:top w:val="nil"/>
              <w:left w:val="single" w:sz="8" w:space="0" w:color="auto"/>
              <w:bottom w:val="nil"/>
              <w:right w:val="nil"/>
            </w:tcBorders>
            <w:shd w:val="clear" w:color="auto" w:fill="auto"/>
            <w:noWrap/>
            <w:vAlign w:val="center"/>
            <w:hideMark/>
          </w:tcPr>
          <w:p w14:paraId="3DE34695" w14:textId="53883EF8" w:rsidR="00057D40" w:rsidRPr="0034420E" w:rsidRDefault="00057D40" w:rsidP="00E5120D">
            <w:pPr>
              <w:pStyle w:val="Tabletext"/>
              <w:keepNext/>
              <w:rPr>
                <w:b/>
                <w:bCs/>
              </w:rPr>
            </w:pPr>
            <w:r w:rsidRPr="0034420E">
              <w:rPr>
                <w:b/>
                <w:bCs/>
              </w:rPr>
              <w:t>Yr0 KDIGO Moderate</w:t>
            </w:r>
            <w:r w:rsidR="008238DC" w:rsidRPr="0034420E">
              <w:rPr>
                <w:b/>
                <w:bCs/>
              </w:rPr>
              <w:t>-risk (Yellow)</w:t>
            </w:r>
            <w:r w:rsidRPr="0034420E">
              <w:rPr>
                <w:b/>
                <w:bCs/>
              </w:rPr>
              <w:t xml:space="preserve"> Category</w:t>
            </w:r>
          </w:p>
        </w:tc>
        <w:tc>
          <w:tcPr>
            <w:tcW w:w="851" w:type="dxa"/>
            <w:tcBorders>
              <w:top w:val="nil"/>
              <w:left w:val="single" w:sz="8" w:space="0" w:color="auto"/>
              <w:bottom w:val="nil"/>
              <w:right w:val="single" w:sz="8" w:space="0" w:color="auto"/>
            </w:tcBorders>
            <w:shd w:val="clear" w:color="auto" w:fill="auto"/>
            <w:noWrap/>
            <w:vAlign w:val="center"/>
            <w:hideMark/>
          </w:tcPr>
          <w:p w14:paraId="5317A4CF" w14:textId="77777777" w:rsidR="00057D40" w:rsidRPr="0034420E" w:rsidRDefault="00057D40" w:rsidP="00E5120D">
            <w:pPr>
              <w:pStyle w:val="Tabletext"/>
              <w:keepNext/>
              <w:jc w:val="center"/>
              <w:rPr>
                <w:b/>
                <w:bCs/>
              </w:rPr>
            </w:pPr>
            <w:r w:rsidRPr="0034420E">
              <w:rPr>
                <w:b/>
                <w:bCs/>
              </w:rPr>
              <w:t>228</w:t>
            </w:r>
          </w:p>
        </w:tc>
        <w:tc>
          <w:tcPr>
            <w:tcW w:w="708" w:type="dxa"/>
            <w:tcBorders>
              <w:top w:val="nil"/>
              <w:left w:val="nil"/>
              <w:bottom w:val="nil"/>
              <w:right w:val="single" w:sz="8" w:space="0" w:color="auto"/>
            </w:tcBorders>
            <w:shd w:val="clear" w:color="auto" w:fill="FFFFFF" w:themeFill="background1"/>
            <w:noWrap/>
            <w:vAlign w:val="center"/>
            <w:hideMark/>
          </w:tcPr>
          <w:p w14:paraId="4D1A7B81" w14:textId="77777777" w:rsidR="00057D40" w:rsidRPr="0034420E" w:rsidRDefault="00057D40" w:rsidP="00E5120D">
            <w:pPr>
              <w:pStyle w:val="Tabletext"/>
              <w:keepNext/>
              <w:jc w:val="center"/>
            </w:pPr>
            <w:r w:rsidRPr="0034420E">
              <w:t>192</w:t>
            </w:r>
          </w:p>
        </w:tc>
        <w:tc>
          <w:tcPr>
            <w:tcW w:w="851" w:type="dxa"/>
            <w:tcBorders>
              <w:top w:val="nil"/>
              <w:left w:val="nil"/>
              <w:bottom w:val="nil"/>
              <w:right w:val="single" w:sz="8" w:space="0" w:color="auto"/>
            </w:tcBorders>
            <w:shd w:val="clear" w:color="auto" w:fill="FFFFFF" w:themeFill="background1"/>
            <w:noWrap/>
            <w:vAlign w:val="center"/>
            <w:hideMark/>
          </w:tcPr>
          <w:p w14:paraId="0C00E9B2" w14:textId="77777777" w:rsidR="00057D40" w:rsidRPr="0034420E" w:rsidRDefault="00057D40" w:rsidP="00E5120D">
            <w:pPr>
              <w:pStyle w:val="Tabletext"/>
              <w:keepNext/>
              <w:jc w:val="center"/>
            </w:pPr>
            <w:r w:rsidRPr="0034420E">
              <w:t>84.2%</w:t>
            </w:r>
          </w:p>
        </w:tc>
        <w:tc>
          <w:tcPr>
            <w:tcW w:w="850" w:type="dxa"/>
            <w:tcBorders>
              <w:top w:val="nil"/>
              <w:left w:val="nil"/>
              <w:bottom w:val="nil"/>
              <w:right w:val="single" w:sz="8" w:space="0" w:color="auto"/>
            </w:tcBorders>
            <w:shd w:val="clear" w:color="auto" w:fill="FFFFFF" w:themeFill="background1"/>
            <w:noWrap/>
            <w:vAlign w:val="center"/>
            <w:hideMark/>
          </w:tcPr>
          <w:p w14:paraId="1A11FF5F" w14:textId="77777777" w:rsidR="00057D40" w:rsidRPr="0034420E" w:rsidRDefault="00057D40" w:rsidP="00E5120D">
            <w:pPr>
              <w:pStyle w:val="Tabletext"/>
              <w:keepNext/>
              <w:jc w:val="center"/>
            </w:pPr>
            <w:r w:rsidRPr="0034420E">
              <w:t>36</w:t>
            </w:r>
          </w:p>
        </w:tc>
        <w:tc>
          <w:tcPr>
            <w:tcW w:w="851" w:type="dxa"/>
            <w:tcBorders>
              <w:top w:val="nil"/>
              <w:left w:val="nil"/>
              <w:bottom w:val="nil"/>
              <w:right w:val="single" w:sz="8" w:space="0" w:color="auto"/>
            </w:tcBorders>
            <w:shd w:val="clear" w:color="auto" w:fill="auto"/>
            <w:noWrap/>
            <w:vAlign w:val="center"/>
            <w:hideMark/>
          </w:tcPr>
          <w:p w14:paraId="3F7EB1B5" w14:textId="77777777" w:rsidR="00057D40" w:rsidRPr="0034420E" w:rsidRDefault="00057D40" w:rsidP="00E5120D">
            <w:pPr>
              <w:pStyle w:val="Tabletext"/>
              <w:keepNext/>
              <w:jc w:val="center"/>
            </w:pPr>
            <w:r w:rsidRPr="0034420E">
              <w:t>15.8%</w:t>
            </w:r>
          </w:p>
        </w:tc>
        <w:tc>
          <w:tcPr>
            <w:tcW w:w="1417" w:type="dxa"/>
            <w:tcBorders>
              <w:top w:val="nil"/>
              <w:left w:val="nil"/>
              <w:bottom w:val="nil"/>
              <w:right w:val="single" w:sz="8" w:space="0" w:color="auto"/>
            </w:tcBorders>
            <w:shd w:val="clear" w:color="auto" w:fill="auto"/>
            <w:noWrap/>
            <w:vAlign w:val="center"/>
            <w:hideMark/>
          </w:tcPr>
          <w:p w14:paraId="7A74508E" w14:textId="77777777" w:rsidR="00057D40" w:rsidRPr="0034420E" w:rsidRDefault="00057D40" w:rsidP="00E5120D">
            <w:pPr>
              <w:pStyle w:val="Tabletext"/>
              <w:keepNext/>
              <w:jc w:val="center"/>
            </w:pPr>
            <w:r w:rsidRPr="0034420E">
              <w:t>228</w:t>
            </w:r>
          </w:p>
        </w:tc>
      </w:tr>
      <w:tr w:rsidR="00057D40" w:rsidRPr="0034420E" w14:paraId="4197F50C" w14:textId="77777777" w:rsidTr="00E5120D">
        <w:trPr>
          <w:trHeight w:val="254"/>
        </w:trPr>
        <w:tc>
          <w:tcPr>
            <w:tcW w:w="4111" w:type="dxa"/>
            <w:tcBorders>
              <w:top w:val="single" w:sz="8" w:space="0" w:color="auto"/>
              <w:left w:val="single" w:sz="8" w:space="0" w:color="auto"/>
              <w:bottom w:val="nil"/>
              <w:right w:val="nil"/>
            </w:tcBorders>
            <w:shd w:val="clear" w:color="auto" w:fill="auto"/>
            <w:noWrap/>
            <w:vAlign w:val="center"/>
            <w:hideMark/>
          </w:tcPr>
          <w:p w14:paraId="413B35C0" w14:textId="6BBBECB7" w:rsidR="00057D40" w:rsidRPr="0034420E" w:rsidRDefault="008238DC" w:rsidP="00E5120D">
            <w:pPr>
              <w:pStyle w:val="Tabletext"/>
              <w:keepNext/>
              <w:rPr>
                <w:b/>
                <w:bCs/>
              </w:rPr>
            </w:pPr>
            <w:r w:rsidRPr="0034420E">
              <w:rPr>
                <w:b/>
                <w:bCs/>
              </w:rPr>
              <w:t xml:space="preserve">Low-risk </w:t>
            </w:r>
            <w:r w:rsidR="00057D40" w:rsidRPr="0034420E">
              <w:rPr>
                <w:b/>
                <w:bCs/>
              </w:rPr>
              <w:t>+</w:t>
            </w:r>
            <w:r w:rsidR="00AB5BFE" w:rsidRPr="0034420E">
              <w:rPr>
                <w:b/>
                <w:bCs/>
              </w:rPr>
              <w:t xml:space="preserve"> </w:t>
            </w:r>
            <w:r w:rsidRPr="0034420E">
              <w:rPr>
                <w:b/>
                <w:bCs/>
              </w:rPr>
              <w:t>moderate-risk</w:t>
            </w:r>
            <w:r w:rsidR="00057D40" w:rsidRPr="0034420E">
              <w:rPr>
                <w:b/>
                <w:bCs/>
              </w:rPr>
              <w:t xml:space="preserve"> TOTAL</w:t>
            </w:r>
          </w:p>
        </w:tc>
        <w:tc>
          <w:tcPr>
            <w:tcW w:w="851" w:type="dxa"/>
            <w:tcBorders>
              <w:top w:val="single" w:sz="8" w:space="0" w:color="auto"/>
              <w:left w:val="single" w:sz="8" w:space="0" w:color="auto"/>
              <w:bottom w:val="nil"/>
              <w:right w:val="single" w:sz="8" w:space="0" w:color="auto"/>
            </w:tcBorders>
            <w:shd w:val="clear" w:color="auto" w:fill="auto"/>
            <w:noWrap/>
            <w:vAlign w:val="center"/>
            <w:hideMark/>
          </w:tcPr>
          <w:p w14:paraId="1789E769" w14:textId="77777777" w:rsidR="00057D40" w:rsidRPr="0034420E" w:rsidRDefault="00057D40" w:rsidP="00E5120D">
            <w:pPr>
              <w:pStyle w:val="Tabletext"/>
              <w:keepNext/>
              <w:jc w:val="center"/>
              <w:rPr>
                <w:b/>
                <w:bCs/>
              </w:rPr>
            </w:pPr>
            <w:r w:rsidRPr="0034420E">
              <w:rPr>
                <w:b/>
                <w:bCs/>
              </w:rPr>
              <w:t>725</w:t>
            </w:r>
          </w:p>
        </w:tc>
        <w:tc>
          <w:tcPr>
            <w:tcW w:w="708" w:type="dxa"/>
            <w:tcBorders>
              <w:top w:val="single" w:sz="8" w:space="0" w:color="auto"/>
              <w:left w:val="nil"/>
              <w:bottom w:val="nil"/>
              <w:right w:val="single" w:sz="8" w:space="0" w:color="auto"/>
            </w:tcBorders>
            <w:shd w:val="clear" w:color="auto" w:fill="auto"/>
            <w:noWrap/>
            <w:vAlign w:val="center"/>
            <w:hideMark/>
          </w:tcPr>
          <w:p w14:paraId="207F66C3" w14:textId="77777777" w:rsidR="00057D40" w:rsidRPr="0034420E" w:rsidRDefault="00057D40" w:rsidP="00E5120D">
            <w:pPr>
              <w:pStyle w:val="Tabletext"/>
              <w:keepNext/>
              <w:jc w:val="center"/>
              <w:rPr>
                <w:b/>
                <w:bCs/>
              </w:rPr>
            </w:pPr>
            <w:r w:rsidRPr="0034420E">
              <w:rPr>
                <w:b/>
                <w:bCs/>
              </w:rPr>
              <w:t>644</w:t>
            </w:r>
          </w:p>
        </w:tc>
        <w:tc>
          <w:tcPr>
            <w:tcW w:w="851" w:type="dxa"/>
            <w:tcBorders>
              <w:top w:val="single" w:sz="8" w:space="0" w:color="auto"/>
              <w:left w:val="nil"/>
              <w:bottom w:val="nil"/>
              <w:right w:val="single" w:sz="8" w:space="0" w:color="auto"/>
            </w:tcBorders>
            <w:shd w:val="clear" w:color="auto" w:fill="auto"/>
            <w:noWrap/>
            <w:vAlign w:val="center"/>
            <w:hideMark/>
          </w:tcPr>
          <w:p w14:paraId="5296027B" w14:textId="77777777" w:rsidR="00057D40" w:rsidRPr="0034420E" w:rsidRDefault="00057D40" w:rsidP="00E5120D">
            <w:pPr>
              <w:pStyle w:val="Tabletext"/>
              <w:keepNext/>
              <w:jc w:val="center"/>
              <w:rPr>
                <w:b/>
                <w:bCs/>
              </w:rPr>
            </w:pPr>
            <w:r w:rsidRPr="0034420E">
              <w:rPr>
                <w:b/>
                <w:bCs/>
              </w:rPr>
              <w:t>88.8%</w:t>
            </w:r>
          </w:p>
        </w:tc>
        <w:tc>
          <w:tcPr>
            <w:tcW w:w="850" w:type="dxa"/>
            <w:tcBorders>
              <w:top w:val="single" w:sz="8" w:space="0" w:color="auto"/>
              <w:left w:val="nil"/>
              <w:bottom w:val="nil"/>
              <w:right w:val="single" w:sz="8" w:space="0" w:color="auto"/>
            </w:tcBorders>
            <w:shd w:val="clear" w:color="auto" w:fill="auto"/>
            <w:noWrap/>
            <w:vAlign w:val="center"/>
            <w:hideMark/>
          </w:tcPr>
          <w:p w14:paraId="5FEA1900" w14:textId="77777777" w:rsidR="00057D40" w:rsidRPr="0034420E" w:rsidRDefault="00057D40" w:rsidP="00E5120D">
            <w:pPr>
              <w:pStyle w:val="Tabletext"/>
              <w:keepNext/>
              <w:jc w:val="center"/>
              <w:rPr>
                <w:b/>
                <w:bCs/>
              </w:rPr>
            </w:pPr>
            <w:r w:rsidRPr="0034420E">
              <w:rPr>
                <w:b/>
                <w:bCs/>
              </w:rPr>
              <w:t>81</w:t>
            </w:r>
          </w:p>
        </w:tc>
        <w:tc>
          <w:tcPr>
            <w:tcW w:w="851" w:type="dxa"/>
            <w:tcBorders>
              <w:top w:val="single" w:sz="8" w:space="0" w:color="auto"/>
              <w:left w:val="nil"/>
              <w:bottom w:val="nil"/>
              <w:right w:val="single" w:sz="8" w:space="0" w:color="auto"/>
            </w:tcBorders>
            <w:shd w:val="clear" w:color="auto" w:fill="auto"/>
            <w:noWrap/>
            <w:vAlign w:val="center"/>
            <w:hideMark/>
          </w:tcPr>
          <w:p w14:paraId="32CDF98E" w14:textId="77777777" w:rsidR="00057D40" w:rsidRPr="0034420E" w:rsidRDefault="00057D40" w:rsidP="00E5120D">
            <w:pPr>
              <w:pStyle w:val="Tabletext"/>
              <w:keepNext/>
              <w:jc w:val="center"/>
              <w:rPr>
                <w:b/>
                <w:bCs/>
              </w:rPr>
            </w:pPr>
            <w:r w:rsidRPr="0034420E">
              <w:rPr>
                <w:b/>
                <w:bCs/>
              </w:rPr>
              <w:t>11.2%</w:t>
            </w:r>
          </w:p>
        </w:tc>
        <w:tc>
          <w:tcPr>
            <w:tcW w:w="1417" w:type="dxa"/>
            <w:tcBorders>
              <w:top w:val="single" w:sz="8" w:space="0" w:color="auto"/>
              <w:left w:val="nil"/>
              <w:bottom w:val="nil"/>
              <w:right w:val="single" w:sz="8" w:space="0" w:color="auto"/>
            </w:tcBorders>
            <w:shd w:val="clear" w:color="auto" w:fill="auto"/>
            <w:noWrap/>
            <w:vAlign w:val="center"/>
            <w:hideMark/>
          </w:tcPr>
          <w:p w14:paraId="22EB8D49" w14:textId="77777777" w:rsidR="00057D40" w:rsidRPr="0034420E" w:rsidRDefault="00057D40" w:rsidP="00E5120D">
            <w:pPr>
              <w:pStyle w:val="Tabletext"/>
              <w:keepNext/>
              <w:jc w:val="center"/>
              <w:rPr>
                <w:b/>
                <w:bCs/>
              </w:rPr>
            </w:pPr>
            <w:r w:rsidRPr="0034420E">
              <w:rPr>
                <w:b/>
                <w:bCs/>
              </w:rPr>
              <w:t>725</w:t>
            </w:r>
          </w:p>
        </w:tc>
      </w:tr>
      <w:tr w:rsidR="00846DFD" w:rsidRPr="0034420E" w14:paraId="2A8C341E" w14:textId="77777777" w:rsidTr="00E5120D">
        <w:trPr>
          <w:trHeight w:val="300"/>
        </w:trPr>
        <w:tc>
          <w:tcPr>
            <w:tcW w:w="4111" w:type="dxa"/>
            <w:tcBorders>
              <w:top w:val="nil"/>
              <w:left w:val="single" w:sz="8" w:space="0" w:color="auto"/>
              <w:bottom w:val="nil"/>
              <w:right w:val="nil"/>
            </w:tcBorders>
            <w:shd w:val="clear" w:color="000000" w:fill="A6A6A6"/>
            <w:noWrap/>
            <w:vAlign w:val="center"/>
            <w:hideMark/>
          </w:tcPr>
          <w:p w14:paraId="7DA0AACB" w14:textId="77777777" w:rsidR="00057D40" w:rsidRPr="0034420E" w:rsidRDefault="00057D40" w:rsidP="00E5120D">
            <w:pPr>
              <w:pStyle w:val="Tabletext"/>
              <w:keepNext/>
            </w:pPr>
            <w:r w:rsidRPr="0034420E">
              <w:t> </w:t>
            </w:r>
          </w:p>
        </w:tc>
        <w:tc>
          <w:tcPr>
            <w:tcW w:w="851" w:type="dxa"/>
            <w:tcBorders>
              <w:top w:val="nil"/>
              <w:left w:val="single" w:sz="8" w:space="0" w:color="auto"/>
              <w:bottom w:val="nil"/>
              <w:right w:val="single" w:sz="8" w:space="0" w:color="auto"/>
            </w:tcBorders>
            <w:shd w:val="clear" w:color="000000" w:fill="A6A6A6"/>
            <w:noWrap/>
            <w:vAlign w:val="center"/>
            <w:hideMark/>
          </w:tcPr>
          <w:p w14:paraId="17C51AFF" w14:textId="52DC53A9" w:rsidR="00057D40" w:rsidRPr="0034420E" w:rsidRDefault="00057D40" w:rsidP="00E5120D">
            <w:pPr>
              <w:pStyle w:val="Tabletext"/>
              <w:keepNext/>
              <w:jc w:val="center"/>
            </w:pPr>
          </w:p>
        </w:tc>
        <w:tc>
          <w:tcPr>
            <w:tcW w:w="708" w:type="dxa"/>
            <w:tcBorders>
              <w:top w:val="nil"/>
              <w:left w:val="nil"/>
              <w:bottom w:val="nil"/>
              <w:right w:val="single" w:sz="8" w:space="0" w:color="auto"/>
            </w:tcBorders>
            <w:shd w:val="clear" w:color="000000" w:fill="A6A6A6"/>
            <w:noWrap/>
            <w:vAlign w:val="center"/>
            <w:hideMark/>
          </w:tcPr>
          <w:p w14:paraId="7FA955D1" w14:textId="4A281979" w:rsidR="00057D40" w:rsidRPr="0034420E" w:rsidRDefault="00057D40" w:rsidP="00E5120D">
            <w:pPr>
              <w:pStyle w:val="Tabletext"/>
              <w:keepNext/>
              <w:jc w:val="center"/>
            </w:pPr>
          </w:p>
        </w:tc>
        <w:tc>
          <w:tcPr>
            <w:tcW w:w="851" w:type="dxa"/>
            <w:tcBorders>
              <w:top w:val="nil"/>
              <w:left w:val="nil"/>
              <w:bottom w:val="nil"/>
              <w:right w:val="single" w:sz="8" w:space="0" w:color="auto"/>
            </w:tcBorders>
            <w:shd w:val="clear" w:color="000000" w:fill="A6A6A6"/>
            <w:noWrap/>
            <w:vAlign w:val="center"/>
            <w:hideMark/>
          </w:tcPr>
          <w:p w14:paraId="1E4E2113" w14:textId="7F662001" w:rsidR="00057D40" w:rsidRPr="0034420E" w:rsidRDefault="00057D40" w:rsidP="00E5120D">
            <w:pPr>
              <w:pStyle w:val="Tabletext"/>
              <w:keepNext/>
              <w:jc w:val="center"/>
            </w:pPr>
          </w:p>
        </w:tc>
        <w:tc>
          <w:tcPr>
            <w:tcW w:w="850" w:type="dxa"/>
            <w:tcBorders>
              <w:top w:val="nil"/>
              <w:left w:val="nil"/>
              <w:bottom w:val="nil"/>
              <w:right w:val="single" w:sz="8" w:space="0" w:color="auto"/>
            </w:tcBorders>
            <w:shd w:val="clear" w:color="000000" w:fill="A6A6A6"/>
            <w:noWrap/>
            <w:vAlign w:val="center"/>
            <w:hideMark/>
          </w:tcPr>
          <w:p w14:paraId="365789FA" w14:textId="0BE6B988" w:rsidR="00057D40" w:rsidRPr="0034420E" w:rsidRDefault="00057D40" w:rsidP="00E5120D">
            <w:pPr>
              <w:pStyle w:val="Tabletext"/>
              <w:keepNext/>
              <w:jc w:val="center"/>
            </w:pPr>
          </w:p>
        </w:tc>
        <w:tc>
          <w:tcPr>
            <w:tcW w:w="851" w:type="dxa"/>
            <w:tcBorders>
              <w:top w:val="nil"/>
              <w:left w:val="nil"/>
              <w:bottom w:val="nil"/>
              <w:right w:val="single" w:sz="8" w:space="0" w:color="auto"/>
            </w:tcBorders>
            <w:shd w:val="clear" w:color="000000" w:fill="A6A6A6"/>
            <w:noWrap/>
            <w:vAlign w:val="center"/>
            <w:hideMark/>
          </w:tcPr>
          <w:p w14:paraId="57551EE0" w14:textId="2D6850ED" w:rsidR="00057D40" w:rsidRPr="0034420E" w:rsidRDefault="00057D40" w:rsidP="00E5120D">
            <w:pPr>
              <w:pStyle w:val="Tabletext"/>
              <w:keepNext/>
              <w:jc w:val="center"/>
            </w:pPr>
          </w:p>
        </w:tc>
        <w:tc>
          <w:tcPr>
            <w:tcW w:w="1417" w:type="dxa"/>
            <w:tcBorders>
              <w:top w:val="nil"/>
              <w:left w:val="nil"/>
              <w:bottom w:val="nil"/>
              <w:right w:val="single" w:sz="8" w:space="0" w:color="auto"/>
            </w:tcBorders>
            <w:shd w:val="clear" w:color="000000" w:fill="A6A6A6"/>
            <w:noWrap/>
            <w:vAlign w:val="center"/>
            <w:hideMark/>
          </w:tcPr>
          <w:p w14:paraId="778E5628" w14:textId="15F5689F" w:rsidR="00057D40" w:rsidRPr="0034420E" w:rsidRDefault="00057D40" w:rsidP="00E5120D">
            <w:pPr>
              <w:pStyle w:val="Tabletext"/>
              <w:keepNext/>
              <w:jc w:val="center"/>
            </w:pPr>
          </w:p>
        </w:tc>
      </w:tr>
      <w:tr w:rsidR="00057D40" w:rsidRPr="0034420E" w14:paraId="731C5BE8" w14:textId="77777777" w:rsidTr="00E5120D">
        <w:trPr>
          <w:trHeight w:val="300"/>
        </w:trPr>
        <w:tc>
          <w:tcPr>
            <w:tcW w:w="4111" w:type="dxa"/>
            <w:tcBorders>
              <w:top w:val="nil"/>
              <w:left w:val="single" w:sz="8" w:space="0" w:color="auto"/>
              <w:bottom w:val="nil"/>
              <w:right w:val="nil"/>
            </w:tcBorders>
            <w:shd w:val="clear" w:color="auto" w:fill="auto"/>
            <w:noWrap/>
            <w:vAlign w:val="center"/>
            <w:hideMark/>
          </w:tcPr>
          <w:p w14:paraId="5FB838D7" w14:textId="77777777" w:rsidR="00057D40" w:rsidRPr="0034420E" w:rsidRDefault="00057D40" w:rsidP="00E5120D">
            <w:pPr>
              <w:pStyle w:val="Tabletext"/>
              <w:keepNext/>
              <w:rPr>
                <w:b/>
                <w:bCs/>
              </w:rPr>
            </w:pPr>
            <w:r w:rsidRPr="0034420E">
              <w:rPr>
                <w:b/>
                <w:bCs/>
              </w:rPr>
              <w:t>Yr0 PromarkerD Risk Category</w:t>
            </w:r>
          </w:p>
        </w:tc>
        <w:tc>
          <w:tcPr>
            <w:tcW w:w="851" w:type="dxa"/>
            <w:tcBorders>
              <w:top w:val="nil"/>
              <w:left w:val="single" w:sz="8" w:space="0" w:color="auto"/>
              <w:bottom w:val="nil"/>
              <w:right w:val="single" w:sz="8" w:space="0" w:color="auto"/>
            </w:tcBorders>
            <w:shd w:val="clear" w:color="auto" w:fill="auto"/>
            <w:noWrap/>
            <w:vAlign w:val="center"/>
            <w:hideMark/>
          </w:tcPr>
          <w:p w14:paraId="3969770F" w14:textId="6982634B" w:rsidR="00057D40" w:rsidRPr="0034420E" w:rsidRDefault="00057D40" w:rsidP="00E5120D">
            <w:pPr>
              <w:pStyle w:val="Tabletext"/>
              <w:keepNext/>
              <w:jc w:val="center"/>
            </w:pPr>
          </w:p>
        </w:tc>
        <w:tc>
          <w:tcPr>
            <w:tcW w:w="708" w:type="dxa"/>
            <w:tcBorders>
              <w:top w:val="nil"/>
              <w:left w:val="nil"/>
              <w:bottom w:val="nil"/>
              <w:right w:val="single" w:sz="8" w:space="0" w:color="auto"/>
            </w:tcBorders>
            <w:shd w:val="clear" w:color="auto" w:fill="FFFFFF" w:themeFill="background1"/>
            <w:noWrap/>
            <w:vAlign w:val="center"/>
            <w:hideMark/>
          </w:tcPr>
          <w:p w14:paraId="1E0943F5" w14:textId="02BB4B0C" w:rsidR="00057D40" w:rsidRPr="0034420E" w:rsidRDefault="00057D40" w:rsidP="00E5120D">
            <w:pPr>
              <w:pStyle w:val="Tabletext"/>
              <w:keepNext/>
              <w:jc w:val="center"/>
            </w:pPr>
          </w:p>
        </w:tc>
        <w:tc>
          <w:tcPr>
            <w:tcW w:w="851" w:type="dxa"/>
            <w:tcBorders>
              <w:top w:val="nil"/>
              <w:left w:val="nil"/>
              <w:bottom w:val="nil"/>
              <w:right w:val="single" w:sz="8" w:space="0" w:color="auto"/>
            </w:tcBorders>
            <w:shd w:val="clear" w:color="auto" w:fill="FFFFFF" w:themeFill="background1"/>
            <w:noWrap/>
            <w:vAlign w:val="center"/>
            <w:hideMark/>
          </w:tcPr>
          <w:p w14:paraId="6480C8BF" w14:textId="663AB012" w:rsidR="00057D40" w:rsidRPr="0034420E" w:rsidRDefault="00057D40" w:rsidP="00E5120D">
            <w:pPr>
              <w:pStyle w:val="Tabletext"/>
              <w:keepNext/>
              <w:jc w:val="center"/>
            </w:pPr>
          </w:p>
        </w:tc>
        <w:tc>
          <w:tcPr>
            <w:tcW w:w="850" w:type="dxa"/>
            <w:tcBorders>
              <w:top w:val="nil"/>
              <w:left w:val="nil"/>
              <w:bottom w:val="nil"/>
              <w:right w:val="single" w:sz="8" w:space="0" w:color="auto"/>
            </w:tcBorders>
            <w:shd w:val="clear" w:color="auto" w:fill="FFFFFF" w:themeFill="background1"/>
            <w:noWrap/>
            <w:vAlign w:val="center"/>
            <w:hideMark/>
          </w:tcPr>
          <w:p w14:paraId="3BA230D0" w14:textId="7481A2E4" w:rsidR="00057D40" w:rsidRPr="0034420E" w:rsidRDefault="00057D40" w:rsidP="00E5120D">
            <w:pPr>
              <w:pStyle w:val="Tabletext"/>
              <w:keepNext/>
              <w:jc w:val="center"/>
            </w:pPr>
          </w:p>
        </w:tc>
        <w:tc>
          <w:tcPr>
            <w:tcW w:w="851" w:type="dxa"/>
            <w:tcBorders>
              <w:top w:val="nil"/>
              <w:left w:val="nil"/>
              <w:bottom w:val="nil"/>
              <w:right w:val="single" w:sz="8" w:space="0" w:color="auto"/>
            </w:tcBorders>
            <w:shd w:val="clear" w:color="auto" w:fill="FFFFFF" w:themeFill="background1"/>
            <w:noWrap/>
            <w:vAlign w:val="center"/>
            <w:hideMark/>
          </w:tcPr>
          <w:p w14:paraId="583764D7" w14:textId="2C52FB71" w:rsidR="00057D40" w:rsidRPr="0034420E" w:rsidRDefault="00057D40" w:rsidP="00E5120D">
            <w:pPr>
              <w:pStyle w:val="Tabletext"/>
              <w:keepNext/>
              <w:jc w:val="center"/>
            </w:pPr>
          </w:p>
        </w:tc>
        <w:tc>
          <w:tcPr>
            <w:tcW w:w="1417" w:type="dxa"/>
            <w:tcBorders>
              <w:top w:val="nil"/>
              <w:left w:val="nil"/>
              <w:bottom w:val="nil"/>
              <w:right w:val="single" w:sz="8" w:space="0" w:color="auto"/>
            </w:tcBorders>
            <w:shd w:val="clear" w:color="auto" w:fill="auto"/>
            <w:noWrap/>
            <w:vAlign w:val="center"/>
            <w:hideMark/>
          </w:tcPr>
          <w:p w14:paraId="60247EAB" w14:textId="0684E636" w:rsidR="00057D40" w:rsidRPr="0034420E" w:rsidRDefault="00057D40" w:rsidP="00E5120D">
            <w:pPr>
              <w:pStyle w:val="Tabletext"/>
              <w:keepNext/>
              <w:jc w:val="center"/>
            </w:pPr>
          </w:p>
        </w:tc>
      </w:tr>
      <w:tr w:rsidR="00057D40" w:rsidRPr="0034420E" w14:paraId="29BC2108" w14:textId="77777777" w:rsidTr="00E5120D">
        <w:trPr>
          <w:trHeight w:val="300"/>
        </w:trPr>
        <w:tc>
          <w:tcPr>
            <w:tcW w:w="4111" w:type="dxa"/>
            <w:tcBorders>
              <w:top w:val="nil"/>
              <w:left w:val="single" w:sz="8" w:space="0" w:color="auto"/>
              <w:bottom w:val="nil"/>
              <w:right w:val="nil"/>
            </w:tcBorders>
            <w:shd w:val="clear" w:color="auto" w:fill="auto"/>
            <w:noWrap/>
            <w:vAlign w:val="center"/>
            <w:hideMark/>
          </w:tcPr>
          <w:p w14:paraId="21FEC1CD" w14:textId="65850013" w:rsidR="00057D40" w:rsidRPr="0034420E" w:rsidRDefault="00057D40" w:rsidP="00E5120D">
            <w:pPr>
              <w:pStyle w:val="Tabletext"/>
              <w:keepNext/>
              <w:jc w:val="right"/>
            </w:pPr>
            <w:r w:rsidRPr="0034420E">
              <w:t>Low-risk</w:t>
            </w:r>
          </w:p>
        </w:tc>
        <w:tc>
          <w:tcPr>
            <w:tcW w:w="851" w:type="dxa"/>
            <w:tcBorders>
              <w:top w:val="nil"/>
              <w:left w:val="single" w:sz="8" w:space="0" w:color="auto"/>
              <w:bottom w:val="nil"/>
              <w:right w:val="single" w:sz="8" w:space="0" w:color="auto"/>
            </w:tcBorders>
            <w:shd w:val="clear" w:color="auto" w:fill="auto"/>
            <w:noWrap/>
            <w:vAlign w:val="center"/>
            <w:hideMark/>
          </w:tcPr>
          <w:p w14:paraId="455DAC51" w14:textId="77777777" w:rsidR="00057D40" w:rsidRPr="0034420E" w:rsidRDefault="00057D40" w:rsidP="00E5120D">
            <w:pPr>
              <w:pStyle w:val="Tabletext"/>
              <w:keepNext/>
              <w:jc w:val="center"/>
              <w:rPr>
                <w:b/>
                <w:bCs/>
              </w:rPr>
            </w:pPr>
            <w:r w:rsidRPr="0034420E">
              <w:rPr>
                <w:b/>
                <w:bCs/>
              </w:rPr>
              <w:t>513</w:t>
            </w:r>
          </w:p>
        </w:tc>
        <w:tc>
          <w:tcPr>
            <w:tcW w:w="708" w:type="dxa"/>
            <w:tcBorders>
              <w:top w:val="nil"/>
              <w:left w:val="nil"/>
              <w:bottom w:val="nil"/>
              <w:right w:val="single" w:sz="8" w:space="0" w:color="auto"/>
            </w:tcBorders>
            <w:shd w:val="clear" w:color="auto" w:fill="FFFFFF" w:themeFill="background1"/>
            <w:noWrap/>
            <w:vAlign w:val="center"/>
            <w:hideMark/>
          </w:tcPr>
          <w:p w14:paraId="35A866E9" w14:textId="77777777" w:rsidR="00057D40" w:rsidRPr="0034420E" w:rsidRDefault="00057D40" w:rsidP="00E5120D">
            <w:pPr>
              <w:pStyle w:val="Tabletext"/>
              <w:keepNext/>
              <w:jc w:val="center"/>
            </w:pPr>
            <w:r w:rsidRPr="0034420E">
              <w:t>501</w:t>
            </w:r>
          </w:p>
        </w:tc>
        <w:tc>
          <w:tcPr>
            <w:tcW w:w="851" w:type="dxa"/>
            <w:tcBorders>
              <w:top w:val="nil"/>
              <w:left w:val="nil"/>
              <w:bottom w:val="nil"/>
              <w:right w:val="single" w:sz="8" w:space="0" w:color="auto"/>
            </w:tcBorders>
            <w:shd w:val="clear" w:color="auto" w:fill="FFFFFF" w:themeFill="background1"/>
            <w:noWrap/>
            <w:vAlign w:val="center"/>
            <w:hideMark/>
          </w:tcPr>
          <w:p w14:paraId="1880B710" w14:textId="77777777" w:rsidR="00057D40" w:rsidRPr="0034420E" w:rsidRDefault="00057D40" w:rsidP="00E5120D">
            <w:pPr>
              <w:pStyle w:val="Tabletext"/>
              <w:keepNext/>
              <w:jc w:val="center"/>
            </w:pPr>
            <w:r w:rsidRPr="0034420E">
              <w:t>97.7%</w:t>
            </w:r>
          </w:p>
        </w:tc>
        <w:tc>
          <w:tcPr>
            <w:tcW w:w="850" w:type="dxa"/>
            <w:tcBorders>
              <w:top w:val="nil"/>
              <w:left w:val="nil"/>
              <w:bottom w:val="nil"/>
              <w:right w:val="single" w:sz="8" w:space="0" w:color="auto"/>
            </w:tcBorders>
            <w:shd w:val="clear" w:color="auto" w:fill="FFFFFF" w:themeFill="background1"/>
            <w:noWrap/>
            <w:vAlign w:val="center"/>
            <w:hideMark/>
          </w:tcPr>
          <w:p w14:paraId="1CFBA00E" w14:textId="77777777" w:rsidR="00057D40" w:rsidRPr="0034420E" w:rsidRDefault="00057D40" w:rsidP="00E5120D">
            <w:pPr>
              <w:pStyle w:val="Tabletext"/>
              <w:keepNext/>
              <w:jc w:val="center"/>
            </w:pPr>
            <w:r w:rsidRPr="0034420E">
              <w:t>12</w:t>
            </w:r>
          </w:p>
        </w:tc>
        <w:tc>
          <w:tcPr>
            <w:tcW w:w="851" w:type="dxa"/>
            <w:tcBorders>
              <w:top w:val="nil"/>
              <w:left w:val="nil"/>
              <w:bottom w:val="nil"/>
              <w:right w:val="single" w:sz="8" w:space="0" w:color="auto"/>
            </w:tcBorders>
            <w:shd w:val="clear" w:color="auto" w:fill="FFFFFF" w:themeFill="background1"/>
            <w:noWrap/>
            <w:vAlign w:val="center"/>
            <w:hideMark/>
          </w:tcPr>
          <w:p w14:paraId="7C37F83F" w14:textId="77777777" w:rsidR="00057D40" w:rsidRPr="0034420E" w:rsidRDefault="00057D40" w:rsidP="00E5120D">
            <w:pPr>
              <w:pStyle w:val="Tabletext"/>
              <w:keepNext/>
              <w:jc w:val="center"/>
            </w:pPr>
            <w:r w:rsidRPr="0034420E">
              <w:t>2.3%</w:t>
            </w:r>
          </w:p>
        </w:tc>
        <w:tc>
          <w:tcPr>
            <w:tcW w:w="1417" w:type="dxa"/>
            <w:tcBorders>
              <w:top w:val="nil"/>
              <w:left w:val="nil"/>
              <w:bottom w:val="nil"/>
              <w:right w:val="single" w:sz="8" w:space="0" w:color="auto"/>
            </w:tcBorders>
            <w:shd w:val="clear" w:color="auto" w:fill="auto"/>
            <w:noWrap/>
            <w:vAlign w:val="center"/>
            <w:hideMark/>
          </w:tcPr>
          <w:p w14:paraId="0A3B8DD0" w14:textId="77777777" w:rsidR="00057D40" w:rsidRPr="0034420E" w:rsidRDefault="00057D40" w:rsidP="00E5120D">
            <w:pPr>
              <w:pStyle w:val="Tabletext"/>
              <w:keepNext/>
              <w:jc w:val="center"/>
            </w:pPr>
            <w:r w:rsidRPr="0034420E">
              <w:t>513</w:t>
            </w:r>
          </w:p>
        </w:tc>
      </w:tr>
      <w:tr w:rsidR="00057D40" w:rsidRPr="0034420E" w14:paraId="5039A46B" w14:textId="77777777" w:rsidTr="00E5120D">
        <w:trPr>
          <w:trHeight w:val="300"/>
        </w:trPr>
        <w:tc>
          <w:tcPr>
            <w:tcW w:w="4111" w:type="dxa"/>
            <w:tcBorders>
              <w:top w:val="nil"/>
              <w:left w:val="single" w:sz="8" w:space="0" w:color="auto"/>
              <w:bottom w:val="nil"/>
              <w:right w:val="nil"/>
            </w:tcBorders>
            <w:shd w:val="clear" w:color="auto" w:fill="auto"/>
            <w:noWrap/>
            <w:vAlign w:val="center"/>
            <w:hideMark/>
          </w:tcPr>
          <w:p w14:paraId="314BF9C9" w14:textId="2C3FC2FB" w:rsidR="00057D40" w:rsidRPr="0034420E" w:rsidRDefault="00057D40" w:rsidP="00E5120D">
            <w:pPr>
              <w:pStyle w:val="Tabletext"/>
              <w:keepNext/>
              <w:jc w:val="right"/>
            </w:pPr>
            <w:r w:rsidRPr="0034420E">
              <w:t>Moderate-risk</w:t>
            </w:r>
          </w:p>
        </w:tc>
        <w:tc>
          <w:tcPr>
            <w:tcW w:w="851" w:type="dxa"/>
            <w:tcBorders>
              <w:top w:val="nil"/>
              <w:left w:val="single" w:sz="8" w:space="0" w:color="auto"/>
              <w:bottom w:val="nil"/>
              <w:right w:val="single" w:sz="8" w:space="0" w:color="auto"/>
            </w:tcBorders>
            <w:shd w:val="clear" w:color="auto" w:fill="auto"/>
            <w:noWrap/>
            <w:vAlign w:val="center"/>
            <w:hideMark/>
          </w:tcPr>
          <w:p w14:paraId="4ABA719B" w14:textId="77777777" w:rsidR="00057D40" w:rsidRPr="0034420E" w:rsidRDefault="00057D40" w:rsidP="00E5120D">
            <w:pPr>
              <w:pStyle w:val="Tabletext"/>
              <w:keepNext/>
              <w:jc w:val="center"/>
              <w:rPr>
                <w:b/>
                <w:bCs/>
              </w:rPr>
            </w:pPr>
            <w:r w:rsidRPr="0034420E">
              <w:rPr>
                <w:b/>
                <w:bCs/>
              </w:rPr>
              <w:t>75</w:t>
            </w:r>
          </w:p>
        </w:tc>
        <w:tc>
          <w:tcPr>
            <w:tcW w:w="708" w:type="dxa"/>
            <w:tcBorders>
              <w:top w:val="nil"/>
              <w:left w:val="nil"/>
              <w:bottom w:val="nil"/>
              <w:right w:val="single" w:sz="8" w:space="0" w:color="auto"/>
            </w:tcBorders>
            <w:shd w:val="clear" w:color="auto" w:fill="FFFFFF" w:themeFill="background1"/>
            <w:noWrap/>
            <w:vAlign w:val="center"/>
            <w:hideMark/>
          </w:tcPr>
          <w:p w14:paraId="6DA51C20" w14:textId="77777777" w:rsidR="00057D40" w:rsidRPr="0034420E" w:rsidRDefault="00057D40" w:rsidP="00E5120D">
            <w:pPr>
              <w:pStyle w:val="Tabletext"/>
              <w:keepNext/>
              <w:jc w:val="center"/>
            </w:pPr>
            <w:r w:rsidRPr="0034420E">
              <w:t>60</w:t>
            </w:r>
          </w:p>
        </w:tc>
        <w:tc>
          <w:tcPr>
            <w:tcW w:w="851" w:type="dxa"/>
            <w:tcBorders>
              <w:top w:val="nil"/>
              <w:left w:val="nil"/>
              <w:bottom w:val="nil"/>
              <w:right w:val="single" w:sz="8" w:space="0" w:color="auto"/>
            </w:tcBorders>
            <w:shd w:val="clear" w:color="auto" w:fill="FFFFFF" w:themeFill="background1"/>
            <w:noWrap/>
            <w:vAlign w:val="center"/>
            <w:hideMark/>
          </w:tcPr>
          <w:p w14:paraId="7234E923" w14:textId="77777777" w:rsidR="00057D40" w:rsidRPr="0034420E" w:rsidRDefault="00057D40" w:rsidP="00E5120D">
            <w:pPr>
              <w:pStyle w:val="Tabletext"/>
              <w:keepNext/>
              <w:jc w:val="center"/>
            </w:pPr>
            <w:r w:rsidRPr="0034420E">
              <w:t>80.0%</w:t>
            </w:r>
          </w:p>
        </w:tc>
        <w:tc>
          <w:tcPr>
            <w:tcW w:w="850" w:type="dxa"/>
            <w:tcBorders>
              <w:top w:val="nil"/>
              <w:left w:val="nil"/>
              <w:bottom w:val="nil"/>
              <w:right w:val="single" w:sz="8" w:space="0" w:color="auto"/>
            </w:tcBorders>
            <w:shd w:val="clear" w:color="auto" w:fill="FFFFFF" w:themeFill="background1"/>
            <w:noWrap/>
            <w:vAlign w:val="center"/>
            <w:hideMark/>
          </w:tcPr>
          <w:p w14:paraId="72E0EB1C" w14:textId="77777777" w:rsidR="00057D40" w:rsidRPr="0034420E" w:rsidRDefault="00057D40" w:rsidP="00E5120D">
            <w:pPr>
              <w:pStyle w:val="Tabletext"/>
              <w:keepNext/>
              <w:jc w:val="center"/>
            </w:pPr>
            <w:r w:rsidRPr="0034420E">
              <w:t>15</w:t>
            </w:r>
          </w:p>
        </w:tc>
        <w:tc>
          <w:tcPr>
            <w:tcW w:w="851" w:type="dxa"/>
            <w:tcBorders>
              <w:top w:val="nil"/>
              <w:left w:val="nil"/>
              <w:bottom w:val="nil"/>
              <w:right w:val="single" w:sz="8" w:space="0" w:color="auto"/>
            </w:tcBorders>
            <w:shd w:val="clear" w:color="auto" w:fill="FFFFFF" w:themeFill="background1"/>
            <w:noWrap/>
            <w:vAlign w:val="center"/>
            <w:hideMark/>
          </w:tcPr>
          <w:p w14:paraId="39A873B4" w14:textId="77777777" w:rsidR="00057D40" w:rsidRPr="0034420E" w:rsidRDefault="00057D40" w:rsidP="00E5120D">
            <w:pPr>
              <w:pStyle w:val="Tabletext"/>
              <w:keepNext/>
              <w:jc w:val="center"/>
            </w:pPr>
            <w:r w:rsidRPr="0034420E">
              <w:t>20.0%</w:t>
            </w:r>
          </w:p>
        </w:tc>
        <w:tc>
          <w:tcPr>
            <w:tcW w:w="1417" w:type="dxa"/>
            <w:tcBorders>
              <w:top w:val="nil"/>
              <w:left w:val="nil"/>
              <w:bottom w:val="nil"/>
              <w:right w:val="single" w:sz="8" w:space="0" w:color="auto"/>
            </w:tcBorders>
            <w:shd w:val="clear" w:color="auto" w:fill="auto"/>
            <w:noWrap/>
            <w:vAlign w:val="center"/>
            <w:hideMark/>
          </w:tcPr>
          <w:p w14:paraId="0E6B94D7" w14:textId="77777777" w:rsidR="00057D40" w:rsidRPr="0034420E" w:rsidRDefault="00057D40" w:rsidP="00E5120D">
            <w:pPr>
              <w:pStyle w:val="Tabletext"/>
              <w:keepNext/>
              <w:jc w:val="center"/>
            </w:pPr>
            <w:r w:rsidRPr="0034420E">
              <w:t>75</w:t>
            </w:r>
          </w:p>
        </w:tc>
      </w:tr>
      <w:tr w:rsidR="00057D40" w:rsidRPr="0034420E" w14:paraId="76332940" w14:textId="77777777" w:rsidTr="00E5120D">
        <w:trPr>
          <w:trHeight w:val="300"/>
        </w:trPr>
        <w:tc>
          <w:tcPr>
            <w:tcW w:w="4111" w:type="dxa"/>
            <w:tcBorders>
              <w:top w:val="nil"/>
              <w:left w:val="single" w:sz="8" w:space="0" w:color="auto"/>
              <w:bottom w:val="nil"/>
              <w:right w:val="nil"/>
            </w:tcBorders>
            <w:shd w:val="clear" w:color="auto" w:fill="auto"/>
            <w:noWrap/>
            <w:vAlign w:val="center"/>
          </w:tcPr>
          <w:p w14:paraId="4E656C12" w14:textId="04261518" w:rsidR="00057D40" w:rsidRPr="0034420E" w:rsidRDefault="00057D40" w:rsidP="00E5120D">
            <w:pPr>
              <w:pStyle w:val="Tabletext"/>
              <w:keepNext/>
              <w:jc w:val="right"/>
            </w:pPr>
            <w:r w:rsidRPr="0034420E">
              <w:t>High-risk</w:t>
            </w:r>
          </w:p>
        </w:tc>
        <w:tc>
          <w:tcPr>
            <w:tcW w:w="851" w:type="dxa"/>
            <w:tcBorders>
              <w:top w:val="nil"/>
              <w:left w:val="single" w:sz="8" w:space="0" w:color="auto"/>
              <w:bottom w:val="nil"/>
              <w:right w:val="single" w:sz="8" w:space="0" w:color="auto"/>
            </w:tcBorders>
            <w:shd w:val="clear" w:color="auto" w:fill="auto"/>
            <w:noWrap/>
            <w:vAlign w:val="center"/>
          </w:tcPr>
          <w:p w14:paraId="23EFC828" w14:textId="77777777" w:rsidR="00057D40" w:rsidRPr="0034420E" w:rsidRDefault="00057D40" w:rsidP="00E5120D">
            <w:pPr>
              <w:pStyle w:val="Tabletext"/>
              <w:keepNext/>
              <w:jc w:val="center"/>
              <w:rPr>
                <w:b/>
                <w:bCs/>
              </w:rPr>
            </w:pPr>
            <w:r w:rsidRPr="0034420E">
              <w:rPr>
                <w:b/>
                <w:bCs/>
              </w:rPr>
              <w:t>137</w:t>
            </w:r>
          </w:p>
        </w:tc>
        <w:tc>
          <w:tcPr>
            <w:tcW w:w="708" w:type="dxa"/>
            <w:tcBorders>
              <w:top w:val="nil"/>
              <w:left w:val="nil"/>
              <w:bottom w:val="nil"/>
              <w:right w:val="single" w:sz="8" w:space="0" w:color="auto"/>
            </w:tcBorders>
            <w:shd w:val="clear" w:color="auto" w:fill="FFFFFF" w:themeFill="background1"/>
            <w:noWrap/>
            <w:vAlign w:val="center"/>
          </w:tcPr>
          <w:p w14:paraId="40DE634C" w14:textId="77777777" w:rsidR="00057D40" w:rsidRPr="0034420E" w:rsidRDefault="00057D40" w:rsidP="00E5120D">
            <w:pPr>
              <w:pStyle w:val="Tabletext"/>
              <w:keepNext/>
              <w:jc w:val="center"/>
            </w:pPr>
            <w:r w:rsidRPr="0034420E">
              <w:t>83</w:t>
            </w:r>
          </w:p>
        </w:tc>
        <w:tc>
          <w:tcPr>
            <w:tcW w:w="851" w:type="dxa"/>
            <w:tcBorders>
              <w:top w:val="nil"/>
              <w:left w:val="nil"/>
              <w:bottom w:val="nil"/>
              <w:right w:val="single" w:sz="8" w:space="0" w:color="auto"/>
            </w:tcBorders>
            <w:shd w:val="clear" w:color="auto" w:fill="FFFFFF" w:themeFill="background1"/>
            <w:noWrap/>
            <w:vAlign w:val="center"/>
          </w:tcPr>
          <w:p w14:paraId="2E94405D" w14:textId="77777777" w:rsidR="00057D40" w:rsidRPr="0034420E" w:rsidRDefault="00057D40" w:rsidP="00E5120D">
            <w:pPr>
              <w:pStyle w:val="Tabletext"/>
              <w:keepNext/>
              <w:jc w:val="center"/>
            </w:pPr>
            <w:r w:rsidRPr="0034420E">
              <w:t>60.6%</w:t>
            </w:r>
          </w:p>
        </w:tc>
        <w:tc>
          <w:tcPr>
            <w:tcW w:w="850" w:type="dxa"/>
            <w:tcBorders>
              <w:top w:val="nil"/>
              <w:left w:val="nil"/>
              <w:bottom w:val="nil"/>
              <w:right w:val="single" w:sz="8" w:space="0" w:color="auto"/>
            </w:tcBorders>
            <w:shd w:val="clear" w:color="auto" w:fill="FFFFFF" w:themeFill="background1"/>
            <w:noWrap/>
            <w:vAlign w:val="center"/>
          </w:tcPr>
          <w:p w14:paraId="0875FCE4" w14:textId="77777777" w:rsidR="00057D40" w:rsidRPr="0034420E" w:rsidRDefault="00057D40" w:rsidP="00E5120D">
            <w:pPr>
              <w:pStyle w:val="Tabletext"/>
              <w:keepNext/>
              <w:jc w:val="center"/>
            </w:pPr>
            <w:r w:rsidRPr="0034420E">
              <w:t>54</w:t>
            </w:r>
          </w:p>
        </w:tc>
        <w:tc>
          <w:tcPr>
            <w:tcW w:w="851" w:type="dxa"/>
            <w:tcBorders>
              <w:top w:val="nil"/>
              <w:left w:val="nil"/>
              <w:bottom w:val="nil"/>
              <w:right w:val="single" w:sz="8" w:space="0" w:color="auto"/>
            </w:tcBorders>
            <w:shd w:val="clear" w:color="auto" w:fill="FFFFFF" w:themeFill="background1"/>
            <w:noWrap/>
            <w:vAlign w:val="center"/>
          </w:tcPr>
          <w:p w14:paraId="317366C9" w14:textId="77777777" w:rsidR="00057D40" w:rsidRPr="0034420E" w:rsidRDefault="00057D40" w:rsidP="00E5120D">
            <w:pPr>
              <w:pStyle w:val="Tabletext"/>
              <w:keepNext/>
              <w:jc w:val="center"/>
            </w:pPr>
            <w:r w:rsidRPr="0034420E">
              <w:t>39.4%</w:t>
            </w:r>
          </w:p>
        </w:tc>
        <w:tc>
          <w:tcPr>
            <w:tcW w:w="1417" w:type="dxa"/>
            <w:tcBorders>
              <w:top w:val="nil"/>
              <w:left w:val="nil"/>
              <w:bottom w:val="nil"/>
              <w:right w:val="single" w:sz="8" w:space="0" w:color="auto"/>
            </w:tcBorders>
            <w:shd w:val="clear" w:color="auto" w:fill="auto"/>
            <w:noWrap/>
            <w:vAlign w:val="center"/>
          </w:tcPr>
          <w:p w14:paraId="333AEA16" w14:textId="77777777" w:rsidR="00057D40" w:rsidRPr="0034420E" w:rsidRDefault="00057D40" w:rsidP="00E5120D">
            <w:pPr>
              <w:pStyle w:val="Tabletext"/>
              <w:keepNext/>
              <w:jc w:val="center"/>
            </w:pPr>
            <w:r w:rsidRPr="0034420E">
              <w:t>137</w:t>
            </w:r>
          </w:p>
        </w:tc>
      </w:tr>
      <w:tr w:rsidR="00057D40" w:rsidRPr="0034420E" w14:paraId="38662B7A" w14:textId="77777777" w:rsidTr="00E5120D">
        <w:trPr>
          <w:trHeight w:val="315"/>
        </w:trPr>
        <w:tc>
          <w:tcPr>
            <w:tcW w:w="4111"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C28598" w14:textId="77777777" w:rsidR="00057D40" w:rsidRPr="0034420E" w:rsidRDefault="00057D40" w:rsidP="00E5120D">
            <w:pPr>
              <w:pStyle w:val="Tabletext"/>
              <w:keepNext/>
            </w:pPr>
            <w:r w:rsidRPr="0034420E">
              <w:t>Moderate/High-risk</w:t>
            </w:r>
          </w:p>
        </w:tc>
        <w:tc>
          <w:tcPr>
            <w:tcW w:w="851" w:type="dxa"/>
            <w:tcBorders>
              <w:top w:val="single" w:sz="8" w:space="0" w:color="auto"/>
              <w:left w:val="nil"/>
              <w:bottom w:val="single" w:sz="8" w:space="0" w:color="auto"/>
              <w:right w:val="single" w:sz="8" w:space="0" w:color="auto"/>
            </w:tcBorders>
            <w:shd w:val="clear" w:color="auto" w:fill="auto"/>
            <w:noWrap/>
            <w:vAlign w:val="center"/>
            <w:hideMark/>
          </w:tcPr>
          <w:p w14:paraId="788BF01B" w14:textId="77777777" w:rsidR="00057D40" w:rsidRPr="0034420E" w:rsidRDefault="00057D40" w:rsidP="00E5120D">
            <w:pPr>
              <w:pStyle w:val="Tabletext"/>
              <w:keepNext/>
              <w:jc w:val="center"/>
              <w:rPr>
                <w:b/>
                <w:bCs/>
              </w:rPr>
            </w:pPr>
            <w:r w:rsidRPr="0034420E">
              <w:rPr>
                <w:b/>
                <w:bCs/>
              </w:rPr>
              <w:t>212</w:t>
            </w:r>
          </w:p>
        </w:tc>
        <w:tc>
          <w:tcPr>
            <w:tcW w:w="708"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2B873E7C" w14:textId="77777777" w:rsidR="00057D40" w:rsidRPr="0034420E" w:rsidRDefault="00057D40" w:rsidP="00E5120D">
            <w:pPr>
              <w:pStyle w:val="Tabletext"/>
              <w:keepNext/>
              <w:jc w:val="center"/>
              <w:rPr>
                <w:b/>
                <w:bCs/>
              </w:rPr>
            </w:pPr>
            <w:r w:rsidRPr="0034420E">
              <w:rPr>
                <w:b/>
                <w:bCs/>
              </w:rPr>
              <w:t>143</w:t>
            </w:r>
          </w:p>
        </w:tc>
        <w:tc>
          <w:tcPr>
            <w:tcW w:w="851"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7E74EC7E" w14:textId="77777777" w:rsidR="00057D40" w:rsidRPr="0034420E" w:rsidRDefault="00057D40" w:rsidP="00E5120D">
            <w:pPr>
              <w:pStyle w:val="Tabletext"/>
              <w:keepNext/>
              <w:jc w:val="center"/>
              <w:rPr>
                <w:b/>
                <w:bCs/>
              </w:rPr>
            </w:pPr>
            <w:r w:rsidRPr="0034420E">
              <w:rPr>
                <w:b/>
                <w:bCs/>
              </w:rPr>
              <w:t>22.2%</w:t>
            </w:r>
          </w:p>
        </w:tc>
        <w:tc>
          <w:tcPr>
            <w:tcW w:w="850"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66A1889F" w14:textId="77777777" w:rsidR="00057D40" w:rsidRPr="0034420E" w:rsidRDefault="00057D40" w:rsidP="00E5120D">
            <w:pPr>
              <w:pStyle w:val="Tabletext"/>
              <w:keepNext/>
              <w:jc w:val="center"/>
              <w:rPr>
                <w:b/>
                <w:bCs/>
              </w:rPr>
            </w:pPr>
            <w:r w:rsidRPr="0034420E">
              <w:rPr>
                <w:b/>
                <w:bCs/>
              </w:rPr>
              <w:t>69</w:t>
            </w:r>
          </w:p>
        </w:tc>
        <w:tc>
          <w:tcPr>
            <w:tcW w:w="851"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5E031680" w14:textId="77777777" w:rsidR="00057D40" w:rsidRPr="0034420E" w:rsidRDefault="00057D40" w:rsidP="00E5120D">
            <w:pPr>
              <w:pStyle w:val="Tabletext"/>
              <w:keepNext/>
              <w:jc w:val="center"/>
              <w:rPr>
                <w:b/>
                <w:bCs/>
              </w:rPr>
            </w:pPr>
            <w:r w:rsidRPr="0034420E">
              <w:rPr>
                <w:b/>
                <w:bCs/>
              </w:rPr>
              <w:t>85.2%</w:t>
            </w:r>
          </w:p>
        </w:tc>
        <w:tc>
          <w:tcPr>
            <w:tcW w:w="1417" w:type="dxa"/>
            <w:tcBorders>
              <w:top w:val="single" w:sz="8" w:space="0" w:color="auto"/>
              <w:left w:val="nil"/>
              <w:bottom w:val="single" w:sz="8" w:space="0" w:color="auto"/>
              <w:right w:val="single" w:sz="8" w:space="0" w:color="auto"/>
            </w:tcBorders>
            <w:shd w:val="clear" w:color="auto" w:fill="auto"/>
            <w:noWrap/>
            <w:vAlign w:val="center"/>
            <w:hideMark/>
          </w:tcPr>
          <w:p w14:paraId="37830511" w14:textId="77777777" w:rsidR="00057D40" w:rsidRPr="0034420E" w:rsidRDefault="00057D40" w:rsidP="00E5120D">
            <w:pPr>
              <w:pStyle w:val="Tabletext"/>
              <w:keepNext/>
              <w:jc w:val="center"/>
              <w:rPr>
                <w:b/>
                <w:bCs/>
              </w:rPr>
            </w:pPr>
            <w:r w:rsidRPr="0034420E">
              <w:rPr>
                <w:b/>
                <w:bCs/>
              </w:rPr>
              <w:t>725</w:t>
            </w:r>
          </w:p>
        </w:tc>
      </w:tr>
    </w:tbl>
    <w:p w14:paraId="5A8F275C" w14:textId="4F5EA78A" w:rsidR="008238DC" w:rsidRPr="0034420E" w:rsidRDefault="008238DC" w:rsidP="00E5120D">
      <w:pPr>
        <w:pStyle w:val="Tablenotes"/>
        <w:keepNext/>
        <w:spacing w:after="240"/>
        <w:jc w:val="left"/>
      </w:pPr>
      <w:r w:rsidRPr="0034420E">
        <w:t>DKD = diabetic kidney disease; eGFR = estimated glomerular filtration rate, KDIGO = Kidney Disease Improving Global Outcomes</w:t>
      </w:r>
    </w:p>
    <w:p w14:paraId="364C4463" w14:textId="35E7DF3F" w:rsidR="00AB5BFE" w:rsidRPr="0034420E" w:rsidRDefault="00AB5BFE" w:rsidP="00AB5BFE">
      <w:pPr>
        <w:spacing w:after="0"/>
        <w:jc w:val="both"/>
        <w:rPr>
          <w:lang w:val="en-US"/>
        </w:rPr>
      </w:pPr>
      <w:r w:rsidRPr="0034420E">
        <w:rPr>
          <w:lang w:val="en-US"/>
        </w:rPr>
        <w:t xml:space="preserve">The applicant provided additional information regarding FDS2 </w:t>
      </w:r>
      <w:r w:rsidR="00646B80" w:rsidRPr="0034420E">
        <w:rPr>
          <w:lang w:val="en-US"/>
        </w:rPr>
        <w:t xml:space="preserve">data when both 857 </w:t>
      </w:r>
      <w:r w:rsidRPr="0034420E">
        <w:rPr>
          <w:lang w:val="en-US"/>
        </w:rPr>
        <w:t xml:space="preserve">participants </w:t>
      </w:r>
      <w:r w:rsidR="00646B80" w:rsidRPr="0034420E">
        <w:rPr>
          <w:lang w:val="en-US"/>
        </w:rPr>
        <w:t xml:space="preserve">and 725 participants were </w:t>
      </w:r>
      <w:proofErr w:type="spellStart"/>
      <w:r w:rsidR="00646B80" w:rsidRPr="0034420E">
        <w:rPr>
          <w:lang w:val="en-US"/>
        </w:rPr>
        <w:t>analysed</w:t>
      </w:r>
      <w:proofErr w:type="spellEnd"/>
      <w:r w:rsidR="00646B80" w:rsidRPr="0034420E">
        <w:rPr>
          <w:lang w:val="en-US"/>
        </w:rPr>
        <w:t xml:space="preserve"> </w:t>
      </w:r>
      <w:r w:rsidRPr="0034420E">
        <w:rPr>
          <w:lang w:val="en-US"/>
        </w:rPr>
        <w:t>(data unpublished)</w:t>
      </w:r>
      <w:r w:rsidR="00E5120D" w:rsidRPr="0034420E">
        <w:rPr>
          <w:lang w:val="en-US"/>
        </w:rPr>
        <w:t xml:space="preserve">, see </w:t>
      </w:r>
      <w:r w:rsidR="00E5120D" w:rsidRPr="0034420E">
        <w:rPr>
          <w:lang w:val="en-US"/>
        </w:rPr>
        <w:fldChar w:fldCharType="begin"/>
      </w:r>
      <w:r w:rsidR="00E5120D" w:rsidRPr="0034420E">
        <w:rPr>
          <w:lang w:val="en-US"/>
        </w:rPr>
        <w:instrText xml:space="preserve"> REF _Ref87016530 \h </w:instrText>
      </w:r>
      <w:r w:rsidR="009E1D30" w:rsidRPr="0034420E">
        <w:rPr>
          <w:lang w:val="en-US"/>
        </w:rPr>
        <w:instrText xml:space="preserve"> \* MERGEFORMAT </w:instrText>
      </w:r>
      <w:r w:rsidR="00E5120D" w:rsidRPr="0034420E">
        <w:rPr>
          <w:lang w:val="en-US"/>
        </w:rPr>
      </w:r>
      <w:r w:rsidR="00E5120D" w:rsidRPr="0034420E">
        <w:rPr>
          <w:lang w:val="en-US"/>
        </w:rPr>
        <w:fldChar w:fldCharType="separate"/>
      </w:r>
      <w:r w:rsidR="00523E59" w:rsidRPr="0034420E">
        <w:t xml:space="preserve">Table </w:t>
      </w:r>
      <w:r w:rsidR="00523E59" w:rsidRPr="0034420E">
        <w:rPr>
          <w:noProof/>
        </w:rPr>
        <w:t>8</w:t>
      </w:r>
      <w:r w:rsidR="00E5120D" w:rsidRPr="0034420E">
        <w:rPr>
          <w:lang w:val="en-US"/>
        </w:rPr>
        <w:fldChar w:fldCharType="end"/>
      </w:r>
      <w:r w:rsidRPr="0034420E">
        <w:rPr>
          <w:lang w:val="en-US"/>
        </w:rPr>
        <w:t>.</w:t>
      </w:r>
    </w:p>
    <w:p w14:paraId="607700A4" w14:textId="5E254724" w:rsidR="00AB5BFE" w:rsidRPr="0034420E" w:rsidRDefault="00E5120D" w:rsidP="00AB5BFE">
      <w:pPr>
        <w:pStyle w:val="Caption"/>
      </w:pPr>
      <w:bookmarkStart w:id="11" w:name="_Ref87016530"/>
      <w:r w:rsidRPr="0034420E">
        <w:t xml:space="preserve">Table </w:t>
      </w:r>
      <w:r w:rsidRPr="0034420E">
        <w:fldChar w:fldCharType="begin"/>
      </w:r>
      <w:r w:rsidRPr="0034420E">
        <w:instrText xml:space="preserve"> SEQ Table \* ARABIC </w:instrText>
      </w:r>
      <w:r w:rsidRPr="0034420E">
        <w:fldChar w:fldCharType="separate"/>
      </w:r>
      <w:r w:rsidR="00523E59" w:rsidRPr="0034420E">
        <w:rPr>
          <w:noProof/>
        </w:rPr>
        <w:t>8</w:t>
      </w:r>
      <w:r w:rsidRPr="0034420E">
        <w:fldChar w:fldCharType="end"/>
      </w:r>
      <w:bookmarkEnd w:id="11"/>
      <w:r w:rsidR="00AB5BFE" w:rsidRPr="0034420E">
        <w:tab/>
        <w:t>Assignment of patients from the Fremantle Diabetes Study 2 according to PromarkerD risk categories</w:t>
      </w:r>
    </w:p>
    <w:tbl>
      <w:tblPr>
        <w:tblStyle w:val="TableGrid"/>
        <w:tblW w:w="9646" w:type="dxa"/>
        <w:jc w:val="center"/>
        <w:tblInd w:w="0" w:type="dxa"/>
        <w:tblLook w:val="0460" w:firstRow="1" w:lastRow="1" w:firstColumn="0" w:lastColumn="0" w:noHBand="0" w:noVBand="1"/>
      </w:tblPr>
      <w:tblGrid>
        <w:gridCol w:w="3215"/>
        <w:gridCol w:w="3215"/>
        <w:gridCol w:w="3216"/>
      </w:tblGrid>
      <w:tr w:rsidR="00AB5BFE" w:rsidRPr="0034420E" w14:paraId="1DF35D9F" w14:textId="77777777" w:rsidTr="00E5120D">
        <w:trPr>
          <w:trHeight w:val="149"/>
          <w:jc w:val="center"/>
        </w:trPr>
        <w:tc>
          <w:tcPr>
            <w:tcW w:w="3215" w:type="dxa"/>
            <w:shd w:val="clear" w:color="auto" w:fill="auto"/>
            <w:hideMark/>
          </w:tcPr>
          <w:p w14:paraId="39446A4C" w14:textId="77777777" w:rsidR="00AB5BFE" w:rsidRPr="0034420E" w:rsidRDefault="00AB5BFE" w:rsidP="00AB5BFE">
            <w:pPr>
              <w:pStyle w:val="TableText0"/>
              <w:jc w:val="center"/>
              <w:rPr>
                <w:b/>
                <w:bCs/>
              </w:rPr>
            </w:pPr>
            <w:r w:rsidRPr="0034420E">
              <w:rPr>
                <w:b/>
                <w:bCs/>
              </w:rPr>
              <w:t>PromarkerD Score</w:t>
            </w:r>
          </w:p>
        </w:tc>
        <w:tc>
          <w:tcPr>
            <w:tcW w:w="3215" w:type="dxa"/>
            <w:shd w:val="clear" w:color="auto" w:fill="auto"/>
            <w:hideMark/>
          </w:tcPr>
          <w:p w14:paraId="10AEBB08" w14:textId="0010FD79" w:rsidR="00AB5BFE" w:rsidRPr="0034420E" w:rsidRDefault="00AB5BFE" w:rsidP="00AB5BFE">
            <w:pPr>
              <w:pStyle w:val="TableText0"/>
              <w:jc w:val="center"/>
              <w:rPr>
                <w:b/>
                <w:bCs/>
              </w:rPr>
            </w:pPr>
            <w:r w:rsidRPr="0034420E">
              <w:rPr>
                <w:b/>
                <w:bCs/>
              </w:rPr>
              <w:t>Moderate</w:t>
            </w:r>
            <w:r w:rsidR="008405C5" w:rsidRPr="0034420E">
              <w:rPr>
                <w:b/>
                <w:bCs/>
              </w:rPr>
              <w:t>-</w:t>
            </w:r>
            <w:r w:rsidRPr="0034420E">
              <w:rPr>
                <w:b/>
                <w:bCs/>
              </w:rPr>
              <w:t>risk cut-off (%)</w:t>
            </w:r>
          </w:p>
        </w:tc>
        <w:tc>
          <w:tcPr>
            <w:tcW w:w="3216" w:type="dxa"/>
            <w:shd w:val="clear" w:color="auto" w:fill="auto"/>
            <w:hideMark/>
          </w:tcPr>
          <w:p w14:paraId="1A49D815" w14:textId="62428EB0" w:rsidR="00AB5BFE" w:rsidRPr="0034420E" w:rsidRDefault="00AB5BFE" w:rsidP="00AB5BFE">
            <w:pPr>
              <w:pStyle w:val="TableText0"/>
              <w:jc w:val="center"/>
              <w:rPr>
                <w:b/>
                <w:bCs/>
              </w:rPr>
            </w:pPr>
            <w:r w:rsidRPr="0034420E">
              <w:rPr>
                <w:b/>
                <w:bCs/>
              </w:rPr>
              <w:t>High</w:t>
            </w:r>
            <w:r w:rsidR="008405C5" w:rsidRPr="0034420E">
              <w:rPr>
                <w:b/>
                <w:bCs/>
              </w:rPr>
              <w:t>-</w:t>
            </w:r>
            <w:r w:rsidRPr="0034420E">
              <w:rPr>
                <w:b/>
                <w:bCs/>
              </w:rPr>
              <w:t>risk cut-off (%)</w:t>
            </w:r>
          </w:p>
        </w:tc>
      </w:tr>
      <w:tr w:rsidR="0003475E" w:rsidRPr="0034420E" w14:paraId="0567E171" w14:textId="77777777" w:rsidTr="00E5120D">
        <w:trPr>
          <w:trHeight w:val="149"/>
          <w:jc w:val="center"/>
        </w:trPr>
        <w:tc>
          <w:tcPr>
            <w:tcW w:w="9646" w:type="dxa"/>
            <w:gridSpan w:val="3"/>
            <w:shd w:val="clear" w:color="auto" w:fill="auto"/>
          </w:tcPr>
          <w:p w14:paraId="47543AFD" w14:textId="07F6A20B" w:rsidR="0003475E" w:rsidRPr="0034420E" w:rsidRDefault="0003475E" w:rsidP="00AB5BFE">
            <w:pPr>
              <w:pStyle w:val="TableText0"/>
              <w:rPr>
                <w:b/>
                <w:bCs/>
              </w:rPr>
            </w:pPr>
            <w:r w:rsidRPr="0034420E">
              <w:rPr>
                <w:b/>
                <w:bCs/>
              </w:rPr>
              <w:t>Full cohort (n=857)</w:t>
            </w:r>
          </w:p>
        </w:tc>
      </w:tr>
      <w:tr w:rsidR="00315502" w:rsidRPr="0034420E" w14:paraId="73202DE1" w14:textId="77777777" w:rsidTr="00E5120D">
        <w:trPr>
          <w:trHeight w:val="151"/>
          <w:jc w:val="center"/>
        </w:trPr>
        <w:tc>
          <w:tcPr>
            <w:tcW w:w="3215" w:type="dxa"/>
            <w:shd w:val="clear" w:color="auto" w:fill="auto"/>
            <w:hideMark/>
          </w:tcPr>
          <w:p w14:paraId="7D40643E" w14:textId="77777777" w:rsidR="00315502" w:rsidRPr="0034420E" w:rsidRDefault="00315502" w:rsidP="00315502">
            <w:pPr>
              <w:pStyle w:val="TableText0"/>
              <w:jc w:val="center"/>
            </w:pPr>
            <w:r w:rsidRPr="0034420E">
              <w:t>Sensitivity</w:t>
            </w:r>
          </w:p>
        </w:tc>
        <w:tc>
          <w:tcPr>
            <w:tcW w:w="3215" w:type="dxa"/>
            <w:shd w:val="clear" w:color="auto" w:fill="auto"/>
            <w:hideMark/>
          </w:tcPr>
          <w:p w14:paraId="2A52A792" w14:textId="5C30B80D" w:rsidR="00315502" w:rsidRPr="0034420E" w:rsidRDefault="00315502" w:rsidP="00315502">
            <w:pPr>
              <w:pStyle w:val="TableText0"/>
              <w:jc w:val="center"/>
            </w:pPr>
            <w:r w:rsidRPr="0034420E">
              <w:t>86.9</w:t>
            </w:r>
          </w:p>
        </w:tc>
        <w:tc>
          <w:tcPr>
            <w:tcW w:w="3216" w:type="dxa"/>
            <w:shd w:val="clear" w:color="auto" w:fill="auto"/>
            <w:hideMark/>
          </w:tcPr>
          <w:p w14:paraId="3FF3480F" w14:textId="5411A768" w:rsidR="00315502" w:rsidRPr="0034420E" w:rsidRDefault="00315502" w:rsidP="00315502">
            <w:pPr>
              <w:pStyle w:val="TableText0"/>
              <w:jc w:val="center"/>
            </w:pPr>
            <w:r w:rsidRPr="0034420E">
              <w:t>68.2</w:t>
            </w:r>
          </w:p>
        </w:tc>
      </w:tr>
      <w:tr w:rsidR="00315502" w:rsidRPr="0034420E" w14:paraId="0FBAE770" w14:textId="77777777" w:rsidTr="00E5120D">
        <w:trPr>
          <w:trHeight w:val="69"/>
          <w:jc w:val="center"/>
        </w:trPr>
        <w:tc>
          <w:tcPr>
            <w:tcW w:w="3215" w:type="dxa"/>
            <w:shd w:val="clear" w:color="auto" w:fill="auto"/>
            <w:hideMark/>
          </w:tcPr>
          <w:p w14:paraId="348D070D" w14:textId="77777777" w:rsidR="00315502" w:rsidRPr="0034420E" w:rsidRDefault="00315502" w:rsidP="00315502">
            <w:pPr>
              <w:pStyle w:val="TableText0"/>
              <w:jc w:val="center"/>
            </w:pPr>
            <w:r w:rsidRPr="0034420E">
              <w:t>Specificity</w:t>
            </w:r>
          </w:p>
        </w:tc>
        <w:tc>
          <w:tcPr>
            <w:tcW w:w="3215" w:type="dxa"/>
            <w:shd w:val="clear" w:color="auto" w:fill="auto"/>
            <w:hideMark/>
          </w:tcPr>
          <w:p w14:paraId="2154505F" w14:textId="44503512" w:rsidR="00315502" w:rsidRPr="0034420E" w:rsidRDefault="00315502" w:rsidP="00315502">
            <w:pPr>
              <w:pStyle w:val="TableText0"/>
              <w:jc w:val="center"/>
            </w:pPr>
            <w:r w:rsidRPr="0034420E">
              <w:t>70.4</w:t>
            </w:r>
          </w:p>
        </w:tc>
        <w:tc>
          <w:tcPr>
            <w:tcW w:w="3216" w:type="dxa"/>
            <w:shd w:val="clear" w:color="auto" w:fill="auto"/>
            <w:hideMark/>
          </w:tcPr>
          <w:p w14:paraId="3A9C0D66" w14:textId="5410C9C8" w:rsidR="00315502" w:rsidRPr="0034420E" w:rsidRDefault="00315502" w:rsidP="00315502">
            <w:pPr>
              <w:pStyle w:val="TableText0"/>
              <w:jc w:val="center"/>
            </w:pPr>
            <w:r w:rsidRPr="0034420E">
              <w:t>82.8</w:t>
            </w:r>
          </w:p>
        </w:tc>
      </w:tr>
      <w:tr w:rsidR="00315502" w:rsidRPr="0034420E" w14:paraId="0A3C867C" w14:textId="77777777" w:rsidTr="00E5120D">
        <w:trPr>
          <w:trHeight w:val="115"/>
          <w:jc w:val="center"/>
        </w:trPr>
        <w:tc>
          <w:tcPr>
            <w:tcW w:w="3215" w:type="dxa"/>
            <w:shd w:val="clear" w:color="auto" w:fill="auto"/>
            <w:hideMark/>
          </w:tcPr>
          <w:p w14:paraId="104D5DF3" w14:textId="77777777" w:rsidR="00315502" w:rsidRPr="0034420E" w:rsidRDefault="00315502" w:rsidP="00315502">
            <w:pPr>
              <w:pStyle w:val="TableText0"/>
              <w:jc w:val="center"/>
            </w:pPr>
            <w:r w:rsidRPr="0034420E">
              <w:t>PPV</w:t>
            </w:r>
          </w:p>
        </w:tc>
        <w:tc>
          <w:tcPr>
            <w:tcW w:w="3215" w:type="dxa"/>
            <w:shd w:val="clear" w:color="auto" w:fill="auto"/>
            <w:hideMark/>
          </w:tcPr>
          <w:p w14:paraId="0319F7D7" w14:textId="2319DA1F" w:rsidR="00315502" w:rsidRPr="0034420E" w:rsidRDefault="00315502" w:rsidP="00315502">
            <w:pPr>
              <w:pStyle w:val="TableText0"/>
              <w:jc w:val="center"/>
            </w:pPr>
            <w:r w:rsidRPr="0034420E">
              <w:t>29.5</w:t>
            </w:r>
          </w:p>
        </w:tc>
        <w:tc>
          <w:tcPr>
            <w:tcW w:w="3216" w:type="dxa"/>
            <w:shd w:val="clear" w:color="auto" w:fill="auto"/>
            <w:hideMark/>
          </w:tcPr>
          <w:p w14:paraId="1645AE4D" w14:textId="31D19049" w:rsidR="00315502" w:rsidRPr="0034420E" w:rsidRDefault="00315502" w:rsidP="00315502">
            <w:pPr>
              <w:pStyle w:val="TableText0"/>
              <w:jc w:val="center"/>
            </w:pPr>
            <w:r w:rsidRPr="0034420E">
              <w:t>36.1</w:t>
            </w:r>
          </w:p>
        </w:tc>
      </w:tr>
      <w:tr w:rsidR="00315502" w:rsidRPr="0034420E" w14:paraId="461BB28F" w14:textId="77777777" w:rsidTr="00E5120D">
        <w:trPr>
          <w:trHeight w:val="133"/>
          <w:jc w:val="center"/>
        </w:trPr>
        <w:tc>
          <w:tcPr>
            <w:tcW w:w="3215" w:type="dxa"/>
            <w:shd w:val="clear" w:color="auto" w:fill="auto"/>
            <w:hideMark/>
          </w:tcPr>
          <w:p w14:paraId="4F000A9A" w14:textId="77777777" w:rsidR="00315502" w:rsidRPr="0034420E" w:rsidRDefault="00315502" w:rsidP="00315502">
            <w:pPr>
              <w:pStyle w:val="TableText0"/>
              <w:jc w:val="center"/>
            </w:pPr>
            <w:r w:rsidRPr="0034420E">
              <w:t>NPV</w:t>
            </w:r>
          </w:p>
        </w:tc>
        <w:tc>
          <w:tcPr>
            <w:tcW w:w="3215" w:type="dxa"/>
            <w:shd w:val="clear" w:color="auto" w:fill="auto"/>
            <w:hideMark/>
          </w:tcPr>
          <w:p w14:paraId="4FA3A1B1" w14:textId="4F98FCC3" w:rsidR="00315502" w:rsidRPr="0034420E" w:rsidRDefault="00315502" w:rsidP="00315502">
            <w:pPr>
              <w:pStyle w:val="TableText0"/>
              <w:jc w:val="center"/>
            </w:pPr>
            <w:r w:rsidRPr="0034420E">
              <w:t>97.4</w:t>
            </w:r>
          </w:p>
        </w:tc>
        <w:tc>
          <w:tcPr>
            <w:tcW w:w="3216" w:type="dxa"/>
            <w:shd w:val="clear" w:color="auto" w:fill="auto"/>
            <w:hideMark/>
          </w:tcPr>
          <w:p w14:paraId="537EE4C8" w14:textId="3B25A02E" w:rsidR="00315502" w:rsidRPr="0034420E" w:rsidRDefault="00315502" w:rsidP="00315502">
            <w:pPr>
              <w:pStyle w:val="TableText0"/>
              <w:jc w:val="center"/>
            </w:pPr>
            <w:r w:rsidRPr="0034420E">
              <w:t>94.8</w:t>
            </w:r>
          </w:p>
        </w:tc>
      </w:tr>
      <w:tr w:rsidR="00315502" w:rsidRPr="0034420E" w14:paraId="1F6BC7CB" w14:textId="77777777" w:rsidTr="00E5120D">
        <w:tblPrEx>
          <w:jc w:val="left"/>
          <w:tblLook w:val="04A0" w:firstRow="1" w:lastRow="0" w:firstColumn="1" w:lastColumn="0" w:noHBand="0" w:noVBand="1"/>
        </w:tblPrEx>
        <w:trPr>
          <w:trHeight w:val="149"/>
        </w:trPr>
        <w:tc>
          <w:tcPr>
            <w:tcW w:w="9646" w:type="dxa"/>
            <w:gridSpan w:val="3"/>
            <w:shd w:val="clear" w:color="auto" w:fill="auto"/>
          </w:tcPr>
          <w:p w14:paraId="107624BB" w14:textId="1A71C767" w:rsidR="00315502" w:rsidRPr="0034420E" w:rsidRDefault="00315502" w:rsidP="00315502">
            <w:pPr>
              <w:pStyle w:val="TableText0"/>
              <w:rPr>
                <w:b/>
                <w:bCs/>
              </w:rPr>
            </w:pPr>
            <w:r w:rsidRPr="0034420E">
              <w:rPr>
                <w:b/>
                <w:bCs/>
              </w:rPr>
              <w:t>Target cohort (n=725)</w:t>
            </w:r>
          </w:p>
        </w:tc>
      </w:tr>
      <w:tr w:rsidR="00315502" w:rsidRPr="0034420E" w14:paraId="6F7D27BE" w14:textId="77777777" w:rsidTr="00E5120D">
        <w:tblPrEx>
          <w:jc w:val="left"/>
          <w:tblLook w:val="04A0" w:firstRow="1" w:lastRow="0" w:firstColumn="1" w:lastColumn="0" w:noHBand="0" w:noVBand="1"/>
        </w:tblPrEx>
        <w:trPr>
          <w:trHeight w:val="151"/>
        </w:trPr>
        <w:tc>
          <w:tcPr>
            <w:tcW w:w="3215" w:type="dxa"/>
            <w:hideMark/>
          </w:tcPr>
          <w:p w14:paraId="04DC7085" w14:textId="77777777" w:rsidR="00315502" w:rsidRPr="0034420E" w:rsidRDefault="00315502" w:rsidP="00315502">
            <w:pPr>
              <w:pStyle w:val="TableText0"/>
              <w:jc w:val="center"/>
            </w:pPr>
            <w:r w:rsidRPr="0034420E">
              <w:t>Sensitivity</w:t>
            </w:r>
          </w:p>
        </w:tc>
        <w:tc>
          <w:tcPr>
            <w:tcW w:w="3215" w:type="dxa"/>
          </w:tcPr>
          <w:p w14:paraId="17D55385" w14:textId="2D7EC84C" w:rsidR="00315502" w:rsidRPr="0034420E" w:rsidRDefault="00315502" w:rsidP="00315502">
            <w:pPr>
              <w:pStyle w:val="TableText0"/>
              <w:jc w:val="center"/>
            </w:pPr>
            <w:r w:rsidRPr="0034420E">
              <w:t>85.2</w:t>
            </w:r>
          </w:p>
        </w:tc>
        <w:tc>
          <w:tcPr>
            <w:tcW w:w="3216" w:type="dxa"/>
          </w:tcPr>
          <w:p w14:paraId="6DF1C771" w14:textId="73D6DF4D" w:rsidR="00315502" w:rsidRPr="0034420E" w:rsidRDefault="00315502" w:rsidP="00315502">
            <w:pPr>
              <w:pStyle w:val="TableText0"/>
              <w:jc w:val="center"/>
            </w:pPr>
            <w:r w:rsidRPr="0034420E">
              <w:t>66.7</w:t>
            </w:r>
          </w:p>
        </w:tc>
      </w:tr>
      <w:tr w:rsidR="00315502" w:rsidRPr="0034420E" w14:paraId="11B7A284" w14:textId="77777777" w:rsidTr="00E5120D">
        <w:tblPrEx>
          <w:jc w:val="left"/>
          <w:tblLook w:val="04A0" w:firstRow="1" w:lastRow="0" w:firstColumn="1" w:lastColumn="0" w:noHBand="0" w:noVBand="1"/>
        </w:tblPrEx>
        <w:trPr>
          <w:trHeight w:val="69"/>
        </w:trPr>
        <w:tc>
          <w:tcPr>
            <w:tcW w:w="3215" w:type="dxa"/>
            <w:hideMark/>
          </w:tcPr>
          <w:p w14:paraId="2F6AA13B" w14:textId="77777777" w:rsidR="00315502" w:rsidRPr="0034420E" w:rsidRDefault="00315502" w:rsidP="00315502">
            <w:pPr>
              <w:pStyle w:val="TableText0"/>
              <w:jc w:val="center"/>
            </w:pPr>
            <w:r w:rsidRPr="0034420E">
              <w:t>Specificity</w:t>
            </w:r>
          </w:p>
        </w:tc>
        <w:tc>
          <w:tcPr>
            <w:tcW w:w="3215" w:type="dxa"/>
          </w:tcPr>
          <w:p w14:paraId="28B81BFE" w14:textId="1541890F" w:rsidR="00315502" w:rsidRPr="0034420E" w:rsidRDefault="00315502" w:rsidP="00315502">
            <w:pPr>
              <w:pStyle w:val="TableText0"/>
              <w:jc w:val="center"/>
            </w:pPr>
            <w:r w:rsidRPr="0034420E">
              <w:t>77.8</w:t>
            </w:r>
          </w:p>
        </w:tc>
        <w:tc>
          <w:tcPr>
            <w:tcW w:w="3216" w:type="dxa"/>
          </w:tcPr>
          <w:p w14:paraId="3A16A4A8" w14:textId="0E33B023" w:rsidR="00315502" w:rsidRPr="0034420E" w:rsidRDefault="00315502" w:rsidP="00315502">
            <w:pPr>
              <w:pStyle w:val="TableText0"/>
              <w:jc w:val="center"/>
            </w:pPr>
            <w:r w:rsidRPr="0034420E">
              <w:t>87.1</w:t>
            </w:r>
          </w:p>
        </w:tc>
      </w:tr>
      <w:tr w:rsidR="00315502" w:rsidRPr="0034420E" w14:paraId="4DFF4765" w14:textId="77777777" w:rsidTr="00E5120D">
        <w:tblPrEx>
          <w:jc w:val="left"/>
          <w:tblLook w:val="04A0" w:firstRow="1" w:lastRow="0" w:firstColumn="1" w:lastColumn="0" w:noHBand="0" w:noVBand="1"/>
        </w:tblPrEx>
        <w:trPr>
          <w:trHeight w:val="115"/>
        </w:trPr>
        <w:tc>
          <w:tcPr>
            <w:tcW w:w="3215" w:type="dxa"/>
            <w:hideMark/>
          </w:tcPr>
          <w:p w14:paraId="4CE2617E" w14:textId="77777777" w:rsidR="00315502" w:rsidRPr="0034420E" w:rsidRDefault="00315502" w:rsidP="00315502">
            <w:pPr>
              <w:pStyle w:val="TableText0"/>
              <w:jc w:val="center"/>
            </w:pPr>
            <w:r w:rsidRPr="0034420E">
              <w:t>PPV</w:t>
            </w:r>
          </w:p>
        </w:tc>
        <w:tc>
          <w:tcPr>
            <w:tcW w:w="3215" w:type="dxa"/>
          </w:tcPr>
          <w:p w14:paraId="23C2F9D0" w14:textId="6FF8DE37" w:rsidR="00315502" w:rsidRPr="0034420E" w:rsidRDefault="00315502" w:rsidP="00315502">
            <w:pPr>
              <w:pStyle w:val="TableText0"/>
              <w:jc w:val="center"/>
            </w:pPr>
            <w:r w:rsidRPr="0034420E">
              <w:t>32.5</w:t>
            </w:r>
          </w:p>
        </w:tc>
        <w:tc>
          <w:tcPr>
            <w:tcW w:w="3216" w:type="dxa"/>
          </w:tcPr>
          <w:p w14:paraId="09F66EA4" w14:textId="3971EA54" w:rsidR="00315502" w:rsidRPr="0034420E" w:rsidRDefault="00315502" w:rsidP="00315502">
            <w:pPr>
              <w:pStyle w:val="TableText0"/>
              <w:jc w:val="center"/>
            </w:pPr>
            <w:r w:rsidRPr="0034420E">
              <w:t>39.4</w:t>
            </w:r>
          </w:p>
        </w:tc>
      </w:tr>
      <w:tr w:rsidR="00315502" w:rsidRPr="0034420E" w14:paraId="0AB9E20D" w14:textId="77777777" w:rsidTr="00E5120D">
        <w:tblPrEx>
          <w:jc w:val="left"/>
          <w:tblLook w:val="04A0" w:firstRow="1" w:lastRow="0" w:firstColumn="1" w:lastColumn="0" w:noHBand="0" w:noVBand="1"/>
        </w:tblPrEx>
        <w:trPr>
          <w:trHeight w:val="133"/>
        </w:trPr>
        <w:tc>
          <w:tcPr>
            <w:tcW w:w="3215" w:type="dxa"/>
            <w:hideMark/>
          </w:tcPr>
          <w:p w14:paraId="5562C1E9" w14:textId="77777777" w:rsidR="00315502" w:rsidRPr="0034420E" w:rsidRDefault="00315502" w:rsidP="00315502">
            <w:pPr>
              <w:pStyle w:val="TableText0"/>
              <w:jc w:val="center"/>
            </w:pPr>
            <w:r w:rsidRPr="0034420E">
              <w:t>NPV</w:t>
            </w:r>
          </w:p>
        </w:tc>
        <w:tc>
          <w:tcPr>
            <w:tcW w:w="3215" w:type="dxa"/>
          </w:tcPr>
          <w:p w14:paraId="48B5E7C7" w14:textId="62376637" w:rsidR="00315502" w:rsidRPr="0034420E" w:rsidRDefault="00315502" w:rsidP="00315502">
            <w:pPr>
              <w:pStyle w:val="TableText0"/>
              <w:jc w:val="center"/>
            </w:pPr>
            <w:r w:rsidRPr="0034420E">
              <w:t>97.7</w:t>
            </w:r>
          </w:p>
        </w:tc>
        <w:tc>
          <w:tcPr>
            <w:tcW w:w="3216" w:type="dxa"/>
          </w:tcPr>
          <w:p w14:paraId="058998DC" w14:textId="025933AF" w:rsidR="00315502" w:rsidRPr="0034420E" w:rsidRDefault="00315502" w:rsidP="00315502">
            <w:pPr>
              <w:pStyle w:val="TableText0"/>
              <w:jc w:val="center"/>
            </w:pPr>
            <w:r w:rsidRPr="0034420E">
              <w:t>95.4</w:t>
            </w:r>
          </w:p>
        </w:tc>
      </w:tr>
    </w:tbl>
    <w:p w14:paraId="31D1FE88" w14:textId="3B7F5285" w:rsidR="00DB26FA" w:rsidRPr="0034420E" w:rsidRDefault="00DB26FA" w:rsidP="00E5120D">
      <w:pPr>
        <w:pStyle w:val="Tablenotes"/>
        <w:spacing w:after="0"/>
      </w:pPr>
      <w:r w:rsidRPr="0034420E">
        <w:t>PPV = positive predictive value; NPV = negative predictive value</w:t>
      </w:r>
    </w:p>
    <w:p w14:paraId="61813E9F" w14:textId="77777777" w:rsidR="00AB5BFE" w:rsidRPr="0034420E" w:rsidRDefault="00AB5BFE" w:rsidP="008238DC"/>
    <w:p w14:paraId="1D26534A" w14:textId="1B6C4F9A" w:rsidR="00EA698E" w:rsidRPr="0034420E" w:rsidRDefault="008238DC" w:rsidP="008238DC">
      <w:r w:rsidRPr="0034420E">
        <w:t xml:space="preserve">No studies were identified that linked the use of PromarkerD to a change in clinical decisions or final health outcomes. Consequently, a linked evidence approach </w:t>
      </w:r>
      <w:r w:rsidR="001F1BFD" w:rsidRPr="0034420E">
        <w:t>will</w:t>
      </w:r>
      <w:r w:rsidRPr="0034420E">
        <w:t xml:space="preserve"> be necessary, as presented in </w:t>
      </w:r>
      <w:r w:rsidR="00E5120D" w:rsidRPr="0034420E">
        <w:fldChar w:fldCharType="begin"/>
      </w:r>
      <w:r w:rsidR="00E5120D" w:rsidRPr="0034420E">
        <w:instrText xml:space="preserve"> REF _Ref87016622 \h </w:instrText>
      </w:r>
      <w:r w:rsidR="009E1D30" w:rsidRPr="0034420E">
        <w:instrText xml:space="preserve"> \* MERGEFORMAT </w:instrText>
      </w:r>
      <w:r w:rsidR="00E5120D" w:rsidRPr="0034420E">
        <w:fldChar w:fldCharType="separate"/>
      </w:r>
      <w:r w:rsidR="00523E59" w:rsidRPr="0034420E">
        <w:t xml:space="preserve">Figure </w:t>
      </w:r>
      <w:r w:rsidR="00523E59" w:rsidRPr="0034420E">
        <w:rPr>
          <w:noProof/>
        </w:rPr>
        <w:t>3</w:t>
      </w:r>
      <w:r w:rsidR="00E5120D" w:rsidRPr="0034420E">
        <w:fldChar w:fldCharType="end"/>
      </w:r>
      <w:r w:rsidRPr="0034420E">
        <w:t>.</w:t>
      </w:r>
      <w:r w:rsidR="00EA698E" w:rsidRPr="0034420E">
        <w:t xml:space="preserve"> </w:t>
      </w:r>
    </w:p>
    <w:p w14:paraId="64E53FC0" w14:textId="625604C3" w:rsidR="008238DC" w:rsidRPr="0034420E" w:rsidRDefault="00EA698E" w:rsidP="008238DC">
      <w:pPr>
        <w:rPr>
          <w:rFonts w:asciiTheme="minorHAnsi" w:hAnsiTheme="minorHAnsi" w:cstheme="minorHAnsi"/>
          <w:i/>
          <w:iCs/>
        </w:rPr>
      </w:pPr>
      <w:r w:rsidRPr="0034420E">
        <w:rPr>
          <w:rFonts w:asciiTheme="minorHAnsi" w:hAnsiTheme="minorHAnsi" w:cstheme="minorHAnsi"/>
          <w:i/>
          <w:iCs/>
        </w:rPr>
        <w:t>PASC noted the linked evidence approach and indicated there was a lack of clarity as to whether the PromarkerD test result led to changes in clinical management that would lead to a reduction in DKD.</w:t>
      </w:r>
    </w:p>
    <w:p w14:paraId="1901A69A" w14:textId="1B5DB558" w:rsidR="00EA698E" w:rsidRPr="0034420E" w:rsidRDefault="00EA698E" w:rsidP="008238DC">
      <w:r w:rsidRPr="0034420E">
        <w:rPr>
          <w:rFonts w:asciiTheme="minorHAnsi" w:hAnsiTheme="minorHAnsi" w:cstheme="minorHAnsi"/>
          <w:i/>
          <w:iCs/>
        </w:rPr>
        <w:t xml:space="preserve">PASC noted that the intervention is a test (including the associated algorithm) AND the subsequent changes in clinical management that may lead to a reduction in DKD. </w:t>
      </w:r>
      <w:r w:rsidRPr="0034420E">
        <w:rPr>
          <w:rFonts w:asciiTheme="minorHAnsi" w:hAnsiTheme="minorHAnsi" w:cstheme="minorHAnsi"/>
          <w:i/>
          <w:iCs/>
          <w:color w:val="000000"/>
          <w:szCs w:val="24"/>
          <w:shd w:val="clear" w:color="auto" w:fill="FFFFFF"/>
        </w:rPr>
        <w:t xml:space="preserve">PASC questioned whether changes in clinical outcome </w:t>
      </w:r>
      <w:r w:rsidR="00405F65" w:rsidRPr="0034420E">
        <w:rPr>
          <w:rFonts w:asciiTheme="minorHAnsi" w:hAnsiTheme="minorHAnsi" w:cstheme="minorHAnsi"/>
          <w:i/>
          <w:iCs/>
          <w:color w:val="000000"/>
          <w:szCs w:val="24"/>
          <w:shd w:val="clear" w:color="auto" w:fill="FFFFFF"/>
        </w:rPr>
        <w:t xml:space="preserve">were </w:t>
      </w:r>
      <w:r w:rsidRPr="0034420E">
        <w:rPr>
          <w:rFonts w:asciiTheme="minorHAnsi" w:hAnsiTheme="minorHAnsi" w:cstheme="minorHAnsi"/>
          <w:i/>
          <w:iCs/>
          <w:color w:val="000000"/>
          <w:szCs w:val="24"/>
          <w:shd w:val="clear" w:color="auto" w:fill="FFFFFF"/>
        </w:rPr>
        <w:t>a result of the test and algorithm, or whether the changes simply result from changes in clinical management.</w:t>
      </w:r>
    </w:p>
    <w:p w14:paraId="49CB8570" w14:textId="77777777" w:rsidR="008238DC" w:rsidRPr="0034420E" w:rsidRDefault="008238DC" w:rsidP="008238DC">
      <w:pPr>
        <w:keepNext/>
      </w:pPr>
      <w:r w:rsidRPr="0034420E">
        <w:rPr>
          <w:noProof/>
          <w:lang w:eastAsia="en-AU"/>
        </w:rPr>
        <w:lastRenderedPageBreak/>
        <w:drawing>
          <wp:inline distT="0" distB="0" distL="0" distR="0" wp14:anchorId="0344A500" wp14:editId="7B7AAD50">
            <wp:extent cx="5727700" cy="2044700"/>
            <wp:effectExtent l="0" t="0" r="0" b="0"/>
            <wp:docPr id="4" name="Picture 4" descr="Diagrammatic representation of intermediate steps and links between test population and health outcomes. Test population is linked to test results information (numbered 2 and labelled as testing, with a side link to adverse events of the test, numbered 7). Test results information is linked to change in clinical decisions (numbered 3 and labelled as decision-making). change in clinical decisions is linked to intermediate outcomes (numbered 5 and labelled as treatment/management, with a side link to adverse events of treatment, numbered 8). Intermediate outcomes is linked to health outcomes with a dotted line (numbered 6 and labelled as association). Testing is also linked directly to health outcomes (numbered 1). Treatment/management is also linked directly to health outcomes (numbere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matic representation of intermediate steps and links between test population and health outcomes. Test population is linked to test results information (numbered 2 and labelled as testing, with a side link to adverse events of the test, numbered 7). Test results information is linked to change in clinical decisions (numbered 3 and labelled as decision-making). change in clinical decisions is linked to intermediate outcomes (numbered 5 and labelled as treatment/management, with a side link to adverse events of treatment, numbered 8). Intermediate outcomes is linked to health outcomes with a dotted line (numbered 6 and labelled as association). Testing is also linked directly to health outcomes (numbered 1). Treatment/management is also linked directly to health outcomes (numbered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27700" cy="2044700"/>
                    </a:xfrm>
                    <a:prstGeom prst="rect">
                      <a:avLst/>
                    </a:prstGeom>
                  </pic:spPr>
                </pic:pic>
              </a:graphicData>
            </a:graphic>
          </wp:inline>
        </w:drawing>
      </w:r>
    </w:p>
    <w:p w14:paraId="2943D601" w14:textId="2789D8F1" w:rsidR="00332DB6" w:rsidRPr="0034420E" w:rsidRDefault="00332DB6" w:rsidP="00332DB6">
      <w:pPr>
        <w:pStyle w:val="Caption"/>
      </w:pPr>
      <w:bookmarkStart w:id="12" w:name="_Ref87016622"/>
      <w:r w:rsidRPr="0034420E">
        <w:t xml:space="preserve">Figure </w:t>
      </w:r>
      <w:r w:rsidRPr="0034420E">
        <w:fldChar w:fldCharType="begin"/>
      </w:r>
      <w:r w:rsidRPr="0034420E">
        <w:instrText xml:space="preserve"> SEQ Figure \* ARABIC </w:instrText>
      </w:r>
      <w:r w:rsidRPr="0034420E">
        <w:fldChar w:fldCharType="separate"/>
      </w:r>
      <w:r w:rsidR="00523E59" w:rsidRPr="0034420E">
        <w:rPr>
          <w:noProof/>
        </w:rPr>
        <w:t>3</w:t>
      </w:r>
      <w:r w:rsidRPr="0034420E">
        <w:fldChar w:fldCharType="end"/>
      </w:r>
      <w:bookmarkEnd w:id="12"/>
      <w:r w:rsidRPr="0034420E">
        <w:tab/>
        <w:t>Generic assessment framework showing the links from the test population to health outcomes</w:t>
      </w:r>
    </w:p>
    <w:p w14:paraId="46244847" w14:textId="77777777" w:rsidR="008238DC" w:rsidRPr="0034420E" w:rsidRDefault="008238DC" w:rsidP="00E5120D">
      <w:pPr>
        <w:pStyle w:val="Tablenotes"/>
        <w:keepLines/>
        <w:spacing w:after="200"/>
        <w:jc w:val="left"/>
        <w:rPr>
          <w:szCs w:val="18"/>
        </w:rPr>
      </w:pPr>
      <w:r w:rsidRPr="0034420E">
        <w:rPr>
          <w:szCs w:val="18"/>
        </w:rPr>
        <w:t>Figure notes: 1: direct from test to health outcomes evidence; 2: test accuracy; 3: change in diagnosis/treatment/management; 4: influence of the change in management on health outcomes; 5: influence of the change in management on intermediate outcomes; 6: association of intermediate outcomes with health outcomes; 7: adverse events due to testing; 8: adverse events due to treatment</w:t>
      </w:r>
    </w:p>
    <w:p w14:paraId="6AB9C22D" w14:textId="5632C226" w:rsidR="00845549" w:rsidRPr="0034420E" w:rsidRDefault="005B0C2E" w:rsidP="001F1BFD">
      <w:r w:rsidRPr="0034420E">
        <w:t xml:space="preserve">If </w:t>
      </w:r>
      <w:r w:rsidR="00D51C44" w:rsidRPr="0034420E">
        <w:t>changes in clinical</w:t>
      </w:r>
      <w:r w:rsidRPr="0034420E">
        <w:t xml:space="preserve"> outcomes are to be demonstrated as a result of the use of PromarkerD, evidence of the renoprotective effects of SGLT-2 inhibitors in patients with T2DM is likely to be required. </w:t>
      </w:r>
      <w:r w:rsidR="00845549" w:rsidRPr="0034420E">
        <w:t>The evidence for renoprotection of SGLT-2 inhibitors in the proposed population (baseline eGFR</w:t>
      </w:r>
      <w:r w:rsidR="00845549" w:rsidRPr="0034420E">
        <w:rPr>
          <w:rFonts w:cstheme="minorHAnsi"/>
        </w:rPr>
        <w:t>≥</w:t>
      </w:r>
      <w:r w:rsidR="00845549" w:rsidRPr="0034420E">
        <w:t>60 ml/min/1.73m</w:t>
      </w:r>
      <w:r w:rsidR="00845549" w:rsidRPr="0034420E">
        <w:rPr>
          <w:vertAlign w:val="superscript"/>
        </w:rPr>
        <w:t>2</w:t>
      </w:r>
      <w:r w:rsidR="00845549" w:rsidRPr="0034420E">
        <w:t>) may be uncertain:</w:t>
      </w:r>
    </w:p>
    <w:p w14:paraId="735B25D1" w14:textId="7502A591" w:rsidR="00845549" w:rsidRPr="0034420E" w:rsidRDefault="00845549" w:rsidP="00EC5DB4">
      <w:pPr>
        <w:pStyle w:val="ListParagraph"/>
        <w:numPr>
          <w:ilvl w:val="0"/>
          <w:numId w:val="9"/>
        </w:numPr>
        <w:ind w:left="284" w:hanging="284"/>
      </w:pPr>
      <w:r w:rsidRPr="0034420E">
        <w:t xml:space="preserve">Noting that canagliflozin is </w:t>
      </w:r>
      <w:r w:rsidR="00405F65" w:rsidRPr="0034420E">
        <w:t xml:space="preserve">not </w:t>
      </w:r>
      <w:r w:rsidRPr="0034420E">
        <w:t xml:space="preserve">currently marketed in Australia, based on the post hoc analysis of patients treated with placebo or canagliflozin as part of the CANVAS trial reported in Peters </w:t>
      </w:r>
      <w:r w:rsidR="00D51C44" w:rsidRPr="0034420E">
        <w:t>(</w:t>
      </w:r>
      <w:r w:rsidRPr="0034420E">
        <w:t>2020</w:t>
      </w:r>
      <w:r w:rsidR="00D51C44" w:rsidRPr="0034420E">
        <w:t>)</w:t>
      </w:r>
      <w:r w:rsidRPr="0034420E">
        <w:t>, during the four year trial period, 274</w:t>
      </w:r>
      <w:r w:rsidR="00D51C44" w:rsidRPr="0034420E">
        <w:t xml:space="preserve"> of </w:t>
      </w:r>
      <w:r w:rsidRPr="0034420E">
        <w:t>982 (27.9%) patients in the placebo arm and 652</w:t>
      </w:r>
      <w:r w:rsidR="00D51C44" w:rsidRPr="0034420E">
        <w:t xml:space="preserve"> of </w:t>
      </w:r>
      <w:r w:rsidRPr="0034420E">
        <w:t xml:space="preserve">1994 (32.6%) patients in the canagliflozin arm developed incident CKD. If SGLT2 inhibitors were protective against incidence of CKD, it should be expected that the incidence of CKD </w:t>
      </w:r>
      <w:r w:rsidR="001624D1" w:rsidRPr="0034420E">
        <w:t xml:space="preserve">would </w:t>
      </w:r>
      <w:r w:rsidRPr="0034420E">
        <w:t>be lower in the canagliflozin arm</w:t>
      </w:r>
      <w:r w:rsidR="001624D1" w:rsidRPr="0034420E">
        <w:t>,</w:t>
      </w:r>
      <w:r w:rsidRPr="0034420E">
        <w:t xml:space="preserve"> rather than as reported. The proportion experiencing a decline</w:t>
      </w:r>
      <w:r w:rsidR="001624D1" w:rsidRPr="0034420E">
        <w:t xml:space="preserve"> of</w:t>
      </w:r>
      <w:r w:rsidRPr="0034420E">
        <w:t xml:space="preserve"> ≥30% in eGFR was also similar (187/1179 (15.9%) in placebo arm and 377/2346 (16.1%) in canagliflozin arm). The main CANVAS trial, which included patients with baseline eGFR&lt;60 ml/min/1.73m</w:t>
      </w:r>
      <w:r w:rsidRPr="0034420E">
        <w:rPr>
          <w:vertAlign w:val="superscript"/>
        </w:rPr>
        <w:t>2</w:t>
      </w:r>
      <w:r w:rsidRPr="0034420E">
        <w:t xml:space="preserve"> reported renal outcomes only as a composite outcome (40% reduction in eGFR, renal replacement therapy or renal death) which favoured canagliflozin (HR = 0.60, 95%</w:t>
      </w:r>
      <w:r w:rsidR="00D51C44" w:rsidRPr="0034420E">
        <w:t xml:space="preserve"> </w:t>
      </w:r>
      <w:r w:rsidRPr="0034420E">
        <w:t xml:space="preserve">CI 0.47, 0.77). </w:t>
      </w:r>
    </w:p>
    <w:p w14:paraId="0AC6AB3B" w14:textId="14AD5563" w:rsidR="00845549" w:rsidRPr="0034420E" w:rsidRDefault="00845549" w:rsidP="00EC5DB4">
      <w:pPr>
        <w:pStyle w:val="ListParagraph"/>
        <w:numPr>
          <w:ilvl w:val="0"/>
          <w:numId w:val="9"/>
        </w:numPr>
        <w:ind w:left="284" w:hanging="284"/>
      </w:pPr>
      <w:r w:rsidRPr="0034420E">
        <w:t>Results from the CREDENCE trial</w:t>
      </w:r>
      <w:r w:rsidR="00DB7DFD" w:rsidRPr="0034420E">
        <w:t xml:space="preserve"> (Perkovic 2019)</w:t>
      </w:r>
      <w:r w:rsidRPr="0034420E">
        <w:t xml:space="preserve">, a double blind RCT of canagliflozin and placebo in 4397 patients with </w:t>
      </w:r>
      <w:r w:rsidR="00663972" w:rsidRPr="0034420E">
        <w:t>T2DM</w:t>
      </w:r>
      <w:r w:rsidRPr="0034420E">
        <w:t xml:space="preserve"> and baseline eGFR of 30 to &lt;90 ml/min/1.73m</w:t>
      </w:r>
      <w:r w:rsidRPr="0034420E">
        <w:rPr>
          <w:vertAlign w:val="superscript"/>
        </w:rPr>
        <w:t>2</w:t>
      </w:r>
      <w:r w:rsidRPr="0034420E">
        <w:t>,</w:t>
      </w:r>
      <w:r w:rsidRPr="0034420E">
        <w:rPr>
          <w:vertAlign w:val="superscript"/>
        </w:rPr>
        <w:t xml:space="preserve"> </w:t>
      </w:r>
      <w:r w:rsidRPr="0034420E">
        <w:t>showed that while patients treated with canagliflozin had a lower risk for the renal specific composite outcome of ES</w:t>
      </w:r>
      <w:r w:rsidR="004F368B" w:rsidRPr="0034420E">
        <w:t>R</w:t>
      </w:r>
      <w:r w:rsidRPr="0034420E">
        <w:t>D, doubl</w:t>
      </w:r>
      <w:r w:rsidR="004F368B" w:rsidRPr="0034420E">
        <w:t>ing</w:t>
      </w:r>
      <w:r w:rsidRPr="0034420E">
        <w:t xml:space="preserve"> of serum creatinine, or renal death (ITT HR = 0.66, 95%</w:t>
      </w:r>
      <w:r w:rsidR="00D51C44" w:rsidRPr="0034420E">
        <w:t xml:space="preserve"> </w:t>
      </w:r>
      <w:r w:rsidRPr="0034420E">
        <w:t>CI 0.53, 0.81) with a median follow up of 2.62 years, there was no statistically significant difference in the subgroup of patients with baseline eGFR of 60 to &lt;90 ml/min/1.73m</w:t>
      </w:r>
      <w:r w:rsidRPr="0034420E">
        <w:rPr>
          <w:vertAlign w:val="superscript"/>
        </w:rPr>
        <w:t>2</w:t>
      </w:r>
      <w:r w:rsidRPr="0034420E">
        <w:t xml:space="preserve"> (HR = 0.81, 95%</w:t>
      </w:r>
      <w:r w:rsidR="00D51C44" w:rsidRPr="0034420E">
        <w:t xml:space="preserve"> </w:t>
      </w:r>
      <w:r w:rsidRPr="0034420E">
        <w:t>CI 0.52, 1.26), with 35/905 (3.9%) and 43/904 (4.8%) patients reporting any event in the composite outcome in the canagliflozin and placebo group, respectively. It should however be noted that the test for interaction was not statistically significantly different based on baseline eGFR (p=0.18)</w:t>
      </w:r>
      <w:r w:rsidR="008E0A27" w:rsidRPr="0034420E">
        <w:t>,</w:t>
      </w:r>
      <w:r w:rsidRPr="0034420E">
        <w:t xml:space="preserve"> therefore caution is required when interpreting this result. </w:t>
      </w:r>
    </w:p>
    <w:p w14:paraId="02A3A3EB" w14:textId="4552A97D" w:rsidR="00845549" w:rsidRPr="0034420E" w:rsidRDefault="00845549" w:rsidP="00EC5DB4">
      <w:pPr>
        <w:pStyle w:val="ListParagraph"/>
        <w:numPr>
          <w:ilvl w:val="0"/>
          <w:numId w:val="9"/>
        </w:numPr>
        <w:ind w:left="284" w:hanging="284"/>
      </w:pPr>
      <w:r w:rsidRPr="0034420E">
        <w:t>Subgroup results from the EMPA-REG OUTCOME trial</w:t>
      </w:r>
      <w:r w:rsidR="005036A9" w:rsidRPr="0034420E">
        <w:t xml:space="preserve"> (Wanner 2016)</w:t>
      </w:r>
      <w:r w:rsidRPr="0034420E">
        <w:t xml:space="preserve"> of empagliflozin vs placebo appeared to provide some evidence of efficacy in </w:t>
      </w:r>
      <w:r w:rsidR="00663972" w:rsidRPr="0034420E">
        <w:t>T2DM</w:t>
      </w:r>
      <w:r w:rsidRPr="0034420E">
        <w:t xml:space="preserve"> patients with eGFR</w:t>
      </w:r>
      <w:r w:rsidRPr="0034420E">
        <w:rPr>
          <w:rFonts w:cstheme="minorHAnsi"/>
        </w:rPr>
        <w:t>≥</w:t>
      </w:r>
      <w:r w:rsidRPr="0034420E">
        <w:t>60 ml/min/1.73m</w:t>
      </w:r>
      <w:r w:rsidRPr="0034420E">
        <w:rPr>
          <w:vertAlign w:val="superscript"/>
        </w:rPr>
        <w:t xml:space="preserve">2 </w:t>
      </w:r>
      <w:r w:rsidRPr="0034420E">
        <w:t>with a median observation time of 3.1 years, reported a statistically significantly lower risk for ‘incident or worsening nephropathy’ (defined as progression to macroalbuminuria, a doubling of the serum creatinine level, accompanied by an eGFR of ≤45 ml per minute per 1.73 m</w:t>
      </w:r>
      <w:r w:rsidRPr="0034420E">
        <w:rPr>
          <w:vertAlign w:val="superscript"/>
        </w:rPr>
        <w:t>2</w:t>
      </w:r>
      <w:r w:rsidRPr="0034420E">
        <w:t xml:space="preserve">, the initiation of renal-replacement therapy or death from renal disease) in patients treated with empagliflozin compared to placebo (HR values not reported – see </w:t>
      </w:r>
      <w:r w:rsidR="00D51C44" w:rsidRPr="0034420E">
        <w:fldChar w:fldCharType="begin"/>
      </w:r>
      <w:r w:rsidR="00D51C44" w:rsidRPr="0034420E">
        <w:instrText xml:space="preserve"> REF _Ref87248583 \h </w:instrText>
      </w:r>
      <w:r w:rsidR="00B5360A" w:rsidRPr="0034420E">
        <w:instrText xml:space="preserve"> \* MERGEFORMAT </w:instrText>
      </w:r>
      <w:r w:rsidR="00D51C44" w:rsidRPr="0034420E">
        <w:fldChar w:fldCharType="separate"/>
      </w:r>
      <w:r w:rsidR="00523E59" w:rsidRPr="0034420E">
        <w:t xml:space="preserve">Figure </w:t>
      </w:r>
      <w:r w:rsidR="00523E59" w:rsidRPr="0034420E">
        <w:rPr>
          <w:noProof/>
        </w:rPr>
        <w:t>4</w:t>
      </w:r>
      <w:r w:rsidR="00D51C44" w:rsidRPr="0034420E">
        <w:fldChar w:fldCharType="end"/>
      </w:r>
      <w:r w:rsidRPr="0034420E">
        <w:t xml:space="preserve">). Statistical significance was not reached in the </w:t>
      </w:r>
      <w:r w:rsidR="008E0A27" w:rsidRPr="0034420E">
        <w:t>p</w:t>
      </w:r>
      <w:r w:rsidRPr="0034420E">
        <w:t xml:space="preserve">ost hoc subgroup analyses of doubling of serum creatinine, initiation of renal replacement therapy or death due </w:t>
      </w:r>
      <w:r w:rsidRPr="0034420E">
        <w:lastRenderedPageBreak/>
        <w:t>to renal disease in patients with baseline eGFR 60 to &lt;90 ml/min/1.73m</w:t>
      </w:r>
      <w:r w:rsidRPr="0034420E">
        <w:rPr>
          <w:vertAlign w:val="superscript"/>
        </w:rPr>
        <w:t>2</w:t>
      </w:r>
      <w:r w:rsidRPr="0034420E">
        <w:t xml:space="preserve"> (values not reported – see </w:t>
      </w:r>
      <w:r w:rsidR="00D51C44" w:rsidRPr="0034420E">
        <w:fldChar w:fldCharType="begin"/>
      </w:r>
      <w:r w:rsidR="00D51C44" w:rsidRPr="0034420E">
        <w:instrText xml:space="preserve"> REF _Ref87248602 \h </w:instrText>
      </w:r>
      <w:r w:rsidR="00B5360A" w:rsidRPr="0034420E">
        <w:instrText xml:space="preserve"> \* MERGEFORMAT </w:instrText>
      </w:r>
      <w:r w:rsidR="00D51C44" w:rsidRPr="0034420E">
        <w:fldChar w:fldCharType="separate"/>
      </w:r>
      <w:r w:rsidR="00523E59" w:rsidRPr="0034420E">
        <w:t xml:space="preserve">Figure </w:t>
      </w:r>
      <w:r w:rsidR="00523E59" w:rsidRPr="0034420E">
        <w:rPr>
          <w:noProof/>
        </w:rPr>
        <w:t>5</w:t>
      </w:r>
      <w:r w:rsidR="00D51C44" w:rsidRPr="0034420E">
        <w:fldChar w:fldCharType="end"/>
      </w:r>
      <w:r w:rsidRPr="0034420E">
        <w:t xml:space="preserve">). Patients treated with empagliflozin appeared to have maintained kidney function based on adjusted mean eGFR over time compared to patients treated with placebo (see </w:t>
      </w:r>
      <w:r w:rsidR="00D51C44" w:rsidRPr="0034420E">
        <w:fldChar w:fldCharType="begin"/>
      </w:r>
      <w:r w:rsidR="00D51C44" w:rsidRPr="0034420E">
        <w:instrText xml:space="preserve"> REF _Ref87248614 \h </w:instrText>
      </w:r>
      <w:r w:rsidR="00B5360A" w:rsidRPr="0034420E">
        <w:instrText xml:space="preserve"> \* MERGEFORMAT </w:instrText>
      </w:r>
      <w:r w:rsidR="00D51C44" w:rsidRPr="0034420E">
        <w:fldChar w:fldCharType="separate"/>
      </w:r>
      <w:r w:rsidR="00523E59" w:rsidRPr="0034420E">
        <w:t xml:space="preserve">Figure </w:t>
      </w:r>
      <w:r w:rsidR="00523E59" w:rsidRPr="0034420E">
        <w:rPr>
          <w:noProof/>
        </w:rPr>
        <w:t>6</w:t>
      </w:r>
      <w:r w:rsidR="00D51C44" w:rsidRPr="0034420E">
        <w:fldChar w:fldCharType="end"/>
      </w:r>
      <w:r w:rsidRPr="0034420E">
        <w:t>). However it is noted that in the approved product information (PI) it is noted that empagliflozin increases serum creatinine and decreases eGFR and renal function abnormalities can occur after initiating empagliflozin.</w:t>
      </w:r>
    </w:p>
    <w:p w14:paraId="189BE291" w14:textId="6B7DCB0C" w:rsidR="00845549" w:rsidRPr="0034420E" w:rsidRDefault="00845549" w:rsidP="00EC5DB4">
      <w:pPr>
        <w:pStyle w:val="ListParagraph"/>
        <w:numPr>
          <w:ilvl w:val="0"/>
          <w:numId w:val="9"/>
        </w:numPr>
        <w:ind w:left="284" w:hanging="284"/>
      </w:pPr>
      <w:r w:rsidRPr="0034420E">
        <w:t>While one trial of dapagliflozin in patients with CKD (DAPA-CKD)</w:t>
      </w:r>
      <w:r w:rsidR="005036A9" w:rsidRPr="0034420E">
        <w:t xml:space="preserve"> (Heerspink 2020)</w:t>
      </w:r>
      <w:r w:rsidRPr="0034420E">
        <w:t xml:space="preserve"> was identified, patients enrolled in DAPA-CKD had baseline eGFR of 25 to 75 ml/min/1.73m</w:t>
      </w:r>
      <w:r w:rsidRPr="0034420E">
        <w:rPr>
          <w:vertAlign w:val="superscript"/>
        </w:rPr>
        <w:t xml:space="preserve">2 </w:t>
      </w:r>
      <w:r w:rsidRPr="0034420E">
        <w:t xml:space="preserve">and no subgroup results for those with </w:t>
      </w:r>
      <w:r w:rsidRPr="0034420E">
        <w:rPr>
          <w:rFonts w:cstheme="minorHAnsi"/>
        </w:rPr>
        <w:t>≥</w:t>
      </w:r>
      <w:r w:rsidRPr="0034420E">
        <w:t>60 ml/min/1.73m</w:t>
      </w:r>
      <w:r w:rsidRPr="0034420E">
        <w:rPr>
          <w:vertAlign w:val="superscript"/>
        </w:rPr>
        <w:t xml:space="preserve">2 </w:t>
      </w:r>
      <w:r w:rsidRPr="0034420E">
        <w:t>was reported. In the approved PI, it was noted that use of dapagliflozin was associated with increases in serum creatinine and decreases in eGFR. “In the DAPA-CKD study, eGFR decreased over time in both the dapagliflozin group and the placebo group. The initial (day 14) decrease in mean eGFR was -4.0 mL/min/1.73 m</w:t>
      </w:r>
      <w:r w:rsidRPr="0034420E">
        <w:rPr>
          <w:vertAlign w:val="superscript"/>
        </w:rPr>
        <w:t>2</w:t>
      </w:r>
      <w:r w:rsidRPr="0034420E">
        <w:t xml:space="preserve"> in the dapagliflozin group and -0.8 mL/min/1.73 m</w:t>
      </w:r>
      <w:r w:rsidRPr="0034420E">
        <w:rPr>
          <w:vertAlign w:val="superscript"/>
        </w:rPr>
        <w:t>2</w:t>
      </w:r>
      <w:r w:rsidRPr="0034420E">
        <w:t xml:space="preserve"> in the placebo group. At 28 months, change from baseline in eGFR was -7.4 mL/min/1.73 m2 in the dapagliflozin group and -8.6 mL/min/1.73 m2 in the placebo group.” It was also noted that dapagliflozin has a TGA indication (but not PBS listing) for reducing the risk of progressive decline in kidney function in adults with </w:t>
      </w:r>
      <w:proofErr w:type="spellStart"/>
      <w:r w:rsidRPr="0034420E">
        <w:t>proteinuric</w:t>
      </w:r>
      <w:proofErr w:type="spellEnd"/>
      <w:r w:rsidRPr="0034420E">
        <w:t xml:space="preserve"> chronic kidney disease (CKD Stage 2, 3 or 4 and urine ACR </w:t>
      </w:r>
      <w:r w:rsidRPr="0034420E">
        <w:rPr>
          <w:rFonts w:cstheme="minorHAnsi"/>
        </w:rPr>
        <w:t>≥30mg/g), which is a more severe population than the proposed population for PromarkerD testing.</w:t>
      </w:r>
    </w:p>
    <w:p w14:paraId="4ED31690" w14:textId="77777777" w:rsidR="00E5120D" w:rsidRPr="0034420E" w:rsidRDefault="00845549" w:rsidP="00E5120D">
      <w:pPr>
        <w:keepNext/>
        <w:keepLines/>
        <w:rPr>
          <w:rStyle w:val="TablenotesChar"/>
          <w:rFonts w:eastAsia="Calibri"/>
        </w:rPr>
      </w:pPr>
      <w:r w:rsidRPr="0034420E">
        <w:rPr>
          <w:noProof/>
          <w:lang w:eastAsia="en-AU"/>
        </w:rPr>
        <w:drawing>
          <wp:inline distT="0" distB="0" distL="0" distR="0" wp14:anchorId="31844D62" wp14:editId="3B99770D">
            <wp:extent cx="5730240" cy="967740"/>
            <wp:effectExtent l="0" t="0" r="3810" b="381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40" cy="967740"/>
                    </a:xfrm>
                    <a:prstGeom prst="rect">
                      <a:avLst/>
                    </a:prstGeom>
                    <a:noFill/>
                    <a:ln>
                      <a:noFill/>
                    </a:ln>
                  </pic:spPr>
                </pic:pic>
              </a:graphicData>
            </a:graphic>
          </wp:inline>
        </w:drawing>
      </w:r>
    </w:p>
    <w:p w14:paraId="51FA4615" w14:textId="0562E901" w:rsidR="00D51C44" w:rsidRPr="0034420E" w:rsidRDefault="00D51C44" w:rsidP="00D51C44">
      <w:pPr>
        <w:pStyle w:val="Caption"/>
      </w:pPr>
      <w:bookmarkStart w:id="13" w:name="_Ref87248583"/>
      <w:r w:rsidRPr="0034420E">
        <w:t xml:space="preserve">Figure </w:t>
      </w:r>
      <w:r w:rsidRPr="0034420E">
        <w:fldChar w:fldCharType="begin"/>
      </w:r>
      <w:r w:rsidRPr="0034420E">
        <w:instrText xml:space="preserve"> SEQ Figure \* ARABIC </w:instrText>
      </w:r>
      <w:r w:rsidRPr="0034420E">
        <w:fldChar w:fldCharType="separate"/>
      </w:r>
      <w:r w:rsidR="00523E59" w:rsidRPr="0034420E">
        <w:rPr>
          <w:noProof/>
        </w:rPr>
        <w:t>4</w:t>
      </w:r>
      <w:r w:rsidRPr="0034420E">
        <w:fldChar w:fldCharType="end"/>
      </w:r>
      <w:bookmarkEnd w:id="13"/>
      <w:r w:rsidRPr="0034420E">
        <w:tab/>
        <w:t>Incident or worsening nephropathy in EMPA-REG OUTCOME by baseline eGFR</w:t>
      </w:r>
    </w:p>
    <w:p w14:paraId="57F111E4" w14:textId="6DE394DF" w:rsidR="00845549" w:rsidRPr="0034420E" w:rsidRDefault="00845549" w:rsidP="00E5120D">
      <w:pPr>
        <w:keepNext/>
        <w:keepLines/>
        <w:rPr>
          <w:rStyle w:val="TablenotesChar"/>
          <w:rFonts w:eastAsia="Calibri"/>
        </w:rPr>
      </w:pPr>
      <w:r w:rsidRPr="0034420E">
        <w:rPr>
          <w:rStyle w:val="TablenotesChar"/>
          <w:rFonts w:eastAsia="Calibri"/>
        </w:rPr>
        <w:t>Source: Figure S1, supplementary appendix to Wanner 2016 (EMPA-REG OUTCOME)</w:t>
      </w:r>
    </w:p>
    <w:p w14:paraId="13CB4D06" w14:textId="795697AC" w:rsidR="008E0A27" w:rsidRPr="0034420E" w:rsidRDefault="00845549" w:rsidP="000A6906">
      <w:pPr>
        <w:keepNext/>
        <w:keepLines/>
      </w:pPr>
      <w:r w:rsidRPr="0034420E">
        <w:rPr>
          <w:noProof/>
          <w:lang w:eastAsia="en-AU"/>
        </w:rPr>
        <w:drawing>
          <wp:inline distT="0" distB="0" distL="0" distR="0" wp14:anchorId="09790E62" wp14:editId="04298538">
            <wp:extent cx="5722620" cy="2202180"/>
            <wp:effectExtent l="0" t="0" r="0" b="7620"/>
            <wp:docPr id="7" name="Picture 7"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char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2620" cy="2202180"/>
                    </a:xfrm>
                    <a:prstGeom prst="rect">
                      <a:avLst/>
                    </a:prstGeom>
                    <a:noFill/>
                    <a:ln>
                      <a:noFill/>
                    </a:ln>
                  </pic:spPr>
                </pic:pic>
              </a:graphicData>
            </a:graphic>
          </wp:inline>
        </w:drawing>
      </w:r>
    </w:p>
    <w:p w14:paraId="0BC0E66A" w14:textId="5F1874E5" w:rsidR="00D51C44" w:rsidRPr="0034420E" w:rsidRDefault="00D51C44" w:rsidP="00D51C44">
      <w:pPr>
        <w:pStyle w:val="Caption"/>
      </w:pPr>
      <w:bookmarkStart w:id="14" w:name="_Ref87248602"/>
      <w:r w:rsidRPr="0034420E">
        <w:t xml:space="preserve">Figure </w:t>
      </w:r>
      <w:r w:rsidRPr="0034420E">
        <w:fldChar w:fldCharType="begin"/>
      </w:r>
      <w:r w:rsidRPr="0034420E">
        <w:instrText xml:space="preserve"> SEQ Figure \* ARABIC </w:instrText>
      </w:r>
      <w:r w:rsidRPr="0034420E">
        <w:fldChar w:fldCharType="separate"/>
      </w:r>
      <w:r w:rsidR="00523E59" w:rsidRPr="0034420E">
        <w:rPr>
          <w:noProof/>
        </w:rPr>
        <w:t>5</w:t>
      </w:r>
      <w:r w:rsidRPr="0034420E">
        <w:fldChar w:fldCharType="end"/>
      </w:r>
      <w:bookmarkEnd w:id="14"/>
      <w:r w:rsidRPr="0034420E">
        <w:tab/>
        <w:t>Post hoc subgroup analysis of doubling of serum creatinine, initiation of renal replacement therapy or death due to renal disease in EMPA-REG OUTCOME</w:t>
      </w:r>
    </w:p>
    <w:p w14:paraId="2CF0A469" w14:textId="78ED34CC" w:rsidR="00845549" w:rsidRPr="0034420E" w:rsidRDefault="00845549" w:rsidP="0072128E">
      <w:pPr>
        <w:rPr>
          <w:rStyle w:val="TablenotesChar"/>
          <w:rFonts w:eastAsia="Calibri"/>
        </w:rPr>
      </w:pPr>
      <w:r w:rsidRPr="0034420E">
        <w:rPr>
          <w:rStyle w:val="TablenotesChar"/>
          <w:rFonts w:eastAsia="Calibri"/>
        </w:rPr>
        <w:t>Source: Figure S6, supplementary appendix to Wanner 2016 (EMPA-REG OUTCOME)</w:t>
      </w:r>
    </w:p>
    <w:p w14:paraId="784C4793" w14:textId="77777777" w:rsidR="00845549" w:rsidRPr="0034420E" w:rsidRDefault="00845549" w:rsidP="0072128E">
      <w:pPr>
        <w:keepNext/>
        <w:keepLines/>
      </w:pPr>
      <w:r w:rsidRPr="0034420E">
        <w:rPr>
          <w:noProof/>
          <w:lang w:eastAsia="en-AU"/>
        </w:rPr>
        <w:lastRenderedPageBreak/>
        <w:drawing>
          <wp:inline distT="0" distB="0" distL="0" distR="0" wp14:anchorId="47E870FD" wp14:editId="3B4363DD">
            <wp:extent cx="5730240" cy="4259580"/>
            <wp:effectExtent l="0" t="0" r="3810" b="762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0240" cy="4259580"/>
                    </a:xfrm>
                    <a:prstGeom prst="rect">
                      <a:avLst/>
                    </a:prstGeom>
                    <a:noFill/>
                    <a:ln>
                      <a:noFill/>
                    </a:ln>
                  </pic:spPr>
                </pic:pic>
              </a:graphicData>
            </a:graphic>
          </wp:inline>
        </w:drawing>
      </w:r>
    </w:p>
    <w:p w14:paraId="700F5690" w14:textId="0975CDB5" w:rsidR="00D51C44" w:rsidRPr="0034420E" w:rsidRDefault="00D51C44" w:rsidP="00D51C44">
      <w:pPr>
        <w:pStyle w:val="Caption"/>
      </w:pPr>
      <w:bookmarkStart w:id="15" w:name="_Ref87248614"/>
      <w:r w:rsidRPr="0034420E">
        <w:t xml:space="preserve">Figure </w:t>
      </w:r>
      <w:r w:rsidRPr="0034420E">
        <w:fldChar w:fldCharType="begin"/>
      </w:r>
      <w:r w:rsidRPr="0034420E">
        <w:instrText xml:space="preserve"> SEQ Figure \* ARABIC </w:instrText>
      </w:r>
      <w:r w:rsidRPr="0034420E">
        <w:fldChar w:fldCharType="separate"/>
      </w:r>
      <w:r w:rsidR="00523E59" w:rsidRPr="0034420E">
        <w:rPr>
          <w:noProof/>
        </w:rPr>
        <w:t>6</w:t>
      </w:r>
      <w:r w:rsidRPr="0034420E">
        <w:fldChar w:fldCharType="end"/>
      </w:r>
      <w:bookmarkEnd w:id="15"/>
      <w:r w:rsidRPr="0034420E">
        <w:tab/>
        <w:t>eGFR according to CKD-EPI formula over 192 weeks in patients with baseline eGFR ≥60 ml/min/1.73m2 in EMPA-REG OUTCOME</w:t>
      </w:r>
    </w:p>
    <w:p w14:paraId="679AFCFE" w14:textId="0ACF119A" w:rsidR="00845549" w:rsidRPr="0034420E" w:rsidRDefault="00845549" w:rsidP="00D51C44">
      <w:pPr>
        <w:pStyle w:val="Tablenotes"/>
        <w:keepNext/>
        <w:keepLines/>
        <w:widowControl/>
        <w:spacing w:after="240"/>
      </w:pPr>
      <w:r w:rsidRPr="0034420E">
        <w:t>Source: Figure S7, supplementary appendix to Wanner 2016 (EMPA-REG OUTCOME)</w:t>
      </w:r>
    </w:p>
    <w:p w14:paraId="5E2DB192" w14:textId="7B4FA777" w:rsidR="00810263" w:rsidRPr="0034420E" w:rsidRDefault="00810263" w:rsidP="00810263">
      <w:pPr>
        <w:rPr>
          <w:i/>
          <w:iCs/>
        </w:rPr>
      </w:pPr>
      <w:r w:rsidRPr="0034420E">
        <w:t xml:space="preserve">The prognostic accuracy of PromarkerD was uncertain and was dependent on the renal outcome and also population studied. In Peters </w:t>
      </w:r>
      <w:r w:rsidR="0072128E" w:rsidRPr="0034420E">
        <w:t>(</w:t>
      </w:r>
      <w:r w:rsidRPr="0034420E">
        <w:t>2019</w:t>
      </w:r>
      <w:r w:rsidR="0072128E" w:rsidRPr="0034420E">
        <w:t xml:space="preserve">; </w:t>
      </w:r>
      <w:r w:rsidRPr="0034420E">
        <w:t xml:space="preserve">a previous study using </w:t>
      </w:r>
      <w:r w:rsidR="00D51C44" w:rsidRPr="0034420E">
        <w:t>FDS</w:t>
      </w:r>
      <w:r w:rsidRPr="0034420E">
        <w:t xml:space="preserve">2 data), PromarkerD had a relatively low sensitivity (54.2% using optimal </w:t>
      </w:r>
      <w:proofErr w:type="spellStart"/>
      <w:r w:rsidRPr="0034420E">
        <w:t>cutoff</w:t>
      </w:r>
      <w:proofErr w:type="spellEnd"/>
      <w:r w:rsidRPr="0034420E">
        <w:t xml:space="preserve">) at detecting decline of ≥30% in eGFR compared to detecting incident DKD (88.9% using optimal </w:t>
      </w:r>
      <w:proofErr w:type="spellStart"/>
      <w:r w:rsidRPr="0034420E">
        <w:t>cutoff</w:t>
      </w:r>
      <w:proofErr w:type="spellEnd"/>
      <w:r w:rsidRPr="0034420E">
        <w:t xml:space="preserve">). The sensitivity in Peters </w:t>
      </w:r>
      <w:r w:rsidR="0072128E" w:rsidRPr="0034420E">
        <w:t>(</w:t>
      </w:r>
      <w:r w:rsidRPr="0034420E">
        <w:t>2020</w:t>
      </w:r>
      <w:r w:rsidR="0072128E" w:rsidRPr="0034420E">
        <w:t>)</w:t>
      </w:r>
      <w:r w:rsidRPr="0034420E">
        <w:t xml:space="preserve"> using CANVAS data however showed lower sensitivity for both ≥30% decline in eGFR (45.9%) and incident kidney disease (73.2%). As such, it may be concluded that PromarkerD was not particularly sensitive in detecting patients who may experience a </w:t>
      </w:r>
      <w:r w:rsidRPr="0034420E">
        <w:rPr>
          <w:rFonts w:cstheme="minorHAnsi"/>
        </w:rPr>
        <w:t>≥</w:t>
      </w:r>
      <w:r w:rsidRPr="0034420E">
        <w:t>30% decline in eGFR over four years, despite the clinical claim</w:t>
      </w:r>
      <w:r w:rsidRPr="0034420E">
        <w:rPr>
          <w:i/>
          <w:iCs/>
        </w:rPr>
        <w:t>.</w:t>
      </w:r>
    </w:p>
    <w:p w14:paraId="6069F0B5" w14:textId="0697C28A" w:rsidR="00D73332" w:rsidRPr="0034420E" w:rsidRDefault="00D73332" w:rsidP="00713728">
      <w:pPr>
        <w:pStyle w:val="Heading2"/>
      </w:pPr>
      <w:r w:rsidRPr="0034420E">
        <w:t>Clinical management algorithms</w:t>
      </w:r>
    </w:p>
    <w:p w14:paraId="79CE19F9" w14:textId="24B91CC8" w:rsidR="00A670AF" w:rsidRPr="0034420E" w:rsidRDefault="00A670AF" w:rsidP="00A670AF">
      <w:pPr>
        <w:jc w:val="both"/>
      </w:pPr>
      <w:r w:rsidRPr="0034420E">
        <w:t xml:space="preserve">Limited information regarding the proposed change in clinical management for patients </w:t>
      </w:r>
      <w:r w:rsidR="00EB2457" w:rsidRPr="0034420E">
        <w:t>using</w:t>
      </w:r>
      <w:r w:rsidRPr="0034420E">
        <w:t xml:space="preserve"> PromarkerD was provided in the application. The applicant subsequently provided the following information.</w:t>
      </w:r>
    </w:p>
    <w:p w14:paraId="57A14534" w14:textId="16C5E54E" w:rsidR="00A670AF" w:rsidRPr="0034420E" w:rsidRDefault="00A670AF" w:rsidP="0072128E">
      <w:r w:rsidRPr="0034420E">
        <w:t>Based on the KDIGO definitions of kidney function</w:t>
      </w:r>
      <w:r w:rsidR="00E61E95" w:rsidRPr="0034420E">
        <w:t xml:space="preserve"> (</w:t>
      </w:r>
      <w:r w:rsidR="0072128E" w:rsidRPr="0034420E">
        <w:fldChar w:fldCharType="begin"/>
      </w:r>
      <w:r w:rsidR="0072128E" w:rsidRPr="0034420E">
        <w:instrText xml:space="preserve"> REF _Ref87016813 \h </w:instrText>
      </w:r>
      <w:r w:rsidR="009E1D30" w:rsidRPr="0034420E">
        <w:instrText xml:space="preserve"> \* MERGEFORMAT </w:instrText>
      </w:r>
      <w:r w:rsidR="0072128E" w:rsidRPr="0034420E">
        <w:fldChar w:fldCharType="separate"/>
      </w:r>
      <w:r w:rsidR="00523E59" w:rsidRPr="0034420E">
        <w:t xml:space="preserve">Figure </w:t>
      </w:r>
      <w:r w:rsidR="00523E59" w:rsidRPr="0034420E">
        <w:rPr>
          <w:noProof/>
        </w:rPr>
        <w:t>1</w:t>
      </w:r>
      <w:r w:rsidR="0072128E" w:rsidRPr="0034420E">
        <w:fldChar w:fldCharType="end"/>
      </w:r>
      <w:r w:rsidR="00E61E95" w:rsidRPr="0034420E">
        <w:t>)</w:t>
      </w:r>
      <w:r w:rsidRPr="0034420E">
        <w:t xml:space="preserve">, patients with T2DM whose renal marker measurements fall in the green boxes </w:t>
      </w:r>
      <w:r w:rsidR="00E61E95" w:rsidRPr="0034420E">
        <w:t xml:space="preserve">(normal uACR and eGFR </w:t>
      </w:r>
      <w:r w:rsidR="00E61E95" w:rsidRPr="0034420E">
        <w:rPr>
          <w:rFonts w:cs="Calibri"/>
        </w:rPr>
        <w:t>≥</w:t>
      </w:r>
      <w:r w:rsidR="00E61E95" w:rsidRPr="0034420E">
        <w:t>60 mL/min/1.73m</w:t>
      </w:r>
      <w:r w:rsidR="00E61E95" w:rsidRPr="0034420E">
        <w:rPr>
          <w:vertAlign w:val="superscript"/>
        </w:rPr>
        <w:t>2</w:t>
      </w:r>
      <w:r w:rsidR="00E61E95" w:rsidRPr="0034420E">
        <w:t xml:space="preserve">) </w:t>
      </w:r>
      <w:r w:rsidRPr="0034420E">
        <w:t xml:space="preserve">and the kidney function stage 1/2 yellow boxes </w:t>
      </w:r>
      <w:r w:rsidR="00E61E95" w:rsidRPr="0034420E">
        <w:t xml:space="preserve">(microalbuminuria and eGFR </w:t>
      </w:r>
      <w:r w:rsidR="00E61E95" w:rsidRPr="0034420E">
        <w:rPr>
          <w:rFonts w:cs="Calibri"/>
        </w:rPr>
        <w:t>≥</w:t>
      </w:r>
      <w:r w:rsidR="00E61E95" w:rsidRPr="0034420E">
        <w:t>60 mL/min/1.73m</w:t>
      </w:r>
      <w:r w:rsidR="00E61E95" w:rsidRPr="0034420E">
        <w:rPr>
          <w:vertAlign w:val="superscript"/>
        </w:rPr>
        <w:t>2</w:t>
      </w:r>
      <w:r w:rsidR="00E61E95" w:rsidRPr="0034420E">
        <w:t xml:space="preserve">) </w:t>
      </w:r>
      <w:r w:rsidR="0037020F" w:rsidRPr="0034420E">
        <w:t>would</w:t>
      </w:r>
      <w:r w:rsidRPr="0034420E">
        <w:t xml:space="preserve"> be eligible for a PromarkerD test. </w:t>
      </w:r>
      <w:r w:rsidR="0072128E" w:rsidRPr="0034420E">
        <w:fldChar w:fldCharType="begin"/>
      </w:r>
      <w:r w:rsidR="0072128E" w:rsidRPr="0034420E">
        <w:instrText xml:space="preserve"> REF _Ref87016857 \h </w:instrText>
      </w:r>
      <w:r w:rsidR="009E1D30" w:rsidRPr="0034420E">
        <w:instrText xml:space="preserve"> \* MERGEFORMAT </w:instrText>
      </w:r>
      <w:r w:rsidR="0072128E" w:rsidRPr="0034420E">
        <w:fldChar w:fldCharType="separate"/>
      </w:r>
      <w:r w:rsidR="00523E59" w:rsidRPr="0034420E">
        <w:t xml:space="preserve">Table </w:t>
      </w:r>
      <w:r w:rsidR="00523E59" w:rsidRPr="0034420E">
        <w:rPr>
          <w:noProof/>
        </w:rPr>
        <w:t>9</w:t>
      </w:r>
      <w:r w:rsidR="0072128E" w:rsidRPr="0034420E">
        <w:fldChar w:fldCharType="end"/>
      </w:r>
      <w:r w:rsidR="007F59FE" w:rsidRPr="0034420E">
        <w:t xml:space="preserve"> details the current </w:t>
      </w:r>
      <w:r w:rsidR="00EB2457" w:rsidRPr="0034420E">
        <w:t xml:space="preserve">Kidney Health Australia </w:t>
      </w:r>
      <w:r w:rsidR="007F59FE" w:rsidRPr="0034420E">
        <w:t xml:space="preserve">action plan. </w:t>
      </w:r>
      <w:r w:rsidR="00EB2457" w:rsidRPr="0034420E">
        <w:t>I</w:t>
      </w:r>
      <w:r w:rsidR="007F59FE" w:rsidRPr="0034420E">
        <w:t>f a patient falls in the green boxes (</w:t>
      </w:r>
      <w:r w:rsidR="0072128E" w:rsidRPr="0034420E">
        <w:fldChar w:fldCharType="begin"/>
      </w:r>
      <w:r w:rsidR="0072128E" w:rsidRPr="0034420E">
        <w:instrText xml:space="preserve"> REF _Ref87016813 \h </w:instrText>
      </w:r>
      <w:r w:rsidR="009E1D30" w:rsidRPr="0034420E">
        <w:instrText xml:space="preserve"> \* MERGEFORMAT </w:instrText>
      </w:r>
      <w:r w:rsidR="0072128E" w:rsidRPr="0034420E">
        <w:fldChar w:fldCharType="separate"/>
      </w:r>
      <w:r w:rsidR="00523E59" w:rsidRPr="0034420E">
        <w:t xml:space="preserve">Figure </w:t>
      </w:r>
      <w:r w:rsidR="00523E59" w:rsidRPr="0034420E">
        <w:rPr>
          <w:noProof/>
        </w:rPr>
        <w:t>1</w:t>
      </w:r>
      <w:r w:rsidR="0072128E" w:rsidRPr="0034420E">
        <w:fldChar w:fldCharType="end"/>
      </w:r>
      <w:r w:rsidR="007F59FE" w:rsidRPr="0034420E">
        <w:t xml:space="preserve">), they </w:t>
      </w:r>
      <w:r w:rsidR="00EB2457" w:rsidRPr="0034420E">
        <w:t xml:space="preserve">currently </w:t>
      </w:r>
      <w:proofErr w:type="gramStart"/>
      <w:r w:rsidR="007F59FE" w:rsidRPr="0034420E">
        <w:t>would</w:t>
      </w:r>
      <w:proofErr w:type="gramEnd"/>
      <w:r w:rsidR="007F59FE" w:rsidRPr="0034420E">
        <w:t xml:space="preserve"> not undergo any particular treatment plan for their kidney health.</w:t>
      </w:r>
    </w:p>
    <w:p w14:paraId="6152A1FB" w14:textId="476AF154" w:rsidR="00E61E95" w:rsidRPr="0034420E" w:rsidRDefault="0072128E" w:rsidP="0072128E">
      <w:pPr>
        <w:pStyle w:val="Caption"/>
      </w:pPr>
      <w:bookmarkStart w:id="16" w:name="_Ref87016857"/>
      <w:r w:rsidRPr="0034420E">
        <w:lastRenderedPageBreak/>
        <w:t xml:space="preserve">Table </w:t>
      </w:r>
      <w:r w:rsidRPr="0034420E">
        <w:fldChar w:fldCharType="begin"/>
      </w:r>
      <w:r w:rsidRPr="0034420E">
        <w:instrText xml:space="preserve"> SEQ Table \* ARABIC </w:instrText>
      </w:r>
      <w:r w:rsidRPr="0034420E">
        <w:fldChar w:fldCharType="separate"/>
      </w:r>
      <w:r w:rsidR="00523E59" w:rsidRPr="0034420E">
        <w:rPr>
          <w:noProof/>
        </w:rPr>
        <w:t>9</w:t>
      </w:r>
      <w:r w:rsidRPr="0034420E">
        <w:fldChar w:fldCharType="end"/>
      </w:r>
      <w:bookmarkEnd w:id="16"/>
      <w:r w:rsidR="00E61E95" w:rsidRPr="0034420E">
        <w:tab/>
        <w:t>Kidney Health Australia current action plan for monitoring kidney disease in patients with T2DM</w:t>
      </w:r>
    </w:p>
    <w:tbl>
      <w:tblPr>
        <w:tblStyle w:val="TableGrid"/>
        <w:tblW w:w="5110" w:type="pct"/>
        <w:tblInd w:w="-147" w:type="dxa"/>
        <w:tblLook w:val="04A0" w:firstRow="1" w:lastRow="0" w:firstColumn="1" w:lastColumn="0" w:noHBand="0" w:noVBand="1"/>
      </w:tblPr>
      <w:tblGrid>
        <w:gridCol w:w="1131"/>
        <w:gridCol w:w="1279"/>
        <w:gridCol w:w="1561"/>
        <w:gridCol w:w="2125"/>
        <w:gridCol w:w="3686"/>
      </w:tblGrid>
      <w:tr w:rsidR="00E61E95" w:rsidRPr="0034420E" w14:paraId="0A25509B" w14:textId="77777777" w:rsidTr="00E61E95">
        <w:trPr>
          <w:tblHeader/>
        </w:trPr>
        <w:tc>
          <w:tcPr>
            <w:tcW w:w="578" w:type="pct"/>
            <w:shd w:val="clear" w:color="auto" w:fill="auto"/>
            <w:vAlign w:val="center"/>
          </w:tcPr>
          <w:p w14:paraId="734C2065" w14:textId="77777777" w:rsidR="00E61E95" w:rsidRPr="0034420E" w:rsidRDefault="00E61E95" w:rsidP="00E61E95">
            <w:pPr>
              <w:pStyle w:val="TableText0"/>
              <w:rPr>
                <w:b/>
                <w:bCs/>
              </w:rPr>
            </w:pPr>
            <w:r w:rsidRPr="0034420E">
              <w:rPr>
                <w:b/>
                <w:bCs/>
              </w:rPr>
              <w:t>Action plan</w:t>
            </w:r>
          </w:p>
        </w:tc>
        <w:tc>
          <w:tcPr>
            <w:tcW w:w="654" w:type="pct"/>
            <w:shd w:val="clear" w:color="auto" w:fill="auto"/>
            <w:vAlign w:val="center"/>
          </w:tcPr>
          <w:p w14:paraId="4A83C0CC" w14:textId="0451ECD5" w:rsidR="00E61E95" w:rsidRPr="0034420E" w:rsidRDefault="00E61E95" w:rsidP="00E61E95">
            <w:pPr>
              <w:pStyle w:val="TableText0"/>
              <w:rPr>
                <w:b/>
                <w:bCs/>
              </w:rPr>
            </w:pPr>
            <w:r w:rsidRPr="0034420E">
              <w:rPr>
                <w:b/>
                <w:bCs/>
              </w:rPr>
              <w:t>Frequency of review</w:t>
            </w:r>
          </w:p>
        </w:tc>
        <w:tc>
          <w:tcPr>
            <w:tcW w:w="798" w:type="pct"/>
            <w:shd w:val="clear" w:color="auto" w:fill="auto"/>
            <w:vAlign w:val="center"/>
          </w:tcPr>
          <w:p w14:paraId="3B88208F" w14:textId="0D2BD7D2" w:rsidR="00E61E95" w:rsidRPr="0034420E" w:rsidRDefault="00E61E95" w:rsidP="00E61E95">
            <w:pPr>
              <w:pStyle w:val="TableText0"/>
              <w:rPr>
                <w:b/>
                <w:bCs/>
              </w:rPr>
            </w:pPr>
            <w:r w:rsidRPr="0034420E">
              <w:rPr>
                <w:b/>
                <w:bCs/>
              </w:rPr>
              <w:t>Clinical assessment</w:t>
            </w:r>
          </w:p>
        </w:tc>
        <w:tc>
          <w:tcPr>
            <w:tcW w:w="1086" w:type="pct"/>
            <w:shd w:val="clear" w:color="auto" w:fill="auto"/>
            <w:vAlign w:val="center"/>
          </w:tcPr>
          <w:p w14:paraId="7055EE9B" w14:textId="66034C02" w:rsidR="00E61E95" w:rsidRPr="0034420E" w:rsidRDefault="00E61E95" w:rsidP="00E61E95">
            <w:pPr>
              <w:pStyle w:val="TableText0"/>
              <w:rPr>
                <w:b/>
                <w:bCs/>
              </w:rPr>
            </w:pPr>
            <w:r w:rsidRPr="0034420E">
              <w:rPr>
                <w:b/>
                <w:bCs/>
              </w:rPr>
              <w:t>Laboratory assessment</w:t>
            </w:r>
          </w:p>
        </w:tc>
        <w:tc>
          <w:tcPr>
            <w:tcW w:w="1884" w:type="pct"/>
            <w:shd w:val="clear" w:color="auto" w:fill="auto"/>
            <w:vAlign w:val="center"/>
          </w:tcPr>
          <w:p w14:paraId="2BAF964A" w14:textId="2787D5D3" w:rsidR="00E61E95" w:rsidRPr="0034420E" w:rsidRDefault="00E61E95" w:rsidP="00E61E95">
            <w:pPr>
              <w:pStyle w:val="TableText0"/>
              <w:rPr>
                <w:b/>
                <w:bCs/>
              </w:rPr>
            </w:pPr>
            <w:r w:rsidRPr="0034420E">
              <w:rPr>
                <w:b/>
                <w:bCs/>
              </w:rPr>
              <w:t>Other assessments</w:t>
            </w:r>
          </w:p>
        </w:tc>
      </w:tr>
      <w:tr w:rsidR="00E61E95" w:rsidRPr="0034420E" w14:paraId="7BD3004C" w14:textId="77777777" w:rsidTr="00E61E95">
        <w:trPr>
          <w:trHeight w:val="1773"/>
        </w:trPr>
        <w:tc>
          <w:tcPr>
            <w:tcW w:w="578" w:type="pct"/>
            <w:shd w:val="clear" w:color="auto" w:fill="FFFF00"/>
          </w:tcPr>
          <w:p w14:paraId="5491F4DE" w14:textId="77777777" w:rsidR="00E61E95" w:rsidRPr="0034420E" w:rsidRDefault="00E61E95" w:rsidP="00E61E95">
            <w:pPr>
              <w:pStyle w:val="TableText0"/>
            </w:pPr>
            <w:r w:rsidRPr="0034420E">
              <w:t>Yellow clinical action plan</w:t>
            </w:r>
          </w:p>
        </w:tc>
        <w:tc>
          <w:tcPr>
            <w:tcW w:w="654" w:type="pct"/>
            <w:shd w:val="clear" w:color="auto" w:fill="auto"/>
          </w:tcPr>
          <w:p w14:paraId="080DFBB4" w14:textId="55F7595B" w:rsidR="00E61E95" w:rsidRPr="0034420E" w:rsidRDefault="00E61E95" w:rsidP="00E61E95">
            <w:pPr>
              <w:pStyle w:val="TableText0"/>
            </w:pPr>
            <w:r w:rsidRPr="0034420E">
              <w:t>Every 12 months</w:t>
            </w:r>
          </w:p>
        </w:tc>
        <w:tc>
          <w:tcPr>
            <w:tcW w:w="798" w:type="pct"/>
            <w:shd w:val="clear" w:color="auto" w:fill="auto"/>
          </w:tcPr>
          <w:p w14:paraId="1B7DF08D" w14:textId="0AA5D76F" w:rsidR="00E61E95" w:rsidRPr="0034420E" w:rsidRDefault="00E61E95" w:rsidP="00E61E95">
            <w:pPr>
              <w:pStyle w:val="TableText0"/>
            </w:pPr>
            <w:r w:rsidRPr="0034420E">
              <w:t>Blood pressure</w:t>
            </w:r>
          </w:p>
          <w:p w14:paraId="498201A0" w14:textId="78C3CD3F" w:rsidR="00E61E95" w:rsidRPr="0034420E" w:rsidRDefault="00E61E95" w:rsidP="00E61E95">
            <w:pPr>
              <w:pStyle w:val="TableText0"/>
            </w:pPr>
            <w:r w:rsidRPr="0034420E">
              <w:t>Weight</w:t>
            </w:r>
          </w:p>
          <w:p w14:paraId="61A86EE6" w14:textId="5F91D5CC" w:rsidR="00E61E95" w:rsidRPr="0034420E" w:rsidRDefault="00E61E95" w:rsidP="00E61E95">
            <w:pPr>
              <w:pStyle w:val="TableText0"/>
            </w:pPr>
            <w:r w:rsidRPr="0034420E">
              <w:t>Smoking</w:t>
            </w:r>
          </w:p>
        </w:tc>
        <w:tc>
          <w:tcPr>
            <w:tcW w:w="1086" w:type="pct"/>
            <w:shd w:val="clear" w:color="auto" w:fill="auto"/>
          </w:tcPr>
          <w:p w14:paraId="15B352C9" w14:textId="6B3AE0AD" w:rsidR="00E61E95" w:rsidRPr="0034420E" w:rsidRDefault="00E61E95" w:rsidP="00E61E95">
            <w:pPr>
              <w:pStyle w:val="TableText0"/>
            </w:pPr>
            <w:r w:rsidRPr="0034420E">
              <w:t>Urine ACR</w:t>
            </w:r>
          </w:p>
          <w:p w14:paraId="1B7BABB5" w14:textId="4CCA46FB" w:rsidR="00E61E95" w:rsidRPr="0034420E" w:rsidRDefault="00E61E95" w:rsidP="00E61E95">
            <w:pPr>
              <w:pStyle w:val="TableText0"/>
            </w:pPr>
            <w:r w:rsidRPr="0034420E">
              <w:t>eGFR</w:t>
            </w:r>
          </w:p>
          <w:p w14:paraId="72770B8D" w14:textId="77777777" w:rsidR="00E61E95" w:rsidRPr="0034420E" w:rsidRDefault="00E61E95" w:rsidP="00E61E95">
            <w:pPr>
              <w:pStyle w:val="TableText0"/>
            </w:pPr>
            <w:r w:rsidRPr="0034420E">
              <w:t xml:space="preserve">Biochemical profile including urea, creatinine and electrolytes </w:t>
            </w:r>
          </w:p>
          <w:p w14:paraId="5C032764" w14:textId="54FEE3AD" w:rsidR="00E61E95" w:rsidRPr="0034420E" w:rsidRDefault="00E61E95" w:rsidP="00E61E95">
            <w:pPr>
              <w:pStyle w:val="TableText0"/>
            </w:pPr>
            <w:r w:rsidRPr="0034420E">
              <w:t>HbA1c</w:t>
            </w:r>
          </w:p>
          <w:p w14:paraId="4520F34A" w14:textId="0711E806" w:rsidR="00E61E95" w:rsidRPr="0034420E" w:rsidRDefault="00E61E95" w:rsidP="00E61E95">
            <w:pPr>
              <w:pStyle w:val="TableText0"/>
            </w:pPr>
            <w:r w:rsidRPr="0034420E">
              <w:t>Fasting lipids</w:t>
            </w:r>
          </w:p>
        </w:tc>
        <w:tc>
          <w:tcPr>
            <w:tcW w:w="1884" w:type="pct"/>
            <w:shd w:val="clear" w:color="auto" w:fill="auto"/>
          </w:tcPr>
          <w:p w14:paraId="1C222897" w14:textId="5B6DF1A8" w:rsidR="00E61E95" w:rsidRPr="0034420E" w:rsidRDefault="00E61E95" w:rsidP="00E61E95">
            <w:pPr>
              <w:pStyle w:val="TableText0"/>
            </w:pPr>
            <w:r w:rsidRPr="0034420E">
              <w:t>Assess absolute cardiovascular risk</w:t>
            </w:r>
          </w:p>
          <w:p w14:paraId="657BEDA3" w14:textId="55E358CC" w:rsidR="00E61E95" w:rsidRPr="0034420E" w:rsidRDefault="00E61E95" w:rsidP="00E61E95">
            <w:pPr>
              <w:pStyle w:val="TableText0"/>
            </w:pPr>
            <w:r w:rsidRPr="0034420E">
              <w:t>Blood pressure reduction</w:t>
            </w:r>
          </w:p>
          <w:p w14:paraId="5E587CAD" w14:textId="57B5008F" w:rsidR="00E61E95" w:rsidRPr="0034420E" w:rsidRDefault="00E61E95" w:rsidP="00E61E95">
            <w:pPr>
              <w:pStyle w:val="TableText0"/>
            </w:pPr>
            <w:r w:rsidRPr="0034420E">
              <w:t>Lifestyle modification</w:t>
            </w:r>
          </w:p>
          <w:p w14:paraId="03B3D95C" w14:textId="0D1E1FC2" w:rsidR="00E61E95" w:rsidRPr="0034420E" w:rsidRDefault="00E61E95" w:rsidP="00E61E95">
            <w:pPr>
              <w:pStyle w:val="TableText0"/>
            </w:pPr>
            <w:r w:rsidRPr="0034420E">
              <w:t>Lipid lowering treatment</w:t>
            </w:r>
          </w:p>
          <w:p w14:paraId="25A6501A" w14:textId="23DC9093" w:rsidR="00E61E95" w:rsidRPr="0034420E" w:rsidRDefault="00E61E95" w:rsidP="00E61E95">
            <w:pPr>
              <w:pStyle w:val="TableText0"/>
            </w:pPr>
            <w:r w:rsidRPr="0034420E">
              <w:t>Glycaemic control</w:t>
            </w:r>
          </w:p>
          <w:p w14:paraId="785BB954" w14:textId="5FA3295F" w:rsidR="00E61E95" w:rsidRPr="0034420E" w:rsidRDefault="00E61E95" w:rsidP="00E61E95">
            <w:pPr>
              <w:pStyle w:val="TableText0"/>
            </w:pPr>
            <w:r w:rsidRPr="0034420E">
              <w:t>Avoid nephrotoxic medication or volume depletion</w:t>
            </w:r>
          </w:p>
          <w:p w14:paraId="71E1BB15" w14:textId="1F956AC2" w:rsidR="00E61E95" w:rsidRPr="0034420E" w:rsidRDefault="00E61E95" w:rsidP="00E61E95">
            <w:pPr>
              <w:pStyle w:val="TableText0"/>
            </w:pPr>
            <w:r w:rsidRPr="0034420E">
              <w:t>Whole of practice approach to CKD</w:t>
            </w:r>
          </w:p>
        </w:tc>
      </w:tr>
      <w:tr w:rsidR="00E61E95" w:rsidRPr="0034420E" w14:paraId="6983FE07" w14:textId="77777777" w:rsidTr="00E61E95">
        <w:trPr>
          <w:trHeight w:val="3653"/>
        </w:trPr>
        <w:tc>
          <w:tcPr>
            <w:tcW w:w="578" w:type="pct"/>
            <w:shd w:val="clear" w:color="auto" w:fill="FFC000"/>
          </w:tcPr>
          <w:p w14:paraId="1181B305" w14:textId="77777777" w:rsidR="00E61E95" w:rsidRPr="0034420E" w:rsidRDefault="00E61E95" w:rsidP="00E61E95">
            <w:pPr>
              <w:pStyle w:val="TableText0"/>
            </w:pPr>
            <w:r w:rsidRPr="0034420E">
              <w:t>Orange clinical action plan</w:t>
            </w:r>
          </w:p>
        </w:tc>
        <w:tc>
          <w:tcPr>
            <w:tcW w:w="654" w:type="pct"/>
            <w:shd w:val="clear" w:color="auto" w:fill="auto"/>
          </w:tcPr>
          <w:p w14:paraId="7B963A94" w14:textId="281F4E35" w:rsidR="00E61E95" w:rsidRPr="0034420E" w:rsidRDefault="00E61E95" w:rsidP="00E61E95">
            <w:pPr>
              <w:pStyle w:val="TableText0"/>
            </w:pPr>
            <w:r w:rsidRPr="0034420E">
              <w:t>Every 3-6 months</w:t>
            </w:r>
          </w:p>
        </w:tc>
        <w:tc>
          <w:tcPr>
            <w:tcW w:w="798" w:type="pct"/>
            <w:shd w:val="clear" w:color="auto" w:fill="auto"/>
          </w:tcPr>
          <w:p w14:paraId="65D79126" w14:textId="4DF0AB9F" w:rsidR="00E61E95" w:rsidRPr="0034420E" w:rsidRDefault="00E61E95" w:rsidP="00EB2457">
            <w:pPr>
              <w:pStyle w:val="TableText0"/>
            </w:pPr>
            <w:r w:rsidRPr="0034420E">
              <w:t>Same as yellow</w:t>
            </w:r>
          </w:p>
        </w:tc>
        <w:tc>
          <w:tcPr>
            <w:tcW w:w="1086" w:type="pct"/>
            <w:shd w:val="clear" w:color="auto" w:fill="auto"/>
          </w:tcPr>
          <w:p w14:paraId="19E84BC1" w14:textId="088180E7" w:rsidR="00E61E95" w:rsidRPr="0034420E" w:rsidRDefault="00E61E95" w:rsidP="00E61E95">
            <w:pPr>
              <w:pStyle w:val="TableText0"/>
            </w:pPr>
            <w:r w:rsidRPr="0034420E">
              <w:t>Same as yellow</w:t>
            </w:r>
          </w:p>
          <w:p w14:paraId="7FAEE2A2" w14:textId="4FCA33D8" w:rsidR="00E61E95" w:rsidRPr="0034420E" w:rsidRDefault="00E61E95" w:rsidP="00E61E95">
            <w:pPr>
              <w:pStyle w:val="TableText0"/>
              <w:rPr>
                <w:i/>
                <w:iCs/>
              </w:rPr>
            </w:pPr>
            <w:r w:rsidRPr="0034420E">
              <w:rPr>
                <w:i/>
                <w:iCs/>
              </w:rPr>
              <w:t>plus</w:t>
            </w:r>
          </w:p>
          <w:p w14:paraId="7339518A" w14:textId="77777777" w:rsidR="00E61E95" w:rsidRPr="0034420E" w:rsidRDefault="00E61E95" w:rsidP="00E61E95">
            <w:pPr>
              <w:pStyle w:val="TableText0"/>
            </w:pPr>
            <w:r w:rsidRPr="0034420E">
              <w:t xml:space="preserve">Full blood count </w:t>
            </w:r>
          </w:p>
          <w:p w14:paraId="78FA2286" w14:textId="77777777" w:rsidR="00E61E95" w:rsidRPr="0034420E" w:rsidRDefault="00E61E95" w:rsidP="00E61E95">
            <w:pPr>
              <w:pStyle w:val="TableText0"/>
            </w:pPr>
            <w:r w:rsidRPr="0034420E">
              <w:t xml:space="preserve">Calcium and phosphate </w:t>
            </w:r>
          </w:p>
          <w:p w14:paraId="65F716D8" w14:textId="51715836" w:rsidR="00E61E95" w:rsidRPr="0034420E" w:rsidRDefault="00E61E95" w:rsidP="00EB2457">
            <w:pPr>
              <w:pStyle w:val="TableText0"/>
            </w:pPr>
            <w:r w:rsidRPr="0034420E">
              <w:t>Parathyroid hormone (6-12 monthly if eGFR &lt;45 mL/min/1.73m2)</w:t>
            </w:r>
          </w:p>
        </w:tc>
        <w:tc>
          <w:tcPr>
            <w:tcW w:w="1884" w:type="pct"/>
            <w:shd w:val="clear" w:color="auto" w:fill="auto"/>
          </w:tcPr>
          <w:p w14:paraId="53345182" w14:textId="77777777" w:rsidR="00E61E95" w:rsidRPr="0034420E" w:rsidRDefault="00E61E95" w:rsidP="00E61E95">
            <w:pPr>
              <w:pStyle w:val="TableText0"/>
            </w:pPr>
            <w:r w:rsidRPr="0034420E">
              <w:t xml:space="preserve">Same as yellow </w:t>
            </w:r>
          </w:p>
          <w:p w14:paraId="2CA93B14" w14:textId="77777777" w:rsidR="00E61E95" w:rsidRPr="0034420E" w:rsidRDefault="00E61E95" w:rsidP="00E61E95">
            <w:pPr>
              <w:pStyle w:val="TableText0"/>
              <w:rPr>
                <w:i/>
                <w:iCs/>
              </w:rPr>
            </w:pPr>
            <w:r w:rsidRPr="0034420E">
              <w:rPr>
                <w:i/>
                <w:iCs/>
              </w:rPr>
              <w:t>plus</w:t>
            </w:r>
          </w:p>
          <w:p w14:paraId="23B4AA37" w14:textId="77777777" w:rsidR="00E61E95" w:rsidRPr="0034420E" w:rsidRDefault="00E61E95" w:rsidP="00E61E95">
            <w:pPr>
              <w:pStyle w:val="TableText0"/>
            </w:pPr>
            <w:r w:rsidRPr="0034420E">
              <w:t>Assess risk of atherosclerotic events and consider treating with an anti-platelet agent in keeping with existing cardiovascular guidelines</w:t>
            </w:r>
          </w:p>
          <w:p w14:paraId="64F2BCBF" w14:textId="117716C7" w:rsidR="00E61E95" w:rsidRPr="0034420E" w:rsidRDefault="00E61E95" w:rsidP="00E61E95">
            <w:pPr>
              <w:pStyle w:val="TableText0"/>
            </w:pPr>
            <w:r w:rsidRPr="0034420E">
              <w:t>Avoid nephrotoxic medication or volume depletion and adjust doses to levels appropriate for kidney function</w:t>
            </w:r>
          </w:p>
          <w:p w14:paraId="4F3FD124" w14:textId="77777777" w:rsidR="00E61E95" w:rsidRPr="0034420E" w:rsidRDefault="00E61E95" w:rsidP="00E61E95">
            <w:pPr>
              <w:pStyle w:val="TableText0"/>
            </w:pPr>
            <w:r w:rsidRPr="0034420E">
              <w:t>Assess for common issues (acidosis, albuminuria, anaemia, cognitive decline, depression, dietary protein, Haematuria, Hyperkalaemia, lipids, malnutrition, mineral and bone disorder, muscle cramps, oedema, pruritus, restless legs, sleep apnoea, uraemia)</w:t>
            </w:r>
          </w:p>
          <w:p w14:paraId="5E471F2E" w14:textId="5FC09B35" w:rsidR="00E61E95" w:rsidRPr="0034420E" w:rsidRDefault="00E61E95" w:rsidP="00E61E95">
            <w:pPr>
              <w:pStyle w:val="TableText0"/>
            </w:pPr>
            <w:r w:rsidRPr="0034420E">
              <w:t>Appropriate referral to nephrologist when indicated</w:t>
            </w:r>
          </w:p>
        </w:tc>
      </w:tr>
      <w:tr w:rsidR="00E61E95" w:rsidRPr="0034420E" w14:paraId="360CE23C" w14:textId="77777777" w:rsidTr="00E61E95">
        <w:trPr>
          <w:trHeight w:val="1679"/>
        </w:trPr>
        <w:tc>
          <w:tcPr>
            <w:tcW w:w="578" w:type="pct"/>
            <w:shd w:val="clear" w:color="auto" w:fill="FF0000"/>
          </w:tcPr>
          <w:p w14:paraId="07B535FA" w14:textId="77777777" w:rsidR="00E61E95" w:rsidRPr="0034420E" w:rsidRDefault="00E61E95" w:rsidP="00E61E95">
            <w:pPr>
              <w:pStyle w:val="TableText0"/>
            </w:pPr>
            <w:r w:rsidRPr="0034420E">
              <w:t>Red clinical action plan</w:t>
            </w:r>
          </w:p>
        </w:tc>
        <w:tc>
          <w:tcPr>
            <w:tcW w:w="654" w:type="pct"/>
            <w:shd w:val="clear" w:color="auto" w:fill="auto"/>
          </w:tcPr>
          <w:p w14:paraId="4DE46CB8" w14:textId="77777777" w:rsidR="00E61E95" w:rsidRPr="0034420E" w:rsidRDefault="00E61E95" w:rsidP="00E61E95">
            <w:pPr>
              <w:pStyle w:val="TableText0"/>
            </w:pPr>
            <w:r w:rsidRPr="0034420E">
              <w:t>Every 1-3 months</w:t>
            </w:r>
          </w:p>
        </w:tc>
        <w:tc>
          <w:tcPr>
            <w:tcW w:w="798" w:type="pct"/>
            <w:shd w:val="clear" w:color="auto" w:fill="auto"/>
          </w:tcPr>
          <w:p w14:paraId="4F2BB1D3" w14:textId="77777777" w:rsidR="00E61E95" w:rsidRPr="0034420E" w:rsidRDefault="00E61E95" w:rsidP="00E61E95">
            <w:pPr>
              <w:pStyle w:val="TableText0"/>
            </w:pPr>
            <w:r w:rsidRPr="0034420E">
              <w:t>Same as yellow/orange</w:t>
            </w:r>
          </w:p>
          <w:p w14:paraId="4D5229B1" w14:textId="77777777" w:rsidR="00E61E95" w:rsidRPr="0034420E" w:rsidRDefault="00E61E95" w:rsidP="00E61E95">
            <w:pPr>
              <w:pStyle w:val="TableText0"/>
              <w:rPr>
                <w:i/>
                <w:iCs/>
              </w:rPr>
            </w:pPr>
            <w:r w:rsidRPr="0034420E">
              <w:rPr>
                <w:i/>
                <w:iCs/>
              </w:rPr>
              <w:t>plus</w:t>
            </w:r>
          </w:p>
          <w:p w14:paraId="51DE1196" w14:textId="2122C51D" w:rsidR="00E61E95" w:rsidRPr="0034420E" w:rsidRDefault="00E61E95" w:rsidP="00EB2457">
            <w:pPr>
              <w:pStyle w:val="TableText0"/>
            </w:pPr>
            <w:r w:rsidRPr="0034420E">
              <w:t>Oedema</w:t>
            </w:r>
          </w:p>
        </w:tc>
        <w:tc>
          <w:tcPr>
            <w:tcW w:w="1086" w:type="pct"/>
            <w:shd w:val="clear" w:color="auto" w:fill="auto"/>
          </w:tcPr>
          <w:p w14:paraId="4F55859A" w14:textId="77777777" w:rsidR="00E61E95" w:rsidRPr="0034420E" w:rsidRDefault="00E61E95" w:rsidP="00E61E95">
            <w:pPr>
              <w:pStyle w:val="TableText0"/>
            </w:pPr>
            <w:r w:rsidRPr="0034420E">
              <w:t>Same as yellow/orange</w:t>
            </w:r>
          </w:p>
        </w:tc>
        <w:tc>
          <w:tcPr>
            <w:tcW w:w="1884" w:type="pct"/>
            <w:shd w:val="clear" w:color="auto" w:fill="auto"/>
          </w:tcPr>
          <w:p w14:paraId="1EF3442E" w14:textId="77777777" w:rsidR="00E61E95" w:rsidRPr="0034420E" w:rsidRDefault="00E61E95" w:rsidP="00E61E95">
            <w:pPr>
              <w:pStyle w:val="TableText0"/>
            </w:pPr>
            <w:r w:rsidRPr="0034420E">
              <w:t>Same as yellow/orange</w:t>
            </w:r>
          </w:p>
          <w:p w14:paraId="734C331F" w14:textId="77777777" w:rsidR="00E61E95" w:rsidRPr="0034420E" w:rsidRDefault="00E61E95" w:rsidP="00E61E95">
            <w:pPr>
              <w:pStyle w:val="TableText0"/>
              <w:rPr>
                <w:i/>
                <w:iCs/>
              </w:rPr>
            </w:pPr>
            <w:r w:rsidRPr="0034420E">
              <w:rPr>
                <w:i/>
                <w:iCs/>
              </w:rPr>
              <w:t>plus</w:t>
            </w:r>
          </w:p>
          <w:p w14:paraId="00F005D2" w14:textId="77777777" w:rsidR="00E61E95" w:rsidRPr="0034420E" w:rsidRDefault="00E61E95" w:rsidP="00E61E95">
            <w:pPr>
              <w:pStyle w:val="TableText0"/>
            </w:pPr>
            <w:r w:rsidRPr="0034420E">
              <w:t>Discuss treatment options, including dialysis, transplant and non-dialysis supportive care if eGFR &lt;30 and progressing to kidney replacement therapy</w:t>
            </w:r>
          </w:p>
          <w:p w14:paraId="131C0C34" w14:textId="7B0F1824" w:rsidR="00E61E95" w:rsidRPr="0034420E" w:rsidRDefault="00E61E95" w:rsidP="00E61E95">
            <w:pPr>
              <w:pStyle w:val="TableText0"/>
            </w:pPr>
            <w:r w:rsidRPr="0034420E">
              <w:t>Discuss advance care plans if appropriate</w:t>
            </w:r>
          </w:p>
        </w:tc>
      </w:tr>
    </w:tbl>
    <w:p w14:paraId="274FF7BF" w14:textId="5172865F" w:rsidR="00E61E95" w:rsidRPr="0034420E" w:rsidRDefault="00E61E95" w:rsidP="0072128E">
      <w:pPr>
        <w:pStyle w:val="Tablenotes"/>
        <w:spacing w:after="200"/>
      </w:pPr>
      <w:bookmarkStart w:id="17" w:name="_Hlk75266009"/>
      <w:r w:rsidRPr="0034420E">
        <w:t>Source: Adapted from Chronic Kidney Disease (CKD) Management in Primary Care in Section 4: Managing CKD in Primary Care</w:t>
      </w:r>
    </w:p>
    <w:bookmarkEnd w:id="17"/>
    <w:p w14:paraId="1049EEC1" w14:textId="6A1D0ADC" w:rsidR="00E61E95" w:rsidRPr="0034420E" w:rsidRDefault="00332DB6" w:rsidP="00400731">
      <w:r w:rsidRPr="0034420E">
        <w:t>The applicant provided updated current (</w:t>
      </w:r>
      <w:r w:rsidR="0072128E" w:rsidRPr="0034420E">
        <w:fldChar w:fldCharType="begin"/>
      </w:r>
      <w:r w:rsidR="0072128E" w:rsidRPr="0034420E">
        <w:instrText xml:space="preserve"> REF _Ref87016899 \h </w:instrText>
      </w:r>
      <w:r w:rsidR="009E1D30" w:rsidRPr="0034420E">
        <w:instrText xml:space="preserve"> \* MERGEFORMAT </w:instrText>
      </w:r>
      <w:r w:rsidR="0072128E" w:rsidRPr="0034420E">
        <w:fldChar w:fldCharType="separate"/>
      </w:r>
      <w:r w:rsidR="00523E59" w:rsidRPr="0034420E">
        <w:t xml:space="preserve">Figure </w:t>
      </w:r>
      <w:r w:rsidR="00523E59" w:rsidRPr="0034420E">
        <w:rPr>
          <w:noProof/>
        </w:rPr>
        <w:t>8</w:t>
      </w:r>
      <w:r w:rsidR="0072128E" w:rsidRPr="0034420E">
        <w:fldChar w:fldCharType="end"/>
      </w:r>
      <w:r w:rsidRPr="0034420E">
        <w:t>)</w:t>
      </w:r>
      <w:r w:rsidR="00E61E95" w:rsidRPr="0034420E">
        <w:t xml:space="preserve"> </w:t>
      </w:r>
      <w:r w:rsidRPr="0034420E">
        <w:t>and proposed (</w:t>
      </w:r>
      <w:r w:rsidR="009C3B32" w:rsidRPr="0034420E">
        <w:fldChar w:fldCharType="begin"/>
      </w:r>
      <w:r w:rsidR="009C3B32" w:rsidRPr="0034420E">
        <w:instrText xml:space="preserve"> REF _Ref87956450 \h </w:instrText>
      </w:r>
      <w:r w:rsidR="009E1D30" w:rsidRPr="0034420E">
        <w:instrText xml:space="preserve"> \* MERGEFORMAT </w:instrText>
      </w:r>
      <w:r w:rsidR="009C3B32" w:rsidRPr="0034420E">
        <w:fldChar w:fldCharType="separate"/>
      </w:r>
      <w:r w:rsidR="00523E59" w:rsidRPr="0034420E">
        <w:t xml:space="preserve">Figure </w:t>
      </w:r>
      <w:r w:rsidR="00523E59" w:rsidRPr="0034420E">
        <w:rPr>
          <w:noProof/>
        </w:rPr>
        <w:t>9</w:t>
      </w:r>
      <w:r w:rsidR="009C3B32" w:rsidRPr="0034420E">
        <w:fldChar w:fldCharType="end"/>
      </w:r>
      <w:r w:rsidR="009C3B32" w:rsidRPr="0034420E">
        <w:t xml:space="preserve"> in the </w:t>
      </w:r>
      <w:r w:rsidR="00DA1F65" w:rsidRPr="0034420E">
        <w:t>attachment</w:t>
      </w:r>
      <w:r w:rsidRPr="0034420E">
        <w:t>) algorithms</w:t>
      </w:r>
      <w:r w:rsidR="009C3B32" w:rsidRPr="0034420E">
        <w:t xml:space="preserve">. These </w:t>
      </w:r>
      <w:r w:rsidRPr="0034420E">
        <w:t>are presented in the attachment to this PICO</w:t>
      </w:r>
      <w:r w:rsidR="009C3B32" w:rsidRPr="0034420E">
        <w:t>, while</w:t>
      </w:r>
      <w:r w:rsidRPr="0034420E">
        <w:t xml:space="preserve"> </w:t>
      </w:r>
      <w:r w:rsidR="009C3B32" w:rsidRPr="0034420E">
        <w:fldChar w:fldCharType="begin"/>
      </w:r>
      <w:r w:rsidR="009C3B32" w:rsidRPr="0034420E">
        <w:instrText xml:space="preserve"> REF _Ref87956174 \h </w:instrText>
      </w:r>
      <w:r w:rsidR="00B5360A" w:rsidRPr="0034420E">
        <w:instrText xml:space="preserve"> \* MERGEFORMAT </w:instrText>
      </w:r>
      <w:r w:rsidR="009C3B32" w:rsidRPr="0034420E">
        <w:fldChar w:fldCharType="separate"/>
      </w:r>
      <w:r w:rsidR="00523E59" w:rsidRPr="0034420E">
        <w:t xml:space="preserve">Figure </w:t>
      </w:r>
      <w:r w:rsidR="00523E59" w:rsidRPr="0034420E">
        <w:rPr>
          <w:noProof/>
        </w:rPr>
        <w:t>7</w:t>
      </w:r>
      <w:r w:rsidR="009C3B32" w:rsidRPr="0034420E">
        <w:fldChar w:fldCharType="end"/>
      </w:r>
      <w:r w:rsidR="009C3B32" w:rsidRPr="0034420E">
        <w:t xml:space="preserve"> w</w:t>
      </w:r>
      <w:r w:rsidR="005F4EDF" w:rsidRPr="0034420E">
        <w:t xml:space="preserve">as developed during the PICO confirmation based on the information provided in </w:t>
      </w:r>
      <w:r w:rsidR="005F4EDF" w:rsidRPr="0034420E">
        <w:fldChar w:fldCharType="begin"/>
      </w:r>
      <w:r w:rsidR="005F4EDF" w:rsidRPr="0034420E">
        <w:instrText xml:space="preserve"> REF _Ref87016899 \h </w:instrText>
      </w:r>
      <w:r w:rsidR="00B5360A" w:rsidRPr="0034420E">
        <w:instrText xml:space="preserve"> \* MERGEFORMAT </w:instrText>
      </w:r>
      <w:r w:rsidR="005F4EDF" w:rsidRPr="0034420E">
        <w:fldChar w:fldCharType="separate"/>
      </w:r>
      <w:r w:rsidR="00523E59" w:rsidRPr="0034420E">
        <w:t xml:space="preserve">Figure </w:t>
      </w:r>
      <w:r w:rsidR="00523E59" w:rsidRPr="0034420E">
        <w:rPr>
          <w:noProof/>
        </w:rPr>
        <w:t>8</w:t>
      </w:r>
      <w:r w:rsidR="005F4EDF" w:rsidRPr="0034420E">
        <w:fldChar w:fldCharType="end"/>
      </w:r>
      <w:r w:rsidR="005F4EDF" w:rsidRPr="0034420E">
        <w:t xml:space="preserve"> and </w:t>
      </w:r>
      <w:r w:rsidR="009C3B32" w:rsidRPr="0034420E">
        <w:fldChar w:fldCharType="begin"/>
      </w:r>
      <w:r w:rsidR="009C3B32" w:rsidRPr="0034420E">
        <w:instrText xml:space="preserve"> REF _Ref87956450 \h </w:instrText>
      </w:r>
      <w:r w:rsidR="00B5360A" w:rsidRPr="0034420E">
        <w:instrText xml:space="preserve"> \* MERGEFORMAT </w:instrText>
      </w:r>
      <w:r w:rsidR="009C3B32" w:rsidRPr="0034420E">
        <w:fldChar w:fldCharType="separate"/>
      </w:r>
      <w:r w:rsidR="00523E59" w:rsidRPr="0034420E">
        <w:t xml:space="preserve">Figure </w:t>
      </w:r>
      <w:r w:rsidR="00523E59" w:rsidRPr="0034420E">
        <w:rPr>
          <w:noProof/>
        </w:rPr>
        <w:t>9</w:t>
      </w:r>
      <w:r w:rsidR="009C3B32" w:rsidRPr="0034420E">
        <w:fldChar w:fldCharType="end"/>
      </w:r>
      <w:r w:rsidR="009C3B32" w:rsidRPr="0034420E">
        <w:t xml:space="preserve"> in order to provide some clarity and focus on the patient population for whom the PromarkerD test is intended</w:t>
      </w:r>
      <w:r w:rsidR="005F4EDF" w:rsidRPr="0034420E">
        <w:t>.</w:t>
      </w:r>
    </w:p>
    <w:p w14:paraId="63ECE9A8" w14:textId="7894EBCC" w:rsidR="009C3B32" w:rsidRPr="0034420E" w:rsidRDefault="009C3B32" w:rsidP="00400731">
      <w:pPr>
        <w:rPr>
          <w:i/>
          <w:iCs/>
        </w:rPr>
      </w:pPr>
      <w:r w:rsidRPr="0034420E">
        <w:t>In the current algorithm, patients with T2DM are tested annually for DKD risk factors, among these risk factors are eGFR and uACR. For those with eGFR ≥60 mL/min/1.73m</w:t>
      </w:r>
      <w:r w:rsidRPr="0034420E">
        <w:rPr>
          <w:vertAlign w:val="superscript"/>
        </w:rPr>
        <w:t>2</w:t>
      </w:r>
      <w:r w:rsidRPr="0034420E">
        <w:t xml:space="preserve"> and normoalbuminuria, standard diabetes management is maintained. For those with eGFR ≥60 mL/min/1.73m</w:t>
      </w:r>
      <w:r w:rsidRPr="0034420E">
        <w:rPr>
          <w:vertAlign w:val="superscript"/>
        </w:rPr>
        <w:t>2</w:t>
      </w:r>
      <w:r w:rsidRPr="0034420E">
        <w:t xml:space="preserve"> and microalbuminuria, various reviews of lifestyle factors and clinical targets for blood pressure, lipids are considered. Although not specified in the applicant’s algorithm, </w:t>
      </w:r>
      <w:r w:rsidR="00EA698E" w:rsidRPr="0034420E">
        <w:t xml:space="preserve">the applicant confirmed </w:t>
      </w:r>
      <w:r w:rsidRPr="0034420E">
        <w:t>that both of these patient groups continue annual screening of DKD risk factors.</w:t>
      </w:r>
    </w:p>
    <w:p w14:paraId="1D06E45C" w14:textId="0426EE52" w:rsidR="009C3B32" w:rsidRPr="0034420E" w:rsidRDefault="009C3B32" w:rsidP="00400731">
      <w:r w:rsidRPr="0034420E">
        <w:t>In the proposed algorithm, patients with eGFR ≥60 mL/min/1.73m</w:t>
      </w:r>
      <w:r w:rsidRPr="0034420E">
        <w:rPr>
          <w:vertAlign w:val="superscript"/>
        </w:rPr>
        <w:t>2</w:t>
      </w:r>
      <w:r w:rsidRPr="0034420E">
        <w:t xml:space="preserve"> and normoalbuminuria or microalbuminuria will be eligible for the PromarkerD test. </w:t>
      </w:r>
      <w:proofErr w:type="spellStart"/>
      <w:r w:rsidRPr="0034420E">
        <w:t>PromarkerD</w:t>
      </w:r>
      <w:proofErr w:type="spellEnd"/>
      <w:r w:rsidRPr="0034420E">
        <w:t xml:space="preserve"> </w:t>
      </w:r>
      <w:proofErr w:type="spellStart"/>
      <w:r w:rsidRPr="0034420E">
        <w:t>recategorises</w:t>
      </w:r>
      <w:proofErr w:type="spellEnd"/>
      <w:r w:rsidRPr="0034420E">
        <w:t xml:space="preserve"> patients as either </w:t>
      </w:r>
      <w:r w:rsidRPr="0034420E">
        <w:br/>
        <w:t>low-, moderate- or high-risk of developing DKD in the next four years. For those who are:</w:t>
      </w:r>
    </w:p>
    <w:p w14:paraId="289F5F26" w14:textId="08B3F787" w:rsidR="009C3B32" w:rsidRPr="0034420E" w:rsidRDefault="009C3B32" w:rsidP="00EC5DB4">
      <w:pPr>
        <w:pStyle w:val="ListParagraph"/>
        <w:numPr>
          <w:ilvl w:val="0"/>
          <w:numId w:val="10"/>
        </w:numPr>
        <w:ind w:left="284" w:hanging="284"/>
      </w:pPr>
      <w:r w:rsidRPr="0034420E">
        <w:t>Low-risk: standard diabetes management is maintained and annual screening of DKD risk factors is assumed to continue. A PromarkerD test is repeated in four years.</w:t>
      </w:r>
    </w:p>
    <w:p w14:paraId="3171DD39" w14:textId="2D467F3E" w:rsidR="009C3B32" w:rsidRPr="0034420E" w:rsidRDefault="009C3B32" w:rsidP="00EC5DB4">
      <w:pPr>
        <w:pStyle w:val="ListParagraph"/>
        <w:numPr>
          <w:ilvl w:val="0"/>
          <w:numId w:val="10"/>
        </w:numPr>
        <w:ind w:left="284" w:hanging="284"/>
      </w:pPr>
      <w:r w:rsidRPr="0034420E">
        <w:lastRenderedPageBreak/>
        <w:t xml:space="preserve">Moderate risk: various reviews of lifestyle factors and clinical targets for blood pressure, lipids are considered. Although the applicant provided greater detail for the types of interventions that could be used, it is consistent with the current management of those with microalbuminuria (although they may have normal albumin). Screening for DKD risk factors is </w:t>
      </w:r>
      <w:r w:rsidR="00953907" w:rsidRPr="0034420E">
        <w:t xml:space="preserve">increased </w:t>
      </w:r>
      <w:r w:rsidRPr="0034420E">
        <w:t>to every six months. A PromarkerD test is repeated in two years.</w:t>
      </w:r>
    </w:p>
    <w:p w14:paraId="64739D8F" w14:textId="6E3DE802" w:rsidR="009C3B32" w:rsidRPr="0034420E" w:rsidRDefault="009C3B32" w:rsidP="00EC5DB4">
      <w:pPr>
        <w:pStyle w:val="ListParagraph"/>
        <w:numPr>
          <w:ilvl w:val="0"/>
          <w:numId w:val="10"/>
        </w:numPr>
        <w:ind w:left="284" w:hanging="284"/>
      </w:pPr>
      <w:r w:rsidRPr="0034420E">
        <w:t xml:space="preserve">High-risk: all measures considered for those who are moderate-risk apply. Screening for DKD risk factors is increases to every one to three months. A PromarkerD test is repeated in two years. Referral to a nephrologist or </w:t>
      </w:r>
      <w:r w:rsidR="00DA1F65" w:rsidRPr="0034420E">
        <w:t>diabetologist</w:t>
      </w:r>
      <w:r w:rsidRPr="0034420E">
        <w:t xml:space="preserve"> may also be considered.</w:t>
      </w:r>
    </w:p>
    <w:p w14:paraId="3939C9A8" w14:textId="048C4ABD" w:rsidR="00AA483E" w:rsidRPr="0034420E" w:rsidRDefault="00AA483E" w:rsidP="0072128E">
      <w:r w:rsidRPr="0034420E">
        <w:t xml:space="preserve">While patients with T2DM may not initiate </w:t>
      </w:r>
      <w:r w:rsidR="009C3B32" w:rsidRPr="0034420E">
        <w:t xml:space="preserve">specific </w:t>
      </w:r>
      <w:r w:rsidRPr="0034420E">
        <w:t>treatment</w:t>
      </w:r>
      <w:r w:rsidR="009C3B32" w:rsidRPr="0034420E">
        <w:t>s</w:t>
      </w:r>
      <w:r w:rsidRPr="0034420E">
        <w:t xml:space="preserve"> if they are considered to be at low</w:t>
      </w:r>
      <w:r w:rsidR="008405C5" w:rsidRPr="0034420E">
        <w:t>-</w:t>
      </w:r>
      <w:r w:rsidRPr="0034420E">
        <w:t>risk, they should still receive appropriate treatment or lifestyle advice for risk factors such as weight, cholesterol, blood pressure and g</w:t>
      </w:r>
      <w:r w:rsidR="00590E3F" w:rsidRPr="0034420E">
        <w:t>l</w:t>
      </w:r>
      <w:r w:rsidRPr="0034420E">
        <w:t xml:space="preserve">ycaemic control. As shown in the treatment algorithms, annual screening is carried out and appropriate treatment should be initiated as required. It is therefore unclear why this would change with the use of PromarkerD. </w:t>
      </w:r>
    </w:p>
    <w:p w14:paraId="2E0F5729" w14:textId="49966701" w:rsidR="00E50543" w:rsidRPr="0034420E" w:rsidRDefault="00E543A5" w:rsidP="00C92D0E">
      <w:r w:rsidRPr="0034420E">
        <w:rPr>
          <w:rFonts w:asciiTheme="minorHAnsi" w:hAnsiTheme="minorHAnsi" w:cstheme="minorHAnsi"/>
          <w:i/>
          <w:iCs/>
        </w:rPr>
        <w:t xml:space="preserve">PASC discussed the proposed clinical management algorithm. PASC noted that it is the subsequent changes in clinical management that may lead to a reduction in DKD and queried whether more intensive </w:t>
      </w:r>
      <w:r w:rsidR="003F3640" w:rsidRPr="0034420E">
        <w:rPr>
          <w:rFonts w:asciiTheme="minorHAnsi" w:hAnsiTheme="minorHAnsi" w:cstheme="minorHAnsi"/>
          <w:i/>
          <w:iCs/>
        </w:rPr>
        <w:t xml:space="preserve">guideline-directed </w:t>
      </w:r>
      <w:r w:rsidRPr="0034420E">
        <w:rPr>
          <w:rFonts w:asciiTheme="minorHAnsi" w:hAnsiTheme="minorHAnsi" w:cstheme="minorHAnsi"/>
          <w:i/>
          <w:iCs/>
        </w:rPr>
        <w:t>treatment for all patients with T2DM would reduce DKD. PASC questioned the value of retesting those with ‘moderate’ or ‘high’ risk scores given their treatment will have been intensified and would be maintained over time.</w:t>
      </w:r>
    </w:p>
    <w:p w14:paraId="43C41621" w14:textId="5FED4F7D" w:rsidR="00F80661" w:rsidRPr="0034420E" w:rsidRDefault="00F80661" w:rsidP="00C92D0E">
      <w:pPr>
        <w:sectPr w:rsidR="00F80661" w:rsidRPr="0034420E" w:rsidSect="00AE6FE0">
          <w:footerReference w:type="even" r:id="rId15"/>
          <w:footerReference w:type="default" r:id="rId16"/>
          <w:pgSz w:w="11906" w:h="16838"/>
          <w:pgMar w:top="682" w:right="1134" w:bottom="1021" w:left="1191" w:header="709" w:footer="709" w:gutter="0"/>
          <w:cols w:space="708"/>
          <w:docGrid w:linePitch="360"/>
        </w:sectPr>
      </w:pPr>
    </w:p>
    <w:p w14:paraId="00D91DBA" w14:textId="66305048" w:rsidR="00E50543" w:rsidRPr="0034420E" w:rsidRDefault="00F80661" w:rsidP="009C3B32">
      <w:pPr>
        <w:pStyle w:val="Caption"/>
      </w:pPr>
      <w:r w:rsidRPr="0034420E">
        <w:rPr>
          <w:b w:val="0"/>
          <w:lang w:eastAsia="en-AU"/>
        </w:rPr>
        <w:lastRenderedPageBreak/>
        <w:t>.</w:t>
      </w:r>
      <w:r w:rsidR="00B16C60" w:rsidRPr="0034420E">
        <w:object w:dxaOrig="15650" w:dyaOrig="9517" w14:anchorId="0ED8BE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7 Current and proposed algorithms for patients with T2DM and normoalbuminuria or microalbuminuria and eGFR ≥60 mL/min/1.73m2" style="width:642pt;height:390pt" o:ole="">
            <v:imagedata r:id="rId17" o:title=""/>
          </v:shape>
          <o:OLEObject Type="Embed" ProgID="Visio.Drawing.15" ShapeID="_x0000_i1025" DrawAspect="Content" ObjectID="_1706341763" r:id="rId18"/>
        </w:object>
      </w:r>
    </w:p>
    <w:p w14:paraId="0CEA0DE9" w14:textId="0FDA0604" w:rsidR="005F4EDF" w:rsidRPr="0034420E" w:rsidRDefault="005F4EDF" w:rsidP="005F4EDF">
      <w:pPr>
        <w:pStyle w:val="Caption"/>
        <w:spacing w:before="0"/>
        <w:rPr>
          <w:vertAlign w:val="superscript"/>
        </w:rPr>
      </w:pPr>
      <w:bookmarkStart w:id="18" w:name="_Ref87956174"/>
      <w:r w:rsidRPr="0034420E">
        <w:t xml:space="preserve">Figure </w:t>
      </w:r>
      <w:r w:rsidRPr="0034420E">
        <w:fldChar w:fldCharType="begin"/>
      </w:r>
      <w:r w:rsidRPr="0034420E">
        <w:instrText xml:space="preserve"> SEQ Figure \* ARABIC </w:instrText>
      </w:r>
      <w:r w:rsidRPr="0034420E">
        <w:fldChar w:fldCharType="separate"/>
      </w:r>
      <w:r w:rsidR="00523E59" w:rsidRPr="0034420E">
        <w:rPr>
          <w:noProof/>
        </w:rPr>
        <w:t>7</w:t>
      </w:r>
      <w:r w:rsidRPr="0034420E">
        <w:fldChar w:fldCharType="end"/>
      </w:r>
      <w:bookmarkEnd w:id="18"/>
      <w:r w:rsidRPr="0034420E">
        <w:tab/>
      </w:r>
      <w:r w:rsidR="00DA1F65" w:rsidRPr="0034420E">
        <w:t>Current</w:t>
      </w:r>
      <w:r w:rsidRPr="0034420E">
        <w:t xml:space="preserve"> and proposed algorithms for patients with T2DM and normoalbuminuria or microalbuminuria and eGFR ≥60 mL/min/1.73m</w:t>
      </w:r>
      <w:r w:rsidRPr="0034420E">
        <w:rPr>
          <w:vertAlign w:val="superscript"/>
        </w:rPr>
        <w:t>2</w:t>
      </w:r>
    </w:p>
    <w:p w14:paraId="30E3FE47" w14:textId="4D94564D" w:rsidR="005F4EDF" w:rsidRPr="0034420E" w:rsidRDefault="005F4EDF" w:rsidP="005F4EDF">
      <w:pPr>
        <w:rPr>
          <w:rFonts w:ascii="Arial Narrow" w:hAnsi="Arial Narrow"/>
          <w:sz w:val="18"/>
          <w:szCs w:val="18"/>
          <w:lang w:val="en-GB" w:eastAsia="ja-JP"/>
        </w:rPr>
      </w:pPr>
      <w:proofErr w:type="spellStart"/>
      <w:r w:rsidRPr="0034420E">
        <w:rPr>
          <w:rFonts w:ascii="Arial Narrow" w:hAnsi="Arial Narrow"/>
          <w:sz w:val="18"/>
          <w:szCs w:val="18"/>
          <w:lang w:val="en-GB" w:eastAsia="ja-JP"/>
        </w:rPr>
        <w:t>ACEi</w:t>
      </w:r>
      <w:proofErr w:type="spellEnd"/>
      <w:r w:rsidRPr="0034420E">
        <w:rPr>
          <w:rFonts w:ascii="Arial Narrow" w:hAnsi="Arial Narrow"/>
          <w:sz w:val="18"/>
          <w:szCs w:val="18"/>
          <w:lang w:val="en-GB" w:eastAsia="ja-JP"/>
        </w:rPr>
        <w:t xml:space="preserve"> = angiotensin-converting enzyme inhibitors; ARBs = angiotensin II receptor blockers; BP = blood pressure; DKD = diabetic kidney disease; eGFR = Estimated glomerular filtration rate</w:t>
      </w:r>
      <w:r w:rsidR="00E460E9" w:rsidRPr="0034420E">
        <w:rPr>
          <w:rFonts w:ascii="Arial Narrow" w:hAnsi="Arial Narrow"/>
          <w:sz w:val="18"/>
          <w:szCs w:val="18"/>
          <w:lang w:val="en-GB" w:eastAsia="ja-JP"/>
        </w:rPr>
        <w:t>;</w:t>
      </w:r>
      <w:r w:rsidRPr="0034420E">
        <w:rPr>
          <w:rFonts w:ascii="Arial Narrow" w:hAnsi="Arial Narrow"/>
          <w:sz w:val="18"/>
          <w:szCs w:val="18"/>
          <w:lang w:val="en-GB" w:eastAsia="ja-JP"/>
        </w:rPr>
        <w:t xml:space="preserve"> GLP1 = glucagon-like peptide-1; HbA1c = glycosylated haemoglobin; </w:t>
      </w:r>
      <w:r w:rsidR="00655378" w:rsidRPr="0034420E">
        <w:rPr>
          <w:rFonts w:ascii="Arial Narrow" w:hAnsi="Arial Narrow"/>
          <w:sz w:val="18"/>
          <w:szCs w:val="18"/>
          <w:lang w:val="en-GB" w:eastAsia="ja-JP"/>
        </w:rPr>
        <w:t>microalbuminuria</w:t>
      </w:r>
      <w:r w:rsidRPr="0034420E">
        <w:rPr>
          <w:rFonts w:ascii="Arial Narrow" w:hAnsi="Arial Narrow"/>
          <w:sz w:val="18"/>
          <w:szCs w:val="18"/>
          <w:lang w:val="en-GB" w:eastAsia="ja-JP"/>
        </w:rPr>
        <w:t xml:space="preserve"> (uACR mg/mmol) = male: 2.5-25, female: 3.5-35; normoalbuminuria (uACR mg/mmol) = male: &lt;2.5, female: &lt;3.5; NSAIDs = non-steroidal anti-inflammatory drugs; SGLT2 = sodium-glucose co-transporter 2</w:t>
      </w:r>
      <w:r w:rsidR="009C3B32" w:rsidRPr="0034420E">
        <w:rPr>
          <w:rFonts w:ascii="Arial Narrow" w:hAnsi="Arial Narrow"/>
          <w:sz w:val="18"/>
          <w:szCs w:val="18"/>
          <w:lang w:val="en-GB" w:eastAsia="ja-JP"/>
        </w:rPr>
        <w:t>; uACR = albumin: creatinine ratio</w:t>
      </w:r>
    </w:p>
    <w:p w14:paraId="6B33F721" w14:textId="0A246283" w:rsidR="00B15282" w:rsidRPr="0034420E" w:rsidRDefault="00B15282">
      <w:pPr>
        <w:rPr>
          <w:rFonts w:ascii="Arial Narrow" w:hAnsi="Arial Narrow"/>
          <w:sz w:val="18"/>
          <w:szCs w:val="18"/>
          <w:lang w:val="en-GB" w:eastAsia="ja-JP"/>
        </w:rPr>
        <w:sectPr w:rsidR="00B15282" w:rsidRPr="0034420E" w:rsidSect="00E50543">
          <w:pgSz w:w="16838" w:h="11906" w:orient="landscape"/>
          <w:pgMar w:top="1191" w:right="682" w:bottom="1134" w:left="1021" w:header="709" w:footer="709" w:gutter="0"/>
          <w:cols w:space="708"/>
          <w:docGrid w:linePitch="360"/>
        </w:sectPr>
      </w:pPr>
    </w:p>
    <w:p w14:paraId="3F59DEAE" w14:textId="449C6725" w:rsidR="000E2FD6" w:rsidRPr="0034420E" w:rsidRDefault="000E2FD6" w:rsidP="0072128E">
      <w:pPr>
        <w:rPr>
          <w:i/>
          <w:iCs/>
        </w:rPr>
      </w:pPr>
      <w:r w:rsidRPr="0034420E">
        <w:lastRenderedPageBreak/>
        <w:t xml:space="preserve">The applicant provided further data from the Fremantle study showing the proportion of patients with various DKD risk factors who subsequently developed DKD. This is shown in </w:t>
      </w:r>
      <w:r w:rsidR="0072128E" w:rsidRPr="0034420E">
        <w:fldChar w:fldCharType="begin"/>
      </w:r>
      <w:r w:rsidR="0072128E" w:rsidRPr="0034420E">
        <w:instrText xml:space="preserve"> REF _Ref87017046 \h </w:instrText>
      </w:r>
      <w:r w:rsidR="009E1D30" w:rsidRPr="0034420E">
        <w:instrText xml:space="preserve"> \* MERGEFORMAT </w:instrText>
      </w:r>
      <w:r w:rsidR="0072128E" w:rsidRPr="0034420E">
        <w:fldChar w:fldCharType="separate"/>
      </w:r>
      <w:r w:rsidR="00523E59" w:rsidRPr="0034420E">
        <w:t xml:space="preserve">Table </w:t>
      </w:r>
      <w:r w:rsidR="00523E59" w:rsidRPr="0034420E">
        <w:rPr>
          <w:noProof/>
        </w:rPr>
        <w:t>10</w:t>
      </w:r>
      <w:r w:rsidR="0072128E" w:rsidRPr="0034420E">
        <w:fldChar w:fldCharType="end"/>
      </w:r>
      <w:r w:rsidRPr="0034420E">
        <w:t xml:space="preserve">. </w:t>
      </w:r>
      <w:r w:rsidRPr="0034420E">
        <w:rPr>
          <w:i/>
          <w:iCs/>
        </w:rPr>
        <w:t>No references were provided and the data could not be verified independently.</w:t>
      </w:r>
    </w:p>
    <w:p w14:paraId="75C08BA1" w14:textId="3F2DDAB2" w:rsidR="000E2FD6" w:rsidRPr="0034420E" w:rsidRDefault="0072128E" w:rsidP="0072128E">
      <w:pPr>
        <w:pStyle w:val="Caption"/>
      </w:pPr>
      <w:bookmarkStart w:id="19" w:name="_Ref87017046"/>
      <w:r w:rsidRPr="0034420E">
        <w:t xml:space="preserve">Table </w:t>
      </w:r>
      <w:r w:rsidRPr="0034420E">
        <w:fldChar w:fldCharType="begin"/>
      </w:r>
      <w:r w:rsidRPr="0034420E">
        <w:instrText xml:space="preserve"> SEQ Table \* ARABIC </w:instrText>
      </w:r>
      <w:r w:rsidRPr="0034420E">
        <w:fldChar w:fldCharType="separate"/>
      </w:r>
      <w:r w:rsidR="00523E59" w:rsidRPr="0034420E">
        <w:rPr>
          <w:noProof/>
        </w:rPr>
        <w:t>10</w:t>
      </w:r>
      <w:r w:rsidRPr="0034420E">
        <w:fldChar w:fldCharType="end"/>
      </w:r>
      <w:bookmarkEnd w:id="19"/>
      <w:r w:rsidR="000E2FD6" w:rsidRPr="0034420E">
        <w:tab/>
        <w:t>DKD risk factors and incidence of DKD in Fremantle study</w:t>
      </w:r>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73"/>
        <w:gridCol w:w="1769"/>
        <w:gridCol w:w="1771"/>
        <w:gridCol w:w="1980"/>
      </w:tblGrid>
      <w:tr w:rsidR="000E2FD6" w:rsidRPr="0034420E" w14:paraId="3BEC978B" w14:textId="77777777" w:rsidTr="000611F6">
        <w:tc>
          <w:tcPr>
            <w:tcW w:w="2092" w:type="pct"/>
            <w:shd w:val="clear" w:color="auto" w:fill="auto"/>
          </w:tcPr>
          <w:p w14:paraId="76B99832" w14:textId="77777777" w:rsidR="000E2FD6" w:rsidRPr="0034420E" w:rsidRDefault="000E2FD6" w:rsidP="004F530E">
            <w:pPr>
              <w:pStyle w:val="TableText0"/>
              <w:rPr>
                <w:b/>
                <w:bCs/>
              </w:rPr>
            </w:pPr>
          </w:p>
        </w:tc>
        <w:tc>
          <w:tcPr>
            <w:tcW w:w="1865" w:type="pct"/>
            <w:gridSpan w:val="2"/>
            <w:shd w:val="clear" w:color="auto" w:fill="auto"/>
          </w:tcPr>
          <w:p w14:paraId="4910A7FB" w14:textId="77777777" w:rsidR="000E2FD6" w:rsidRPr="0034420E" w:rsidRDefault="000E2FD6" w:rsidP="004F530E">
            <w:pPr>
              <w:pStyle w:val="TableText0"/>
              <w:jc w:val="center"/>
              <w:rPr>
                <w:b/>
                <w:bCs/>
              </w:rPr>
            </w:pPr>
            <w:r w:rsidRPr="0034420E">
              <w:rPr>
                <w:b/>
                <w:bCs/>
              </w:rPr>
              <w:t>N patients that developed outcomes</w:t>
            </w:r>
          </w:p>
        </w:tc>
        <w:tc>
          <w:tcPr>
            <w:tcW w:w="1044" w:type="pct"/>
            <w:shd w:val="clear" w:color="auto" w:fill="auto"/>
          </w:tcPr>
          <w:p w14:paraId="1F091EBA" w14:textId="77777777" w:rsidR="000E2FD6" w:rsidRPr="0034420E" w:rsidRDefault="000E2FD6" w:rsidP="004F530E">
            <w:pPr>
              <w:pStyle w:val="TableText0"/>
              <w:jc w:val="center"/>
              <w:rPr>
                <w:b/>
                <w:bCs/>
              </w:rPr>
            </w:pPr>
          </w:p>
        </w:tc>
      </w:tr>
      <w:tr w:rsidR="000E2FD6" w:rsidRPr="0034420E" w14:paraId="6CE93408" w14:textId="77777777" w:rsidTr="000611F6">
        <w:tc>
          <w:tcPr>
            <w:tcW w:w="2092" w:type="pct"/>
          </w:tcPr>
          <w:p w14:paraId="7E7E7E64" w14:textId="77777777" w:rsidR="000E2FD6" w:rsidRPr="0034420E" w:rsidRDefault="000E2FD6" w:rsidP="004F530E">
            <w:pPr>
              <w:pStyle w:val="TableText0"/>
              <w:rPr>
                <w:b/>
                <w:bCs/>
              </w:rPr>
            </w:pPr>
            <w:r w:rsidRPr="0034420E">
              <w:rPr>
                <w:b/>
                <w:bCs/>
              </w:rPr>
              <w:t>DKD risk factor (Definition of ‘uncontrolled’)</w:t>
            </w:r>
          </w:p>
        </w:tc>
        <w:tc>
          <w:tcPr>
            <w:tcW w:w="932" w:type="pct"/>
          </w:tcPr>
          <w:p w14:paraId="55C3CCCB" w14:textId="77777777" w:rsidR="000E2FD6" w:rsidRPr="0034420E" w:rsidRDefault="000E2FD6" w:rsidP="004F530E">
            <w:pPr>
              <w:pStyle w:val="TableText0"/>
              <w:jc w:val="center"/>
              <w:rPr>
                <w:b/>
                <w:bCs/>
              </w:rPr>
            </w:pPr>
            <w:r w:rsidRPr="0034420E">
              <w:rPr>
                <w:b/>
                <w:bCs/>
              </w:rPr>
              <w:t>Controlled</w:t>
            </w:r>
          </w:p>
        </w:tc>
        <w:tc>
          <w:tcPr>
            <w:tcW w:w="932" w:type="pct"/>
          </w:tcPr>
          <w:p w14:paraId="53947B5C" w14:textId="77777777" w:rsidR="000E2FD6" w:rsidRPr="0034420E" w:rsidRDefault="000E2FD6" w:rsidP="004F530E">
            <w:pPr>
              <w:pStyle w:val="TableText0"/>
              <w:jc w:val="center"/>
              <w:rPr>
                <w:b/>
                <w:bCs/>
              </w:rPr>
            </w:pPr>
            <w:r w:rsidRPr="0034420E">
              <w:rPr>
                <w:b/>
                <w:bCs/>
              </w:rPr>
              <w:t>Uncontrolled</w:t>
            </w:r>
          </w:p>
        </w:tc>
        <w:tc>
          <w:tcPr>
            <w:tcW w:w="1044" w:type="pct"/>
          </w:tcPr>
          <w:p w14:paraId="024D5CAE" w14:textId="77777777" w:rsidR="000E2FD6" w:rsidRPr="0034420E" w:rsidRDefault="000E2FD6" w:rsidP="004F530E">
            <w:pPr>
              <w:pStyle w:val="TableText0"/>
              <w:jc w:val="center"/>
              <w:rPr>
                <w:b/>
                <w:bCs/>
                <w:i/>
                <w:iCs/>
              </w:rPr>
            </w:pPr>
            <w:r w:rsidRPr="0034420E">
              <w:rPr>
                <w:b/>
                <w:bCs/>
                <w:i/>
                <w:iCs/>
              </w:rPr>
              <w:t>P</w:t>
            </w:r>
            <w:r w:rsidRPr="0034420E">
              <w:rPr>
                <w:b/>
                <w:bCs/>
              </w:rPr>
              <w:t>-value</w:t>
            </w:r>
          </w:p>
        </w:tc>
      </w:tr>
      <w:tr w:rsidR="000611F6" w:rsidRPr="0034420E" w14:paraId="251A54C9" w14:textId="77777777" w:rsidTr="000611F6">
        <w:tc>
          <w:tcPr>
            <w:tcW w:w="2092" w:type="pct"/>
          </w:tcPr>
          <w:p w14:paraId="497E1949" w14:textId="77777777" w:rsidR="000611F6" w:rsidRPr="006B09B8" w:rsidRDefault="000611F6" w:rsidP="000611F6">
            <w:pPr>
              <w:pStyle w:val="TableText0"/>
              <w:rPr>
                <w:bCs/>
              </w:rPr>
            </w:pPr>
            <w:r w:rsidRPr="006B09B8">
              <w:rPr>
                <w:bCs/>
              </w:rPr>
              <w:t>HbA1c (</w:t>
            </w:r>
            <w:r w:rsidRPr="006B09B8">
              <w:rPr>
                <w:rFonts w:cstheme="minorHAnsi"/>
                <w:bCs/>
              </w:rPr>
              <w:t>≥</w:t>
            </w:r>
            <w:r w:rsidRPr="006B09B8">
              <w:rPr>
                <w:bCs/>
              </w:rPr>
              <w:t>7.0%)</w:t>
            </w:r>
          </w:p>
        </w:tc>
        <w:tc>
          <w:tcPr>
            <w:tcW w:w="932" w:type="pct"/>
          </w:tcPr>
          <w:p w14:paraId="059CD22D" w14:textId="014FCE89" w:rsidR="000611F6" w:rsidRPr="006B09B8" w:rsidRDefault="000611F6" w:rsidP="000611F6">
            <w:pPr>
              <w:pStyle w:val="TableText0"/>
              <w:jc w:val="center"/>
              <w:rPr>
                <w:bCs/>
              </w:rPr>
            </w:pPr>
            <w:r w:rsidRPr="006B09B8">
              <w:rPr>
                <w:bCs/>
              </w:rPr>
              <w:t>43 (10.3)</w:t>
            </w:r>
          </w:p>
        </w:tc>
        <w:tc>
          <w:tcPr>
            <w:tcW w:w="932" w:type="pct"/>
          </w:tcPr>
          <w:p w14:paraId="6C37B4DA" w14:textId="0A41C8B6" w:rsidR="000611F6" w:rsidRPr="006B09B8" w:rsidRDefault="000611F6" w:rsidP="000611F6">
            <w:pPr>
              <w:pStyle w:val="TableText0"/>
              <w:jc w:val="center"/>
              <w:rPr>
                <w:bCs/>
              </w:rPr>
            </w:pPr>
            <w:r w:rsidRPr="006B09B8">
              <w:rPr>
                <w:bCs/>
              </w:rPr>
              <w:t>38 (12.4)</w:t>
            </w:r>
          </w:p>
        </w:tc>
        <w:tc>
          <w:tcPr>
            <w:tcW w:w="1044" w:type="pct"/>
          </w:tcPr>
          <w:p w14:paraId="30220B5A" w14:textId="3B9CF088" w:rsidR="000611F6" w:rsidRPr="0034420E" w:rsidRDefault="000611F6" w:rsidP="000611F6">
            <w:pPr>
              <w:pStyle w:val="TableText0"/>
              <w:jc w:val="center"/>
              <w:rPr>
                <w:bCs/>
              </w:rPr>
            </w:pPr>
            <w:r w:rsidRPr="006B09B8">
              <w:rPr>
                <w:bCs/>
              </w:rPr>
              <w:t>0.38</w:t>
            </w:r>
          </w:p>
        </w:tc>
      </w:tr>
      <w:tr w:rsidR="000611F6" w:rsidRPr="0034420E" w14:paraId="13F38DD1" w14:textId="77777777" w:rsidTr="000611F6">
        <w:tc>
          <w:tcPr>
            <w:tcW w:w="2092" w:type="pct"/>
          </w:tcPr>
          <w:p w14:paraId="7E337BBB" w14:textId="77777777" w:rsidR="000611F6" w:rsidRPr="0034420E" w:rsidRDefault="000611F6" w:rsidP="000611F6">
            <w:pPr>
              <w:pStyle w:val="TableText0"/>
              <w:rPr>
                <w:bCs/>
              </w:rPr>
            </w:pPr>
            <w:r w:rsidRPr="0034420E">
              <w:rPr>
                <w:bCs/>
              </w:rPr>
              <w:t>Serum total cholesterol (</w:t>
            </w:r>
            <w:r w:rsidRPr="0034420E">
              <w:rPr>
                <w:rFonts w:cstheme="minorHAnsi"/>
                <w:bCs/>
              </w:rPr>
              <w:t>≥4.0 mmol/L)</w:t>
            </w:r>
          </w:p>
        </w:tc>
        <w:tc>
          <w:tcPr>
            <w:tcW w:w="932" w:type="pct"/>
          </w:tcPr>
          <w:p w14:paraId="181EB789" w14:textId="20FF99CD" w:rsidR="000611F6" w:rsidRPr="0034420E" w:rsidRDefault="000611F6" w:rsidP="000611F6">
            <w:pPr>
              <w:pStyle w:val="TableText0"/>
              <w:jc w:val="center"/>
              <w:rPr>
                <w:bCs/>
              </w:rPr>
            </w:pPr>
            <w:r w:rsidRPr="0034420E">
              <w:rPr>
                <w:bCs/>
              </w:rPr>
              <w:t>41 (13.5)</w:t>
            </w:r>
          </w:p>
        </w:tc>
        <w:tc>
          <w:tcPr>
            <w:tcW w:w="932" w:type="pct"/>
          </w:tcPr>
          <w:p w14:paraId="6D73CD52" w14:textId="329C57FF" w:rsidR="000611F6" w:rsidRPr="0034420E" w:rsidRDefault="000611F6" w:rsidP="000611F6">
            <w:pPr>
              <w:pStyle w:val="TableText0"/>
              <w:jc w:val="center"/>
              <w:rPr>
                <w:bCs/>
              </w:rPr>
            </w:pPr>
            <w:r w:rsidRPr="0034420E">
              <w:rPr>
                <w:bCs/>
              </w:rPr>
              <w:t>40 (9.5)</w:t>
            </w:r>
          </w:p>
        </w:tc>
        <w:tc>
          <w:tcPr>
            <w:tcW w:w="1044" w:type="pct"/>
          </w:tcPr>
          <w:p w14:paraId="0E98B8BB" w14:textId="23BF30B8" w:rsidR="000611F6" w:rsidRPr="0034420E" w:rsidRDefault="000611F6" w:rsidP="000611F6">
            <w:pPr>
              <w:pStyle w:val="TableText0"/>
              <w:jc w:val="center"/>
              <w:rPr>
                <w:bCs/>
              </w:rPr>
            </w:pPr>
            <w:r w:rsidRPr="0034420E">
              <w:rPr>
                <w:bCs/>
              </w:rPr>
              <w:t>0.088</w:t>
            </w:r>
          </w:p>
        </w:tc>
      </w:tr>
      <w:tr w:rsidR="000611F6" w:rsidRPr="0034420E" w14:paraId="218D5FDA" w14:textId="77777777" w:rsidTr="000611F6">
        <w:tc>
          <w:tcPr>
            <w:tcW w:w="2092" w:type="pct"/>
          </w:tcPr>
          <w:p w14:paraId="01944107" w14:textId="77777777" w:rsidR="000611F6" w:rsidRPr="0034420E" w:rsidRDefault="000611F6" w:rsidP="000611F6">
            <w:pPr>
              <w:pStyle w:val="TableText0"/>
              <w:rPr>
                <w:bCs/>
              </w:rPr>
            </w:pPr>
            <w:r w:rsidRPr="0034420E">
              <w:rPr>
                <w:bCs/>
              </w:rPr>
              <w:t>Serum HDL cholesterol (</w:t>
            </w:r>
            <w:r w:rsidRPr="0034420E">
              <w:rPr>
                <w:rFonts w:cstheme="minorHAnsi"/>
                <w:bCs/>
              </w:rPr>
              <w:t>&lt;1.0 mmol/L)</w:t>
            </w:r>
          </w:p>
        </w:tc>
        <w:tc>
          <w:tcPr>
            <w:tcW w:w="932" w:type="pct"/>
          </w:tcPr>
          <w:p w14:paraId="2F8F6291" w14:textId="7B51F1F5" w:rsidR="000611F6" w:rsidRPr="0034420E" w:rsidRDefault="000611F6" w:rsidP="000611F6">
            <w:pPr>
              <w:pStyle w:val="TableText0"/>
              <w:jc w:val="center"/>
              <w:rPr>
                <w:bCs/>
              </w:rPr>
            </w:pPr>
            <w:r w:rsidRPr="0034420E">
              <w:rPr>
                <w:bCs/>
              </w:rPr>
              <w:t>58 (10.1)</w:t>
            </w:r>
          </w:p>
        </w:tc>
        <w:tc>
          <w:tcPr>
            <w:tcW w:w="932" w:type="pct"/>
          </w:tcPr>
          <w:p w14:paraId="2AC510EC" w14:textId="7D2D0709" w:rsidR="000611F6" w:rsidRPr="0034420E" w:rsidRDefault="000611F6" w:rsidP="000611F6">
            <w:pPr>
              <w:pStyle w:val="TableText0"/>
              <w:jc w:val="center"/>
              <w:rPr>
                <w:bCs/>
              </w:rPr>
            </w:pPr>
            <w:r w:rsidRPr="0034420E">
              <w:rPr>
                <w:bCs/>
              </w:rPr>
              <w:t>23 (15.0)</w:t>
            </w:r>
          </w:p>
        </w:tc>
        <w:tc>
          <w:tcPr>
            <w:tcW w:w="1044" w:type="pct"/>
          </w:tcPr>
          <w:p w14:paraId="6526EE35" w14:textId="4D228988" w:rsidR="000611F6" w:rsidRPr="0034420E" w:rsidRDefault="000611F6" w:rsidP="000611F6">
            <w:pPr>
              <w:pStyle w:val="TableText0"/>
              <w:jc w:val="center"/>
              <w:rPr>
                <w:bCs/>
              </w:rPr>
            </w:pPr>
            <w:r w:rsidRPr="0034420E">
              <w:rPr>
                <w:bCs/>
              </w:rPr>
              <w:t>0.088</w:t>
            </w:r>
          </w:p>
        </w:tc>
      </w:tr>
      <w:tr w:rsidR="000611F6" w:rsidRPr="0034420E" w14:paraId="13E8B5B6" w14:textId="77777777" w:rsidTr="000611F6">
        <w:tc>
          <w:tcPr>
            <w:tcW w:w="2092" w:type="pct"/>
          </w:tcPr>
          <w:p w14:paraId="47A30244" w14:textId="77777777" w:rsidR="000611F6" w:rsidRPr="0034420E" w:rsidRDefault="000611F6" w:rsidP="000611F6">
            <w:pPr>
              <w:pStyle w:val="TableText0"/>
              <w:rPr>
                <w:bCs/>
              </w:rPr>
            </w:pPr>
            <w:r w:rsidRPr="0034420E">
              <w:rPr>
                <w:bCs/>
              </w:rPr>
              <w:t xml:space="preserve">Serum triglycerides </w:t>
            </w:r>
            <w:r w:rsidRPr="0034420E">
              <w:rPr>
                <w:rFonts w:cstheme="minorHAnsi"/>
                <w:bCs/>
              </w:rPr>
              <w:t>≥2.0 mmol/L</w:t>
            </w:r>
          </w:p>
        </w:tc>
        <w:tc>
          <w:tcPr>
            <w:tcW w:w="932" w:type="pct"/>
          </w:tcPr>
          <w:p w14:paraId="539ABCE6" w14:textId="2D6948D3" w:rsidR="000611F6" w:rsidRPr="0034420E" w:rsidRDefault="000611F6" w:rsidP="000611F6">
            <w:pPr>
              <w:pStyle w:val="TableText0"/>
              <w:jc w:val="center"/>
              <w:rPr>
                <w:bCs/>
              </w:rPr>
            </w:pPr>
            <w:r w:rsidRPr="0034420E">
              <w:rPr>
                <w:bCs/>
              </w:rPr>
              <w:t>58 (10.5)</w:t>
            </w:r>
          </w:p>
        </w:tc>
        <w:tc>
          <w:tcPr>
            <w:tcW w:w="932" w:type="pct"/>
          </w:tcPr>
          <w:p w14:paraId="724DA75B" w14:textId="2BACCD2F" w:rsidR="000611F6" w:rsidRPr="0034420E" w:rsidRDefault="000611F6" w:rsidP="000611F6">
            <w:pPr>
              <w:pStyle w:val="TableText0"/>
              <w:jc w:val="center"/>
              <w:rPr>
                <w:bCs/>
              </w:rPr>
            </w:pPr>
            <w:r w:rsidRPr="0034420E">
              <w:rPr>
                <w:bCs/>
              </w:rPr>
              <w:t>23 (13.1)</w:t>
            </w:r>
          </w:p>
        </w:tc>
        <w:tc>
          <w:tcPr>
            <w:tcW w:w="1044" w:type="pct"/>
          </w:tcPr>
          <w:p w14:paraId="281A4C2A" w14:textId="32A175B6" w:rsidR="000611F6" w:rsidRPr="0034420E" w:rsidRDefault="000611F6" w:rsidP="000611F6">
            <w:pPr>
              <w:pStyle w:val="TableText0"/>
              <w:jc w:val="center"/>
              <w:rPr>
                <w:bCs/>
              </w:rPr>
            </w:pPr>
            <w:r w:rsidRPr="0034420E">
              <w:rPr>
                <w:bCs/>
              </w:rPr>
              <w:t>0.34</w:t>
            </w:r>
          </w:p>
        </w:tc>
      </w:tr>
      <w:tr w:rsidR="000611F6" w:rsidRPr="0034420E" w14:paraId="54EB5B72" w14:textId="77777777" w:rsidTr="000611F6">
        <w:tc>
          <w:tcPr>
            <w:tcW w:w="2092" w:type="pct"/>
          </w:tcPr>
          <w:p w14:paraId="618FC169" w14:textId="77777777" w:rsidR="000611F6" w:rsidRPr="0034420E" w:rsidRDefault="000611F6" w:rsidP="000611F6">
            <w:pPr>
              <w:pStyle w:val="TableText0"/>
              <w:rPr>
                <w:bCs/>
              </w:rPr>
            </w:pPr>
            <w:r w:rsidRPr="0034420E">
              <w:rPr>
                <w:bCs/>
              </w:rPr>
              <w:t>Hypertension &gt;140/90 mmHg</w:t>
            </w:r>
          </w:p>
        </w:tc>
        <w:tc>
          <w:tcPr>
            <w:tcW w:w="932" w:type="pct"/>
          </w:tcPr>
          <w:p w14:paraId="62FBBF1F" w14:textId="2BF20F46" w:rsidR="000611F6" w:rsidRPr="0034420E" w:rsidRDefault="000611F6" w:rsidP="000611F6">
            <w:pPr>
              <w:pStyle w:val="TableText0"/>
              <w:jc w:val="center"/>
              <w:rPr>
                <w:bCs/>
              </w:rPr>
            </w:pPr>
            <w:r w:rsidRPr="0034420E">
              <w:rPr>
                <w:bCs/>
              </w:rPr>
              <w:t>62 (10.1)</w:t>
            </w:r>
          </w:p>
        </w:tc>
        <w:tc>
          <w:tcPr>
            <w:tcW w:w="932" w:type="pct"/>
          </w:tcPr>
          <w:p w14:paraId="6EDFEA44" w14:textId="4D8EADEA" w:rsidR="000611F6" w:rsidRPr="0034420E" w:rsidRDefault="000611F6" w:rsidP="000611F6">
            <w:pPr>
              <w:pStyle w:val="TableText0"/>
              <w:jc w:val="center"/>
              <w:rPr>
                <w:bCs/>
              </w:rPr>
            </w:pPr>
            <w:r w:rsidRPr="0034420E">
              <w:rPr>
                <w:bCs/>
              </w:rPr>
              <w:t>19 (17.4)</w:t>
            </w:r>
          </w:p>
        </w:tc>
        <w:tc>
          <w:tcPr>
            <w:tcW w:w="1044" w:type="pct"/>
          </w:tcPr>
          <w:p w14:paraId="1F2B2306" w14:textId="6740EE2E" w:rsidR="000611F6" w:rsidRPr="0034420E" w:rsidRDefault="000611F6" w:rsidP="000611F6">
            <w:pPr>
              <w:pStyle w:val="TableText0"/>
              <w:jc w:val="center"/>
            </w:pPr>
            <w:r w:rsidRPr="0034420E">
              <w:t>0.025</w:t>
            </w:r>
          </w:p>
        </w:tc>
      </w:tr>
    </w:tbl>
    <w:p w14:paraId="705B9E1B" w14:textId="246F9F87" w:rsidR="005B6051" w:rsidRPr="0034420E" w:rsidRDefault="005B6051" w:rsidP="005B6051">
      <w:pPr>
        <w:pStyle w:val="Tablenotes"/>
      </w:pPr>
      <w:r w:rsidRPr="0034420E">
        <w:t xml:space="preserve">DKD = diabetic kidney disease; </w:t>
      </w:r>
      <w:r w:rsidR="000E2FD6" w:rsidRPr="0034420E">
        <w:rPr>
          <w:rFonts w:cstheme="minorHAnsi"/>
        </w:rPr>
        <w:t xml:space="preserve">HbA1c </w:t>
      </w:r>
      <w:r w:rsidRPr="0034420E">
        <w:t xml:space="preserve">= glycated </w:t>
      </w:r>
      <w:r w:rsidR="00DA1F65" w:rsidRPr="0034420E">
        <w:t>h</w:t>
      </w:r>
      <w:r w:rsidRPr="0034420E">
        <w:t>a</w:t>
      </w:r>
      <w:r w:rsidR="00DA1F65" w:rsidRPr="0034420E">
        <w:t>e</w:t>
      </w:r>
      <w:r w:rsidRPr="0034420E">
        <w:t>moglobin; HDL = high-density lipoprotein</w:t>
      </w:r>
    </w:p>
    <w:p w14:paraId="0B2E2C15" w14:textId="233712AE" w:rsidR="000E2FD6" w:rsidRPr="0034420E" w:rsidRDefault="000E2FD6" w:rsidP="000E2FD6">
      <w:r w:rsidRPr="0034420E">
        <w:t>The applicant noted that both controlled and uncontrolled patients developed outcomes equally except for hypertensive patients who more often developed outcome</w:t>
      </w:r>
      <w:r w:rsidR="00220958" w:rsidRPr="0034420E">
        <w:t>s</w:t>
      </w:r>
      <w:r w:rsidRPr="0034420E">
        <w:t xml:space="preserve"> compared to normotensive patients (p=0.025), and suggested that even if patients developed control of risk factors like lipids, there is value in repeat testing.</w:t>
      </w:r>
      <w:r w:rsidR="009C3B32" w:rsidRPr="0034420E">
        <w:t xml:space="preserve"> The applicant is requested to provide further detail with respect to these results, for example, (i) the total number of patients in the sample and (ii) what does ‘</w:t>
      </w:r>
      <w:proofErr w:type="gramStart"/>
      <w:r w:rsidR="009C3B32" w:rsidRPr="0034420E">
        <w:t>controlled</w:t>
      </w:r>
      <w:proofErr w:type="gramEnd"/>
      <w:r w:rsidR="009C3B32" w:rsidRPr="0034420E">
        <w:t>’ and ‘uncontrolled’ refer to (</w:t>
      </w:r>
      <w:proofErr w:type="spellStart"/>
      <w:r w:rsidR="009C3B32" w:rsidRPr="0034420E">
        <w:t>eg</w:t>
      </w:r>
      <w:proofErr w:type="spellEnd"/>
      <w:r w:rsidR="009C3B32" w:rsidRPr="0034420E">
        <w:t>, is it in reference to each risk factor separately)?</w:t>
      </w:r>
    </w:p>
    <w:p w14:paraId="055DE4FE" w14:textId="3E902A48" w:rsidR="000E2FD6" w:rsidRPr="0034420E" w:rsidRDefault="000E2FD6" w:rsidP="000E2FD6">
      <w:r w:rsidRPr="0034420E">
        <w:t xml:space="preserve">Based on this information alone, it was unclear if hypertension led to DKD, or if the worsening renal function had led to high blood pressure (or worse response to treatment). It was also noted that blood pressure measurements were not part of the PromarkerD algorithm, whereas HDL-cholesterol, in which there was </w:t>
      </w:r>
      <w:proofErr w:type="gramStart"/>
      <w:r w:rsidRPr="0034420E">
        <w:t>no</w:t>
      </w:r>
      <w:proofErr w:type="gramEnd"/>
      <w:r w:rsidRPr="0034420E">
        <w:t xml:space="preserve"> statistically significantly difference in incidence of DKD between patients with controlled or uncontrolled HDL, was included.</w:t>
      </w:r>
    </w:p>
    <w:p w14:paraId="7E26A30F" w14:textId="0E75A747" w:rsidR="000E2FD6" w:rsidRPr="0034420E" w:rsidRDefault="000E2FD6" w:rsidP="000E2FD6">
      <w:r w:rsidRPr="0034420E">
        <w:t>The results from the Fremantle study were inconsistent with the treatment targets proposed by the applicant which included lipid and glycaemic control, as there appear to be a lack of correlation between control of blood glucose and lipids with DKD outcome. While blood pressure appear</w:t>
      </w:r>
      <w:r w:rsidR="00220958" w:rsidRPr="0034420E">
        <w:t>s</w:t>
      </w:r>
      <w:r w:rsidRPr="0034420E">
        <w:t xml:space="preserve"> to be correlated to </w:t>
      </w:r>
      <w:r w:rsidR="00220958" w:rsidRPr="0034420E">
        <w:t xml:space="preserve">the </w:t>
      </w:r>
      <w:r w:rsidRPr="0034420E">
        <w:t>development of DKD, it was unclear if a more aggressive target (</w:t>
      </w:r>
      <w:proofErr w:type="gramStart"/>
      <w:r w:rsidRPr="0034420E">
        <w:t>i.e.</w:t>
      </w:r>
      <w:proofErr w:type="gramEnd"/>
      <w:r w:rsidRPr="0034420E">
        <w:t xml:space="preserve"> lower blood pressure) was required or if the relationship between hypertension and DKD was causal. As such, it was unclear what surrogate outcomes would represent meaningful treatment targets for patients who were identified to have moderate</w:t>
      </w:r>
      <w:r w:rsidR="008405C5" w:rsidRPr="0034420E">
        <w:t>-</w:t>
      </w:r>
      <w:r w:rsidRPr="0034420E">
        <w:t xml:space="preserve"> to high</w:t>
      </w:r>
      <w:r w:rsidR="008405C5" w:rsidRPr="0034420E">
        <w:t>-</w:t>
      </w:r>
      <w:r w:rsidRPr="0034420E">
        <w:t xml:space="preserve">risk of DKD with the </w:t>
      </w:r>
      <w:proofErr w:type="spellStart"/>
      <w:r w:rsidRPr="0034420E">
        <w:t>PromarkerD</w:t>
      </w:r>
      <w:proofErr w:type="spellEnd"/>
      <w:r w:rsidRPr="0034420E">
        <w:t xml:space="preserve"> test.</w:t>
      </w:r>
    </w:p>
    <w:p w14:paraId="2BDE22B9" w14:textId="4195C7A0" w:rsidR="00D73332" w:rsidRPr="0034420E" w:rsidRDefault="00D73332" w:rsidP="00713728">
      <w:pPr>
        <w:pStyle w:val="Heading2"/>
      </w:pPr>
      <w:r w:rsidRPr="0034420E">
        <w:t>Proposed economic evaluation</w:t>
      </w:r>
    </w:p>
    <w:p w14:paraId="3C3C8213" w14:textId="0156D6BF" w:rsidR="000F2B1C" w:rsidRPr="0034420E" w:rsidRDefault="000F2B1C" w:rsidP="0072128E">
      <w:r w:rsidRPr="0034420E">
        <w:t xml:space="preserve">As the clinical claim </w:t>
      </w:r>
      <w:r w:rsidR="006F305B" w:rsidRPr="0034420E">
        <w:t>include</w:t>
      </w:r>
      <w:r w:rsidR="006A1FF0" w:rsidRPr="0034420E">
        <w:t>d</w:t>
      </w:r>
      <w:r w:rsidRPr="0034420E">
        <w:t xml:space="preserve"> the use of PromarkerD in addition to standard of care, a cost effectiveness or cost-utility analysis would be appropriate</w:t>
      </w:r>
      <w:r w:rsidR="00A34407" w:rsidRPr="0034420E">
        <w:t xml:space="preserve"> (</w:t>
      </w:r>
      <w:r w:rsidR="0072128E" w:rsidRPr="0034420E">
        <w:fldChar w:fldCharType="begin"/>
      </w:r>
      <w:r w:rsidR="0072128E" w:rsidRPr="0034420E">
        <w:instrText xml:space="preserve"> REF _Ref54260209 \h </w:instrText>
      </w:r>
      <w:r w:rsidR="009E1D30" w:rsidRPr="0034420E">
        <w:instrText xml:space="preserve"> \* MERGEFORMAT </w:instrText>
      </w:r>
      <w:r w:rsidR="0072128E" w:rsidRPr="0034420E">
        <w:fldChar w:fldCharType="separate"/>
      </w:r>
      <w:r w:rsidR="00523E59" w:rsidRPr="0034420E">
        <w:t xml:space="preserve">Table </w:t>
      </w:r>
      <w:r w:rsidR="00523E59" w:rsidRPr="0034420E">
        <w:rPr>
          <w:noProof/>
        </w:rPr>
        <w:t>11</w:t>
      </w:r>
      <w:r w:rsidR="0072128E" w:rsidRPr="0034420E">
        <w:fldChar w:fldCharType="end"/>
      </w:r>
      <w:r w:rsidR="00A34407" w:rsidRPr="0034420E">
        <w:t>)</w:t>
      </w:r>
      <w:r w:rsidRPr="0034420E">
        <w:t>.</w:t>
      </w:r>
      <w:r w:rsidR="005711A9" w:rsidRPr="0034420E">
        <w:t xml:space="preserve"> </w:t>
      </w:r>
      <w:r w:rsidR="006F305B" w:rsidRPr="0034420E">
        <w:t>The application did not provide s</w:t>
      </w:r>
      <w:r w:rsidR="005711A9" w:rsidRPr="0034420E">
        <w:t>ufficient</w:t>
      </w:r>
      <w:r w:rsidR="006F305B" w:rsidRPr="0034420E">
        <w:t xml:space="preserve"> detail to allow assessment of whether</w:t>
      </w:r>
      <w:r w:rsidR="005711A9" w:rsidRPr="0034420E">
        <w:t xml:space="preserve"> </w:t>
      </w:r>
      <w:r w:rsidR="006E66B8" w:rsidRPr="0034420E">
        <w:t xml:space="preserve">there is </w:t>
      </w:r>
      <w:r w:rsidR="005711A9" w:rsidRPr="0034420E">
        <w:t xml:space="preserve">evidence </w:t>
      </w:r>
      <w:r w:rsidR="006E66B8" w:rsidRPr="0034420E">
        <w:t>available to conduct</w:t>
      </w:r>
      <w:r w:rsidR="005711A9" w:rsidRPr="0034420E">
        <w:t xml:space="preserve"> </w:t>
      </w:r>
      <w:r w:rsidR="006E66B8" w:rsidRPr="0034420E">
        <w:t>such an analysis</w:t>
      </w:r>
      <w:r w:rsidR="006F305B" w:rsidRPr="0034420E">
        <w:t>.</w:t>
      </w:r>
    </w:p>
    <w:p w14:paraId="74D188FC" w14:textId="2A3668A6" w:rsidR="00E543A5" w:rsidRPr="0034420E" w:rsidRDefault="00E543A5" w:rsidP="0072128E">
      <w:pPr>
        <w:rPr>
          <w:i/>
          <w:iCs/>
        </w:rPr>
      </w:pPr>
      <w:r w:rsidRPr="0034420E">
        <w:rPr>
          <w:rFonts w:asciiTheme="minorHAnsi" w:hAnsiTheme="minorHAnsi" w:cstheme="minorHAnsi"/>
          <w:i/>
          <w:iCs/>
        </w:rPr>
        <w:t>PASC noted that the clinical claim led to a cost-effectiveness or cost-</w:t>
      </w:r>
      <w:r w:rsidR="00655378" w:rsidRPr="0034420E">
        <w:rPr>
          <w:rFonts w:asciiTheme="minorHAnsi" w:hAnsiTheme="minorHAnsi" w:cstheme="minorHAnsi"/>
          <w:i/>
          <w:iCs/>
        </w:rPr>
        <w:t>utility</w:t>
      </w:r>
      <w:r w:rsidRPr="0034420E">
        <w:rPr>
          <w:rFonts w:asciiTheme="minorHAnsi" w:hAnsiTheme="minorHAnsi" w:cstheme="minorHAnsi"/>
          <w:i/>
          <w:iCs/>
        </w:rPr>
        <w:t xml:space="preserve"> analysis being the appropriate economic evaluation, however PASC considered there may be insufficient information in the application to support the clinical claim.</w:t>
      </w:r>
    </w:p>
    <w:p w14:paraId="6DAB2DBD" w14:textId="75E6A9B3" w:rsidR="000939E0" w:rsidRPr="0034420E" w:rsidRDefault="0072128E" w:rsidP="00C40CC4">
      <w:pPr>
        <w:pStyle w:val="Caption"/>
      </w:pPr>
      <w:bookmarkStart w:id="20" w:name="_Ref54260209"/>
      <w:bookmarkStart w:id="21" w:name="_Toc423450289"/>
      <w:r w:rsidRPr="0034420E">
        <w:lastRenderedPageBreak/>
        <w:t xml:space="preserve">Table </w:t>
      </w:r>
      <w:r w:rsidRPr="0034420E">
        <w:fldChar w:fldCharType="begin"/>
      </w:r>
      <w:r w:rsidRPr="0034420E">
        <w:instrText xml:space="preserve"> SEQ Table \* ARABIC </w:instrText>
      </w:r>
      <w:r w:rsidRPr="0034420E">
        <w:fldChar w:fldCharType="separate"/>
      </w:r>
      <w:r w:rsidR="00523E59" w:rsidRPr="0034420E">
        <w:rPr>
          <w:noProof/>
        </w:rPr>
        <w:t>11</w:t>
      </w:r>
      <w:r w:rsidRPr="0034420E">
        <w:fldChar w:fldCharType="end"/>
      </w:r>
      <w:bookmarkEnd w:id="20"/>
      <w:r w:rsidR="001A5D2F" w:rsidRPr="0034420E">
        <w:tab/>
        <w:t>Classification of</w:t>
      </w:r>
      <w:r w:rsidR="000939E0" w:rsidRPr="0034420E">
        <w:t xml:space="preserve"> comparative effectiveness and safety of the proposed intervention</w:t>
      </w:r>
      <w:r w:rsidR="001A5D2F" w:rsidRPr="0034420E">
        <w:t>,</w:t>
      </w:r>
      <w:r w:rsidR="000939E0" w:rsidRPr="0034420E">
        <w:t xml:space="preserve"> compared with its main comparator</w:t>
      </w:r>
      <w:r w:rsidR="001A5D2F" w:rsidRPr="0034420E">
        <w:t>,</w:t>
      </w:r>
      <w:r w:rsidR="000939E0" w:rsidRPr="0034420E">
        <w:t xml:space="preserve"> and guide to the suitable type of economic evaluation</w:t>
      </w:r>
      <w:bookmarkEnd w:id="21"/>
    </w:p>
    <w:tbl>
      <w:tblPr>
        <w:tblW w:w="4872" w:type="pct"/>
        <w:tblInd w:w="115" w:type="dxa"/>
        <w:tblLayout w:type="fixed"/>
        <w:tblCellMar>
          <w:left w:w="115" w:type="dxa"/>
          <w:right w:w="115" w:type="dxa"/>
        </w:tblCellMar>
        <w:tblLook w:val="01E0" w:firstRow="1" w:lastRow="1" w:firstColumn="1" w:lastColumn="1" w:noHBand="0" w:noVBand="0"/>
        <w:tblCaption w:val="Table 19 Classification of the comparative effectiveness and safety of the proposed therapeutic medical service compared with its main comparator and guide to the suitable type of economic evaluation"/>
        <w:tblDescription w:val="The table presents a matrix of comparative safety (inferior, unccertain, non-inferior, superior) against comparative effectiveness (inferior, uncertain, non-inmferior, superior)."/>
      </w:tblPr>
      <w:tblGrid>
        <w:gridCol w:w="2012"/>
        <w:gridCol w:w="1905"/>
        <w:gridCol w:w="2227"/>
        <w:gridCol w:w="1748"/>
        <w:gridCol w:w="1434"/>
      </w:tblGrid>
      <w:tr w:rsidR="00686EED" w:rsidRPr="0034420E" w14:paraId="5238F44C" w14:textId="77777777" w:rsidTr="00686EED">
        <w:trPr>
          <w:cantSplit/>
          <w:tblHeader/>
        </w:trPr>
        <w:tc>
          <w:tcPr>
            <w:tcW w:w="2012" w:type="dxa"/>
            <w:vMerge w:val="restart"/>
            <w:tcBorders>
              <w:top w:val="single" w:sz="4" w:space="0" w:color="auto"/>
              <w:left w:val="single" w:sz="4" w:space="0" w:color="auto"/>
              <w:right w:val="single" w:sz="4" w:space="0" w:color="auto"/>
            </w:tcBorders>
          </w:tcPr>
          <w:p w14:paraId="5B06A6EA" w14:textId="730AFFCD" w:rsidR="00686EED" w:rsidRPr="0034420E" w:rsidRDefault="00686EED" w:rsidP="00C40CC4">
            <w:pPr>
              <w:pStyle w:val="TableHeading"/>
            </w:pPr>
            <w:bookmarkStart w:id="22" w:name="Title_Table2" w:colFirst="0" w:colLast="0"/>
            <w:r w:rsidRPr="0034420E">
              <w:t>Comparative safety</w:t>
            </w:r>
            <w:r w:rsidRPr="0034420E">
              <w:rPr>
                <w:color w:val="FFFFFF" w:themeColor="background1"/>
              </w:rPr>
              <w:t>-</w:t>
            </w:r>
          </w:p>
        </w:tc>
        <w:tc>
          <w:tcPr>
            <w:tcW w:w="1905" w:type="dxa"/>
            <w:tcBorders>
              <w:top w:val="single" w:sz="4" w:space="0" w:color="auto"/>
              <w:left w:val="single" w:sz="4" w:space="0" w:color="auto"/>
              <w:bottom w:val="single" w:sz="4" w:space="0" w:color="auto"/>
              <w:right w:val="nil"/>
            </w:tcBorders>
          </w:tcPr>
          <w:p w14:paraId="293E5792" w14:textId="77777777" w:rsidR="00686EED" w:rsidRPr="0034420E" w:rsidRDefault="00686EED" w:rsidP="00C40CC4">
            <w:pPr>
              <w:pStyle w:val="TableHeading"/>
              <w:jc w:val="center"/>
            </w:pPr>
          </w:p>
        </w:tc>
        <w:tc>
          <w:tcPr>
            <w:tcW w:w="2227" w:type="dxa"/>
            <w:tcBorders>
              <w:top w:val="single" w:sz="4" w:space="0" w:color="auto"/>
              <w:left w:val="nil"/>
              <w:bottom w:val="single" w:sz="4" w:space="0" w:color="auto"/>
            </w:tcBorders>
          </w:tcPr>
          <w:p w14:paraId="57B2397B" w14:textId="77777777" w:rsidR="00686EED" w:rsidRPr="0034420E" w:rsidRDefault="00686EED" w:rsidP="00C40CC4">
            <w:pPr>
              <w:pStyle w:val="TableHeading"/>
              <w:ind w:left="-75" w:right="-127"/>
              <w:jc w:val="center"/>
            </w:pPr>
            <w:r w:rsidRPr="0034420E">
              <w:t>Comparative effectiveness</w:t>
            </w:r>
          </w:p>
        </w:tc>
        <w:tc>
          <w:tcPr>
            <w:tcW w:w="1748" w:type="dxa"/>
            <w:tcBorders>
              <w:top w:val="single" w:sz="4" w:space="0" w:color="auto"/>
              <w:left w:val="nil"/>
              <w:bottom w:val="single" w:sz="4" w:space="0" w:color="auto"/>
            </w:tcBorders>
          </w:tcPr>
          <w:p w14:paraId="6B53FB6C" w14:textId="77777777" w:rsidR="00686EED" w:rsidRPr="0034420E" w:rsidRDefault="00686EED" w:rsidP="00C40CC4">
            <w:pPr>
              <w:pStyle w:val="TableHeading"/>
              <w:jc w:val="center"/>
            </w:pPr>
          </w:p>
        </w:tc>
        <w:tc>
          <w:tcPr>
            <w:tcW w:w="1434" w:type="dxa"/>
            <w:tcBorders>
              <w:top w:val="single" w:sz="4" w:space="0" w:color="auto"/>
              <w:left w:val="nil"/>
              <w:bottom w:val="single" w:sz="4" w:space="0" w:color="auto"/>
              <w:right w:val="single" w:sz="4" w:space="0" w:color="auto"/>
            </w:tcBorders>
          </w:tcPr>
          <w:p w14:paraId="0FE152FA" w14:textId="77777777" w:rsidR="00686EED" w:rsidRPr="0034420E" w:rsidRDefault="00686EED" w:rsidP="00C40CC4">
            <w:pPr>
              <w:pStyle w:val="TableHeading"/>
              <w:jc w:val="center"/>
            </w:pPr>
          </w:p>
        </w:tc>
      </w:tr>
      <w:bookmarkEnd w:id="22"/>
      <w:tr w:rsidR="00686EED" w:rsidRPr="0034420E" w14:paraId="78A8F3F1" w14:textId="77777777" w:rsidTr="00686EED">
        <w:trPr>
          <w:cantSplit/>
          <w:tblHeader/>
        </w:trPr>
        <w:tc>
          <w:tcPr>
            <w:tcW w:w="2012" w:type="dxa"/>
            <w:vMerge/>
            <w:tcBorders>
              <w:left w:val="single" w:sz="4" w:space="0" w:color="auto"/>
              <w:bottom w:val="single" w:sz="4" w:space="0" w:color="auto"/>
              <w:right w:val="single" w:sz="4" w:space="0" w:color="auto"/>
            </w:tcBorders>
          </w:tcPr>
          <w:p w14:paraId="6E00D947" w14:textId="57BEC7DE" w:rsidR="00686EED" w:rsidRPr="0034420E" w:rsidRDefault="00686EED" w:rsidP="00C40CC4">
            <w:pPr>
              <w:pStyle w:val="TableHeading"/>
            </w:pPr>
          </w:p>
        </w:tc>
        <w:tc>
          <w:tcPr>
            <w:tcW w:w="1905" w:type="dxa"/>
            <w:tcBorders>
              <w:left w:val="single" w:sz="4" w:space="0" w:color="auto"/>
              <w:bottom w:val="single" w:sz="4" w:space="0" w:color="auto"/>
              <w:right w:val="single" w:sz="4" w:space="0" w:color="auto"/>
            </w:tcBorders>
          </w:tcPr>
          <w:p w14:paraId="319C788C" w14:textId="77777777" w:rsidR="00686EED" w:rsidRPr="0034420E" w:rsidRDefault="00686EED" w:rsidP="00C40CC4">
            <w:pPr>
              <w:pStyle w:val="TableHeading"/>
              <w:jc w:val="center"/>
            </w:pPr>
            <w:r w:rsidRPr="0034420E">
              <w:t>Inferior</w:t>
            </w:r>
          </w:p>
        </w:tc>
        <w:tc>
          <w:tcPr>
            <w:tcW w:w="2227" w:type="dxa"/>
            <w:tcBorders>
              <w:top w:val="single" w:sz="4" w:space="0" w:color="auto"/>
              <w:left w:val="single" w:sz="4" w:space="0" w:color="auto"/>
              <w:bottom w:val="single" w:sz="4" w:space="0" w:color="auto"/>
              <w:right w:val="single" w:sz="4" w:space="0" w:color="auto"/>
            </w:tcBorders>
          </w:tcPr>
          <w:p w14:paraId="5AC96128" w14:textId="77777777" w:rsidR="00686EED" w:rsidRPr="0034420E" w:rsidRDefault="00686EED" w:rsidP="00C40CC4">
            <w:pPr>
              <w:pStyle w:val="TableHeading"/>
              <w:jc w:val="center"/>
            </w:pPr>
            <w:proofErr w:type="spellStart"/>
            <w:r w:rsidRPr="0034420E">
              <w:t>Uncertain</w:t>
            </w:r>
            <w:r w:rsidRPr="0034420E">
              <w:rPr>
                <w:vertAlign w:val="superscript"/>
              </w:rPr>
              <w:t>a</w:t>
            </w:r>
            <w:proofErr w:type="spellEnd"/>
          </w:p>
        </w:tc>
        <w:tc>
          <w:tcPr>
            <w:tcW w:w="1748" w:type="dxa"/>
            <w:tcBorders>
              <w:top w:val="single" w:sz="4" w:space="0" w:color="auto"/>
              <w:left w:val="single" w:sz="4" w:space="0" w:color="auto"/>
              <w:bottom w:val="single" w:sz="4" w:space="0" w:color="auto"/>
              <w:right w:val="single" w:sz="4" w:space="0" w:color="auto"/>
            </w:tcBorders>
          </w:tcPr>
          <w:p w14:paraId="7AA1349D" w14:textId="4BA1ADFE" w:rsidR="00686EED" w:rsidRPr="0034420E" w:rsidRDefault="00686EED" w:rsidP="00C40CC4">
            <w:pPr>
              <w:pStyle w:val="TableHeading"/>
              <w:jc w:val="center"/>
            </w:pPr>
            <w:proofErr w:type="spellStart"/>
            <w:r w:rsidRPr="0034420E">
              <w:t>Noninferior</w:t>
            </w:r>
            <w:r w:rsidRPr="0034420E">
              <w:rPr>
                <w:vertAlign w:val="superscript"/>
              </w:rPr>
              <w:t>b</w:t>
            </w:r>
            <w:proofErr w:type="spellEnd"/>
          </w:p>
        </w:tc>
        <w:tc>
          <w:tcPr>
            <w:tcW w:w="1434" w:type="dxa"/>
            <w:tcBorders>
              <w:top w:val="single" w:sz="4" w:space="0" w:color="auto"/>
              <w:left w:val="single" w:sz="4" w:space="0" w:color="auto"/>
              <w:bottom w:val="single" w:sz="4" w:space="0" w:color="auto"/>
              <w:right w:val="single" w:sz="4" w:space="0" w:color="auto"/>
            </w:tcBorders>
          </w:tcPr>
          <w:p w14:paraId="156C5942" w14:textId="77777777" w:rsidR="00686EED" w:rsidRPr="0034420E" w:rsidRDefault="00686EED" w:rsidP="00C40CC4">
            <w:pPr>
              <w:pStyle w:val="TableHeading"/>
              <w:jc w:val="center"/>
            </w:pPr>
            <w:r w:rsidRPr="0034420E">
              <w:t>Superior</w:t>
            </w:r>
          </w:p>
        </w:tc>
      </w:tr>
      <w:tr w:rsidR="000939E0" w:rsidRPr="0034420E" w14:paraId="1E111DC3"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04A362E2" w14:textId="77777777" w:rsidR="000939E0" w:rsidRPr="0034420E" w:rsidRDefault="000939E0" w:rsidP="00C40CC4">
            <w:pPr>
              <w:pStyle w:val="Tabletext"/>
              <w:keepNext/>
            </w:pPr>
            <w:r w:rsidRPr="0034420E">
              <w:t>Inferior</w:t>
            </w:r>
          </w:p>
        </w:tc>
        <w:tc>
          <w:tcPr>
            <w:tcW w:w="1905" w:type="dxa"/>
            <w:tcBorders>
              <w:top w:val="single" w:sz="4" w:space="0" w:color="auto"/>
              <w:left w:val="single" w:sz="4" w:space="0" w:color="auto"/>
              <w:bottom w:val="single" w:sz="4" w:space="0" w:color="auto"/>
              <w:right w:val="single" w:sz="4" w:space="0" w:color="auto"/>
            </w:tcBorders>
            <w:vAlign w:val="center"/>
          </w:tcPr>
          <w:p w14:paraId="0B15352C" w14:textId="77777777" w:rsidR="000939E0" w:rsidRPr="0034420E" w:rsidRDefault="000939E0" w:rsidP="00C40CC4">
            <w:pPr>
              <w:pStyle w:val="Tabletext"/>
              <w:keepNext/>
            </w:pPr>
            <w:r w:rsidRPr="0034420E">
              <w:t>Health forgone: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47A58DE2" w14:textId="77777777" w:rsidR="000939E0" w:rsidRPr="0034420E" w:rsidRDefault="000939E0" w:rsidP="00C40CC4">
            <w:pPr>
              <w:pStyle w:val="Tabletext"/>
              <w:keepNext/>
            </w:pPr>
            <w:r w:rsidRPr="0034420E">
              <w:t>Health forgone possible: need other supportive factors</w:t>
            </w:r>
          </w:p>
        </w:tc>
        <w:tc>
          <w:tcPr>
            <w:tcW w:w="1748" w:type="dxa"/>
            <w:tcBorders>
              <w:top w:val="single" w:sz="4" w:space="0" w:color="auto"/>
              <w:left w:val="single" w:sz="4" w:space="0" w:color="auto"/>
              <w:bottom w:val="single" w:sz="4" w:space="0" w:color="auto"/>
              <w:right w:val="single" w:sz="4" w:space="0" w:color="auto"/>
            </w:tcBorders>
            <w:vAlign w:val="center"/>
          </w:tcPr>
          <w:p w14:paraId="3540FA15" w14:textId="77777777" w:rsidR="000939E0" w:rsidRPr="0034420E" w:rsidRDefault="000939E0" w:rsidP="00C40CC4">
            <w:pPr>
              <w:pStyle w:val="Tabletext"/>
              <w:keepNext/>
            </w:pPr>
            <w:r w:rsidRPr="0034420E">
              <w:t>Health forgone: need other supportive factors</w:t>
            </w:r>
          </w:p>
        </w:tc>
        <w:tc>
          <w:tcPr>
            <w:tcW w:w="1434" w:type="dxa"/>
            <w:tcBorders>
              <w:top w:val="single" w:sz="4" w:space="0" w:color="auto"/>
              <w:left w:val="single" w:sz="4" w:space="0" w:color="auto"/>
              <w:bottom w:val="single" w:sz="4" w:space="0" w:color="auto"/>
              <w:right w:val="single" w:sz="4" w:space="0" w:color="auto"/>
            </w:tcBorders>
            <w:vAlign w:val="center"/>
          </w:tcPr>
          <w:p w14:paraId="18C6CF73" w14:textId="77777777" w:rsidR="000939E0" w:rsidRPr="0034420E" w:rsidRDefault="000939E0" w:rsidP="00C40CC4">
            <w:pPr>
              <w:pStyle w:val="Tabletext"/>
              <w:keepNext/>
            </w:pPr>
            <w:r w:rsidRPr="0034420E">
              <w:t>? Likely CUA</w:t>
            </w:r>
          </w:p>
        </w:tc>
      </w:tr>
      <w:tr w:rsidR="000939E0" w:rsidRPr="0034420E" w14:paraId="463C2753"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11AF710C" w14:textId="77777777" w:rsidR="000939E0" w:rsidRPr="0034420E" w:rsidRDefault="000939E0" w:rsidP="00C40CC4">
            <w:pPr>
              <w:pStyle w:val="Tabletext"/>
              <w:keepNext/>
            </w:pPr>
            <w:proofErr w:type="spellStart"/>
            <w:r w:rsidRPr="0034420E">
              <w:t>Uncertain</w:t>
            </w:r>
            <w:r w:rsidRPr="0034420E">
              <w:rPr>
                <w:vertAlign w:val="superscript"/>
              </w:rPr>
              <w:t>a</w:t>
            </w:r>
            <w:proofErr w:type="spellEnd"/>
          </w:p>
        </w:tc>
        <w:tc>
          <w:tcPr>
            <w:tcW w:w="1905" w:type="dxa"/>
            <w:tcBorders>
              <w:top w:val="single" w:sz="4" w:space="0" w:color="auto"/>
              <w:left w:val="single" w:sz="4" w:space="0" w:color="auto"/>
              <w:bottom w:val="single" w:sz="4" w:space="0" w:color="auto"/>
              <w:right w:val="single" w:sz="4" w:space="0" w:color="auto"/>
            </w:tcBorders>
            <w:vAlign w:val="center"/>
          </w:tcPr>
          <w:p w14:paraId="12909D79" w14:textId="77777777" w:rsidR="000939E0" w:rsidRPr="0034420E" w:rsidRDefault="000939E0" w:rsidP="00C40CC4">
            <w:pPr>
              <w:pStyle w:val="Tabletext"/>
              <w:keepNext/>
            </w:pPr>
            <w:r w:rsidRPr="0034420E">
              <w:t>Health forgone possible: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50F5E2B4" w14:textId="77777777" w:rsidR="000939E0" w:rsidRPr="0034420E" w:rsidRDefault="000939E0" w:rsidP="00C40CC4">
            <w:pPr>
              <w:pStyle w:val="Tabletext"/>
              <w:keepNext/>
            </w:pPr>
            <w:r w:rsidRPr="0034420E">
              <w:t>?</w:t>
            </w:r>
          </w:p>
        </w:tc>
        <w:tc>
          <w:tcPr>
            <w:tcW w:w="1748" w:type="dxa"/>
            <w:tcBorders>
              <w:top w:val="single" w:sz="4" w:space="0" w:color="auto"/>
              <w:left w:val="single" w:sz="4" w:space="0" w:color="auto"/>
              <w:bottom w:val="single" w:sz="4" w:space="0" w:color="auto"/>
              <w:right w:val="single" w:sz="4" w:space="0" w:color="auto"/>
            </w:tcBorders>
            <w:vAlign w:val="center"/>
          </w:tcPr>
          <w:p w14:paraId="0406F2A1" w14:textId="77777777" w:rsidR="000939E0" w:rsidRPr="0034420E" w:rsidRDefault="000939E0" w:rsidP="00C40CC4">
            <w:pPr>
              <w:pStyle w:val="Tabletext"/>
              <w:keepNext/>
            </w:pPr>
            <w:r w:rsidRPr="0034420E">
              <w:t>?</w:t>
            </w:r>
          </w:p>
        </w:tc>
        <w:tc>
          <w:tcPr>
            <w:tcW w:w="1434" w:type="dxa"/>
            <w:tcBorders>
              <w:top w:val="single" w:sz="4" w:space="0" w:color="auto"/>
              <w:left w:val="single" w:sz="4" w:space="0" w:color="auto"/>
              <w:bottom w:val="single" w:sz="4" w:space="0" w:color="auto"/>
              <w:right w:val="single" w:sz="4" w:space="0" w:color="auto"/>
            </w:tcBorders>
            <w:vAlign w:val="center"/>
          </w:tcPr>
          <w:p w14:paraId="1996B8CC" w14:textId="77777777" w:rsidR="000939E0" w:rsidRPr="0034420E" w:rsidRDefault="000939E0" w:rsidP="00C40CC4">
            <w:pPr>
              <w:pStyle w:val="Tabletext"/>
              <w:keepNext/>
            </w:pPr>
            <w:r w:rsidRPr="0034420E">
              <w:t>? Likely CEA/CUA</w:t>
            </w:r>
          </w:p>
        </w:tc>
      </w:tr>
      <w:tr w:rsidR="000939E0" w:rsidRPr="0034420E" w14:paraId="47335FF9"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0CBD845B" w14:textId="149CC18B" w:rsidR="000939E0" w:rsidRPr="0034420E" w:rsidRDefault="000939E0" w:rsidP="00C40CC4">
            <w:pPr>
              <w:pStyle w:val="Tabletext"/>
              <w:keepNext/>
            </w:pPr>
            <w:proofErr w:type="spellStart"/>
            <w:r w:rsidRPr="0034420E">
              <w:t>Noninferior</w:t>
            </w:r>
            <w:r w:rsidRPr="0034420E">
              <w:rPr>
                <w:vertAlign w:val="superscript"/>
              </w:rPr>
              <w:t>b</w:t>
            </w:r>
            <w:proofErr w:type="spellEnd"/>
          </w:p>
        </w:tc>
        <w:tc>
          <w:tcPr>
            <w:tcW w:w="1905" w:type="dxa"/>
            <w:tcBorders>
              <w:top w:val="single" w:sz="4" w:space="0" w:color="auto"/>
              <w:left w:val="single" w:sz="4" w:space="0" w:color="auto"/>
              <w:bottom w:val="single" w:sz="4" w:space="0" w:color="auto"/>
              <w:right w:val="single" w:sz="4" w:space="0" w:color="auto"/>
            </w:tcBorders>
            <w:vAlign w:val="center"/>
          </w:tcPr>
          <w:p w14:paraId="5D8B4B6F" w14:textId="77777777" w:rsidR="000939E0" w:rsidRPr="0034420E" w:rsidRDefault="000939E0" w:rsidP="00C40CC4">
            <w:pPr>
              <w:pStyle w:val="Tabletext"/>
              <w:keepNext/>
            </w:pPr>
            <w:r w:rsidRPr="0034420E">
              <w:t>Health forgone: need other supportive factors</w:t>
            </w:r>
          </w:p>
        </w:tc>
        <w:tc>
          <w:tcPr>
            <w:tcW w:w="2227" w:type="dxa"/>
            <w:tcBorders>
              <w:top w:val="single" w:sz="4" w:space="0" w:color="auto"/>
              <w:left w:val="single" w:sz="4" w:space="0" w:color="auto"/>
              <w:bottom w:val="single" w:sz="4" w:space="0" w:color="auto"/>
              <w:right w:val="single" w:sz="4" w:space="0" w:color="auto"/>
            </w:tcBorders>
            <w:vAlign w:val="center"/>
          </w:tcPr>
          <w:p w14:paraId="43D9B9E4" w14:textId="77777777" w:rsidR="000939E0" w:rsidRPr="0034420E" w:rsidRDefault="000939E0" w:rsidP="00C40CC4">
            <w:pPr>
              <w:pStyle w:val="Tabletext"/>
              <w:keepNext/>
            </w:pPr>
            <w:r w:rsidRPr="0034420E">
              <w:t>?</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12BD2E22" w14:textId="77777777" w:rsidR="000939E0" w:rsidRPr="0034420E" w:rsidRDefault="000939E0" w:rsidP="00C40CC4">
            <w:pPr>
              <w:pStyle w:val="Tabletext"/>
              <w:keepNext/>
            </w:pPr>
            <w:r w:rsidRPr="0034420E">
              <w:t>CMA</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7E9F7AB5" w14:textId="77777777" w:rsidR="000939E0" w:rsidRPr="0034420E" w:rsidRDefault="000939E0" w:rsidP="00C40CC4">
            <w:pPr>
              <w:pStyle w:val="Tabletext"/>
              <w:keepNext/>
            </w:pPr>
            <w:r w:rsidRPr="0034420E">
              <w:t>CEA/CUA</w:t>
            </w:r>
          </w:p>
        </w:tc>
      </w:tr>
      <w:tr w:rsidR="000939E0" w:rsidRPr="0034420E" w14:paraId="41AB5715" w14:textId="77777777" w:rsidTr="00686EED">
        <w:tc>
          <w:tcPr>
            <w:tcW w:w="2012" w:type="dxa"/>
            <w:tcBorders>
              <w:top w:val="single" w:sz="4" w:space="0" w:color="auto"/>
              <w:left w:val="single" w:sz="4" w:space="0" w:color="auto"/>
              <w:bottom w:val="single" w:sz="4" w:space="0" w:color="auto"/>
              <w:right w:val="single" w:sz="4" w:space="0" w:color="auto"/>
            </w:tcBorders>
            <w:vAlign w:val="center"/>
          </w:tcPr>
          <w:p w14:paraId="18F5B4CB" w14:textId="77777777" w:rsidR="000939E0" w:rsidRPr="0034420E" w:rsidRDefault="000939E0" w:rsidP="00C40CC4">
            <w:pPr>
              <w:pStyle w:val="Tabletext"/>
              <w:keepNext/>
            </w:pPr>
            <w:r w:rsidRPr="0034420E">
              <w:t>Superior</w:t>
            </w:r>
          </w:p>
        </w:tc>
        <w:tc>
          <w:tcPr>
            <w:tcW w:w="1905" w:type="dxa"/>
            <w:tcBorders>
              <w:top w:val="single" w:sz="4" w:space="0" w:color="auto"/>
              <w:left w:val="single" w:sz="4" w:space="0" w:color="auto"/>
              <w:bottom w:val="single" w:sz="4" w:space="0" w:color="auto"/>
              <w:right w:val="single" w:sz="4" w:space="0" w:color="auto"/>
            </w:tcBorders>
            <w:vAlign w:val="center"/>
          </w:tcPr>
          <w:p w14:paraId="2525815A" w14:textId="77777777" w:rsidR="000939E0" w:rsidRPr="0034420E" w:rsidRDefault="000939E0" w:rsidP="00C40CC4">
            <w:pPr>
              <w:pStyle w:val="Tabletext"/>
              <w:keepNext/>
            </w:pPr>
            <w:r w:rsidRPr="0034420E">
              <w:t>? Likely CUA</w:t>
            </w:r>
          </w:p>
        </w:tc>
        <w:tc>
          <w:tcPr>
            <w:tcW w:w="2227" w:type="dxa"/>
            <w:tcBorders>
              <w:top w:val="single" w:sz="4" w:space="0" w:color="auto"/>
              <w:left w:val="single" w:sz="4" w:space="0" w:color="auto"/>
              <w:bottom w:val="single" w:sz="4" w:space="0" w:color="auto"/>
              <w:right w:val="single" w:sz="4" w:space="0" w:color="auto"/>
            </w:tcBorders>
            <w:vAlign w:val="center"/>
          </w:tcPr>
          <w:p w14:paraId="2AE0169D" w14:textId="77777777" w:rsidR="000939E0" w:rsidRPr="0034420E" w:rsidRDefault="000939E0" w:rsidP="00C40CC4">
            <w:pPr>
              <w:pStyle w:val="Tabletext"/>
              <w:keepNext/>
            </w:pPr>
            <w:r w:rsidRPr="0034420E">
              <w:t>? Likely CEA/CUA</w:t>
            </w:r>
          </w:p>
        </w:tc>
        <w:tc>
          <w:tcPr>
            <w:tcW w:w="1748" w:type="dxa"/>
            <w:tcBorders>
              <w:top w:val="single" w:sz="4" w:space="0" w:color="auto"/>
              <w:left w:val="single" w:sz="4" w:space="0" w:color="auto"/>
              <w:bottom w:val="single" w:sz="4" w:space="0" w:color="auto"/>
              <w:right w:val="single" w:sz="4" w:space="0" w:color="auto"/>
            </w:tcBorders>
            <w:shd w:val="clear" w:color="auto" w:fill="auto"/>
            <w:vAlign w:val="center"/>
          </w:tcPr>
          <w:p w14:paraId="71D0525C" w14:textId="77777777" w:rsidR="000939E0" w:rsidRPr="0034420E" w:rsidRDefault="000939E0" w:rsidP="00C40CC4">
            <w:pPr>
              <w:pStyle w:val="Tabletext"/>
              <w:keepNext/>
            </w:pPr>
            <w:r w:rsidRPr="0034420E">
              <w:t>CEA/CUA</w:t>
            </w:r>
          </w:p>
        </w:tc>
        <w:tc>
          <w:tcPr>
            <w:tcW w:w="1434" w:type="dxa"/>
            <w:tcBorders>
              <w:top w:val="single" w:sz="4" w:space="0" w:color="auto"/>
              <w:left w:val="single" w:sz="4" w:space="0" w:color="auto"/>
              <w:bottom w:val="single" w:sz="4" w:space="0" w:color="auto"/>
              <w:right w:val="single" w:sz="4" w:space="0" w:color="auto"/>
            </w:tcBorders>
            <w:shd w:val="clear" w:color="auto" w:fill="auto"/>
            <w:vAlign w:val="center"/>
          </w:tcPr>
          <w:p w14:paraId="5FF47EA5" w14:textId="77777777" w:rsidR="000939E0" w:rsidRPr="0034420E" w:rsidRDefault="000939E0" w:rsidP="00C40CC4">
            <w:pPr>
              <w:pStyle w:val="Tabletext"/>
              <w:keepNext/>
            </w:pPr>
            <w:r w:rsidRPr="0034420E">
              <w:t>CEA/CUA</w:t>
            </w:r>
          </w:p>
        </w:tc>
      </w:tr>
    </w:tbl>
    <w:p w14:paraId="6538A3FB" w14:textId="77777777" w:rsidR="000939E0" w:rsidRPr="0034420E" w:rsidRDefault="000939E0" w:rsidP="0072128E">
      <w:pPr>
        <w:pStyle w:val="Tablenotes"/>
        <w:keepNext/>
        <w:spacing w:before="120" w:after="0"/>
        <w:rPr>
          <w:szCs w:val="18"/>
        </w:rPr>
      </w:pPr>
      <w:r w:rsidRPr="0034420E">
        <w:rPr>
          <w:szCs w:val="18"/>
        </w:rPr>
        <w:t>CEA=cost-effectiveness analysis; CMA=cost-minimisation analysis; CUA=cost-utility analysis</w:t>
      </w:r>
    </w:p>
    <w:p w14:paraId="48F7CED7" w14:textId="77777777" w:rsidR="000939E0" w:rsidRPr="0034420E" w:rsidRDefault="000939E0" w:rsidP="0072128E">
      <w:pPr>
        <w:pStyle w:val="Tablenotes"/>
        <w:keepNext/>
        <w:spacing w:after="0"/>
        <w:rPr>
          <w:b/>
          <w:szCs w:val="18"/>
        </w:rPr>
      </w:pPr>
      <w:r w:rsidRPr="0034420E">
        <w:rPr>
          <w:szCs w:val="18"/>
        </w:rPr>
        <w:t xml:space="preserve">? = reflect uncertainties and any identified health trade-offs in the economic evaluation, as a minimum in a cost-consequences analysis </w:t>
      </w:r>
    </w:p>
    <w:p w14:paraId="65C6F534" w14:textId="77777777" w:rsidR="000939E0" w:rsidRPr="0034420E" w:rsidRDefault="000939E0" w:rsidP="0072128E">
      <w:pPr>
        <w:pStyle w:val="Tablenotes"/>
        <w:keepNext/>
        <w:spacing w:after="0"/>
        <w:rPr>
          <w:b/>
          <w:szCs w:val="18"/>
        </w:rPr>
      </w:pPr>
      <w:r w:rsidRPr="0034420E">
        <w:rPr>
          <w:szCs w:val="18"/>
          <w:vertAlign w:val="superscript"/>
        </w:rPr>
        <w:t>a</w:t>
      </w:r>
      <w:r w:rsidRPr="0034420E">
        <w:rPr>
          <w:szCs w:val="18"/>
        </w:rPr>
        <w:t> ‘Uncertainty’ covers concepts such as inadequate minimisation of important sources of bias, lack of statistical significance in an underpowered trial, detecting clinically unimportant therapeutic differences, inconsistent results across trials, and trade-offs within the comparative effectiveness and/or the comparative safety considerations</w:t>
      </w:r>
    </w:p>
    <w:p w14:paraId="1CB9C9B3" w14:textId="3F67AEF8" w:rsidR="000939E0" w:rsidRPr="0034420E" w:rsidRDefault="000939E0" w:rsidP="0072128E">
      <w:pPr>
        <w:pStyle w:val="Tablenotes"/>
        <w:spacing w:after="200"/>
        <w:rPr>
          <w:szCs w:val="18"/>
        </w:rPr>
      </w:pPr>
      <w:r w:rsidRPr="0034420E">
        <w:rPr>
          <w:szCs w:val="18"/>
          <w:vertAlign w:val="superscript"/>
        </w:rPr>
        <w:t>b</w:t>
      </w:r>
      <w:r w:rsidRPr="0034420E">
        <w:rPr>
          <w:szCs w:val="18"/>
        </w:rPr>
        <w:t> An adequate assessment of ‘noninferiority’ is the preferred basis for demonstrating equivalence</w:t>
      </w:r>
    </w:p>
    <w:p w14:paraId="65AE5A44" w14:textId="069C4F18" w:rsidR="00062D2E" w:rsidRPr="0034420E" w:rsidRDefault="0076147D" w:rsidP="0072128E">
      <w:r w:rsidRPr="0034420E">
        <w:t xml:space="preserve">The applicant </w:t>
      </w:r>
      <w:r w:rsidR="00D124FA" w:rsidRPr="0034420E">
        <w:t>further clarified</w:t>
      </w:r>
      <w:r w:rsidRPr="0034420E">
        <w:t xml:space="preserve"> that the</w:t>
      </w:r>
      <w:r w:rsidR="00062D2E" w:rsidRPr="0034420E">
        <w:t xml:space="preserve"> economic analysis will model the improvement in health outcomes as a result of the use of PromarkerD in patients with </w:t>
      </w:r>
      <w:r w:rsidR="00663972" w:rsidRPr="0034420E">
        <w:t>T2DM</w:t>
      </w:r>
      <w:r w:rsidR="00062D2E" w:rsidRPr="0034420E">
        <w:t xml:space="preserve">, with the clinical outcome evidence used to establish the population tested with PromarkerD, the definitions of DKD and end stage outcomes. The economic modelling of long-term impacts of kidney disease on health outcomes have been established by a systematic review of economic modelling of chronic kidney disease. The economic analysis should estimate the improvement in life years (LYs) and quality adjusted life years (QALYs) by the prevention or delayed onset of DKD and by extension, </w:t>
      </w:r>
      <w:r w:rsidR="008B2DC5" w:rsidRPr="0034420E">
        <w:t>ESRD</w:t>
      </w:r>
      <w:r w:rsidR="00062D2E" w:rsidRPr="0034420E">
        <w:t xml:space="preserve">, dialysis and mortality. It should also estimate the reduction in health costs to treat DKD, </w:t>
      </w:r>
      <w:r w:rsidR="008B2DC5" w:rsidRPr="0034420E">
        <w:t>ESRD</w:t>
      </w:r>
      <w:r w:rsidR="00062D2E" w:rsidRPr="0034420E">
        <w:t xml:space="preserve"> and dialysis.</w:t>
      </w:r>
    </w:p>
    <w:p w14:paraId="27DF822C" w14:textId="5BCE1B2A" w:rsidR="00BF2D4A" w:rsidRPr="0034420E" w:rsidRDefault="00BF2D4A" w:rsidP="00BF2D4A">
      <w:r w:rsidRPr="0034420E">
        <w:t xml:space="preserve">With regards to the economic evaluation, there is significant complexity with regards to the treatment options and the associated surrogate </w:t>
      </w:r>
      <w:r w:rsidR="008405C5" w:rsidRPr="0034420E">
        <w:t xml:space="preserve">or intermediate </w:t>
      </w:r>
      <w:r w:rsidRPr="0034420E">
        <w:t>outcomes. The applicant has nominated a large range of treatments including pharmacotherapy for hypertension, lipidemia and glycaemic control as well as other management such as ‘optimise lifestyle control’ including nutrition, weight loss, smoking/alcohol cessation, exercise and avoidance of nephrotoxic drugs. These treatments all have different targets such as aiming to control blood pressure, lipids and glycaemic control as well as nutritional targets, weight loss and other lifestyle goals. The relationship between each surrogate outcome with DKD will need to be established separately, and presumably not all of them would be equal, and any economic evaluation would need to consider all the complexities of having multiple possible treatments and multiple treatment targets.</w:t>
      </w:r>
    </w:p>
    <w:p w14:paraId="44919FD6" w14:textId="6769D737" w:rsidR="00BF2D4A" w:rsidRPr="0034420E" w:rsidRDefault="00BF2D4A" w:rsidP="00BF2D4A">
      <w:r w:rsidRPr="0034420E">
        <w:t>For example, in patients categorised by the PromarkerD algorithm as moderate</w:t>
      </w:r>
      <w:r w:rsidR="008405C5" w:rsidRPr="0034420E">
        <w:t>-</w:t>
      </w:r>
      <w:r w:rsidRPr="0034420E">
        <w:t xml:space="preserve"> to high</w:t>
      </w:r>
      <w:r w:rsidR="008405C5" w:rsidRPr="0034420E">
        <w:t>-</w:t>
      </w:r>
      <w:r w:rsidRPr="0034420E">
        <w:t xml:space="preserve">risk, a patient with uncontrolled hypertension would likely have a different change in management and treatment goals (e.g. change in blood pressure medication with a therapeutic surrogate goal to achieve normotensive status with the ultimate goal of preventing/delaying DKD) compared to a patient with uncontrolled HbA1c (e.g. change in glycaemic control medication with a therapeutic surrogate goal to achieve target HbA1C with the ultimate goal of preventing/delaying DKD). As such, they may represent separate cohorts which likely will have to be modelled separately in the economic evaluation due to the different intervention used, with different cost and efficacy of treatments and different surrogate treatment outcomes, and the ICER (with respect to DKD) in the uncontrolled hypertension cohort would likely be different to the ICER in the uncontrolled glycaemic control cohort. Further, there may be patients who have more than one </w:t>
      </w:r>
      <w:r w:rsidRPr="0034420E">
        <w:lastRenderedPageBreak/>
        <w:t>uncontrolled risk factor and therefore require more than one change in management and treatment goals, compounding the complexity of the economic evaluation. Alternatively, a single economic model which includes all of the surrogate outcomes and then a dynamic translation to the incidence of DKD would have to be constructed. That is, the model would need to consider the interactive relationship between hypertension, glycaemic control, lipid control, weight, smoking/drinking status (and possibly others) and with the risk of DKD, such that the risk of DKD would be different based on variation on one or more of these identified risk factors which could be influenced by treatment in order to quantify the cost and benefit of the treatment changes associated with a categorisation by the PromarkerD algorithm as moderate to high</w:t>
      </w:r>
      <w:r w:rsidR="008405C5" w:rsidRPr="0034420E">
        <w:t>-</w:t>
      </w:r>
      <w:r w:rsidRPr="0034420E">
        <w:t>risk.</w:t>
      </w:r>
    </w:p>
    <w:p w14:paraId="627254E9" w14:textId="11D4D5F7" w:rsidR="00E543A5" w:rsidRPr="0034420E" w:rsidRDefault="00E543A5" w:rsidP="00BF2D4A">
      <w:r w:rsidRPr="0034420E">
        <w:rPr>
          <w:rFonts w:asciiTheme="minorHAnsi" w:hAnsiTheme="minorHAnsi" w:cstheme="minorHAnsi"/>
          <w:i/>
          <w:iCs/>
        </w:rPr>
        <w:t>PASC noted that the applicant proposed a complex economic evaluation, probably a Monte Carlo patient simulation model.</w:t>
      </w:r>
    </w:p>
    <w:p w14:paraId="047E4738" w14:textId="58730B0E" w:rsidR="00D73332" w:rsidRPr="0034420E" w:rsidRDefault="00D73332" w:rsidP="00DE762F">
      <w:pPr>
        <w:pStyle w:val="Heading2"/>
      </w:pPr>
      <w:r w:rsidRPr="0034420E">
        <w:t>Propos</w:t>
      </w:r>
      <w:r w:rsidR="000D1FCF" w:rsidRPr="0034420E">
        <w:t>al for public funding</w:t>
      </w:r>
    </w:p>
    <w:p w14:paraId="49468EA0" w14:textId="64D5D382" w:rsidR="003B12E4" w:rsidRPr="0034420E" w:rsidRDefault="003B12E4" w:rsidP="009C3B32">
      <w:pPr>
        <w:spacing w:before="200"/>
      </w:pPr>
      <w:r w:rsidRPr="0034420E">
        <w:t>The application requested MBS funding for PromarkerD with a new MBS item number</w:t>
      </w:r>
      <w:r w:rsidR="00503920" w:rsidRPr="0034420E">
        <w:t>, see table below</w:t>
      </w:r>
      <w:r w:rsidRPr="0034420E">
        <w:t xml:space="preserve">. </w:t>
      </w:r>
      <w:r w:rsidR="00503920" w:rsidRPr="0034420E">
        <w:t xml:space="preserve">Suggested changes to the item descriptor to remove ambiguity are included in italics. </w:t>
      </w:r>
      <w:r w:rsidRPr="0034420E">
        <w:t>Public funding other than via the MBS is not being sought.</w:t>
      </w:r>
    </w:p>
    <w:p w14:paraId="73DD3483" w14:textId="77777777" w:rsidR="003B12E4" w:rsidRPr="0034420E" w:rsidRDefault="003B12E4" w:rsidP="0072128E">
      <w:pPr>
        <w:pBdr>
          <w:top w:val="single" w:sz="4" w:space="1" w:color="auto"/>
          <w:left w:val="single" w:sz="4" w:space="4" w:color="auto"/>
          <w:bottom w:val="single" w:sz="4" w:space="1" w:color="auto"/>
          <w:right w:val="single" w:sz="4" w:space="6" w:color="auto"/>
          <w:between w:val="single" w:sz="4" w:space="1" w:color="auto"/>
          <w:bar w:val="single" w:sz="4" w:color="auto"/>
        </w:pBdr>
        <w:spacing w:before="40" w:after="40"/>
        <w:rPr>
          <w:rFonts w:ascii="Arial Narrow" w:hAnsi="Arial Narrow"/>
          <w:sz w:val="20"/>
          <w:szCs w:val="20"/>
        </w:rPr>
      </w:pPr>
      <w:r w:rsidRPr="0034420E">
        <w:rPr>
          <w:rFonts w:ascii="Arial Narrow" w:hAnsi="Arial Narrow"/>
          <w:sz w:val="20"/>
          <w:szCs w:val="20"/>
        </w:rPr>
        <w:t>Category 6 – Pathology Services</w:t>
      </w:r>
    </w:p>
    <w:p w14:paraId="08348978" w14:textId="1C3420F6" w:rsidR="003B12E4" w:rsidRPr="0034420E" w:rsidRDefault="003B12E4" w:rsidP="0072128E">
      <w:pPr>
        <w:pBdr>
          <w:top w:val="single" w:sz="4" w:space="1" w:color="auto"/>
          <w:left w:val="single" w:sz="4" w:space="4" w:color="auto"/>
          <w:bottom w:val="single" w:sz="4" w:space="1" w:color="auto"/>
          <w:right w:val="single" w:sz="4" w:space="6" w:color="auto"/>
        </w:pBdr>
        <w:spacing w:before="40" w:after="40"/>
        <w:rPr>
          <w:rFonts w:ascii="Arial Narrow" w:hAnsi="Arial Narrow"/>
          <w:sz w:val="20"/>
          <w:szCs w:val="20"/>
        </w:rPr>
      </w:pPr>
      <w:r w:rsidRPr="0034420E">
        <w:rPr>
          <w:rFonts w:ascii="Arial Narrow" w:hAnsi="Arial Narrow"/>
          <w:sz w:val="20"/>
          <w:szCs w:val="20"/>
        </w:rPr>
        <w:t>MBS item XXXX</w:t>
      </w:r>
    </w:p>
    <w:p w14:paraId="628A6814" w14:textId="77777777" w:rsidR="003B12E4" w:rsidRPr="0034420E" w:rsidRDefault="003B12E4" w:rsidP="0072128E">
      <w:pPr>
        <w:pBdr>
          <w:top w:val="single" w:sz="4" w:space="1" w:color="auto"/>
          <w:left w:val="single" w:sz="4" w:space="4" w:color="auto"/>
          <w:bottom w:val="single" w:sz="4" w:space="1" w:color="auto"/>
          <w:right w:val="single" w:sz="4" w:space="6" w:color="auto"/>
        </w:pBdr>
        <w:spacing w:before="40" w:after="40"/>
        <w:rPr>
          <w:rFonts w:ascii="Arial Narrow" w:hAnsi="Arial Narrow"/>
          <w:sz w:val="20"/>
          <w:szCs w:val="20"/>
        </w:rPr>
      </w:pPr>
      <w:r w:rsidRPr="0034420E">
        <w:rPr>
          <w:rFonts w:ascii="Arial Narrow" w:hAnsi="Arial Narrow"/>
          <w:sz w:val="20"/>
          <w:szCs w:val="20"/>
        </w:rPr>
        <w:t xml:space="preserve">Proposed item descriptor: A test to quantify the risk of diabetic kidney disease incidence in proceeding 4 years in: </w:t>
      </w:r>
    </w:p>
    <w:p w14:paraId="73A6CA7F" w14:textId="71302D62" w:rsidR="003B12E4" w:rsidRPr="0034420E" w:rsidRDefault="003B12E4" w:rsidP="0072128E">
      <w:pPr>
        <w:pBdr>
          <w:top w:val="single" w:sz="4" w:space="1" w:color="auto"/>
          <w:left w:val="single" w:sz="4" w:space="4" w:color="auto"/>
          <w:bottom w:val="single" w:sz="4" w:space="1" w:color="auto"/>
          <w:right w:val="single" w:sz="4" w:space="6" w:color="auto"/>
        </w:pBdr>
        <w:spacing w:before="40" w:after="40"/>
        <w:rPr>
          <w:rFonts w:ascii="Arial Narrow" w:hAnsi="Arial Narrow"/>
          <w:sz w:val="20"/>
          <w:szCs w:val="20"/>
        </w:rPr>
      </w:pPr>
      <w:r w:rsidRPr="0034420E">
        <w:rPr>
          <w:rFonts w:ascii="Arial Narrow" w:hAnsi="Arial Narrow"/>
          <w:sz w:val="20"/>
          <w:szCs w:val="20"/>
        </w:rPr>
        <w:t>a. Patients diagnosed with type 2 diabetes; and</w:t>
      </w:r>
    </w:p>
    <w:p w14:paraId="60B36F95" w14:textId="77777777" w:rsidR="003B12E4" w:rsidRPr="0034420E" w:rsidRDefault="003B12E4" w:rsidP="0072128E">
      <w:pPr>
        <w:pBdr>
          <w:top w:val="single" w:sz="4" w:space="1" w:color="auto"/>
          <w:left w:val="single" w:sz="4" w:space="4" w:color="auto"/>
          <w:bottom w:val="single" w:sz="4" w:space="1" w:color="auto"/>
          <w:right w:val="single" w:sz="4" w:space="6" w:color="auto"/>
        </w:pBdr>
        <w:spacing w:before="40" w:after="40"/>
        <w:rPr>
          <w:rFonts w:ascii="Arial Narrow" w:hAnsi="Arial Narrow"/>
          <w:sz w:val="20"/>
          <w:szCs w:val="20"/>
        </w:rPr>
      </w:pPr>
      <w:r w:rsidRPr="0034420E">
        <w:rPr>
          <w:rFonts w:ascii="Arial Narrow" w:hAnsi="Arial Narrow"/>
          <w:sz w:val="20"/>
          <w:szCs w:val="20"/>
        </w:rPr>
        <w:t>b. Estimated glomerular filtration rate (eGFR) of greater than or equal to 60ml/min/1.73m</w:t>
      </w:r>
      <w:r w:rsidRPr="0034420E">
        <w:rPr>
          <w:rFonts w:ascii="Arial Narrow" w:hAnsi="Arial Narrow"/>
          <w:sz w:val="20"/>
          <w:szCs w:val="20"/>
          <w:vertAlign w:val="superscript"/>
        </w:rPr>
        <w:t>2</w:t>
      </w:r>
      <w:r w:rsidRPr="0034420E">
        <w:rPr>
          <w:rFonts w:ascii="Arial Narrow" w:hAnsi="Arial Narrow"/>
          <w:sz w:val="20"/>
          <w:szCs w:val="20"/>
        </w:rPr>
        <w:t xml:space="preserve">; and </w:t>
      </w:r>
    </w:p>
    <w:p w14:paraId="5ECC944C" w14:textId="11B9AA2D" w:rsidR="003B12E4" w:rsidRPr="0034420E" w:rsidRDefault="003B12E4" w:rsidP="0072128E">
      <w:pPr>
        <w:pBdr>
          <w:top w:val="single" w:sz="4" w:space="1" w:color="auto"/>
          <w:left w:val="single" w:sz="4" w:space="4" w:color="auto"/>
          <w:bottom w:val="single" w:sz="4" w:space="1" w:color="auto"/>
          <w:right w:val="single" w:sz="4" w:space="6" w:color="auto"/>
        </w:pBdr>
        <w:spacing w:before="40" w:after="40"/>
        <w:rPr>
          <w:rFonts w:ascii="Arial Narrow" w:hAnsi="Arial Narrow"/>
          <w:sz w:val="20"/>
          <w:szCs w:val="20"/>
        </w:rPr>
      </w:pPr>
      <w:r w:rsidRPr="0034420E">
        <w:rPr>
          <w:rFonts w:ascii="Arial Narrow" w:hAnsi="Arial Narrow"/>
          <w:sz w:val="20"/>
          <w:szCs w:val="20"/>
        </w:rPr>
        <w:t xml:space="preserve">c. Albumin: Creatinine Ratio (uACR) test results of less than or equal to 30mg/mmol. </w:t>
      </w:r>
    </w:p>
    <w:p w14:paraId="69621A66" w14:textId="77777777" w:rsidR="003B12E4" w:rsidRPr="0034420E" w:rsidRDefault="003B12E4" w:rsidP="0072128E">
      <w:pPr>
        <w:pBdr>
          <w:top w:val="single" w:sz="4" w:space="1" w:color="auto"/>
          <w:left w:val="single" w:sz="4" w:space="4" w:color="auto"/>
          <w:bottom w:val="single" w:sz="4" w:space="1" w:color="auto"/>
          <w:right w:val="single" w:sz="4" w:space="6" w:color="auto"/>
        </w:pBdr>
        <w:spacing w:before="40" w:after="40"/>
        <w:rPr>
          <w:rFonts w:ascii="Arial Narrow" w:hAnsi="Arial Narrow"/>
          <w:sz w:val="20"/>
          <w:szCs w:val="20"/>
        </w:rPr>
      </w:pPr>
    </w:p>
    <w:p w14:paraId="739B9F61" w14:textId="08DB40F7" w:rsidR="003B12E4" w:rsidRPr="0034420E" w:rsidRDefault="003B12E4" w:rsidP="0072128E">
      <w:pPr>
        <w:pBdr>
          <w:top w:val="single" w:sz="4" w:space="1" w:color="auto"/>
          <w:left w:val="single" w:sz="4" w:space="4" w:color="auto"/>
          <w:bottom w:val="single" w:sz="4" w:space="1" w:color="auto"/>
          <w:right w:val="single" w:sz="4" w:space="6" w:color="auto"/>
        </w:pBdr>
        <w:spacing w:before="40" w:after="40"/>
        <w:rPr>
          <w:rFonts w:ascii="Arial Narrow" w:hAnsi="Arial Narrow"/>
          <w:sz w:val="20"/>
          <w:szCs w:val="20"/>
        </w:rPr>
      </w:pPr>
      <w:r w:rsidRPr="0034420E">
        <w:rPr>
          <w:rFonts w:ascii="Arial Narrow" w:hAnsi="Arial Narrow"/>
          <w:sz w:val="20"/>
          <w:szCs w:val="20"/>
        </w:rPr>
        <w:t>For any patient with a low-risk score, performed once every 4 years.</w:t>
      </w:r>
    </w:p>
    <w:p w14:paraId="6FEA1B77" w14:textId="43A8D1CB" w:rsidR="00751301" w:rsidRPr="0034420E" w:rsidRDefault="00751301" w:rsidP="00751301">
      <w:pPr>
        <w:pBdr>
          <w:top w:val="single" w:sz="4" w:space="1" w:color="auto"/>
          <w:left w:val="single" w:sz="4" w:space="4" w:color="auto"/>
          <w:bottom w:val="single" w:sz="4" w:space="1" w:color="auto"/>
          <w:right w:val="single" w:sz="4" w:space="6" w:color="auto"/>
        </w:pBdr>
        <w:spacing w:before="40" w:after="40"/>
        <w:rPr>
          <w:rFonts w:ascii="Arial Narrow" w:hAnsi="Arial Narrow"/>
          <w:i/>
          <w:iCs/>
          <w:sz w:val="20"/>
          <w:szCs w:val="20"/>
        </w:rPr>
      </w:pPr>
      <w:r w:rsidRPr="0034420E">
        <w:rPr>
          <w:rFonts w:ascii="Arial Narrow" w:hAnsi="Arial Narrow"/>
          <w:i/>
          <w:iCs/>
          <w:sz w:val="20"/>
          <w:szCs w:val="20"/>
        </w:rPr>
        <w:t>For any patient without a previous moderate- to high-risk score, perform the next test</w:t>
      </w:r>
      <w:r w:rsidR="000F0746" w:rsidRPr="0034420E">
        <w:rPr>
          <w:rFonts w:ascii="Arial Narrow" w:hAnsi="Arial Narrow"/>
          <w:i/>
          <w:iCs/>
          <w:sz w:val="20"/>
          <w:szCs w:val="20"/>
        </w:rPr>
        <w:t xml:space="preserve"> in</w:t>
      </w:r>
      <w:r w:rsidRPr="0034420E">
        <w:rPr>
          <w:rFonts w:ascii="Arial Narrow" w:hAnsi="Arial Narrow"/>
          <w:i/>
          <w:iCs/>
          <w:sz w:val="20"/>
          <w:szCs w:val="20"/>
        </w:rPr>
        <w:t xml:space="preserve"> 4 years.</w:t>
      </w:r>
    </w:p>
    <w:p w14:paraId="5E57F8A1" w14:textId="77777777" w:rsidR="00751301" w:rsidRPr="0034420E" w:rsidRDefault="00751301" w:rsidP="0072128E">
      <w:pPr>
        <w:pBdr>
          <w:top w:val="single" w:sz="4" w:space="1" w:color="auto"/>
          <w:left w:val="single" w:sz="4" w:space="4" w:color="auto"/>
          <w:bottom w:val="single" w:sz="4" w:space="1" w:color="auto"/>
          <w:right w:val="single" w:sz="4" w:space="6" w:color="auto"/>
        </w:pBdr>
        <w:spacing w:before="40" w:after="40"/>
        <w:rPr>
          <w:rFonts w:ascii="Arial Narrow" w:hAnsi="Arial Narrow"/>
          <w:sz w:val="20"/>
          <w:szCs w:val="20"/>
        </w:rPr>
      </w:pPr>
    </w:p>
    <w:p w14:paraId="48CFA267" w14:textId="77777777" w:rsidR="00751301" w:rsidRPr="0034420E" w:rsidRDefault="003B12E4" w:rsidP="00503920">
      <w:pPr>
        <w:pBdr>
          <w:top w:val="single" w:sz="4" w:space="1" w:color="auto"/>
          <w:left w:val="single" w:sz="4" w:space="4" w:color="auto"/>
          <w:bottom w:val="single" w:sz="4" w:space="1" w:color="auto"/>
          <w:right w:val="single" w:sz="4" w:space="6" w:color="auto"/>
        </w:pBdr>
        <w:spacing w:before="40" w:after="40"/>
        <w:rPr>
          <w:rFonts w:ascii="Arial Narrow" w:hAnsi="Arial Narrow"/>
          <w:sz w:val="20"/>
          <w:szCs w:val="20"/>
        </w:rPr>
      </w:pPr>
      <w:r w:rsidRPr="0034420E">
        <w:rPr>
          <w:rFonts w:ascii="Arial Narrow" w:hAnsi="Arial Narrow"/>
          <w:sz w:val="20"/>
          <w:szCs w:val="20"/>
        </w:rPr>
        <w:t xml:space="preserve">For patients with a </w:t>
      </w:r>
      <w:r w:rsidR="00477A6C" w:rsidRPr="0034420E">
        <w:rPr>
          <w:rFonts w:ascii="Arial Narrow" w:hAnsi="Arial Narrow"/>
          <w:sz w:val="20"/>
          <w:szCs w:val="20"/>
        </w:rPr>
        <w:t xml:space="preserve">previous </w:t>
      </w:r>
      <w:r w:rsidRPr="0034420E">
        <w:rPr>
          <w:rFonts w:ascii="Arial Narrow" w:hAnsi="Arial Narrow"/>
          <w:sz w:val="20"/>
          <w:szCs w:val="20"/>
        </w:rPr>
        <w:t>moderate- to high-risk score, performed once every 2 years.</w:t>
      </w:r>
    </w:p>
    <w:p w14:paraId="3D73EC08" w14:textId="70CEAAB3" w:rsidR="00503920" w:rsidRPr="0034420E" w:rsidRDefault="00503920" w:rsidP="00503920">
      <w:pPr>
        <w:pBdr>
          <w:top w:val="single" w:sz="4" w:space="1" w:color="auto"/>
          <w:left w:val="single" w:sz="4" w:space="4" w:color="auto"/>
          <w:bottom w:val="single" w:sz="4" w:space="1" w:color="auto"/>
          <w:right w:val="single" w:sz="4" w:space="6" w:color="auto"/>
        </w:pBdr>
        <w:spacing w:before="40" w:after="40"/>
        <w:rPr>
          <w:rFonts w:ascii="Arial Narrow" w:hAnsi="Arial Narrow"/>
          <w:sz w:val="20"/>
          <w:szCs w:val="20"/>
        </w:rPr>
      </w:pPr>
      <w:r w:rsidRPr="0034420E">
        <w:rPr>
          <w:rFonts w:ascii="Arial Narrow" w:hAnsi="Arial Narrow"/>
          <w:i/>
          <w:iCs/>
          <w:sz w:val="20"/>
          <w:szCs w:val="20"/>
        </w:rPr>
        <w:t xml:space="preserve">For patients with a previous moderate- to high-risk score, perform the next test </w:t>
      </w:r>
      <w:r w:rsidR="000F0746" w:rsidRPr="0034420E">
        <w:rPr>
          <w:rFonts w:ascii="Arial Narrow" w:hAnsi="Arial Narrow"/>
          <w:i/>
          <w:iCs/>
          <w:sz w:val="20"/>
          <w:szCs w:val="20"/>
        </w:rPr>
        <w:t>in</w:t>
      </w:r>
      <w:r w:rsidRPr="0034420E">
        <w:rPr>
          <w:rFonts w:ascii="Arial Narrow" w:hAnsi="Arial Narrow"/>
          <w:i/>
          <w:iCs/>
          <w:sz w:val="20"/>
          <w:szCs w:val="20"/>
        </w:rPr>
        <w:t xml:space="preserve"> 2 years.</w:t>
      </w:r>
    </w:p>
    <w:p w14:paraId="56466E84" w14:textId="77777777" w:rsidR="003B12E4" w:rsidRPr="0034420E" w:rsidRDefault="003B12E4" w:rsidP="0072128E">
      <w:pPr>
        <w:pBdr>
          <w:top w:val="single" w:sz="4" w:space="1" w:color="auto"/>
          <w:left w:val="single" w:sz="4" w:space="4" w:color="auto"/>
          <w:bottom w:val="single" w:sz="4" w:space="1" w:color="auto"/>
          <w:right w:val="single" w:sz="4" w:space="6" w:color="auto"/>
        </w:pBdr>
        <w:spacing w:before="40" w:after="40"/>
        <w:rPr>
          <w:rFonts w:ascii="Arial Narrow" w:hAnsi="Arial Narrow"/>
          <w:sz w:val="20"/>
          <w:szCs w:val="20"/>
        </w:rPr>
      </w:pPr>
    </w:p>
    <w:p w14:paraId="670AA833" w14:textId="77777777" w:rsidR="003B12E4" w:rsidRPr="0034420E" w:rsidRDefault="003B12E4" w:rsidP="0072128E">
      <w:pPr>
        <w:pBdr>
          <w:top w:val="single" w:sz="4" w:space="1" w:color="auto"/>
          <w:left w:val="single" w:sz="4" w:space="4" w:color="auto"/>
          <w:bottom w:val="single" w:sz="4" w:space="1" w:color="auto"/>
          <w:right w:val="single" w:sz="4" w:space="6" w:color="auto"/>
        </w:pBdr>
        <w:spacing w:before="40" w:after="40"/>
        <w:rPr>
          <w:rFonts w:ascii="Arial Narrow" w:hAnsi="Arial Narrow"/>
          <w:sz w:val="20"/>
          <w:szCs w:val="20"/>
        </w:rPr>
      </w:pPr>
      <w:r w:rsidRPr="0034420E">
        <w:rPr>
          <w:rFonts w:ascii="Arial Narrow" w:hAnsi="Arial Narrow"/>
          <w:b/>
          <w:bCs/>
          <w:sz w:val="20"/>
          <w:szCs w:val="20"/>
        </w:rPr>
        <w:t>Fee:</w:t>
      </w:r>
      <w:r w:rsidRPr="0034420E">
        <w:rPr>
          <w:rFonts w:ascii="Arial Narrow" w:hAnsi="Arial Narrow"/>
          <w:sz w:val="20"/>
          <w:szCs w:val="20"/>
        </w:rPr>
        <w:t xml:space="preserve"> $250 </w:t>
      </w:r>
      <w:r w:rsidRPr="0034420E">
        <w:rPr>
          <w:rFonts w:ascii="Arial Narrow" w:hAnsi="Arial Narrow"/>
          <w:b/>
          <w:bCs/>
          <w:sz w:val="20"/>
          <w:szCs w:val="20"/>
        </w:rPr>
        <w:t>Benefit:</w:t>
      </w:r>
      <w:r w:rsidRPr="0034420E">
        <w:rPr>
          <w:rFonts w:ascii="Arial Narrow" w:hAnsi="Arial Narrow"/>
          <w:sz w:val="20"/>
          <w:szCs w:val="20"/>
        </w:rPr>
        <w:t xml:space="preserve"> 75% = $187.50 85% = $212.50</w:t>
      </w:r>
    </w:p>
    <w:p w14:paraId="7AC45CC9" w14:textId="6BE9E473" w:rsidR="006F3046" w:rsidRPr="0034420E" w:rsidRDefault="00C71E24" w:rsidP="0072128E">
      <w:pPr>
        <w:spacing w:before="200"/>
      </w:pPr>
      <w:r w:rsidRPr="0034420E">
        <w:t>While the proposed item descriptor requires that</w:t>
      </w:r>
      <w:r w:rsidR="004618DB" w:rsidRPr="0034420E">
        <w:t xml:space="preserve"> </w:t>
      </w:r>
      <w:r w:rsidRPr="0034420E">
        <w:t>eGFR and uACR test</w:t>
      </w:r>
      <w:r w:rsidR="00306330" w:rsidRPr="0034420E">
        <w:t xml:space="preserve"> results</w:t>
      </w:r>
      <w:r w:rsidR="00FF36B5" w:rsidRPr="0034420E">
        <w:t>,</w:t>
      </w:r>
      <w:r w:rsidR="00306330" w:rsidRPr="0034420E">
        <w:t xml:space="preserve"> </w:t>
      </w:r>
      <w:r w:rsidR="005C2B49" w:rsidRPr="0034420E">
        <w:t>and eGFR and HDL-cholesterol are required as input</w:t>
      </w:r>
      <w:r w:rsidR="00FF36B5" w:rsidRPr="0034420E">
        <w:t>s</w:t>
      </w:r>
      <w:r w:rsidR="005C2B49" w:rsidRPr="0034420E">
        <w:t xml:space="preserve"> for PromarkerD</w:t>
      </w:r>
      <w:r w:rsidR="004618DB" w:rsidRPr="0034420E">
        <w:t xml:space="preserve">, the application did not state </w:t>
      </w:r>
      <w:r w:rsidR="00097AAA" w:rsidRPr="0034420E">
        <w:t>within what timeframe</w:t>
      </w:r>
      <w:r w:rsidR="004618DB" w:rsidRPr="0034420E">
        <w:t xml:space="preserve"> </w:t>
      </w:r>
      <w:r w:rsidR="00306330" w:rsidRPr="0034420E">
        <w:t xml:space="preserve">these tests need to be conducted. </w:t>
      </w:r>
      <w:r w:rsidR="006F3046" w:rsidRPr="0034420E">
        <w:t>The applicant further clarified that HDL-cholesterol</w:t>
      </w:r>
      <w:r w:rsidR="00E543A5" w:rsidRPr="0034420E">
        <w:t>,</w:t>
      </w:r>
      <w:r w:rsidR="006F3046" w:rsidRPr="0034420E">
        <w:t xml:space="preserve"> eGFR </w:t>
      </w:r>
      <w:r w:rsidR="00E543A5" w:rsidRPr="0034420E">
        <w:t xml:space="preserve">and uACR </w:t>
      </w:r>
      <w:r w:rsidR="006F3046" w:rsidRPr="0034420E">
        <w:t>results should be no older than six months.</w:t>
      </w:r>
    </w:p>
    <w:p w14:paraId="35253C2D" w14:textId="2D06AEA6" w:rsidR="004618DB" w:rsidRPr="0034420E" w:rsidRDefault="006F3046" w:rsidP="00C71E24">
      <w:r w:rsidRPr="0034420E">
        <w:t xml:space="preserve">The application requested that patients be limited to one PromarkerD test every 4 years for patients with </w:t>
      </w:r>
      <w:r w:rsidR="00FF36B5" w:rsidRPr="0034420E">
        <w:t xml:space="preserve">a </w:t>
      </w:r>
      <w:r w:rsidRPr="0034420E">
        <w:t>low</w:t>
      </w:r>
      <w:r w:rsidR="008405C5" w:rsidRPr="0034420E">
        <w:t>-</w:t>
      </w:r>
      <w:r w:rsidRPr="0034420E">
        <w:t xml:space="preserve">risk score and to once every two years for patients with a moderate to high-risk score. In </w:t>
      </w:r>
      <w:r w:rsidR="00FF36B5" w:rsidRPr="0034420E">
        <w:t xml:space="preserve">subsequent </w:t>
      </w:r>
      <w:r w:rsidRPr="0034420E">
        <w:t>information provided</w:t>
      </w:r>
      <w:r w:rsidR="00FF36B5" w:rsidRPr="0034420E">
        <w:t xml:space="preserve"> by</w:t>
      </w:r>
      <w:r w:rsidRPr="0034420E">
        <w:t xml:space="preserve"> the applicant</w:t>
      </w:r>
      <w:r w:rsidR="00FF36B5" w:rsidRPr="0034420E">
        <w:t xml:space="preserve"> it</w:t>
      </w:r>
      <w:r w:rsidRPr="0034420E">
        <w:t xml:space="preserve"> stated that the proposed frequency of testing is based on advice from key opinion leaders and that the duration for repeat use of PromarkerD</w:t>
      </w:r>
      <w:r w:rsidR="004618DB" w:rsidRPr="0034420E">
        <w:t xml:space="preserve"> </w:t>
      </w:r>
      <w:r w:rsidRPr="0034420E">
        <w:t>will be explored in a survey</w:t>
      </w:r>
      <w:r w:rsidR="00FF36B5" w:rsidRPr="0034420E">
        <w:t xml:space="preserve"> to be conducted with primary care physicians. </w:t>
      </w:r>
      <w:r w:rsidR="002D3B42" w:rsidRPr="0034420E">
        <w:t>T</w:t>
      </w:r>
      <w:r w:rsidR="00A06E2C" w:rsidRPr="0034420E">
        <w:t>hese timeframes</w:t>
      </w:r>
      <w:r w:rsidR="00FF36B5" w:rsidRPr="0034420E">
        <w:t xml:space="preserve"> will</w:t>
      </w:r>
      <w:r w:rsidR="00A06E2C" w:rsidRPr="0034420E">
        <w:t xml:space="preserve"> </w:t>
      </w:r>
      <w:r w:rsidR="00FF36B5" w:rsidRPr="0034420E">
        <w:t>require additional</w:t>
      </w:r>
      <w:r w:rsidR="00A06E2C" w:rsidRPr="0034420E">
        <w:t xml:space="preserve"> </w:t>
      </w:r>
      <w:r w:rsidR="00FF36B5" w:rsidRPr="0034420E">
        <w:t>j</w:t>
      </w:r>
      <w:r w:rsidR="00A06E2C" w:rsidRPr="0034420E">
        <w:t>ustifi</w:t>
      </w:r>
      <w:r w:rsidR="00FF36B5" w:rsidRPr="0034420E">
        <w:t>cation. It is not clear why</w:t>
      </w:r>
      <w:r w:rsidR="00306330" w:rsidRPr="0034420E">
        <w:t xml:space="preserve"> </w:t>
      </w:r>
      <w:r w:rsidR="00A06E2C" w:rsidRPr="0034420E">
        <w:t xml:space="preserve">patients </w:t>
      </w:r>
      <w:r w:rsidR="00FF36B5" w:rsidRPr="0034420E">
        <w:t xml:space="preserve">who are </w:t>
      </w:r>
      <w:r w:rsidR="00A06E2C" w:rsidRPr="0034420E">
        <w:t xml:space="preserve">found to have </w:t>
      </w:r>
      <w:r w:rsidR="00D0590D" w:rsidRPr="0034420E">
        <w:t xml:space="preserve">a </w:t>
      </w:r>
      <w:r w:rsidR="00306330" w:rsidRPr="0034420E">
        <w:t xml:space="preserve">moderate- to high-risk, </w:t>
      </w:r>
      <w:r w:rsidR="00D0590D" w:rsidRPr="0034420E">
        <w:t>should have a</w:t>
      </w:r>
      <w:r w:rsidR="00306330" w:rsidRPr="0034420E">
        <w:t xml:space="preserve"> </w:t>
      </w:r>
      <w:r w:rsidR="00D0590D" w:rsidRPr="0034420E">
        <w:t xml:space="preserve">PromarkerD test </w:t>
      </w:r>
      <w:r w:rsidR="00306330" w:rsidRPr="0034420E">
        <w:t>performed every two years when the PromarkerD results provide a four-year risk</w:t>
      </w:r>
      <w:r w:rsidR="00A06E2C" w:rsidRPr="0034420E">
        <w:t xml:space="preserve"> of developing DKD</w:t>
      </w:r>
      <w:r w:rsidR="00306330" w:rsidRPr="0034420E">
        <w:t>.</w:t>
      </w:r>
      <w:r w:rsidR="00D0590D" w:rsidRPr="0034420E">
        <w:t xml:space="preserve"> Additionally,</w:t>
      </w:r>
      <w:r w:rsidR="00916DA0" w:rsidRPr="0034420E">
        <w:t xml:space="preserve"> there appears to be little consistency</w:t>
      </w:r>
      <w:r w:rsidR="00ED68DC" w:rsidRPr="0034420E">
        <w:t xml:space="preserve"> established for the</w:t>
      </w:r>
      <w:r w:rsidR="00916DA0" w:rsidRPr="0034420E">
        <w:t xml:space="preserve"> duration of retesting. </w:t>
      </w:r>
      <w:r w:rsidR="00D0590D" w:rsidRPr="0034420E">
        <w:t>The PromarkerD instructions for use (</w:t>
      </w:r>
      <w:r w:rsidR="0072128E" w:rsidRPr="0034420E">
        <w:fldChar w:fldCharType="begin"/>
      </w:r>
      <w:r w:rsidR="0072128E" w:rsidRPr="0034420E">
        <w:instrText xml:space="preserve"> REF _Ref87016224 \h </w:instrText>
      </w:r>
      <w:r w:rsidR="00B5360A" w:rsidRPr="0034420E">
        <w:instrText xml:space="preserve"> \* MERGEFORMAT </w:instrText>
      </w:r>
      <w:r w:rsidR="0072128E" w:rsidRPr="0034420E">
        <w:fldChar w:fldCharType="separate"/>
      </w:r>
      <w:r w:rsidR="00523E59" w:rsidRPr="0034420E">
        <w:t xml:space="preserve">Figure </w:t>
      </w:r>
      <w:r w:rsidR="00523E59" w:rsidRPr="0034420E">
        <w:rPr>
          <w:noProof/>
        </w:rPr>
        <w:t>2</w:t>
      </w:r>
      <w:r w:rsidR="0072128E" w:rsidRPr="0034420E">
        <w:fldChar w:fldCharType="end"/>
      </w:r>
      <w:r w:rsidR="00D0590D" w:rsidRPr="0034420E">
        <w:t>) suggest retesting should be conducted every three months (high</w:t>
      </w:r>
      <w:r w:rsidR="008405C5" w:rsidRPr="0034420E">
        <w:t>-</w:t>
      </w:r>
      <w:r w:rsidR="00D0590D" w:rsidRPr="0034420E">
        <w:t>risk), three to six months (moderate</w:t>
      </w:r>
      <w:r w:rsidR="008405C5" w:rsidRPr="0034420E">
        <w:t>-</w:t>
      </w:r>
      <w:r w:rsidR="00D0590D" w:rsidRPr="0034420E">
        <w:t xml:space="preserve">risk) or </w:t>
      </w:r>
      <w:r w:rsidR="00916DA0" w:rsidRPr="0034420E">
        <w:t>annually</w:t>
      </w:r>
      <w:r w:rsidR="00D0590D" w:rsidRPr="0034420E">
        <w:t xml:space="preserve"> (low</w:t>
      </w:r>
      <w:r w:rsidR="008405C5" w:rsidRPr="0034420E">
        <w:t>-</w:t>
      </w:r>
      <w:r w:rsidR="00D0590D" w:rsidRPr="0034420E">
        <w:t xml:space="preserve">risk). </w:t>
      </w:r>
      <w:proofErr w:type="spellStart"/>
      <w:r w:rsidR="00D0590D" w:rsidRPr="0034420E">
        <w:t>Burcheral</w:t>
      </w:r>
      <w:proofErr w:type="spellEnd"/>
      <w:r w:rsidR="00D0590D" w:rsidRPr="0034420E">
        <w:t xml:space="preserve"> </w:t>
      </w:r>
      <w:r w:rsidR="0072128E" w:rsidRPr="0034420E">
        <w:t>(</w:t>
      </w:r>
      <w:r w:rsidR="00D0590D" w:rsidRPr="0034420E">
        <w:t>2021</w:t>
      </w:r>
      <w:r w:rsidR="0072128E" w:rsidRPr="0034420E">
        <w:t>)</w:t>
      </w:r>
      <w:r w:rsidR="00D0590D" w:rsidRPr="0034420E">
        <w:t xml:space="preserve"> </w:t>
      </w:r>
      <w:r w:rsidR="00DA1F65" w:rsidRPr="0034420E">
        <w:t>assumed</w:t>
      </w:r>
      <w:r w:rsidR="00EC53B9" w:rsidRPr="0034420E">
        <w:t xml:space="preserve"> that </w:t>
      </w:r>
      <w:r w:rsidR="00EC53B9" w:rsidRPr="0034420E">
        <w:lastRenderedPageBreak/>
        <w:t xml:space="preserve">testing would </w:t>
      </w:r>
      <w:r w:rsidR="00D0590D" w:rsidRPr="0034420E">
        <w:t>be conducted every six months (high</w:t>
      </w:r>
      <w:r w:rsidR="008405C5" w:rsidRPr="0034420E">
        <w:t>-</w:t>
      </w:r>
      <w:r w:rsidR="00D0590D" w:rsidRPr="0034420E">
        <w:t>risk), eight months (moderate</w:t>
      </w:r>
      <w:r w:rsidR="008405C5" w:rsidRPr="0034420E">
        <w:t>-</w:t>
      </w:r>
      <w:r w:rsidR="00D0590D" w:rsidRPr="0034420E">
        <w:t>risk) or one year (low</w:t>
      </w:r>
      <w:r w:rsidR="008405C5" w:rsidRPr="0034420E">
        <w:t>-</w:t>
      </w:r>
      <w:r w:rsidR="00D0590D" w:rsidRPr="0034420E">
        <w:t>risk).</w:t>
      </w:r>
    </w:p>
    <w:p w14:paraId="012CF6FA" w14:textId="35930CD5" w:rsidR="0076147D" w:rsidRPr="0034420E" w:rsidRDefault="00D124FA" w:rsidP="0076147D">
      <w:r w:rsidRPr="0034420E">
        <w:t>Subsequent to the application, t</w:t>
      </w:r>
      <w:r w:rsidR="0076147D" w:rsidRPr="0034420E">
        <w:t xml:space="preserve">he applicant </w:t>
      </w:r>
      <w:r w:rsidRPr="0034420E">
        <w:t>provided additional information</w:t>
      </w:r>
      <w:r w:rsidR="0076147D" w:rsidRPr="0034420E">
        <w:t xml:space="preserve"> that the proposed MBS fee ($250) was determined based on the costs of developing the technology and ongoing supply with an industry standard profit margin.</w:t>
      </w:r>
    </w:p>
    <w:p w14:paraId="0D8F5DB0" w14:textId="6D63B0CE" w:rsidR="00E543A5" w:rsidRPr="0034420E" w:rsidRDefault="00E543A5" w:rsidP="0076147D">
      <w:r w:rsidRPr="0034420E">
        <w:rPr>
          <w:rFonts w:asciiTheme="minorHAnsi" w:hAnsiTheme="minorHAnsi" w:cstheme="minorHAnsi"/>
          <w:i/>
          <w:iCs/>
        </w:rPr>
        <w:t xml:space="preserve">PASC considered there was a lack of clarity regarding the requested fee, specifically what component related to ELISA and what component related to </w:t>
      </w:r>
      <w:r w:rsidR="003F3640" w:rsidRPr="0034420E">
        <w:rPr>
          <w:rFonts w:asciiTheme="minorHAnsi" w:hAnsiTheme="minorHAnsi" w:cstheme="minorHAnsi"/>
          <w:i/>
          <w:iCs/>
        </w:rPr>
        <w:t xml:space="preserve">the </w:t>
      </w:r>
      <w:r w:rsidRPr="0034420E">
        <w:rPr>
          <w:rFonts w:asciiTheme="minorHAnsi" w:hAnsiTheme="minorHAnsi" w:cstheme="minorHAnsi"/>
          <w:i/>
          <w:iCs/>
        </w:rPr>
        <w:t xml:space="preserve">algorithm. </w:t>
      </w:r>
      <w:r w:rsidRPr="0034420E">
        <w:rPr>
          <w:rFonts w:asciiTheme="minorHAnsi" w:hAnsiTheme="minorHAnsi" w:cstheme="minorHAnsi"/>
        </w:rPr>
        <w:t>The applicant clarified that the proposed fee includes all components of the test including ELISA and algorithm. However, it is not clear whether “all components” also includes the HDL-cholesterol and eGFR tests that are required by the algorithm to predict the risk score. If HDL-cholesterol and eGFR are to be excluded as a component of the proposed service, and if the results are not available to pathologists or are more than 6 months old at time of PromarkerD testing, HDL-cholesterol and eGFR tests will need to be repeated and subsequently contribute to the cost effectiveness analysis. PASC considered that the HDL-cholesterol and eGFR tests would likely need to be repeated at time of PromarkerD testing.</w:t>
      </w:r>
      <w:r w:rsidRPr="0034420E">
        <w:rPr>
          <w:rFonts w:asciiTheme="minorHAnsi" w:hAnsiTheme="minorHAnsi" w:cstheme="minorHAnsi"/>
          <w:i/>
          <w:iCs/>
        </w:rPr>
        <w:t xml:space="preserve"> PASC requested the assessment report provide a breakdown of the components of the $250 fee.</w:t>
      </w:r>
    </w:p>
    <w:p w14:paraId="5911D032" w14:textId="74A7C170" w:rsidR="00977672" w:rsidRPr="0034420E" w:rsidRDefault="00F533BC" w:rsidP="00C71E24">
      <w:r w:rsidRPr="0034420E">
        <w:t xml:space="preserve">There are no tests similar to PromarkerD currently listed on the MBS with which to compare MBS fees. </w:t>
      </w:r>
    </w:p>
    <w:p w14:paraId="2CEFB3EF" w14:textId="3DD16770" w:rsidR="00EC3630" w:rsidRPr="0034420E" w:rsidRDefault="00EC3630" w:rsidP="00EC3630">
      <w:r w:rsidRPr="0034420E">
        <w:t xml:space="preserve">If PromarkerD is to be used to identify patients at increased risk of developing DKD and the applicant proposes that patients be allowed to initiate SGLT2 inhibitors as a result of the risk factor determined by </w:t>
      </w:r>
      <w:proofErr w:type="spellStart"/>
      <w:r w:rsidRPr="0034420E">
        <w:t>PromarkerD</w:t>
      </w:r>
      <w:proofErr w:type="spellEnd"/>
      <w:r w:rsidRPr="0034420E">
        <w:t xml:space="preserve">, a </w:t>
      </w:r>
      <w:proofErr w:type="spellStart"/>
      <w:r w:rsidRPr="0034420E">
        <w:t>codependent</w:t>
      </w:r>
      <w:proofErr w:type="spellEnd"/>
      <w:r w:rsidRPr="0034420E">
        <w:t xml:space="preserve"> application for </w:t>
      </w:r>
      <w:proofErr w:type="spellStart"/>
      <w:r w:rsidRPr="0034420E">
        <w:t>PromarkerD</w:t>
      </w:r>
      <w:proofErr w:type="spellEnd"/>
      <w:r w:rsidRPr="0034420E">
        <w:t xml:space="preserve"> and </w:t>
      </w:r>
      <w:r w:rsidR="00B52292" w:rsidRPr="0034420E">
        <w:t xml:space="preserve">canagliflozin (or another SGLT2 inhibitor if a class effect </w:t>
      </w:r>
      <w:r w:rsidR="00BB4F14" w:rsidRPr="0034420E">
        <w:t>can be</w:t>
      </w:r>
      <w:r w:rsidR="00B52292" w:rsidRPr="0034420E">
        <w:t xml:space="preserve"> proven) may be required. Currently, dapagliflozin, empagliflozin and ertugliflozin are listed on the PBS with patients requiring an HbA1c measurement of </w:t>
      </w:r>
      <w:r w:rsidR="00B52292" w:rsidRPr="0034420E">
        <w:rPr>
          <w:rFonts w:cs="Calibri"/>
        </w:rPr>
        <w:t xml:space="preserve">greater than </w:t>
      </w:r>
      <w:r w:rsidR="00B52292" w:rsidRPr="0034420E">
        <w:t>7.0% to be eligible.</w:t>
      </w:r>
    </w:p>
    <w:p w14:paraId="62338695" w14:textId="2D041B28" w:rsidR="00D37A3F" w:rsidRPr="0034420E" w:rsidRDefault="003F0A39" w:rsidP="00713728">
      <w:pPr>
        <w:pStyle w:val="Heading2"/>
      </w:pPr>
      <w:r w:rsidRPr="0034420E">
        <w:t xml:space="preserve">Summary of public consultation </w:t>
      </w:r>
      <w:r w:rsidR="00E470B0" w:rsidRPr="0034420E">
        <w:t>input</w:t>
      </w:r>
    </w:p>
    <w:p w14:paraId="5BF63FF4" w14:textId="77777777" w:rsidR="00314CE4" w:rsidRPr="0034420E" w:rsidRDefault="00314CE4" w:rsidP="0049409C">
      <w:r w:rsidRPr="0034420E">
        <w:t>Two organisations provided responses to the targeted consultation, the Endocrine Society of Australia (ESA) and the Royal College of Pathologists of Australasia (RCPA).</w:t>
      </w:r>
    </w:p>
    <w:p w14:paraId="11005D71" w14:textId="65601B4C" w:rsidR="00314CE4" w:rsidRPr="0034420E" w:rsidRDefault="00314CE4" w:rsidP="0049409C">
      <w:r w:rsidRPr="0034420E">
        <w:t>Both organisations were not supportive of the application.</w:t>
      </w:r>
    </w:p>
    <w:p w14:paraId="560D7DCF" w14:textId="77777777" w:rsidR="00314CE4" w:rsidRPr="0034420E" w:rsidRDefault="00314CE4" w:rsidP="0049409C">
      <w:r w:rsidRPr="0034420E">
        <w:t xml:space="preserve">RCPA considered that more supportive data may be required to support this application, including: </w:t>
      </w:r>
    </w:p>
    <w:p w14:paraId="5EA04C28" w14:textId="0C737511" w:rsidR="00314CE4" w:rsidRPr="0034420E" w:rsidRDefault="00314CE4" w:rsidP="00EC5DB4">
      <w:pPr>
        <w:pStyle w:val="ListParagraph"/>
        <w:numPr>
          <w:ilvl w:val="0"/>
          <w:numId w:val="11"/>
        </w:numPr>
        <w:ind w:left="284" w:hanging="284"/>
      </w:pPr>
      <w:r w:rsidRPr="0034420E">
        <w:t>the clinical utility of the three biomarkers, along with others (HDL, etc.), chosen to calculate the risk of developing kidney disease in diabetic patients</w:t>
      </w:r>
    </w:p>
    <w:p w14:paraId="46969231" w14:textId="77777777" w:rsidR="00314CE4" w:rsidRPr="0034420E" w:rsidRDefault="00314CE4" w:rsidP="00EC5DB4">
      <w:pPr>
        <w:pStyle w:val="ListParagraph"/>
        <w:numPr>
          <w:ilvl w:val="0"/>
          <w:numId w:val="11"/>
        </w:numPr>
        <w:ind w:left="284" w:hanging="284"/>
      </w:pPr>
      <w:r w:rsidRPr="0034420E">
        <w:t xml:space="preserve">the evidence behind the proposed frequency of testing, and </w:t>
      </w:r>
    </w:p>
    <w:p w14:paraId="19733EB7" w14:textId="7FE1118E" w:rsidR="00314CE4" w:rsidRPr="0034420E" w:rsidRDefault="00314CE4" w:rsidP="00EC5DB4">
      <w:pPr>
        <w:pStyle w:val="ListParagraph"/>
        <w:numPr>
          <w:ilvl w:val="0"/>
          <w:numId w:val="11"/>
        </w:numPr>
        <w:ind w:left="284" w:hanging="284"/>
      </w:pPr>
      <w:r w:rsidRPr="0034420E">
        <w:t>the validity of the PromarkerD Hub, the software tool that contains a proprietary algorithm used to calculate the risk of developing, or further progression of DKD.</w:t>
      </w:r>
    </w:p>
    <w:p w14:paraId="7539AEF2" w14:textId="33041D3C" w:rsidR="00314CE4" w:rsidRPr="0034420E" w:rsidRDefault="00314CE4" w:rsidP="0049409C">
      <w:r w:rsidRPr="0034420E">
        <w:t>ESA considered that it would be beneficial if a biomarker was available to better predict development of renal disease in patients with diabetes. However, ESA was concerned that the application did include an analysis of the utility of the proposed three biomarkers compared to other currently researched and/or developed proteomic-derived biomarkers for prediction of the development of CKD in patients with Type 2 diabetes mellitus.</w:t>
      </w:r>
    </w:p>
    <w:p w14:paraId="40F96A28" w14:textId="3FE24C7B" w:rsidR="00314CE4" w:rsidRPr="0034420E" w:rsidRDefault="00314CE4" w:rsidP="0049409C">
      <w:r w:rsidRPr="0034420E">
        <w:t>ESA questioned whether patients with microalbuminuria should be included in the eligible test population, as microalbuminuria is a well-established marker of progression to CKD, and the test would add limited additional value to clinicians.</w:t>
      </w:r>
    </w:p>
    <w:p w14:paraId="3B6A5E44" w14:textId="45CBE4FE" w:rsidR="00314CE4" w:rsidRPr="0034420E" w:rsidRDefault="00314CE4" w:rsidP="00780A8E">
      <w:r w:rsidRPr="0034420E">
        <w:lastRenderedPageBreak/>
        <w:t>ESA was concerned about a lack of independent validation as the studies cited appear to have been all undertaken by inter-related authors and there could be potential conflicts of interest where authors are employed by organisations, which are beneficiaries of the patent.</w:t>
      </w:r>
    </w:p>
    <w:p w14:paraId="3A1CB3FF" w14:textId="61FDBF37" w:rsidR="00780A8E" w:rsidRPr="0034420E" w:rsidRDefault="00780A8E" w:rsidP="00780A8E">
      <w:pPr>
        <w:rPr>
          <w:rFonts w:asciiTheme="minorHAnsi" w:hAnsiTheme="minorHAnsi" w:cstheme="minorHAnsi"/>
          <w:i/>
          <w:iCs/>
        </w:rPr>
      </w:pPr>
      <w:r w:rsidRPr="0034420E">
        <w:rPr>
          <w:rFonts w:asciiTheme="minorHAnsi" w:hAnsiTheme="minorHAnsi" w:cstheme="minorHAnsi"/>
          <w:i/>
          <w:iCs/>
        </w:rPr>
        <w:t xml:space="preserve">PASC noted that the consultation feedback was broadly not supportive, indicating more data </w:t>
      </w:r>
      <w:r w:rsidR="003F3640" w:rsidRPr="0034420E">
        <w:rPr>
          <w:rFonts w:asciiTheme="minorHAnsi" w:hAnsiTheme="minorHAnsi" w:cstheme="minorHAnsi"/>
          <w:i/>
          <w:iCs/>
        </w:rPr>
        <w:t xml:space="preserve">were </w:t>
      </w:r>
      <w:r w:rsidRPr="0034420E">
        <w:rPr>
          <w:rFonts w:asciiTheme="minorHAnsi" w:hAnsiTheme="minorHAnsi" w:cstheme="minorHAnsi"/>
          <w:i/>
          <w:iCs/>
        </w:rPr>
        <w:t>required to demonstrate the benefit of the test and others raising concerns regarding whether the best biomarkers were included. The feedback also questioned the value of the test among those with existing microalbuminuria.</w:t>
      </w:r>
    </w:p>
    <w:p w14:paraId="08EDAD23" w14:textId="655FF0DA" w:rsidR="00780A8E" w:rsidRPr="0034420E" w:rsidRDefault="00780A8E" w:rsidP="00780A8E">
      <w:r w:rsidRPr="0034420E">
        <w:rPr>
          <w:rFonts w:asciiTheme="minorHAnsi" w:hAnsiTheme="minorHAnsi" w:cstheme="minorHAnsi"/>
          <w:i/>
          <w:iCs/>
        </w:rPr>
        <w:t xml:space="preserve">PASC also noted there was no feedback from </w:t>
      </w:r>
      <w:r w:rsidR="00655378" w:rsidRPr="0034420E">
        <w:rPr>
          <w:rFonts w:asciiTheme="minorHAnsi" w:hAnsiTheme="minorHAnsi" w:cstheme="minorHAnsi"/>
          <w:i/>
          <w:iCs/>
        </w:rPr>
        <w:t>the</w:t>
      </w:r>
      <w:r w:rsidRPr="0034420E">
        <w:rPr>
          <w:rFonts w:asciiTheme="minorHAnsi" w:hAnsiTheme="minorHAnsi" w:cstheme="minorHAnsi"/>
          <w:i/>
          <w:iCs/>
        </w:rPr>
        <w:t xml:space="preserve"> number of co</w:t>
      </w:r>
      <w:r w:rsidR="00655378" w:rsidRPr="0034420E">
        <w:rPr>
          <w:rFonts w:asciiTheme="minorHAnsi" w:hAnsiTheme="minorHAnsi" w:cstheme="minorHAnsi"/>
          <w:i/>
          <w:iCs/>
        </w:rPr>
        <w:t>n</w:t>
      </w:r>
      <w:r w:rsidRPr="0034420E">
        <w:rPr>
          <w:rFonts w:asciiTheme="minorHAnsi" w:hAnsiTheme="minorHAnsi" w:cstheme="minorHAnsi"/>
          <w:i/>
          <w:iCs/>
        </w:rPr>
        <w:t>sumer organisation</w:t>
      </w:r>
      <w:r w:rsidR="006460C0" w:rsidRPr="0034420E">
        <w:rPr>
          <w:rFonts w:asciiTheme="minorHAnsi" w:hAnsiTheme="minorHAnsi" w:cstheme="minorHAnsi"/>
          <w:i/>
          <w:iCs/>
        </w:rPr>
        <w:t>s</w:t>
      </w:r>
      <w:r w:rsidRPr="0034420E">
        <w:rPr>
          <w:rFonts w:asciiTheme="minorHAnsi" w:hAnsiTheme="minorHAnsi" w:cstheme="minorHAnsi"/>
          <w:i/>
          <w:iCs/>
        </w:rPr>
        <w:t xml:space="preserve"> that were targeted. PASC questioned whether this test would be acceptable to patients.</w:t>
      </w:r>
    </w:p>
    <w:p w14:paraId="4C9A83CA" w14:textId="580BF74A" w:rsidR="008405C5" w:rsidRPr="0034420E" w:rsidRDefault="008405C5" w:rsidP="008405C5">
      <w:pPr>
        <w:pStyle w:val="Heading2"/>
      </w:pPr>
      <w:r w:rsidRPr="0034420E">
        <w:t>Next steps</w:t>
      </w:r>
    </w:p>
    <w:p w14:paraId="1207204D" w14:textId="495725B8" w:rsidR="00780A8E" w:rsidRPr="0076589E" w:rsidRDefault="00780A8E" w:rsidP="008F50F7">
      <w:pPr>
        <w:spacing w:before="240"/>
        <w:rPr>
          <w:i/>
          <w:iCs/>
        </w:rPr>
      </w:pPr>
      <w:r w:rsidRPr="0076589E">
        <w:rPr>
          <w:rFonts w:asciiTheme="minorHAnsi" w:hAnsiTheme="minorHAnsi" w:cstheme="minorHAnsi"/>
          <w:i/>
          <w:iCs/>
        </w:rPr>
        <w:t xml:space="preserve">The applicant indicated this </w:t>
      </w:r>
      <w:r w:rsidR="008F50F7" w:rsidRPr="0076589E">
        <w:rPr>
          <w:rFonts w:asciiTheme="minorHAnsi" w:hAnsiTheme="minorHAnsi" w:cstheme="minorHAnsi"/>
          <w:i/>
          <w:iCs/>
        </w:rPr>
        <w:t xml:space="preserve">application </w:t>
      </w:r>
      <w:r w:rsidRPr="0076589E">
        <w:rPr>
          <w:rFonts w:asciiTheme="minorHAnsi" w:hAnsiTheme="minorHAnsi" w:cstheme="minorHAnsi"/>
          <w:i/>
          <w:iCs/>
        </w:rPr>
        <w:t>would proceed as an ADAR (applicant-developed assessment report).</w:t>
      </w:r>
    </w:p>
    <w:p w14:paraId="59E6765B" w14:textId="7D6FEBEA" w:rsidR="00A95492" w:rsidRDefault="00A95492" w:rsidP="0076589E">
      <w:pPr>
        <w:pStyle w:val="Heading2"/>
      </w:pPr>
      <w:r>
        <w:t>Applicant Comments on the PICO Confirmation</w:t>
      </w:r>
    </w:p>
    <w:p w14:paraId="275B1A53" w14:textId="264BE36D" w:rsidR="00A95492" w:rsidRPr="00A95492" w:rsidRDefault="00A95492" w:rsidP="00A95492">
      <w:pPr>
        <w:rPr>
          <w:rFonts w:asciiTheme="minorHAnsi" w:hAnsiTheme="minorHAnsi" w:cstheme="minorHAnsi"/>
          <w:b/>
          <w:bCs/>
          <w:i/>
          <w:iCs/>
        </w:rPr>
      </w:pPr>
      <w:r w:rsidRPr="00A95492">
        <w:rPr>
          <w:rFonts w:asciiTheme="minorHAnsi" w:hAnsiTheme="minorHAnsi" w:cstheme="minorHAnsi"/>
          <w:b/>
          <w:bCs/>
          <w:i/>
          <w:iCs/>
        </w:rPr>
        <w:t>Population</w:t>
      </w:r>
    </w:p>
    <w:p w14:paraId="4FB55BAC" w14:textId="77777777" w:rsidR="00A95492" w:rsidRPr="0076589E" w:rsidRDefault="00A95492" w:rsidP="0076589E">
      <w:pPr>
        <w:rPr>
          <w:rFonts w:asciiTheme="minorHAnsi" w:hAnsiTheme="minorHAnsi" w:cstheme="minorHAnsi"/>
          <w:i/>
          <w:iCs/>
        </w:rPr>
      </w:pPr>
      <w:r w:rsidRPr="0076589E">
        <w:rPr>
          <w:rFonts w:asciiTheme="minorHAnsi" w:hAnsiTheme="minorHAnsi" w:cstheme="minorHAnsi"/>
          <w:i/>
          <w:iCs/>
        </w:rPr>
        <w:t xml:space="preserve">A large proportion of patients with kidney damage or reduced kidney function are asymptomatic meaning early detection and treatment of diabetic kidney disease is essential to prevent further kidney injury. </w:t>
      </w:r>
      <w:proofErr w:type="spellStart"/>
      <w:r w:rsidRPr="0076589E">
        <w:rPr>
          <w:rFonts w:asciiTheme="minorHAnsi" w:hAnsiTheme="minorHAnsi" w:cstheme="minorHAnsi"/>
          <w:i/>
          <w:iCs/>
        </w:rPr>
        <w:t>PromarkerD</w:t>
      </w:r>
      <w:proofErr w:type="spellEnd"/>
      <w:r w:rsidRPr="0076589E">
        <w:rPr>
          <w:rFonts w:asciiTheme="minorHAnsi" w:hAnsiTheme="minorHAnsi" w:cstheme="minorHAnsi"/>
          <w:i/>
          <w:iCs/>
        </w:rPr>
        <w:t xml:space="preserve"> offers additional benefit to patients with microalbuminuria (or other risk factors) as it provides a timeframe for development of DKD to target therapies, and has increased sensitivity compared to standard of care to identify those at highest risk to improve disease management. Despite guidelines for annual monitoring of eGFR and </w:t>
      </w:r>
      <w:proofErr w:type="spellStart"/>
      <w:r w:rsidRPr="0076589E">
        <w:rPr>
          <w:rFonts w:asciiTheme="minorHAnsi" w:hAnsiTheme="minorHAnsi" w:cstheme="minorHAnsi"/>
          <w:i/>
          <w:iCs/>
        </w:rPr>
        <w:t>uACR</w:t>
      </w:r>
      <w:proofErr w:type="spellEnd"/>
      <w:r w:rsidRPr="0076589E">
        <w:rPr>
          <w:rFonts w:asciiTheme="minorHAnsi" w:hAnsiTheme="minorHAnsi" w:cstheme="minorHAnsi"/>
          <w:i/>
          <w:iCs/>
        </w:rPr>
        <w:t xml:space="preserve"> in people with T2DM, only 49% of Australian patients are appropriately screened or monitored for kidney disease in primary care [1]. The prognosis of the remaining half is unknown. Diabetes and DKD are multifactorial diseases, whereby the use of one predictor such as microalbuminuria is problematic as it is not necessarily an indication of all factors. </w:t>
      </w:r>
    </w:p>
    <w:p w14:paraId="151B364E" w14:textId="17C9872C" w:rsidR="00A95492" w:rsidRPr="0076589E" w:rsidRDefault="00A95492" w:rsidP="00A95492">
      <w:pPr>
        <w:rPr>
          <w:rFonts w:asciiTheme="minorHAnsi" w:hAnsiTheme="minorHAnsi" w:cstheme="minorHAnsi"/>
          <w:i/>
          <w:iCs/>
        </w:rPr>
      </w:pPr>
      <w:r w:rsidRPr="0076589E">
        <w:rPr>
          <w:rFonts w:asciiTheme="minorHAnsi" w:hAnsiTheme="minorHAnsi" w:cstheme="minorHAnsi"/>
          <w:i/>
          <w:iCs/>
        </w:rPr>
        <w:t xml:space="preserve">Additionally, </w:t>
      </w:r>
      <w:proofErr w:type="spellStart"/>
      <w:r w:rsidRPr="0076589E">
        <w:rPr>
          <w:rFonts w:asciiTheme="minorHAnsi" w:hAnsiTheme="minorHAnsi" w:cstheme="minorHAnsi"/>
          <w:i/>
          <w:iCs/>
        </w:rPr>
        <w:t>PromarkerD</w:t>
      </w:r>
      <w:proofErr w:type="spellEnd"/>
      <w:r w:rsidRPr="0076589E">
        <w:rPr>
          <w:rFonts w:asciiTheme="minorHAnsi" w:hAnsiTheme="minorHAnsi" w:cstheme="minorHAnsi"/>
          <w:i/>
          <w:iCs/>
        </w:rPr>
        <w:t xml:space="preserve"> retesting of those with ‘moderate’ or ‘high’ risk scores will allow longitudinal monitoring over time, assessing both changes in DKD risk and response to treatment or management changes.</w:t>
      </w:r>
    </w:p>
    <w:p w14:paraId="62D80388" w14:textId="140C7683" w:rsidR="0076589E" w:rsidRPr="0076589E" w:rsidRDefault="00A95492" w:rsidP="00A95492">
      <w:pPr>
        <w:rPr>
          <w:rFonts w:asciiTheme="minorHAnsi" w:hAnsiTheme="minorHAnsi" w:cstheme="minorHAnsi"/>
          <w:i/>
          <w:iCs/>
        </w:rPr>
      </w:pPr>
      <w:r>
        <w:rPr>
          <w:sz w:val="18"/>
          <w:szCs w:val="18"/>
        </w:rPr>
        <w:t xml:space="preserve">[1] </w:t>
      </w:r>
      <w:proofErr w:type="spellStart"/>
      <w:r>
        <w:rPr>
          <w:sz w:val="18"/>
          <w:szCs w:val="18"/>
        </w:rPr>
        <w:t>Manski</w:t>
      </w:r>
      <w:proofErr w:type="spellEnd"/>
      <w:r>
        <w:rPr>
          <w:sz w:val="18"/>
          <w:szCs w:val="18"/>
        </w:rPr>
        <w:t xml:space="preserve">-Nankervis, J.E.; </w:t>
      </w:r>
      <w:proofErr w:type="spellStart"/>
      <w:r>
        <w:rPr>
          <w:sz w:val="18"/>
          <w:szCs w:val="18"/>
        </w:rPr>
        <w:t>Thuraisingam</w:t>
      </w:r>
      <w:proofErr w:type="spellEnd"/>
      <w:r>
        <w:rPr>
          <w:sz w:val="18"/>
          <w:szCs w:val="18"/>
        </w:rPr>
        <w:t xml:space="preserve">, S.; Lau, P.; Blackberry, I.; </w:t>
      </w:r>
      <w:proofErr w:type="spellStart"/>
      <w:r>
        <w:rPr>
          <w:sz w:val="18"/>
          <w:szCs w:val="18"/>
        </w:rPr>
        <w:t>Sluggett</w:t>
      </w:r>
      <w:proofErr w:type="spellEnd"/>
      <w:r>
        <w:rPr>
          <w:sz w:val="18"/>
          <w:szCs w:val="18"/>
        </w:rPr>
        <w:t xml:space="preserve">, J.K.; </w:t>
      </w:r>
      <w:proofErr w:type="spellStart"/>
      <w:r>
        <w:rPr>
          <w:sz w:val="18"/>
          <w:szCs w:val="18"/>
        </w:rPr>
        <w:t>Ilomaki</w:t>
      </w:r>
      <w:proofErr w:type="spellEnd"/>
      <w:r>
        <w:rPr>
          <w:sz w:val="18"/>
          <w:szCs w:val="18"/>
        </w:rPr>
        <w:t xml:space="preserve">, J.; Bell, J.S.; </w:t>
      </w:r>
      <w:proofErr w:type="spellStart"/>
      <w:r>
        <w:rPr>
          <w:sz w:val="18"/>
          <w:szCs w:val="18"/>
        </w:rPr>
        <w:t>Furler</w:t>
      </w:r>
      <w:proofErr w:type="spellEnd"/>
      <w:r>
        <w:rPr>
          <w:sz w:val="18"/>
          <w:szCs w:val="18"/>
        </w:rPr>
        <w:t xml:space="preserve">, J. Screening and diagnosis of chronic kidney disease in people with type 2 diabetes attending Australian general practice. </w:t>
      </w:r>
      <w:r>
        <w:rPr>
          <w:i/>
          <w:iCs/>
          <w:sz w:val="18"/>
          <w:szCs w:val="18"/>
        </w:rPr>
        <w:t>AJPH</w:t>
      </w:r>
      <w:r>
        <w:rPr>
          <w:sz w:val="18"/>
          <w:szCs w:val="18"/>
        </w:rPr>
        <w:t xml:space="preserve"> </w:t>
      </w:r>
      <w:r>
        <w:rPr>
          <w:b/>
          <w:bCs/>
          <w:sz w:val="18"/>
          <w:szCs w:val="18"/>
        </w:rPr>
        <w:t>2018</w:t>
      </w:r>
      <w:r>
        <w:rPr>
          <w:sz w:val="18"/>
          <w:szCs w:val="18"/>
        </w:rPr>
        <w:t>, 24:280-86).</w:t>
      </w:r>
    </w:p>
    <w:p w14:paraId="10D96839" w14:textId="622D67DA" w:rsidR="00A95492" w:rsidRPr="00A95492" w:rsidRDefault="00A95492" w:rsidP="00A95492">
      <w:pPr>
        <w:rPr>
          <w:b/>
          <w:bCs/>
          <w:i/>
          <w:iCs/>
          <w:szCs w:val="24"/>
        </w:rPr>
      </w:pPr>
      <w:r w:rsidRPr="00A95492">
        <w:rPr>
          <w:b/>
          <w:bCs/>
          <w:i/>
          <w:iCs/>
          <w:szCs w:val="24"/>
        </w:rPr>
        <w:t>Outcomes</w:t>
      </w:r>
    </w:p>
    <w:p w14:paraId="2A8F0D25" w14:textId="71880C9F" w:rsidR="00A95492" w:rsidRPr="0076589E" w:rsidRDefault="00A95492" w:rsidP="00A95492">
      <w:pPr>
        <w:rPr>
          <w:rFonts w:asciiTheme="minorHAnsi" w:hAnsiTheme="minorHAnsi" w:cstheme="minorHAnsi"/>
          <w:i/>
          <w:iCs/>
        </w:rPr>
      </w:pPr>
      <w:r w:rsidRPr="0076589E">
        <w:rPr>
          <w:rFonts w:asciiTheme="minorHAnsi" w:hAnsiTheme="minorHAnsi" w:cstheme="minorHAnsi"/>
          <w:i/>
          <w:iCs/>
        </w:rPr>
        <w:t xml:space="preserve">The impact of </w:t>
      </w:r>
      <w:proofErr w:type="spellStart"/>
      <w:r w:rsidRPr="0076589E">
        <w:rPr>
          <w:rFonts w:asciiTheme="minorHAnsi" w:hAnsiTheme="minorHAnsi" w:cstheme="minorHAnsi"/>
          <w:i/>
          <w:iCs/>
        </w:rPr>
        <w:t>PromarkerD</w:t>
      </w:r>
      <w:proofErr w:type="spellEnd"/>
      <w:r w:rsidRPr="0076589E">
        <w:rPr>
          <w:rFonts w:asciiTheme="minorHAnsi" w:hAnsiTheme="minorHAnsi" w:cstheme="minorHAnsi"/>
          <w:i/>
          <w:iCs/>
        </w:rPr>
        <w:t xml:space="preserve"> on clinical practice and outcomes will be supported by a survey of Australian clinicians. Previous evidence provided by the Applicant from a clinical decision impact/utility study in the United States, demonstrated the importance of </w:t>
      </w:r>
      <w:proofErr w:type="spellStart"/>
      <w:r w:rsidRPr="0076589E">
        <w:rPr>
          <w:rFonts w:asciiTheme="minorHAnsi" w:hAnsiTheme="minorHAnsi" w:cstheme="minorHAnsi"/>
          <w:i/>
          <w:iCs/>
        </w:rPr>
        <w:t>PromarkerD</w:t>
      </w:r>
      <w:proofErr w:type="spellEnd"/>
      <w:r w:rsidRPr="0076589E">
        <w:rPr>
          <w:rFonts w:asciiTheme="minorHAnsi" w:hAnsiTheme="minorHAnsi" w:cstheme="minorHAnsi"/>
          <w:i/>
          <w:iCs/>
        </w:rPr>
        <w:t xml:space="preserve"> and other patient attributes to clinical decision making. A clinical survey of 400 physicians showed that </w:t>
      </w:r>
      <w:proofErr w:type="spellStart"/>
      <w:r w:rsidRPr="0076589E">
        <w:rPr>
          <w:rFonts w:asciiTheme="minorHAnsi" w:hAnsiTheme="minorHAnsi" w:cstheme="minorHAnsi"/>
          <w:i/>
          <w:iCs/>
        </w:rPr>
        <w:t>PromarkerD</w:t>
      </w:r>
      <w:proofErr w:type="spellEnd"/>
      <w:r w:rsidRPr="0076589E">
        <w:rPr>
          <w:rFonts w:asciiTheme="minorHAnsi" w:hAnsiTheme="minorHAnsi" w:cstheme="minorHAnsi"/>
          <w:i/>
          <w:iCs/>
        </w:rPr>
        <w:t xml:space="preserve"> was the first- or second-most important attribute driving physician decision making, outweighing eGFR and albuminuria, for increasing monitoring frequency, prescribing SGLT2i, and increasing blood pressure medication dose</w:t>
      </w:r>
    </w:p>
    <w:p w14:paraId="3E90C362" w14:textId="45019872" w:rsidR="00A95492" w:rsidRPr="00A95492" w:rsidRDefault="00A95492" w:rsidP="00A95492">
      <w:pPr>
        <w:rPr>
          <w:rFonts w:asciiTheme="minorHAnsi" w:hAnsiTheme="minorHAnsi" w:cstheme="minorHAnsi"/>
          <w:b/>
          <w:bCs/>
          <w:i/>
          <w:iCs/>
        </w:rPr>
      </w:pPr>
      <w:r>
        <w:rPr>
          <w:rFonts w:asciiTheme="minorHAnsi" w:hAnsiTheme="minorHAnsi" w:cstheme="minorHAnsi"/>
          <w:b/>
          <w:bCs/>
          <w:i/>
          <w:iCs/>
        </w:rPr>
        <w:t>Assessment framework (for investigative technologies)</w:t>
      </w:r>
    </w:p>
    <w:p w14:paraId="2FEEA6A1" w14:textId="77777777" w:rsidR="00A95492" w:rsidRPr="00A95492" w:rsidRDefault="00A95492" w:rsidP="00A95492">
      <w:pPr>
        <w:rPr>
          <w:bCs/>
          <w:i/>
          <w:iCs/>
          <w:szCs w:val="24"/>
        </w:rPr>
      </w:pPr>
      <w:r w:rsidRPr="00A95492">
        <w:rPr>
          <w:bCs/>
          <w:i/>
          <w:iCs/>
          <w:szCs w:val="24"/>
        </w:rPr>
        <w:lastRenderedPageBreak/>
        <w:t xml:space="preserve">The PASC noted that outcomes may improve only as a result of changes in clinical management, but the targets and extent of this clinical management can be guided more accurately with a </w:t>
      </w:r>
      <w:proofErr w:type="spellStart"/>
      <w:r w:rsidRPr="00A95492">
        <w:rPr>
          <w:bCs/>
          <w:i/>
          <w:iCs/>
          <w:szCs w:val="24"/>
        </w:rPr>
        <w:t>PromarkerD</w:t>
      </w:r>
      <w:proofErr w:type="spellEnd"/>
      <w:r w:rsidRPr="00A95492">
        <w:rPr>
          <w:bCs/>
          <w:i/>
          <w:iCs/>
          <w:szCs w:val="24"/>
        </w:rPr>
        <w:t xml:space="preserve"> test. This is comparable to any other investigative technology.</w:t>
      </w:r>
    </w:p>
    <w:p w14:paraId="717B482D" w14:textId="77777777" w:rsidR="00A95492" w:rsidRPr="00A95492" w:rsidRDefault="00A95492" w:rsidP="00A95492">
      <w:pPr>
        <w:rPr>
          <w:bCs/>
          <w:i/>
          <w:iCs/>
          <w:szCs w:val="24"/>
        </w:rPr>
      </w:pPr>
      <w:proofErr w:type="spellStart"/>
      <w:r w:rsidRPr="00A95492">
        <w:rPr>
          <w:bCs/>
          <w:i/>
          <w:iCs/>
          <w:szCs w:val="24"/>
        </w:rPr>
        <w:t>PromarkerD</w:t>
      </w:r>
      <w:proofErr w:type="spellEnd"/>
      <w:r w:rsidRPr="00A95492">
        <w:rPr>
          <w:bCs/>
          <w:i/>
          <w:iCs/>
          <w:szCs w:val="24"/>
        </w:rPr>
        <w:t xml:space="preserve"> provides a timeframe for development of DKD to target therapies, and has increased sensitivity compared to standard of care to identify those at highest risk of DKD. </w:t>
      </w:r>
    </w:p>
    <w:p w14:paraId="74B4C121" w14:textId="77777777" w:rsidR="00A95492" w:rsidRDefault="00A95492" w:rsidP="00A95492">
      <w:pPr>
        <w:rPr>
          <w:bCs/>
          <w:i/>
          <w:iCs/>
          <w:szCs w:val="24"/>
        </w:rPr>
      </w:pPr>
      <w:proofErr w:type="spellStart"/>
      <w:r w:rsidRPr="00A95492">
        <w:rPr>
          <w:bCs/>
          <w:i/>
          <w:iCs/>
          <w:szCs w:val="24"/>
        </w:rPr>
        <w:t>PromarkerD</w:t>
      </w:r>
      <w:proofErr w:type="spellEnd"/>
      <w:r w:rsidRPr="00A95492">
        <w:rPr>
          <w:bCs/>
          <w:i/>
          <w:iCs/>
          <w:szCs w:val="24"/>
        </w:rPr>
        <w:t xml:space="preserve"> can improve outcomes by allowing patients who may nominally fall into KDIGO low-risk categories to be treated to the extent which the PBS restrictions allow. All patients will be trying to achieve optimal targets for glucose, lipids and blood pressure, but in practice these targets are not met and assessing DKD risk is one way to empower them. Reducing or delaying the progression of DKD and consequently the incidence of dialysis and kidney transplant would result in significant improvements in QOL for the patient and cost savings for health care systems</w:t>
      </w:r>
    </w:p>
    <w:p w14:paraId="2CF0A7EE" w14:textId="42360B2A" w:rsidR="00A95492" w:rsidRPr="00A95492" w:rsidRDefault="00A95492" w:rsidP="00A95492">
      <w:pPr>
        <w:rPr>
          <w:b/>
          <w:i/>
          <w:iCs/>
          <w:szCs w:val="24"/>
        </w:rPr>
      </w:pPr>
      <w:r>
        <w:rPr>
          <w:b/>
          <w:i/>
          <w:iCs/>
          <w:szCs w:val="24"/>
        </w:rPr>
        <w:t>Clinical management algorithms</w:t>
      </w:r>
    </w:p>
    <w:p w14:paraId="00CE17B3" w14:textId="77777777" w:rsidR="0076589E" w:rsidRPr="0076589E" w:rsidRDefault="0076589E" w:rsidP="0076589E">
      <w:pPr>
        <w:rPr>
          <w:rFonts w:asciiTheme="minorHAnsi" w:hAnsiTheme="minorHAnsi" w:cstheme="minorHAnsi"/>
          <w:i/>
          <w:iCs/>
        </w:rPr>
      </w:pPr>
      <w:r w:rsidRPr="0076589E">
        <w:rPr>
          <w:rFonts w:asciiTheme="minorHAnsi" w:hAnsiTheme="minorHAnsi" w:cstheme="minorHAnsi"/>
          <w:i/>
          <w:iCs/>
        </w:rPr>
        <w:t xml:space="preserve">If all patients received the guideline-directed maximal treatment, it would reduce DKD at a large financial cost to the patient and healthcare system. </w:t>
      </w:r>
      <w:proofErr w:type="spellStart"/>
      <w:r w:rsidRPr="0076589E">
        <w:rPr>
          <w:rFonts w:asciiTheme="minorHAnsi" w:hAnsiTheme="minorHAnsi" w:cstheme="minorHAnsi"/>
          <w:i/>
          <w:iCs/>
        </w:rPr>
        <w:t>PromarkerD</w:t>
      </w:r>
      <w:proofErr w:type="spellEnd"/>
      <w:r w:rsidRPr="0076589E">
        <w:rPr>
          <w:rFonts w:asciiTheme="minorHAnsi" w:hAnsiTheme="minorHAnsi" w:cstheme="minorHAnsi"/>
          <w:i/>
          <w:iCs/>
        </w:rPr>
        <w:t xml:space="preserve"> could help stratify those patients who would benefit from this intensified regime the most – the high-risk patients.</w:t>
      </w:r>
    </w:p>
    <w:p w14:paraId="3A63A79B" w14:textId="58121F5F" w:rsidR="00A95492" w:rsidRPr="00A95492" w:rsidRDefault="00A95492" w:rsidP="00A95492">
      <w:pPr>
        <w:rPr>
          <w:bCs/>
          <w:i/>
          <w:iCs/>
          <w:szCs w:val="24"/>
        </w:rPr>
      </w:pPr>
      <w:proofErr w:type="spellStart"/>
      <w:r w:rsidRPr="00A95492">
        <w:rPr>
          <w:i/>
          <w:iCs/>
        </w:rPr>
        <w:t>PromarkerD</w:t>
      </w:r>
      <w:proofErr w:type="spellEnd"/>
      <w:r w:rsidRPr="00A95492">
        <w:rPr>
          <w:i/>
          <w:iCs/>
        </w:rPr>
        <w:t xml:space="preserve"> would not change standard management of people with low-risk scores, but would provide an accurate ‘rule-out’ capability for these individuals where more aggressive management could be rationalised, limiting adverse effects and costs, and improving adherence.</w:t>
      </w:r>
    </w:p>
    <w:p w14:paraId="5413D8F8" w14:textId="04186028" w:rsidR="00A95492" w:rsidRPr="00A95492" w:rsidRDefault="00A95492" w:rsidP="00A95492">
      <w:pPr>
        <w:rPr>
          <w:b/>
          <w:i/>
          <w:iCs/>
          <w:szCs w:val="24"/>
        </w:rPr>
      </w:pPr>
      <w:r>
        <w:rPr>
          <w:b/>
          <w:i/>
          <w:iCs/>
          <w:szCs w:val="24"/>
        </w:rPr>
        <w:t>Next steps</w:t>
      </w:r>
    </w:p>
    <w:p w14:paraId="6D1C7590" w14:textId="69711590" w:rsidR="00A95492" w:rsidRPr="00A95492" w:rsidRDefault="00A95492" w:rsidP="00A95492">
      <w:pPr>
        <w:rPr>
          <w:i/>
          <w:iCs/>
        </w:rPr>
      </w:pPr>
      <w:r w:rsidRPr="00A95492">
        <w:rPr>
          <w:i/>
          <w:iCs/>
        </w:rPr>
        <w:t>The applicant thanks the PASC, and the RCPA and ESA, for their time in providing valuable feedback and the assessment report will address the comments in the ratified PICO as previously stated. The applicant would like to clarify three particular issues at this stage</w:t>
      </w:r>
      <w:r>
        <w:rPr>
          <w:i/>
          <w:iCs/>
        </w:rPr>
        <w:t>.</w:t>
      </w:r>
    </w:p>
    <w:p w14:paraId="77D6FFB5" w14:textId="2D022FAA" w:rsidR="00A95492" w:rsidRPr="00A95492" w:rsidRDefault="00A95492" w:rsidP="00A95492">
      <w:pPr>
        <w:pStyle w:val="ListParagraph"/>
        <w:numPr>
          <w:ilvl w:val="0"/>
          <w:numId w:val="16"/>
        </w:numPr>
        <w:spacing w:after="0"/>
        <w:rPr>
          <w:rFonts w:asciiTheme="minorHAnsi" w:hAnsiTheme="minorHAnsi" w:cstheme="minorHAnsi"/>
          <w:i/>
          <w:iCs/>
        </w:rPr>
      </w:pPr>
      <w:r w:rsidRPr="00A95492">
        <w:rPr>
          <w:rFonts w:asciiTheme="minorHAnsi" w:hAnsiTheme="minorHAnsi" w:cstheme="minorHAnsi"/>
          <w:i/>
          <w:iCs/>
          <w:u w:val="single"/>
        </w:rPr>
        <w:t>The clinical utility of the three biomarkers, along with others (HDL, etc.), chosen to calculate the risk of developing kidney disease in diabetic patients</w:t>
      </w:r>
      <w:r w:rsidR="00C74265">
        <w:rPr>
          <w:rFonts w:asciiTheme="minorHAnsi" w:hAnsiTheme="minorHAnsi" w:cstheme="minorHAnsi"/>
          <w:i/>
          <w:iCs/>
        </w:rPr>
        <w:br/>
      </w:r>
      <w:r w:rsidRPr="00A95492">
        <w:rPr>
          <w:rFonts w:asciiTheme="minorHAnsi" w:hAnsiTheme="minorHAnsi" w:cstheme="minorHAnsi"/>
          <w:i/>
          <w:iCs/>
        </w:rPr>
        <w:t xml:space="preserve">The utility of clinical markers used for </w:t>
      </w:r>
      <w:proofErr w:type="spellStart"/>
      <w:r w:rsidRPr="00A95492">
        <w:rPr>
          <w:rFonts w:asciiTheme="minorHAnsi" w:hAnsiTheme="minorHAnsi" w:cstheme="minorHAnsi"/>
          <w:i/>
          <w:iCs/>
        </w:rPr>
        <w:t>PromarkerD</w:t>
      </w:r>
      <w:proofErr w:type="spellEnd"/>
      <w:r w:rsidRPr="00A95492">
        <w:rPr>
          <w:rFonts w:asciiTheme="minorHAnsi" w:hAnsiTheme="minorHAnsi" w:cstheme="minorHAnsi"/>
          <w:i/>
          <w:iCs/>
        </w:rPr>
        <w:t xml:space="preserve"> (age, HDL, eGFR) in assessing risk of DKD are all common practice and well validated. The utility of the biomarkers is described in detail in the Intervention section under ‘Selection of </w:t>
      </w:r>
      <w:proofErr w:type="gramStart"/>
      <w:r w:rsidRPr="00A95492">
        <w:rPr>
          <w:rFonts w:asciiTheme="minorHAnsi" w:hAnsiTheme="minorHAnsi" w:cstheme="minorHAnsi"/>
          <w:i/>
          <w:iCs/>
        </w:rPr>
        <w:t>biomarkers’</w:t>
      </w:r>
      <w:proofErr w:type="gramEnd"/>
      <w:r w:rsidRPr="00A95492">
        <w:rPr>
          <w:rFonts w:asciiTheme="minorHAnsi" w:hAnsiTheme="minorHAnsi" w:cstheme="minorHAnsi"/>
          <w:i/>
          <w:iCs/>
        </w:rPr>
        <w:t>.</w:t>
      </w:r>
    </w:p>
    <w:p w14:paraId="0E1CC043" w14:textId="6FD23BEA" w:rsidR="00A95492" w:rsidRPr="00A95492" w:rsidRDefault="00A95492" w:rsidP="00A95492">
      <w:pPr>
        <w:pStyle w:val="ListParagraph"/>
        <w:numPr>
          <w:ilvl w:val="0"/>
          <w:numId w:val="16"/>
        </w:numPr>
        <w:spacing w:after="0"/>
        <w:rPr>
          <w:rFonts w:asciiTheme="minorHAnsi" w:hAnsiTheme="minorHAnsi" w:cstheme="minorHAnsi"/>
          <w:i/>
          <w:iCs/>
        </w:rPr>
      </w:pPr>
      <w:r w:rsidRPr="00A95492">
        <w:rPr>
          <w:rFonts w:asciiTheme="minorHAnsi" w:hAnsiTheme="minorHAnsi" w:cstheme="minorHAnsi"/>
          <w:i/>
          <w:iCs/>
          <w:u w:val="single"/>
        </w:rPr>
        <w:t>Comparison with other biomarkers</w:t>
      </w:r>
      <w:r w:rsidR="00C74265">
        <w:rPr>
          <w:rFonts w:asciiTheme="minorHAnsi" w:hAnsiTheme="minorHAnsi" w:cstheme="minorHAnsi"/>
          <w:i/>
          <w:iCs/>
          <w:u w:val="single"/>
        </w:rPr>
        <w:br/>
      </w:r>
      <w:r w:rsidRPr="00A95492">
        <w:rPr>
          <w:rFonts w:asciiTheme="minorHAnsi" w:hAnsiTheme="minorHAnsi" w:cstheme="minorHAnsi"/>
          <w:i/>
          <w:iCs/>
        </w:rPr>
        <w:t xml:space="preserve">The assessment report will contain a comparison to other biomarkers proposed for prognostic tests. In particular, a comparison with </w:t>
      </w:r>
      <w:proofErr w:type="spellStart"/>
      <w:r w:rsidRPr="00A95492">
        <w:rPr>
          <w:rFonts w:asciiTheme="minorHAnsi" w:hAnsiTheme="minorHAnsi" w:cstheme="minorHAnsi"/>
          <w:i/>
          <w:iCs/>
        </w:rPr>
        <w:t>KidneyIntelX</w:t>
      </w:r>
      <w:proofErr w:type="spellEnd"/>
      <w:r w:rsidRPr="00A95492">
        <w:rPr>
          <w:rFonts w:asciiTheme="minorHAnsi" w:hAnsiTheme="minorHAnsi" w:cstheme="minorHAnsi"/>
          <w:i/>
          <w:iCs/>
        </w:rPr>
        <w:t xml:space="preserve"> can be provided. </w:t>
      </w:r>
      <w:proofErr w:type="spellStart"/>
      <w:r w:rsidRPr="00A95492">
        <w:rPr>
          <w:rFonts w:asciiTheme="minorHAnsi" w:hAnsiTheme="minorHAnsi" w:cstheme="minorHAnsi"/>
          <w:i/>
          <w:iCs/>
        </w:rPr>
        <w:t>KidneyIntelX</w:t>
      </w:r>
      <w:proofErr w:type="spellEnd"/>
      <w:r w:rsidRPr="00A95492">
        <w:rPr>
          <w:rFonts w:asciiTheme="minorHAnsi" w:hAnsiTheme="minorHAnsi" w:cstheme="minorHAnsi"/>
          <w:i/>
          <w:iCs/>
        </w:rPr>
        <w:t xml:space="preserve"> is currently only available in the United States. </w:t>
      </w:r>
      <w:r w:rsidRPr="00A95492">
        <w:rPr>
          <w:rFonts w:asciiTheme="minorHAnsi" w:eastAsia="Arial" w:hAnsiTheme="minorHAnsi" w:cstheme="minorHAnsi"/>
          <w:i/>
          <w:iCs/>
        </w:rPr>
        <w:t>A</w:t>
      </w:r>
      <w:r w:rsidRPr="00A95492">
        <w:rPr>
          <w:rFonts w:asciiTheme="minorHAnsi" w:hAnsiTheme="minorHAnsi" w:cstheme="minorHAnsi"/>
          <w:i/>
          <w:iCs/>
          <w:shd w:val="clear" w:color="auto" w:fill="FFFFFF"/>
        </w:rPr>
        <w:t xml:space="preserve"> large number of promising </w:t>
      </w:r>
      <w:r w:rsidRPr="00A95492">
        <w:rPr>
          <w:rFonts w:asciiTheme="minorHAnsi" w:eastAsia="Arial" w:hAnsiTheme="minorHAnsi" w:cstheme="minorHAnsi"/>
          <w:i/>
          <w:iCs/>
        </w:rPr>
        <w:t>urinary and plasma biomarkers</w:t>
      </w:r>
      <w:r w:rsidRPr="00A95492">
        <w:rPr>
          <w:rFonts w:asciiTheme="minorHAnsi" w:hAnsiTheme="minorHAnsi" w:cstheme="minorHAnsi"/>
          <w:i/>
          <w:iCs/>
          <w:shd w:val="clear" w:color="auto" w:fill="FFFFFF"/>
        </w:rPr>
        <w:t xml:space="preserve"> have been assessed in the context of CKD [1-7], but large-scale longitudinal validation is required to validate their value over and above that of known clinical risk factors.</w:t>
      </w:r>
      <w:r w:rsidRPr="00A95492">
        <w:rPr>
          <w:rFonts w:asciiTheme="minorHAnsi" w:eastAsia="Arial" w:hAnsiTheme="minorHAnsi" w:cstheme="minorHAnsi"/>
          <w:i/>
          <w:iCs/>
        </w:rPr>
        <w:t xml:space="preserve"> Most of these studies have been limited by small sample sizes, exclusion of patients without albuminuria and/or CKD, and/or inclusion of patients who are not representative of type 2 diabetes in the community such as those participating in clinical trials or who have been selected from hospital outpatient clinics. </w:t>
      </w:r>
      <w:r w:rsidRPr="00A95492">
        <w:rPr>
          <w:rFonts w:asciiTheme="minorHAnsi" w:hAnsiTheme="minorHAnsi" w:cstheme="minorHAnsi"/>
          <w:i/>
          <w:iCs/>
        </w:rPr>
        <w:t xml:space="preserve">All other biomarkers are still in the evaluation stage, and none have progressed to the viability of those in the </w:t>
      </w:r>
      <w:proofErr w:type="spellStart"/>
      <w:r w:rsidRPr="00A95492">
        <w:rPr>
          <w:rFonts w:asciiTheme="minorHAnsi" w:hAnsiTheme="minorHAnsi" w:cstheme="minorHAnsi"/>
          <w:i/>
          <w:iCs/>
        </w:rPr>
        <w:t>PromarkerD</w:t>
      </w:r>
      <w:proofErr w:type="spellEnd"/>
      <w:r w:rsidRPr="00A95492">
        <w:rPr>
          <w:rFonts w:asciiTheme="minorHAnsi" w:hAnsiTheme="minorHAnsi" w:cstheme="minorHAnsi"/>
          <w:i/>
          <w:iCs/>
        </w:rPr>
        <w:t xml:space="preserve"> test. </w:t>
      </w:r>
    </w:p>
    <w:p w14:paraId="623F7C0B" w14:textId="3ADD4786" w:rsidR="00A95492" w:rsidRPr="00A95492" w:rsidRDefault="00A95492" w:rsidP="00A95492">
      <w:pPr>
        <w:pStyle w:val="ListParagraph"/>
        <w:numPr>
          <w:ilvl w:val="0"/>
          <w:numId w:val="16"/>
        </w:numPr>
        <w:spacing w:after="0"/>
        <w:rPr>
          <w:rFonts w:asciiTheme="minorHAnsi" w:hAnsiTheme="minorHAnsi" w:cstheme="minorHAnsi"/>
          <w:i/>
          <w:iCs/>
        </w:rPr>
      </w:pPr>
      <w:r w:rsidRPr="00A95492">
        <w:rPr>
          <w:rFonts w:asciiTheme="minorHAnsi" w:hAnsiTheme="minorHAnsi" w:cstheme="minorHAnsi"/>
          <w:i/>
          <w:iCs/>
          <w:u w:val="single"/>
        </w:rPr>
        <w:t>Lack of independent validation</w:t>
      </w:r>
      <w:r w:rsidR="00C74265">
        <w:rPr>
          <w:rFonts w:asciiTheme="minorHAnsi" w:hAnsiTheme="minorHAnsi" w:cstheme="minorHAnsi"/>
          <w:i/>
          <w:iCs/>
          <w:u w:val="single"/>
        </w:rPr>
        <w:br/>
      </w:r>
      <w:r w:rsidRPr="00A95492">
        <w:rPr>
          <w:rFonts w:asciiTheme="minorHAnsi" w:hAnsiTheme="minorHAnsi" w:cstheme="minorHAnsi"/>
          <w:i/>
          <w:iCs/>
        </w:rPr>
        <w:t xml:space="preserve">The publications which have been used and will be used in this process to support </w:t>
      </w:r>
      <w:proofErr w:type="spellStart"/>
      <w:r w:rsidRPr="00A95492">
        <w:rPr>
          <w:rFonts w:asciiTheme="minorHAnsi" w:hAnsiTheme="minorHAnsi" w:cstheme="minorHAnsi"/>
          <w:i/>
          <w:iCs/>
        </w:rPr>
        <w:t>PromarkerD</w:t>
      </w:r>
      <w:proofErr w:type="spellEnd"/>
      <w:r w:rsidRPr="00A95492">
        <w:rPr>
          <w:rFonts w:asciiTheme="minorHAnsi" w:hAnsiTheme="minorHAnsi" w:cstheme="minorHAnsi"/>
          <w:i/>
          <w:iCs/>
        </w:rPr>
        <w:t xml:space="preserve"> are peer-reviewed. In the cases where new analysis is conducted, all data will be provided in the assessment report, and we ask that the data be evaluated on its merit.</w:t>
      </w:r>
    </w:p>
    <w:p w14:paraId="388694FB" w14:textId="77777777" w:rsidR="00A95492" w:rsidRDefault="00A95492" w:rsidP="00A95492">
      <w:pPr>
        <w:spacing w:after="0"/>
        <w:rPr>
          <w:rFonts w:asciiTheme="minorHAnsi" w:hAnsiTheme="minorHAnsi" w:cstheme="minorHAnsi"/>
        </w:rPr>
      </w:pPr>
    </w:p>
    <w:p w14:paraId="1E0E2047" w14:textId="77777777" w:rsidR="00A95492" w:rsidRDefault="00A95492" w:rsidP="00A95492">
      <w:pPr>
        <w:pStyle w:val="EndNoteBibliography"/>
        <w:spacing w:before="0" w:after="0"/>
        <w:rPr>
          <w:sz w:val="18"/>
          <w:szCs w:val="18"/>
        </w:rPr>
      </w:pPr>
      <w:r>
        <w:rPr>
          <w:sz w:val="18"/>
          <w:szCs w:val="18"/>
        </w:rPr>
        <w:lastRenderedPageBreak/>
        <w:t>[1] Lin CH, Chang YC, Chuang LM. Early detection of diabetic kidney disease: Present limitations and future perspectives. World J Diabetes 2016;7:290-301</w:t>
      </w:r>
    </w:p>
    <w:p w14:paraId="1EF8F506" w14:textId="77777777" w:rsidR="00A95492" w:rsidRDefault="00A95492" w:rsidP="00A95492">
      <w:pPr>
        <w:pStyle w:val="EndNoteBibliography"/>
        <w:spacing w:before="0" w:after="0"/>
        <w:rPr>
          <w:sz w:val="18"/>
          <w:szCs w:val="18"/>
        </w:rPr>
      </w:pPr>
      <w:r>
        <w:rPr>
          <w:sz w:val="18"/>
          <w:szCs w:val="18"/>
        </w:rPr>
        <w:t>[2] Bjornstad P, Cherney DZ, Maahs DM, et al. Diabetic Kidney Disease in Adolescents With Type 2 Diabetes: New Insights and Potential Therapies. Curr Diab Rep 2016;16:11</w:t>
      </w:r>
    </w:p>
    <w:p w14:paraId="4FDCA79E" w14:textId="77777777" w:rsidR="00A95492" w:rsidRDefault="00A95492" w:rsidP="00A95492">
      <w:pPr>
        <w:pStyle w:val="EndNoteBibliography"/>
        <w:spacing w:before="0" w:after="0"/>
        <w:rPr>
          <w:sz w:val="18"/>
          <w:szCs w:val="18"/>
        </w:rPr>
      </w:pPr>
      <w:r>
        <w:rPr>
          <w:sz w:val="18"/>
          <w:szCs w:val="18"/>
        </w:rPr>
        <w:t>[3] Looker HC, Colombo M, Hess S, et al. Biomarkers of rapid chronic kidney disease progression in type 2 diabetes. Kidney Int 2015;88:888-896</w:t>
      </w:r>
    </w:p>
    <w:p w14:paraId="5F173A54" w14:textId="77777777" w:rsidR="00A95492" w:rsidRDefault="00A95492" w:rsidP="00A95492">
      <w:pPr>
        <w:pStyle w:val="EndNoteBibliography"/>
        <w:spacing w:before="0" w:after="0"/>
        <w:rPr>
          <w:sz w:val="18"/>
          <w:szCs w:val="18"/>
        </w:rPr>
      </w:pPr>
      <w:r>
        <w:rPr>
          <w:sz w:val="18"/>
          <w:szCs w:val="18"/>
        </w:rPr>
        <w:t>[4] Niewczas MA, Gohda T, Skupien J, et al. Circulating TNF receptors 1 and 2 predict ESRD in type 2 diabetes. J Am Soc Nephrol 2012;23:507-515</w:t>
      </w:r>
    </w:p>
    <w:p w14:paraId="192591DE" w14:textId="77777777" w:rsidR="00A95492" w:rsidRDefault="00A95492" w:rsidP="00A95492">
      <w:pPr>
        <w:pStyle w:val="EndNoteBibliography"/>
        <w:spacing w:before="0" w:after="0"/>
        <w:rPr>
          <w:sz w:val="18"/>
          <w:szCs w:val="18"/>
        </w:rPr>
      </w:pPr>
      <w:r>
        <w:rPr>
          <w:sz w:val="18"/>
          <w:szCs w:val="18"/>
        </w:rPr>
        <w:t>[5] Pena MJ, Lambers Heerspink HJ, Hellemons ME, et al. Urine and plasma metabolites predict the development of diabetic nephropathy in individuals with Type 2 diabetes mellitus. Diabet Med 2014;31:1138-1147</w:t>
      </w:r>
    </w:p>
    <w:p w14:paraId="5159B3F6" w14:textId="77777777" w:rsidR="00A95492" w:rsidRDefault="00A95492" w:rsidP="00A95492">
      <w:pPr>
        <w:pStyle w:val="EndNoteBibliography"/>
        <w:spacing w:before="0" w:after="0"/>
        <w:rPr>
          <w:sz w:val="18"/>
          <w:szCs w:val="18"/>
        </w:rPr>
      </w:pPr>
      <w:r>
        <w:rPr>
          <w:sz w:val="18"/>
          <w:szCs w:val="18"/>
        </w:rPr>
        <w:t>[6] Agarwal R, Duffin KL, Laska DA, et al. A prospective study of multiple protein biomarkers to predict progression in diabetic chronic kidney disease. Nephrol Dial Transplant 2014;29:2293-2302</w:t>
      </w:r>
    </w:p>
    <w:p w14:paraId="6DE091A3" w14:textId="32551FA3" w:rsidR="00A95492" w:rsidRDefault="00A95492" w:rsidP="00A95492">
      <w:pPr>
        <w:rPr>
          <w:bCs/>
          <w:i/>
          <w:iCs/>
          <w:szCs w:val="24"/>
        </w:rPr>
      </w:pPr>
      <w:r>
        <w:rPr>
          <w:sz w:val="18"/>
          <w:szCs w:val="18"/>
        </w:rPr>
        <w:t xml:space="preserve">[7] Saulnier PJ, </w:t>
      </w:r>
      <w:proofErr w:type="spellStart"/>
      <w:r>
        <w:rPr>
          <w:sz w:val="18"/>
          <w:szCs w:val="18"/>
        </w:rPr>
        <w:t>Gand</w:t>
      </w:r>
      <w:proofErr w:type="spellEnd"/>
      <w:r>
        <w:rPr>
          <w:sz w:val="18"/>
          <w:szCs w:val="18"/>
        </w:rPr>
        <w:t xml:space="preserve"> E, Velho G, et al. Association of Circulating Biomarkers (Adrenomedullin, TNFR1, and NT-proBNP) With Renal Function Decline in Patients With Type 2 Diabetes: A French Prospective Cohort. Diabetes Care 2017;40:367-374</w:t>
      </w:r>
    </w:p>
    <w:p w14:paraId="14C690D0" w14:textId="06AB8064" w:rsidR="0076147D" w:rsidRPr="00A95492" w:rsidRDefault="0076147D" w:rsidP="00A95492">
      <w:pPr>
        <w:rPr>
          <w:bCs/>
          <w:i/>
          <w:iCs/>
          <w:szCs w:val="24"/>
        </w:rPr>
      </w:pPr>
      <w:r w:rsidRPr="00A95492">
        <w:rPr>
          <w:bCs/>
          <w:i/>
          <w:iCs/>
          <w:szCs w:val="24"/>
        </w:rPr>
        <w:br w:type="page"/>
      </w:r>
    </w:p>
    <w:p w14:paraId="73A2A9C9" w14:textId="350B7CFC" w:rsidR="006478E7" w:rsidRPr="0034420E" w:rsidRDefault="00A33126" w:rsidP="00713728">
      <w:pPr>
        <w:pStyle w:val="Heading2"/>
      </w:pPr>
      <w:r w:rsidRPr="0034420E">
        <w:lastRenderedPageBreak/>
        <w:t>References</w:t>
      </w:r>
    </w:p>
    <w:p w14:paraId="61C59D5E" w14:textId="4C6D1614" w:rsidR="00642BB9" w:rsidRPr="0034420E" w:rsidRDefault="00642BB9" w:rsidP="001A0D9A">
      <w:pPr>
        <w:spacing w:line="240" w:lineRule="auto"/>
        <w:rPr>
          <w:rStyle w:val="Hyperlink"/>
          <w:sz w:val="20"/>
          <w:szCs w:val="20"/>
        </w:rPr>
      </w:pPr>
      <w:r w:rsidRPr="0034420E">
        <w:rPr>
          <w:sz w:val="20"/>
          <w:szCs w:val="20"/>
        </w:rPr>
        <w:t xml:space="preserve">AIHW. 2020a. 'Chronic Kidney Disease', Australian Institute of Health and Welfare Accessed October 2021. </w:t>
      </w:r>
      <w:hyperlink r:id="rId19" w:history="1">
        <w:r w:rsidRPr="0034420E">
          <w:rPr>
            <w:rStyle w:val="Hyperlink"/>
            <w:sz w:val="20"/>
            <w:szCs w:val="20"/>
          </w:rPr>
          <w:t>https://www.aihw.gov.au/reports/chronic-kidney-disease/chronic-kidney-disease/contents/what-is-chronic-kidney-disease</w:t>
        </w:r>
      </w:hyperlink>
      <w:r w:rsidRPr="0034420E">
        <w:rPr>
          <w:rStyle w:val="Hyperlink"/>
          <w:sz w:val="20"/>
          <w:szCs w:val="20"/>
        </w:rPr>
        <w:t>.</w:t>
      </w:r>
    </w:p>
    <w:p w14:paraId="70A4E5CD" w14:textId="0FF4DBC1" w:rsidR="00642BB9" w:rsidRPr="0034420E" w:rsidRDefault="00642BB9" w:rsidP="001A0D9A">
      <w:pPr>
        <w:spacing w:line="240" w:lineRule="auto"/>
        <w:rPr>
          <w:sz w:val="20"/>
          <w:szCs w:val="20"/>
        </w:rPr>
      </w:pPr>
      <w:r w:rsidRPr="0034420E">
        <w:rPr>
          <w:sz w:val="20"/>
          <w:szCs w:val="20"/>
        </w:rPr>
        <w:t>Australian Bureau of Statistics (ABS) 2017–18 National Health Survey. Available at:</w:t>
      </w:r>
      <w:r w:rsidRPr="0034420E">
        <w:t xml:space="preserve"> </w:t>
      </w:r>
      <w:hyperlink r:id="rId20" w:anchor="chronic-conditions" w:history="1">
        <w:r w:rsidRPr="0034420E">
          <w:rPr>
            <w:rStyle w:val="Hyperlink"/>
            <w:sz w:val="20"/>
            <w:szCs w:val="20"/>
          </w:rPr>
          <w:t>National Health Survey: First results, 2017-18 financial year | Australian Bureau of Statistics (abs.gov.au)</w:t>
        </w:r>
      </w:hyperlink>
    </w:p>
    <w:p w14:paraId="57E593A5" w14:textId="1161D1AF" w:rsidR="004A4383" w:rsidRPr="0034420E" w:rsidRDefault="004A4383" w:rsidP="001A0D9A">
      <w:pPr>
        <w:spacing w:line="240" w:lineRule="auto"/>
        <w:rPr>
          <w:sz w:val="20"/>
          <w:szCs w:val="20"/>
        </w:rPr>
      </w:pPr>
      <w:r w:rsidRPr="0034420E">
        <w:rPr>
          <w:sz w:val="20"/>
          <w:szCs w:val="20"/>
        </w:rPr>
        <w:t>Bri</w:t>
      </w:r>
      <w:r w:rsidR="002721B5" w:rsidRPr="0034420E">
        <w:rPr>
          <w:sz w:val="20"/>
          <w:szCs w:val="20"/>
        </w:rPr>
        <w:t>n</w:t>
      </w:r>
      <w:r w:rsidRPr="0034420E">
        <w:rPr>
          <w:sz w:val="20"/>
          <w:szCs w:val="20"/>
        </w:rPr>
        <w:t>gans S. D.,</w:t>
      </w:r>
      <w:r w:rsidR="00F8347D" w:rsidRPr="0034420E">
        <w:rPr>
          <w:sz w:val="20"/>
          <w:szCs w:val="20"/>
        </w:rPr>
        <w:t xml:space="preserve"> Ito J., Stoll T.,</w:t>
      </w:r>
      <w:r w:rsidRPr="0034420E">
        <w:rPr>
          <w:sz w:val="20"/>
          <w:szCs w:val="20"/>
        </w:rPr>
        <w:t xml:space="preserve"> et al. Comprehensive mass spectrometry-based biomarker discovery and validation platform as applied to diabetic kidney disease. </w:t>
      </w:r>
      <w:r w:rsidRPr="0034420E">
        <w:rPr>
          <w:i/>
          <w:iCs/>
          <w:sz w:val="20"/>
          <w:szCs w:val="20"/>
        </w:rPr>
        <w:t>EuPA Open Proteomics</w:t>
      </w:r>
      <w:r w:rsidRPr="0034420E">
        <w:rPr>
          <w:sz w:val="20"/>
          <w:szCs w:val="20"/>
        </w:rPr>
        <w:t>. 2017</w:t>
      </w:r>
      <w:r w:rsidR="00334ECE" w:rsidRPr="0034420E">
        <w:rPr>
          <w:sz w:val="20"/>
          <w:szCs w:val="20"/>
        </w:rPr>
        <w:t>;14;1-10.</w:t>
      </w:r>
    </w:p>
    <w:p w14:paraId="549C3591" w14:textId="0A75622B" w:rsidR="004A4383" w:rsidRPr="0034420E" w:rsidRDefault="004A4383" w:rsidP="001A0D9A">
      <w:pPr>
        <w:spacing w:line="240" w:lineRule="auto"/>
        <w:rPr>
          <w:sz w:val="20"/>
          <w:szCs w:val="20"/>
        </w:rPr>
      </w:pPr>
      <w:r w:rsidRPr="0034420E">
        <w:rPr>
          <w:sz w:val="20"/>
          <w:szCs w:val="20"/>
        </w:rPr>
        <w:t>Bri</w:t>
      </w:r>
      <w:r w:rsidR="002721B5" w:rsidRPr="0034420E">
        <w:rPr>
          <w:sz w:val="20"/>
          <w:szCs w:val="20"/>
        </w:rPr>
        <w:t>n</w:t>
      </w:r>
      <w:r w:rsidRPr="0034420E">
        <w:rPr>
          <w:sz w:val="20"/>
          <w:szCs w:val="20"/>
        </w:rPr>
        <w:t>gans</w:t>
      </w:r>
      <w:r w:rsidR="00002DF7" w:rsidRPr="0034420E">
        <w:rPr>
          <w:sz w:val="20"/>
          <w:szCs w:val="20"/>
        </w:rPr>
        <w:t>, S.</w:t>
      </w:r>
      <w:r w:rsidR="00BE4776" w:rsidRPr="0034420E">
        <w:rPr>
          <w:sz w:val="20"/>
          <w:szCs w:val="20"/>
        </w:rPr>
        <w:t>,</w:t>
      </w:r>
      <w:r w:rsidR="00641877" w:rsidRPr="0034420E">
        <w:rPr>
          <w:sz w:val="20"/>
          <w:szCs w:val="20"/>
        </w:rPr>
        <w:t xml:space="preserve"> Ito J., Casey T.,</w:t>
      </w:r>
      <w:r w:rsidR="00BE4776" w:rsidRPr="0034420E">
        <w:rPr>
          <w:sz w:val="20"/>
          <w:szCs w:val="20"/>
        </w:rPr>
        <w:t xml:space="preserve"> et al.</w:t>
      </w:r>
      <w:r w:rsidR="00002DF7" w:rsidRPr="0034420E">
        <w:rPr>
          <w:sz w:val="20"/>
          <w:szCs w:val="20"/>
        </w:rPr>
        <w:t xml:space="preserve"> A robust multiplex immunoaffinity mass spectrometry assay (PromarkerD) for clinical prediction of diabetic kidney disease</w:t>
      </w:r>
      <w:r w:rsidR="00002DF7" w:rsidRPr="0034420E">
        <w:rPr>
          <w:i/>
          <w:iCs/>
          <w:sz w:val="20"/>
          <w:szCs w:val="20"/>
        </w:rPr>
        <w:t>. Clinical Proteomics.</w:t>
      </w:r>
      <w:r w:rsidR="00002DF7" w:rsidRPr="0034420E">
        <w:rPr>
          <w:sz w:val="20"/>
          <w:szCs w:val="20"/>
        </w:rPr>
        <w:t xml:space="preserve"> 2020. 17;37.</w:t>
      </w:r>
    </w:p>
    <w:p w14:paraId="7029F8F6" w14:textId="1A44FCAA" w:rsidR="004A4383" w:rsidRPr="0034420E" w:rsidRDefault="004A4383" w:rsidP="001A0D9A">
      <w:pPr>
        <w:spacing w:line="240" w:lineRule="auto"/>
        <w:rPr>
          <w:sz w:val="20"/>
          <w:szCs w:val="20"/>
        </w:rPr>
      </w:pPr>
      <w:r w:rsidRPr="0034420E">
        <w:rPr>
          <w:sz w:val="20"/>
          <w:szCs w:val="20"/>
        </w:rPr>
        <w:t>Bri</w:t>
      </w:r>
      <w:r w:rsidR="002721B5" w:rsidRPr="0034420E">
        <w:rPr>
          <w:sz w:val="20"/>
          <w:szCs w:val="20"/>
        </w:rPr>
        <w:t>n</w:t>
      </w:r>
      <w:r w:rsidRPr="0034420E">
        <w:rPr>
          <w:sz w:val="20"/>
          <w:szCs w:val="20"/>
        </w:rPr>
        <w:t>gans</w:t>
      </w:r>
      <w:r w:rsidR="00BE4776" w:rsidRPr="0034420E">
        <w:rPr>
          <w:sz w:val="20"/>
          <w:szCs w:val="20"/>
        </w:rPr>
        <w:t xml:space="preserve"> S., </w:t>
      </w:r>
      <w:r w:rsidR="00641877" w:rsidRPr="0034420E">
        <w:rPr>
          <w:sz w:val="20"/>
          <w:szCs w:val="20"/>
        </w:rPr>
        <w:t>Peters K</w:t>
      </w:r>
      <w:r w:rsidR="00BF2D4A" w:rsidRPr="0034420E">
        <w:rPr>
          <w:sz w:val="20"/>
          <w:szCs w:val="20"/>
        </w:rPr>
        <w:t>.</w:t>
      </w:r>
      <w:r w:rsidR="00641877" w:rsidRPr="0034420E">
        <w:rPr>
          <w:sz w:val="20"/>
          <w:szCs w:val="20"/>
        </w:rPr>
        <w:t xml:space="preserve">, Casey T., </w:t>
      </w:r>
      <w:r w:rsidR="00BE4776" w:rsidRPr="0034420E">
        <w:rPr>
          <w:sz w:val="20"/>
          <w:szCs w:val="20"/>
        </w:rPr>
        <w:t xml:space="preserve">et al. The New and the Old: Platform Cross-Validation of Immunoaffinity MASS Spectrometry versus ELISA for PromarkerD, a Predictive Test for Diabetic Kidney Disease. </w:t>
      </w:r>
      <w:r w:rsidR="00BE4776" w:rsidRPr="0034420E">
        <w:rPr>
          <w:i/>
          <w:iCs/>
          <w:sz w:val="20"/>
          <w:szCs w:val="20"/>
        </w:rPr>
        <w:t>Proteomes</w:t>
      </w:r>
      <w:r w:rsidR="00BE4776" w:rsidRPr="0034420E">
        <w:rPr>
          <w:sz w:val="20"/>
          <w:szCs w:val="20"/>
        </w:rPr>
        <w:t>. 2020;8(4):31.</w:t>
      </w:r>
    </w:p>
    <w:p w14:paraId="347368FF" w14:textId="18337387" w:rsidR="00BF2D4A" w:rsidRPr="0034420E" w:rsidRDefault="00BF2D4A" w:rsidP="001A0D9A">
      <w:pPr>
        <w:spacing w:line="240" w:lineRule="auto"/>
        <w:rPr>
          <w:sz w:val="20"/>
          <w:szCs w:val="20"/>
        </w:rPr>
      </w:pPr>
      <w:r w:rsidRPr="0034420E">
        <w:rPr>
          <w:sz w:val="20"/>
          <w:szCs w:val="20"/>
        </w:rPr>
        <w:t>Burchenal W.,</w:t>
      </w:r>
      <w:r w:rsidR="00DA1F65" w:rsidRPr="0034420E">
        <w:rPr>
          <w:sz w:val="20"/>
          <w:szCs w:val="20"/>
        </w:rPr>
        <w:t xml:space="preserve"> </w:t>
      </w:r>
      <w:r w:rsidRPr="0034420E">
        <w:rPr>
          <w:sz w:val="20"/>
          <w:szCs w:val="20"/>
        </w:rPr>
        <w:t>Data M.,</w:t>
      </w:r>
      <w:r w:rsidR="00DA1F65" w:rsidRPr="0034420E">
        <w:rPr>
          <w:sz w:val="20"/>
          <w:szCs w:val="20"/>
        </w:rPr>
        <w:t xml:space="preserve"> </w:t>
      </w:r>
      <w:r w:rsidRPr="0034420E">
        <w:rPr>
          <w:sz w:val="20"/>
          <w:szCs w:val="20"/>
        </w:rPr>
        <w:t xml:space="preserve">Peters K. E., et al. Determination of payer budget impact from using an innovative in vitro diagnostic in the management of diabetic kidney disease. ISPOR May 2021 [poster] </w:t>
      </w:r>
      <w:hyperlink r:id="rId21" w:history="1">
        <w:r w:rsidRPr="0034420E">
          <w:rPr>
            <w:rStyle w:val="Hyperlink"/>
            <w:sz w:val="20"/>
            <w:szCs w:val="20"/>
          </w:rPr>
          <w:t>2021-ISPOR-Poster-and-Announcements.pdf (proteomics.com.au)</w:t>
        </w:r>
      </w:hyperlink>
    </w:p>
    <w:p w14:paraId="7CD57E46" w14:textId="639DB69C" w:rsidR="00642BB9" w:rsidRPr="0034420E" w:rsidRDefault="00642BB9" w:rsidP="001A0D9A">
      <w:pPr>
        <w:spacing w:line="240" w:lineRule="auto"/>
        <w:rPr>
          <w:sz w:val="20"/>
          <w:szCs w:val="20"/>
        </w:rPr>
      </w:pPr>
      <w:r w:rsidRPr="0034420E">
        <w:rPr>
          <w:sz w:val="20"/>
          <w:szCs w:val="20"/>
        </w:rPr>
        <w:t>Chadban S, Howell M, Twigg S, et al. National Evidence Based Guideline for Diagnosis, Prevention and Management of Chronic Kidney Disease in Type 2 Diabetes. Diabetes Australia and the NHMRC, Canberra 2009.</w:t>
      </w:r>
    </w:p>
    <w:p w14:paraId="6BF45D0D" w14:textId="47B20447" w:rsidR="005036A9" w:rsidRPr="0034420E" w:rsidRDefault="005036A9" w:rsidP="001A0D9A">
      <w:pPr>
        <w:spacing w:line="240" w:lineRule="auto"/>
        <w:rPr>
          <w:sz w:val="20"/>
          <w:szCs w:val="20"/>
        </w:rPr>
      </w:pPr>
      <w:r w:rsidRPr="0034420E">
        <w:rPr>
          <w:sz w:val="20"/>
          <w:szCs w:val="20"/>
        </w:rPr>
        <w:t xml:space="preserve">Heerspink H. J. L., Stefansson B. V. Correa-Rotter R., et al. Dapagliflozin in patients with chronic kidney disease. </w:t>
      </w:r>
      <w:r w:rsidRPr="0034420E">
        <w:rPr>
          <w:i/>
          <w:iCs/>
          <w:sz w:val="20"/>
          <w:szCs w:val="20"/>
        </w:rPr>
        <w:t>New England Journal of Medicine.</w:t>
      </w:r>
      <w:r w:rsidRPr="0034420E">
        <w:rPr>
          <w:sz w:val="20"/>
          <w:szCs w:val="20"/>
        </w:rPr>
        <w:t xml:space="preserve"> 2020;383:1436-1446.</w:t>
      </w:r>
    </w:p>
    <w:p w14:paraId="32EE08F6" w14:textId="77777777" w:rsidR="00642BB9" w:rsidRPr="0034420E" w:rsidRDefault="00642BB9" w:rsidP="001A0D9A">
      <w:pPr>
        <w:spacing w:line="240" w:lineRule="auto"/>
        <w:rPr>
          <w:sz w:val="20"/>
          <w:szCs w:val="20"/>
        </w:rPr>
      </w:pPr>
      <w:r w:rsidRPr="0034420E">
        <w:rPr>
          <w:sz w:val="20"/>
          <w:szCs w:val="20"/>
        </w:rPr>
        <w:t>Kidney Health Australia. Chronic Kidney Disease (CKD) Management in Primary Care. Guidance and clinical tips to help detect, manage and refer patients in your practice with CKD, 4th Edition 2020.</w:t>
      </w:r>
    </w:p>
    <w:p w14:paraId="0399DBAE" w14:textId="0846716E" w:rsidR="00A14E62" w:rsidRPr="0034420E" w:rsidRDefault="00A14E62" w:rsidP="001A0D9A">
      <w:pPr>
        <w:spacing w:line="240" w:lineRule="auto"/>
        <w:rPr>
          <w:sz w:val="20"/>
          <w:szCs w:val="20"/>
        </w:rPr>
      </w:pPr>
      <w:r w:rsidRPr="0034420E">
        <w:rPr>
          <w:sz w:val="20"/>
          <w:szCs w:val="20"/>
        </w:rPr>
        <w:t xml:space="preserve">Levin </w:t>
      </w:r>
      <w:r w:rsidR="00C33CDD" w:rsidRPr="0034420E">
        <w:rPr>
          <w:sz w:val="20"/>
          <w:szCs w:val="20"/>
        </w:rPr>
        <w:t>A., et al</w:t>
      </w:r>
      <w:r w:rsidRPr="0034420E">
        <w:rPr>
          <w:sz w:val="20"/>
          <w:szCs w:val="20"/>
        </w:rPr>
        <w:t>. Kidney Disease: Improving Global Outcomes (KDIGO) CKD Work Group. KDIGO 2012 clinical practice guideline for the evaluation and management of chronic kidney disease</w:t>
      </w:r>
      <w:r w:rsidR="00C33CDD" w:rsidRPr="0034420E">
        <w:rPr>
          <w:sz w:val="20"/>
          <w:szCs w:val="20"/>
        </w:rPr>
        <w:t>.</w:t>
      </w:r>
      <w:r w:rsidRPr="0034420E">
        <w:rPr>
          <w:sz w:val="20"/>
          <w:szCs w:val="20"/>
        </w:rPr>
        <w:t xml:space="preserve"> </w:t>
      </w:r>
      <w:r w:rsidRPr="0034420E">
        <w:rPr>
          <w:i/>
          <w:iCs/>
          <w:sz w:val="20"/>
          <w:szCs w:val="20"/>
        </w:rPr>
        <w:t>Kidney International Supplement</w:t>
      </w:r>
      <w:r w:rsidR="00C33CDD" w:rsidRPr="0034420E">
        <w:rPr>
          <w:i/>
          <w:iCs/>
          <w:sz w:val="20"/>
          <w:szCs w:val="20"/>
        </w:rPr>
        <w:t>s.</w:t>
      </w:r>
      <w:r w:rsidR="00C33CDD" w:rsidRPr="0034420E">
        <w:rPr>
          <w:sz w:val="20"/>
          <w:szCs w:val="20"/>
        </w:rPr>
        <w:t xml:space="preserve"> 2013;</w:t>
      </w:r>
      <w:r w:rsidRPr="0034420E">
        <w:rPr>
          <w:sz w:val="20"/>
          <w:szCs w:val="20"/>
        </w:rPr>
        <w:t>3:1-150.</w:t>
      </w:r>
    </w:p>
    <w:p w14:paraId="44828E63" w14:textId="08E3AFC1" w:rsidR="00D544F8" w:rsidRPr="0034420E" w:rsidRDefault="00D544F8" w:rsidP="001A0D9A">
      <w:pPr>
        <w:spacing w:line="240" w:lineRule="auto"/>
        <w:rPr>
          <w:sz w:val="20"/>
          <w:szCs w:val="20"/>
        </w:rPr>
      </w:pPr>
      <w:r w:rsidRPr="0034420E">
        <w:rPr>
          <w:sz w:val="20"/>
          <w:szCs w:val="20"/>
        </w:rPr>
        <w:t>Miyazaki T.,</w:t>
      </w:r>
      <w:r w:rsidR="00DA1F65" w:rsidRPr="0034420E">
        <w:rPr>
          <w:sz w:val="20"/>
          <w:szCs w:val="20"/>
        </w:rPr>
        <w:t xml:space="preserve"> </w:t>
      </w:r>
      <w:r w:rsidRPr="0034420E">
        <w:rPr>
          <w:sz w:val="20"/>
          <w:szCs w:val="20"/>
        </w:rPr>
        <w:t xml:space="preserve">Yamazaki T., </w:t>
      </w:r>
      <w:proofErr w:type="spellStart"/>
      <w:r w:rsidRPr="0034420E">
        <w:rPr>
          <w:sz w:val="20"/>
          <w:szCs w:val="20"/>
        </w:rPr>
        <w:t>Sugisawa</w:t>
      </w:r>
      <w:proofErr w:type="spellEnd"/>
      <w:r w:rsidRPr="0034420E">
        <w:rPr>
          <w:sz w:val="20"/>
          <w:szCs w:val="20"/>
        </w:rPr>
        <w:t xml:space="preserve"> R., et al., AIM associated with the IgM pentamer: attackers on stand-by at aircraft carrier. Cellular &amp; molecular immunology, 2018. 15(6): p. 563-574.</w:t>
      </w:r>
    </w:p>
    <w:p w14:paraId="00019A24" w14:textId="074A9101" w:rsidR="00642BB9" w:rsidRPr="0034420E" w:rsidRDefault="00642BB9" w:rsidP="001A0D9A">
      <w:pPr>
        <w:spacing w:line="240" w:lineRule="auto"/>
        <w:rPr>
          <w:sz w:val="20"/>
          <w:szCs w:val="20"/>
        </w:rPr>
      </w:pPr>
      <w:r w:rsidRPr="0034420E">
        <w:rPr>
          <w:sz w:val="20"/>
          <w:szCs w:val="20"/>
        </w:rPr>
        <w:t>National Diabetes Services Scheme. Australian Type 2 Diabetes Glycaemic Management Algorithm. Australian Diabetes Society 2021.</w:t>
      </w:r>
    </w:p>
    <w:p w14:paraId="52A97934" w14:textId="7778E5D2" w:rsidR="00DB7DFD" w:rsidRPr="0034420E" w:rsidRDefault="00DB7DFD" w:rsidP="001A0D9A">
      <w:pPr>
        <w:spacing w:line="240" w:lineRule="auto"/>
        <w:rPr>
          <w:sz w:val="20"/>
          <w:szCs w:val="20"/>
        </w:rPr>
      </w:pPr>
      <w:r w:rsidRPr="0034420E">
        <w:rPr>
          <w:sz w:val="20"/>
          <w:szCs w:val="20"/>
        </w:rPr>
        <w:t>Perkovic V., Jardine M. J., Neal B., et al. Canagliflozin and Renal Outcomes in Type 2 Diabetes and Nephropathy</w:t>
      </w:r>
      <w:r w:rsidR="004C1C73" w:rsidRPr="0034420E">
        <w:rPr>
          <w:sz w:val="20"/>
          <w:szCs w:val="20"/>
        </w:rPr>
        <w:t xml:space="preserve">. </w:t>
      </w:r>
      <w:r w:rsidR="004C1C73" w:rsidRPr="0034420E">
        <w:rPr>
          <w:i/>
          <w:iCs/>
          <w:sz w:val="20"/>
          <w:szCs w:val="20"/>
        </w:rPr>
        <w:t>New England Journal of Medicine.</w:t>
      </w:r>
      <w:r w:rsidR="004C1C73" w:rsidRPr="0034420E">
        <w:rPr>
          <w:sz w:val="20"/>
          <w:szCs w:val="20"/>
        </w:rPr>
        <w:t xml:space="preserve"> 2019; 380:2295-2306.</w:t>
      </w:r>
    </w:p>
    <w:p w14:paraId="157ABDC1" w14:textId="39A7B9F5" w:rsidR="004A4383" w:rsidRPr="0034420E" w:rsidRDefault="004A4383" w:rsidP="001A0D9A">
      <w:pPr>
        <w:spacing w:line="240" w:lineRule="auto"/>
        <w:rPr>
          <w:sz w:val="20"/>
          <w:szCs w:val="20"/>
        </w:rPr>
      </w:pPr>
      <w:r w:rsidRPr="0034420E">
        <w:rPr>
          <w:sz w:val="20"/>
          <w:szCs w:val="20"/>
        </w:rPr>
        <w:t>Peters</w:t>
      </w:r>
      <w:r w:rsidR="00334ECE" w:rsidRPr="0034420E">
        <w:rPr>
          <w:sz w:val="20"/>
          <w:szCs w:val="20"/>
        </w:rPr>
        <w:t xml:space="preserve"> K. E., </w:t>
      </w:r>
      <w:r w:rsidR="00641877" w:rsidRPr="0034420E">
        <w:rPr>
          <w:sz w:val="20"/>
          <w:szCs w:val="20"/>
        </w:rPr>
        <w:t xml:space="preserve">Davis W. A., Ito J., </w:t>
      </w:r>
      <w:r w:rsidR="00334ECE" w:rsidRPr="0034420E">
        <w:rPr>
          <w:sz w:val="20"/>
          <w:szCs w:val="20"/>
        </w:rPr>
        <w:t xml:space="preserve">et al. Identification of Novel Circulating Biomarkers Predicting Rapid Decline in Renal Function in Type 2 Diabetes: The Fremantle Diabetes Study Phase II. </w:t>
      </w:r>
      <w:r w:rsidR="00334ECE" w:rsidRPr="0034420E">
        <w:rPr>
          <w:i/>
          <w:iCs/>
          <w:sz w:val="20"/>
          <w:szCs w:val="20"/>
        </w:rPr>
        <w:t>Diabetes Care</w:t>
      </w:r>
      <w:r w:rsidR="00334ECE" w:rsidRPr="0034420E">
        <w:rPr>
          <w:sz w:val="20"/>
          <w:szCs w:val="20"/>
        </w:rPr>
        <w:t>. 2017;40(11);1548-1555.</w:t>
      </w:r>
    </w:p>
    <w:p w14:paraId="6125E054" w14:textId="74F6969B" w:rsidR="004A4383" w:rsidRPr="0034420E" w:rsidRDefault="004A4383" w:rsidP="001A0D9A">
      <w:pPr>
        <w:spacing w:line="240" w:lineRule="auto"/>
        <w:rPr>
          <w:sz w:val="20"/>
          <w:szCs w:val="20"/>
        </w:rPr>
      </w:pPr>
      <w:r w:rsidRPr="0034420E">
        <w:rPr>
          <w:sz w:val="20"/>
          <w:szCs w:val="20"/>
        </w:rPr>
        <w:t>Peters</w:t>
      </w:r>
      <w:r w:rsidR="00334ECE" w:rsidRPr="0034420E">
        <w:rPr>
          <w:sz w:val="20"/>
          <w:szCs w:val="20"/>
        </w:rPr>
        <w:t xml:space="preserve"> K. E., </w:t>
      </w:r>
      <w:r w:rsidR="00641877" w:rsidRPr="0034420E">
        <w:rPr>
          <w:sz w:val="20"/>
          <w:szCs w:val="20"/>
        </w:rPr>
        <w:t xml:space="preserve">Davis W. A., Ito J., </w:t>
      </w:r>
      <w:r w:rsidR="00334ECE" w:rsidRPr="0034420E">
        <w:rPr>
          <w:sz w:val="20"/>
          <w:szCs w:val="20"/>
        </w:rPr>
        <w:t xml:space="preserve">et al. Validation of a protein biomarker test for predicting renal decline in type 2 diabetes: The Fremantle Diabetes Study Phase II. </w:t>
      </w:r>
      <w:r w:rsidR="00334ECE" w:rsidRPr="0034420E">
        <w:rPr>
          <w:i/>
          <w:iCs/>
          <w:sz w:val="20"/>
          <w:szCs w:val="20"/>
        </w:rPr>
        <w:t>Journal of Diabetes and its Complications</w:t>
      </w:r>
      <w:r w:rsidR="00334ECE" w:rsidRPr="0034420E">
        <w:rPr>
          <w:sz w:val="20"/>
          <w:szCs w:val="20"/>
        </w:rPr>
        <w:t>. 2019;33(12):107406.</w:t>
      </w:r>
    </w:p>
    <w:p w14:paraId="7BE39E9F" w14:textId="6C6B1766" w:rsidR="00B231DF" w:rsidRPr="0034420E" w:rsidRDefault="00B231DF" w:rsidP="001A0D9A">
      <w:pPr>
        <w:spacing w:line="240" w:lineRule="auto"/>
        <w:rPr>
          <w:sz w:val="20"/>
          <w:szCs w:val="20"/>
        </w:rPr>
      </w:pPr>
      <w:r w:rsidRPr="0034420E">
        <w:rPr>
          <w:sz w:val="20"/>
          <w:szCs w:val="20"/>
        </w:rPr>
        <w:t xml:space="preserve">Peters K. E., </w:t>
      </w:r>
      <w:r w:rsidR="00641877" w:rsidRPr="0034420E">
        <w:rPr>
          <w:sz w:val="20"/>
          <w:szCs w:val="20"/>
        </w:rPr>
        <w:t xml:space="preserve">Xu J., Bringans S. D., </w:t>
      </w:r>
      <w:r w:rsidRPr="0034420E">
        <w:rPr>
          <w:sz w:val="20"/>
          <w:szCs w:val="20"/>
        </w:rPr>
        <w:t xml:space="preserve">et al. PromarkerD Predicts Renal Function Decline in Type 2 Diabetes in the Canagliflozin Cardiovascular Assessment Study (CANVAS). </w:t>
      </w:r>
      <w:r w:rsidRPr="0034420E">
        <w:rPr>
          <w:i/>
          <w:iCs/>
          <w:sz w:val="20"/>
          <w:szCs w:val="20"/>
        </w:rPr>
        <w:t>Journal of Clinical Medicine</w:t>
      </w:r>
      <w:r w:rsidR="004A4383" w:rsidRPr="0034420E">
        <w:rPr>
          <w:sz w:val="20"/>
          <w:szCs w:val="20"/>
        </w:rPr>
        <w:t>. 2020;9(10):3212.</w:t>
      </w:r>
    </w:p>
    <w:p w14:paraId="58A0725F" w14:textId="77777777" w:rsidR="00642BB9" w:rsidRPr="0034420E" w:rsidRDefault="00642BB9" w:rsidP="001A0D9A">
      <w:pPr>
        <w:spacing w:line="240" w:lineRule="auto"/>
        <w:rPr>
          <w:sz w:val="20"/>
          <w:szCs w:val="20"/>
        </w:rPr>
      </w:pPr>
      <w:r w:rsidRPr="0034420E">
        <w:rPr>
          <w:sz w:val="20"/>
          <w:szCs w:val="20"/>
        </w:rPr>
        <w:t>PromarkerD CaptSure</w:t>
      </w:r>
      <w:r w:rsidRPr="0034420E">
        <w:rPr>
          <w:sz w:val="20"/>
          <w:szCs w:val="20"/>
          <w:vertAlign w:val="superscript"/>
        </w:rPr>
        <w:t>TM</w:t>
      </w:r>
      <w:r w:rsidRPr="0034420E">
        <w:rPr>
          <w:sz w:val="20"/>
          <w:szCs w:val="20"/>
        </w:rPr>
        <w:t xml:space="preserve"> ELISA, Instructions for use, Version 4.0</w:t>
      </w:r>
    </w:p>
    <w:p w14:paraId="5882F4E6" w14:textId="1204663C" w:rsidR="00642BB9" w:rsidRPr="0034420E" w:rsidRDefault="00642BB9" w:rsidP="001A0D9A">
      <w:pPr>
        <w:spacing w:line="240" w:lineRule="auto"/>
        <w:rPr>
          <w:sz w:val="20"/>
          <w:szCs w:val="20"/>
        </w:rPr>
      </w:pPr>
      <w:r w:rsidRPr="0034420E">
        <w:rPr>
          <w:sz w:val="20"/>
          <w:szCs w:val="20"/>
        </w:rPr>
        <w:t>The Royal Australian College of General Practitioners. Management of type 2 diabetes: A handbook for general practice. East Melbourne, Vic: RACGP, 2020.</w:t>
      </w:r>
    </w:p>
    <w:p w14:paraId="4DD2CF62" w14:textId="3DA8F86E" w:rsidR="00332DB6" w:rsidRPr="0034420E" w:rsidRDefault="005036A9" w:rsidP="001A0D9A">
      <w:pPr>
        <w:spacing w:line="240" w:lineRule="auto"/>
        <w:rPr>
          <w:sz w:val="20"/>
          <w:szCs w:val="20"/>
        </w:rPr>
      </w:pPr>
      <w:r w:rsidRPr="0034420E">
        <w:rPr>
          <w:sz w:val="20"/>
          <w:szCs w:val="20"/>
        </w:rPr>
        <w:t xml:space="preserve">Wanner C., </w:t>
      </w:r>
      <w:proofErr w:type="spellStart"/>
      <w:r w:rsidRPr="0034420E">
        <w:rPr>
          <w:sz w:val="20"/>
          <w:szCs w:val="20"/>
        </w:rPr>
        <w:t>Inzucchi</w:t>
      </w:r>
      <w:proofErr w:type="spellEnd"/>
      <w:r w:rsidRPr="0034420E">
        <w:rPr>
          <w:sz w:val="20"/>
          <w:szCs w:val="20"/>
        </w:rPr>
        <w:t xml:space="preserve"> S. E., Lachin J. M., et al. Empagliflozin and progression of kidney disease in type 2 diabetes. </w:t>
      </w:r>
      <w:r w:rsidRPr="0034420E">
        <w:rPr>
          <w:i/>
          <w:iCs/>
          <w:sz w:val="20"/>
          <w:szCs w:val="20"/>
        </w:rPr>
        <w:t xml:space="preserve">New England Journal of Medicine. </w:t>
      </w:r>
      <w:r w:rsidRPr="0034420E">
        <w:rPr>
          <w:sz w:val="20"/>
          <w:szCs w:val="20"/>
        </w:rPr>
        <w:t>2016;375:323-334.</w:t>
      </w:r>
    </w:p>
    <w:p w14:paraId="164F6E1A" w14:textId="77777777" w:rsidR="00332DB6" w:rsidRPr="0034420E" w:rsidRDefault="00332DB6">
      <w:pPr>
        <w:spacing w:after="160" w:line="259" w:lineRule="auto"/>
        <w:rPr>
          <w:sz w:val="20"/>
          <w:szCs w:val="20"/>
        </w:rPr>
      </w:pPr>
      <w:r w:rsidRPr="0034420E">
        <w:rPr>
          <w:sz w:val="20"/>
          <w:szCs w:val="20"/>
        </w:rPr>
        <w:br w:type="page"/>
      </w:r>
    </w:p>
    <w:p w14:paraId="74961B79" w14:textId="2FBE0479" w:rsidR="005036A9" w:rsidRPr="0034420E" w:rsidRDefault="00332DB6" w:rsidP="00332DB6">
      <w:pPr>
        <w:pStyle w:val="Heading2"/>
      </w:pPr>
      <w:r w:rsidRPr="0034420E">
        <w:lastRenderedPageBreak/>
        <w:t>Attachment</w:t>
      </w:r>
    </w:p>
    <w:p w14:paraId="27BE5BCB" w14:textId="4CD43950" w:rsidR="00332DB6" w:rsidRPr="0034420E" w:rsidRDefault="00332DB6" w:rsidP="00332DB6"/>
    <w:p w14:paraId="04A77F3E" w14:textId="76B3F4D0" w:rsidR="00332DB6" w:rsidRPr="0034420E" w:rsidRDefault="00332DB6" w:rsidP="009C3B32">
      <w:pPr>
        <w:spacing w:after="0" w:line="240" w:lineRule="auto"/>
      </w:pPr>
      <w:r w:rsidRPr="0034420E">
        <w:rPr>
          <w:noProof/>
          <w:lang w:eastAsia="en-AU"/>
        </w:rPr>
        <w:drawing>
          <wp:inline distT="0" distB="0" distL="0" distR="0" wp14:anchorId="15463291" wp14:editId="410EA4AA">
            <wp:extent cx="5144494" cy="4288978"/>
            <wp:effectExtent l="0" t="0" r="0" b="0"/>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a:blip r:embed="rId22"/>
                    <a:stretch>
                      <a:fillRect/>
                    </a:stretch>
                  </pic:blipFill>
                  <pic:spPr>
                    <a:xfrm>
                      <a:off x="0" y="0"/>
                      <a:ext cx="5180434" cy="4318941"/>
                    </a:xfrm>
                    <a:prstGeom prst="rect">
                      <a:avLst/>
                    </a:prstGeom>
                  </pic:spPr>
                </pic:pic>
              </a:graphicData>
            </a:graphic>
          </wp:inline>
        </w:drawing>
      </w:r>
    </w:p>
    <w:p w14:paraId="7EBF5355" w14:textId="52FBF7EC" w:rsidR="00332DB6" w:rsidRPr="0034420E" w:rsidRDefault="00332DB6" w:rsidP="00332DB6">
      <w:pPr>
        <w:pStyle w:val="Caption"/>
        <w:spacing w:before="0"/>
        <w:sectPr w:rsidR="00332DB6" w:rsidRPr="0034420E" w:rsidSect="00AE6FE0">
          <w:pgSz w:w="11906" w:h="16838"/>
          <w:pgMar w:top="682" w:right="1134" w:bottom="1021" w:left="1191" w:header="709" w:footer="709" w:gutter="0"/>
          <w:cols w:space="708"/>
          <w:docGrid w:linePitch="360"/>
        </w:sectPr>
      </w:pPr>
      <w:bookmarkStart w:id="23" w:name="_Ref87016899"/>
      <w:r w:rsidRPr="0034420E">
        <w:t xml:space="preserve">Figure </w:t>
      </w:r>
      <w:r w:rsidRPr="0034420E">
        <w:fldChar w:fldCharType="begin"/>
      </w:r>
      <w:r w:rsidRPr="0034420E">
        <w:instrText xml:space="preserve"> SEQ Figure \* ARABIC </w:instrText>
      </w:r>
      <w:r w:rsidRPr="0034420E">
        <w:fldChar w:fldCharType="separate"/>
      </w:r>
      <w:r w:rsidR="00523E59" w:rsidRPr="0034420E">
        <w:rPr>
          <w:noProof/>
        </w:rPr>
        <w:t>8</w:t>
      </w:r>
      <w:r w:rsidRPr="0034420E">
        <w:fldChar w:fldCharType="end"/>
      </w:r>
      <w:bookmarkEnd w:id="23"/>
      <w:r w:rsidRPr="0034420E">
        <w:tab/>
        <w:t>Treatment algorithm before listing of PromarkerD</w:t>
      </w:r>
    </w:p>
    <w:p w14:paraId="5D20AFEF" w14:textId="4C3F50EA" w:rsidR="00332DB6" w:rsidRPr="0034420E" w:rsidRDefault="00332DB6" w:rsidP="00332DB6">
      <w:pPr>
        <w:pStyle w:val="Caption"/>
        <w:spacing w:before="0"/>
      </w:pPr>
      <w:r w:rsidRPr="0034420E">
        <w:rPr>
          <w:noProof/>
          <w:lang w:val="en-AU" w:eastAsia="en-AU"/>
        </w:rPr>
        <w:lastRenderedPageBreak/>
        <w:drawing>
          <wp:inline distT="0" distB="0" distL="0" distR="0" wp14:anchorId="08EC886A" wp14:editId="7539F224">
            <wp:extent cx="8851397" cy="5356746"/>
            <wp:effectExtent l="0" t="0" r="6985"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rotWithShape="1">
                    <a:blip r:embed="rId23"/>
                    <a:srcRect l="884" t="876"/>
                    <a:stretch/>
                  </pic:blipFill>
                  <pic:spPr bwMode="auto">
                    <a:xfrm>
                      <a:off x="0" y="0"/>
                      <a:ext cx="8897470" cy="5384629"/>
                    </a:xfrm>
                    <a:prstGeom prst="rect">
                      <a:avLst/>
                    </a:prstGeom>
                    <a:ln>
                      <a:noFill/>
                    </a:ln>
                    <a:extLst>
                      <a:ext uri="{53640926-AAD7-44D8-BBD7-CCE9431645EC}">
                        <a14:shadowObscured xmlns:a14="http://schemas.microsoft.com/office/drawing/2010/main"/>
                      </a:ext>
                    </a:extLst>
                  </pic:spPr>
                </pic:pic>
              </a:graphicData>
            </a:graphic>
          </wp:inline>
        </w:drawing>
      </w:r>
    </w:p>
    <w:p w14:paraId="341006D6" w14:textId="21DA2AF3" w:rsidR="00332DB6" w:rsidRPr="00332DB6" w:rsidRDefault="00332DB6" w:rsidP="009C3B32">
      <w:pPr>
        <w:pStyle w:val="Caption"/>
        <w:spacing w:before="0"/>
      </w:pPr>
      <w:bookmarkStart w:id="24" w:name="_Ref87956450"/>
      <w:r w:rsidRPr="0034420E">
        <w:t xml:space="preserve">Figure </w:t>
      </w:r>
      <w:r w:rsidRPr="0034420E">
        <w:fldChar w:fldCharType="begin"/>
      </w:r>
      <w:r w:rsidRPr="0034420E">
        <w:instrText xml:space="preserve"> SEQ Figure \* ARABIC </w:instrText>
      </w:r>
      <w:r w:rsidRPr="0034420E">
        <w:fldChar w:fldCharType="separate"/>
      </w:r>
      <w:r w:rsidR="00523E59" w:rsidRPr="0034420E">
        <w:rPr>
          <w:noProof/>
        </w:rPr>
        <w:t>9</w:t>
      </w:r>
      <w:r w:rsidRPr="0034420E">
        <w:fldChar w:fldCharType="end"/>
      </w:r>
      <w:bookmarkEnd w:id="24"/>
      <w:r w:rsidRPr="0034420E">
        <w:tab/>
        <w:t>Treatment algorithm after listing of PromarkerD. PromarkerD test only for patients with normoalbuminuria or microalbuminuria and eGFR ≥60 mL/min/1.73m</w:t>
      </w:r>
      <w:r w:rsidRPr="0034420E">
        <w:rPr>
          <w:vertAlign w:val="superscript"/>
        </w:rPr>
        <w:t>2</w:t>
      </w:r>
    </w:p>
    <w:p w14:paraId="70C3C4D3" w14:textId="77777777" w:rsidR="00332DB6" w:rsidRPr="00332DB6" w:rsidRDefault="00332DB6" w:rsidP="009C3B32">
      <w:pPr>
        <w:pStyle w:val="Caption"/>
        <w:spacing w:before="0"/>
      </w:pPr>
    </w:p>
    <w:sectPr w:rsidR="00332DB6" w:rsidRPr="00332DB6" w:rsidSect="009C3B32">
      <w:pgSz w:w="16838" w:h="11906" w:orient="landscape"/>
      <w:pgMar w:top="1191" w:right="682" w:bottom="1134" w:left="102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62BF07" w14:textId="77777777" w:rsidR="0009354B" w:rsidRDefault="0009354B" w:rsidP="0016315C">
      <w:pPr>
        <w:spacing w:after="0" w:line="240" w:lineRule="auto"/>
      </w:pPr>
      <w:r>
        <w:separator/>
      </w:r>
    </w:p>
  </w:endnote>
  <w:endnote w:type="continuationSeparator" w:id="0">
    <w:p w14:paraId="3D2A8E09" w14:textId="77777777" w:rsidR="0009354B" w:rsidRDefault="0009354B" w:rsidP="00163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Roboto">
    <w:altName w:val="Roboto"/>
    <w:charset w:val="00"/>
    <w:family w:val="auto"/>
    <w:pitch w:val="variable"/>
    <w:sig w:usb0="E00002FF" w:usb1="5000205B" w:usb2="00000020" w:usb3="00000000" w:csb0="0000019F" w:csb1="00000000"/>
  </w:font>
  <w:font w:name="ArialMT">
    <w:altName w:val="MS Mincho"/>
    <w:charset w:val="00"/>
    <w:family w:val="swiss"/>
    <w:pitch w:val="default"/>
    <w:sig w:usb0="00000000" w:usb1="00000000" w:usb2="00000000" w:usb3="00000000" w:csb0="00040001" w:csb1="00000000"/>
  </w:font>
  <w:font w:name="URWPalladioL-Ital">
    <w:altName w:val="Calibri"/>
    <w:panose1 w:val="00000000000000000000"/>
    <w:charset w:val="00"/>
    <w:family w:val="auto"/>
    <w:notTrueType/>
    <w:pitch w:val="default"/>
    <w:sig w:usb0="00000003" w:usb1="00000000" w:usb2="00000000" w:usb3="00000000" w:csb0="00000001" w:csb1="00000000"/>
  </w:font>
  <w:font w:name="Rpx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92114567"/>
      <w:docPartObj>
        <w:docPartGallery w:val="Page Numbers (Bottom of Page)"/>
        <w:docPartUnique/>
      </w:docPartObj>
    </w:sdtPr>
    <w:sdtEndPr>
      <w:rPr>
        <w:rStyle w:val="PageNumber"/>
      </w:rPr>
    </w:sdtEndPr>
    <w:sdtContent>
      <w:p w14:paraId="2F61D3D2" w14:textId="34EC5F59" w:rsidR="0009354B" w:rsidRDefault="0009354B" w:rsidP="009E46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4E72C2D" w14:textId="77777777" w:rsidR="0009354B" w:rsidRDefault="0009354B" w:rsidP="006853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93382827"/>
      <w:docPartObj>
        <w:docPartGallery w:val="Page Numbers (Bottom of Page)"/>
        <w:docPartUnique/>
      </w:docPartObj>
    </w:sdtPr>
    <w:sdtEndPr>
      <w:rPr>
        <w:rStyle w:val="PageNumber"/>
      </w:rPr>
    </w:sdtEndPr>
    <w:sdtContent>
      <w:p w14:paraId="4DE593B1" w14:textId="5C12541E" w:rsidR="0009354B" w:rsidRDefault="0009354B" w:rsidP="009E46C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p>
    </w:sdtContent>
  </w:sdt>
  <w:p w14:paraId="4CDE59B6" w14:textId="5D7BA8AE" w:rsidR="00E13572" w:rsidRDefault="0009354B" w:rsidP="00E13572">
    <w:pPr>
      <w:tabs>
        <w:tab w:val="left" w:pos="3119"/>
      </w:tabs>
      <w:spacing w:before="120" w:after="0" w:line="240" w:lineRule="auto"/>
      <w:jc w:val="center"/>
    </w:pPr>
    <w:r>
      <w:t xml:space="preserve">Ratified </w:t>
    </w:r>
    <w:r w:rsidRPr="00685355">
      <w:t>PICO confirmation</w:t>
    </w:r>
    <w:r w:rsidR="00E13572">
      <w:t xml:space="preserve"> – December 2021 PASC meeting</w:t>
    </w:r>
    <w:r>
      <w:tab/>
    </w:r>
  </w:p>
  <w:p w14:paraId="33649654" w14:textId="750926CB" w:rsidR="0009354B" w:rsidRPr="00685355" w:rsidRDefault="0009354B" w:rsidP="00E13572">
    <w:pPr>
      <w:tabs>
        <w:tab w:val="left" w:pos="3119"/>
      </w:tabs>
      <w:spacing w:after="0" w:line="240" w:lineRule="auto"/>
      <w:ind w:right="83"/>
      <w:jc w:val="center"/>
    </w:pPr>
    <w:r>
      <w:t xml:space="preserve">MSAC Application 1691 </w:t>
    </w:r>
    <w:r w:rsidR="00E13572">
      <w:t>–</w:t>
    </w:r>
    <w:r w:rsidR="00E13572">
      <w:t xml:space="preserve"> </w:t>
    </w:r>
    <w:proofErr w:type="spellStart"/>
    <w:r>
      <w:t>PromarkerD</w:t>
    </w:r>
    <w:proofErr w:type="spellEnd"/>
    <w:r>
      <w:t xml:space="preserve"> testing in patients with type 2 diabetes (T2DM) to determine </w:t>
    </w:r>
    <w:r w:rsidR="00E13572">
      <w:br/>
    </w:r>
    <w:r>
      <w:t>the risk of developing diabetic kidney disease.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096367" w14:textId="77777777" w:rsidR="0009354B" w:rsidRDefault="0009354B" w:rsidP="0016315C">
      <w:pPr>
        <w:spacing w:after="0" w:line="240" w:lineRule="auto"/>
      </w:pPr>
      <w:r>
        <w:separator/>
      </w:r>
    </w:p>
  </w:footnote>
  <w:footnote w:type="continuationSeparator" w:id="0">
    <w:p w14:paraId="6259274F" w14:textId="77777777" w:rsidR="0009354B" w:rsidRDefault="0009354B" w:rsidP="001631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A1FBF"/>
    <w:multiLevelType w:val="hybridMultilevel"/>
    <w:tmpl w:val="4CE0BDEA"/>
    <w:lvl w:ilvl="0" w:tplc="0C090019">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4D5716"/>
    <w:multiLevelType w:val="hybridMultilevel"/>
    <w:tmpl w:val="8312E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DD760E"/>
    <w:multiLevelType w:val="hybridMultilevel"/>
    <w:tmpl w:val="88EC25A2"/>
    <w:lvl w:ilvl="0" w:tplc="FFFFFFFF">
      <w:start w:val="1"/>
      <w:numFmt w:val="decimal"/>
      <w:lvlText w:val="%1."/>
      <w:lvlJc w:val="left"/>
      <w:pPr>
        <w:ind w:left="360" w:hanging="360"/>
      </w:pPr>
      <w:rPr>
        <w:rFonts w:ascii="Calibri" w:eastAsia="Calibri" w:hAnsi="Calibri" w:cs="Calibri"/>
      </w:rPr>
    </w:lvl>
    <w:lvl w:ilvl="1" w:tplc="FFFFFFFF">
      <w:start w:val="1"/>
      <w:numFmt w:val="bullet"/>
      <w:lvlText w:val=""/>
      <w:lvlJc w:val="left"/>
      <w:pPr>
        <w:ind w:left="1440" w:hanging="360"/>
      </w:pPr>
      <w:rPr>
        <w:rFonts w:ascii="Symbol" w:hAnsi="Symbol" w:hint="default"/>
      </w:rPr>
    </w:lvl>
    <w:lvl w:ilvl="2" w:tplc="0C090005">
      <w:start w:val="1"/>
      <w:numFmt w:val="bullet"/>
      <w:lvlText w:val=""/>
      <w:lvlJc w:val="left"/>
      <w:pPr>
        <w:ind w:left="2160" w:hanging="180"/>
      </w:pPr>
      <w:rPr>
        <w:rFonts w:ascii="Wingdings" w:hAnsi="Wingding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2C736314"/>
    <w:multiLevelType w:val="hybridMultilevel"/>
    <w:tmpl w:val="7BD4FDCA"/>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15:restartNumberingAfterBreak="0">
    <w:nsid w:val="34124EA7"/>
    <w:multiLevelType w:val="hybridMultilevel"/>
    <w:tmpl w:val="ED56960C"/>
    <w:lvl w:ilvl="0" w:tplc="A72854FE">
      <w:start w:val="1"/>
      <w:numFmt w:val="decimal"/>
      <w:lvlText w:val="%1)"/>
      <w:lvlJc w:val="left"/>
      <w:pPr>
        <w:ind w:left="2586" w:hanging="360"/>
      </w:pPr>
      <w:rPr>
        <w:rFonts w:hint="default"/>
      </w:rPr>
    </w:lvl>
    <w:lvl w:ilvl="1" w:tplc="0C090019" w:tentative="1">
      <w:start w:val="1"/>
      <w:numFmt w:val="lowerLetter"/>
      <w:lvlText w:val="%2."/>
      <w:lvlJc w:val="left"/>
      <w:pPr>
        <w:ind w:left="3306" w:hanging="360"/>
      </w:pPr>
    </w:lvl>
    <w:lvl w:ilvl="2" w:tplc="0C09001B" w:tentative="1">
      <w:start w:val="1"/>
      <w:numFmt w:val="lowerRoman"/>
      <w:lvlText w:val="%3."/>
      <w:lvlJc w:val="right"/>
      <w:pPr>
        <w:ind w:left="4026" w:hanging="180"/>
      </w:pPr>
    </w:lvl>
    <w:lvl w:ilvl="3" w:tplc="0C09000F" w:tentative="1">
      <w:start w:val="1"/>
      <w:numFmt w:val="decimal"/>
      <w:lvlText w:val="%4."/>
      <w:lvlJc w:val="left"/>
      <w:pPr>
        <w:ind w:left="4746" w:hanging="360"/>
      </w:pPr>
    </w:lvl>
    <w:lvl w:ilvl="4" w:tplc="0C090019" w:tentative="1">
      <w:start w:val="1"/>
      <w:numFmt w:val="lowerLetter"/>
      <w:lvlText w:val="%5."/>
      <w:lvlJc w:val="left"/>
      <w:pPr>
        <w:ind w:left="5466" w:hanging="360"/>
      </w:pPr>
    </w:lvl>
    <w:lvl w:ilvl="5" w:tplc="0C09001B" w:tentative="1">
      <w:start w:val="1"/>
      <w:numFmt w:val="lowerRoman"/>
      <w:lvlText w:val="%6."/>
      <w:lvlJc w:val="right"/>
      <w:pPr>
        <w:ind w:left="6186" w:hanging="180"/>
      </w:pPr>
    </w:lvl>
    <w:lvl w:ilvl="6" w:tplc="0C09000F" w:tentative="1">
      <w:start w:val="1"/>
      <w:numFmt w:val="decimal"/>
      <w:lvlText w:val="%7."/>
      <w:lvlJc w:val="left"/>
      <w:pPr>
        <w:ind w:left="6906" w:hanging="360"/>
      </w:pPr>
    </w:lvl>
    <w:lvl w:ilvl="7" w:tplc="0C090019" w:tentative="1">
      <w:start w:val="1"/>
      <w:numFmt w:val="lowerLetter"/>
      <w:lvlText w:val="%8."/>
      <w:lvlJc w:val="left"/>
      <w:pPr>
        <w:ind w:left="7626" w:hanging="360"/>
      </w:pPr>
    </w:lvl>
    <w:lvl w:ilvl="8" w:tplc="0C09001B" w:tentative="1">
      <w:start w:val="1"/>
      <w:numFmt w:val="lowerRoman"/>
      <w:lvlText w:val="%9."/>
      <w:lvlJc w:val="right"/>
      <w:pPr>
        <w:ind w:left="8346" w:hanging="180"/>
      </w:pPr>
    </w:lvl>
  </w:abstractNum>
  <w:abstractNum w:abstractNumId="5" w15:restartNumberingAfterBreak="0">
    <w:nsid w:val="365775D8"/>
    <w:multiLevelType w:val="hybridMultilevel"/>
    <w:tmpl w:val="8248733E"/>
    <w:lvl w:ilvl="0" w:tplc="0C090001">
      <w:start w:val="1"/>
      <w:numFmt w:val="bullet"/>
      <w:lvlText w:val=""/>
      <w:lvlJc w:val="left"/>
      <w:rPr>
        <w:rFonts w:ascii="Symbol" w:hAnsi="Symbol" w:hint="default"/>
      </w:rPr>
    </w:lvl>
    <w:lvl w:ilvl="1" w:tplc="FFFFFFFF">
      <w:start w:val="1"/>
      <w:numFmt w:val="bullet"/>
      <w:lvlText w:val=""/>
      <w:lvlJc w:val="left"/>
      <w:pPr>
        <w:ind w:left="2760" w:hanging="360"/>
      </w:pPr>
      <w:rPr>
        <w:rFonts w:ascii="Symbol" w:hAnsi="Symbol" w:hint="default"/>
      </w:rPr>
    </w:lvl>
    <w:lvl w:ilvl="2" w:tplc="FFFFFFFF">
      <w:start w:val="1"/>
      <w:numFmt w:val="lowerRoman"/>
      <w:lvlText w:val="%3."/>
      <w:lvlJc w:val="right"/>
      <w:pPr>
        <w:ind w:left="3480" w:hanging="180"/>
      </w:pPr>
    </w:lvl>
    <w:lvl w:ilvl="3" w:tplc="FFFFFFFF" w:tentative="1">
      <w:start w:val="1"/>
      <w:numFmt w:val="decimal"/>
      <w:lvlText w:val="%4."/>
      <w:lvlJc w:val="left"/>
      <w:pPr>
        <w:ind w:left="4200" w:hanging="360"/>
      </w:pPr>
    </w:lvl>
    <w:lvl w:ilvl="4" w:tplc="FFFFFFFF" w:tentative="1">
      <w:start w:val="1"/>
      <w:numFmt w:val="lowerLetter"/>
      <w:lvlText w:val="%5."/>
      <w:lvlJc w:val="left"/>
      <w:pPr>
        <w:ind w:left="4920" w:hanging="360"/>
      </w:pPr>
    </w:lvl>
    <w:lvl w:ilvl="5" w:tplc="FFFFFFFF" w:tentative="1">
      <w:start w:val="1"/>
      <w:numFmt w:val="lowerRoman"/>
      <w:lvlText w:val="%6."/>
      <w:lvlJc w:val="right"/>
      <w:pPr>
        <w:ind w:left="5640" w:hanging="180"/>
      </w:pPr>
    </w:lvl>
    <w:lvl w:ilvl="6" w:tplc="FFFFFFFF" w:tentative="1">
      <w:start w:val="1"/>
      <w:numFmt w:val="decimal"/>
      <w:lvlText w:val="%7."/>
      <w:lvlJc w:val="left"/>
      <w:pPr>
        <w:ind w:left="6360" w:hanging="360"/>
      </w:pPr>
    </w:lvl>
    <w:lvl w:ilvl="7" w:tplc="FFFFFFFF" w:tentative="1">
      <w:start w:val="1"/>
      <w:numFmt w:val="lowerLetter"/>
      <w:lvlText w:val="%8."/>
      <w:lvlJc w:val="left"/>
      <w:pPr>
        <w:ind w:left="7080" w:hanging="360"/>
      </w:pPr>
    </w:lvl>
    <w:lvl w:ilvl="8" w:tplc="FFFFFFFF" w:tentative="1">
      <w:start w:val="1"/>
      <w:numFmt w:val="lowerRoman"/>
      <w:lvlText w:val="%9."/>
      <w:lvlJc w:val="right"/>
      <w:pPr>
        <w:ind w:left="7800" w:hanging="180"/>
      </w:pPr>
    </w:lvl>
  </w:abstractNum>
  <w:abstractNum w:abstractNumId="6" w15:restartNumberingAfterBreak="0">
    <w:nsid w:val="3C2815E3"/>
    <w:multiLevelType w:val="hybridMultilevel"/>
    <w:tmpl w:val="A4EEA636"/>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072210"/>
    <w:multiLevelType w:val="hybridMultilevel"/>
    <w:tmpl w:val="CFCA0C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0DC55C4"/>
    <w:multiLevelType w:val="hybridMultilevel"/>
    <w:tmpl w:val="EBBAEB76"/>
    <w:lvl w:ilvl="0" w:tplc="0C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FF0110"/>
    <w:multiLevelType w:val="hybridMultilevel"/>
    <w:tmpl w:val="DBA873F8"/>
    <w:lvl w:ilvl="0" w:tplc="03DA1D4E">
      <w:start w:val="1"/>
      <w:numFmt w:val="bullet"/>
      <w:pStyle w:val="Instructionaltext-bulle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cs="Wingdings" w:hint="default"/>
      </w:rPr>
    </w:lvl>
    <w:lvl w:ilvl="3" w:tplc="0C090001" w:tentative="1">
      <w:start w:val="1"/>
      <w:numFmt w:val="bullet"/>
      <w:lvlText w:val=""/>
      <w:lvlJc w:val="left"/>
      <w:pPr>
        <w:ind w:left="3237" w:hanging="360"/>
      </w:pPr>
      <w:rPr>
        <w:rFonts w:ascii="Symbol" w:hAnsi="Symbol" w:cs="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cs="Wingdings" w:hint="default"/>
      </w:rPr>
    </w:lvl>
    <w:lvl w:ilvl="6" w:tplc="0C090001" w:tentative="1">
      <w:start w:val="1"/>
      <w:numFmt w:val="bullet"/>
      <w:lvlText w:val=""/>
      <w:lvlJc w:val="left"/>
      <w:pPr>
        <w:ind w:left="5397" w:hanging="360"/>
      </w:pPr>
      <w:rPr>
        <w:rFonts w:ascii="Symbol" w:hAnsi="Symbol" w:cs="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cs="Wingdings" w:hint="default"/>
      </w:rPr>
    </w:lvl>
  </w:abstractNum>
  <w:abstractNum w:abstractNumId="10" w15:restartNumberingAfterBreak="0">
    <w:nsid w:val="61A24A45"/>
    <w:multiLevelType w:val="hybridMultilevel"/>
    <w:tmpl w:val="D5105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B44621B"/>
    <w:multiLevelType w:val="hybridMultilevel"/>
    <w:tmpl w:val="C1E2A956"/>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DF17B2B"/>
    <w:multiLevelType w:val="hybridMultilevel"/>
    <w:tmpl w:val="C4DEE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FEE3FD7"/>
    <w:multiLevelType w:val="hybridMultilevel"/>
    <w:tmpl w:val="EA5C8B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1E93720"/>
    <w:multiLevelType w:val="hybridMultilevel"/>
    <w:tmpl w:val="97C61D26"/>
    <w:lvl w:ilvl="0" w:tplc="7C82187A">
      <w:start w:val="1"/>
      <w:numFmt w:val="decimal"/>
      <w:lvlText w:val="%1."/>
      <w:lvlJc w:val="left"/>
      <w:pPr>
        <w:ind w:left="360" w:hanging="360"/>
      </w:pPr>
      <w:rPr>
        <w:rFonts w:ascii="Calibri" w:eastAsia="Calibri" w:hAnsi="Calibri" w:cs="Calibri"/>
      </w:rPr>
    </w:lvl>
    <w:lvl w:ilvl="1" w:tplc="0C090001">
      <w:start w:val="1"/>
      <w:numFmt w:val="bullet"/>
      <w:lvlText w:val=""/>
      <w:lvlJc w:val="left"/>
      <w:pPr>
        <w:ind w:left="1440" w:hanging="360"/>
      </w:pPr>
      <w:rPr>
        <w:rFonts w:ascii="Symbol" w:hAnsi="Symbol" w:hint="default"/>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9"/>
  </w:num>
  <w:num w:numId="2">
    <w:abstractNumId w:val="13"/>
  </w:num>
  <w:num w:numId="3">
    <w:abstractNumId w:val="4"/>
  </w:num>
  <w:num w:numId="4">
    <w:abstractNumId w:val="0"/>
  </w:num>
  <w:num w:numId="5">
    <w:abstractNumId w:val="10"/>
  </w:num>
  <w:num w:numId="6">
    <w:abstractNumId w:val="1"/>
  </w:num>
  <w:num w:numId="7">
    <w:abstractNumId w:val="7"/>
  </w:num>
  <w:num w:numId="8">
    <w:abstractNumId w:val="8"/>
  </w:num>
  <w:num w:numId="9">
    <w:abstractNumId w:val="6"/>
  </w:num>
  <w:num w:numId="10">
    <w:abstractNumId w:val="3"/>
  </w:num>
  <w:num w:numId="11">
    <w:abstractNumId w:val="12"/>
  </w:num>
  <w:num w:numId="12">
    <w:abstractNumId w:val="5"/>
  </w:num>
  <w:num w:numId="13">
    <w:abstractNumId w:val="14"/>
  </w:num>
  <w:num w:numId="14">
    <w:abstractNumId w:val="2"/>
  </w:num>
  <w:num w:numId="15">
    <w:abstractNumId w:val="11"/>
  </w:num>
  <w:num w:numId="16">
    <w:abstractNumId w:val="1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5F9C"/>
    <w:rsid w:val="00002DF7"/>
    <w:rsid w:val="00004AD0"/>
    <w:rsid w:val="00004C4A"/>
    <w:rsid w:val="000073AA"/>
    <w:rsid w:val="00010B4E"/>
    <w:rsid w:val="00011E7A"/>
    <w:rsid w:val="00013C8B"/>
    <w:rsid w:val="00015F76"/>
    <w:rsid w:val="0001730F"/>
    <w:rsid w:val="00022E42"/>
    <w:rsid w:val="00023077"/>
    <w:rsid w:val="00024622"/>
    <w:rsid w:val="0003475E"/>
    <w:rsid w:val="00037BB0"/>
    <w:rsid w:val="00037DCF"/>
    <w:rsid w:val="00042972"/>
    <w:rsid w:val="00043320"/>
    <w:rsid w:val="000446FF"/>
    <w:rsid w:val="00046647"/>
    <w:rsid w:val="000548CA"/>
    <w:rsid w:val="00054A13"/>
    <w:rsid w:val="00055272"/>
    <w:rsid w:val="00057D40"/>
    <w:rsid w:val="0006106F"/>
    <w:rsid w:val="000611F6"/>
    <w:rsid w:val="00062D2E"/>
    <w:rsid w:val="00071C51"/>
    <w:rsid w:val="00083F40"/>
    <w:rsid w:val="00084DA4"/>
    <w:rsid w:val="000852D8"/>
    <w:rsid w:val="000873CC"/>
    <w:rsid w:val="00091932"/>
    <w:rsid w:val="000921C7"/>
    <w:rsid w:val="00092499"/>
    <w:rsid w:val="0009354B"/>
    <w:rsid w:val="000939E0"/>
    <w:rsid w:val="00094FE4"/>
    <w:rsid w:val="00097AAA"/>
    <w:rsid w:val="000A248A"/>
    <w:rsid w:val="000A3242"/>
    <w:rsid w:val="000A6906"/>
    <w:rsid w:val="000B5636"/>
    <w:rsid w:val="000B5F1E"/>
    <w:rsid w:val="000C3158"/>
    <w:rsid w:val="000C5FAC"/>
    <w:rsid w:val="000C790F"/>
    <w:rsid w:val="000D1FCF"/>
    <w:rsid w:val="000D5777"/>
    <w:rsid w:val="000D7105"/>
    <w:rsid w:val="000E1B82"/>
    <w:rsid w:val="000E222E"/>
    <w:rsid w:val="000E2FD6"/>
    <w:rsid w:val="000E623D"/>
    <w:rsid w:val="000E73C5"/>
    <w:rsid w:val="000F0746"/>
    <w:rsid w:val="000F2B1C"/>
    <w:rsid w:val="000F3984"/>
    <w:rsid w:val="000F7C35"/>
    <w:rsid w:val="0010161C"/>
    <w:rsid w:val="00111096"/>
    <w:rsid w:val="001138DF"/>
    <w:rsid w:val="00113E5A"/>
    <w:rsid w:val="00120BEB"/>
    <w:rsid w:val="00120F8A"/>
    <w:rsid w:val="0012494E"/>
    <w:rsid w:val="001261E6"/>
    <w:rsid w:val="001417E8"/>
    <w:rsid w:val="00143391"/>
    <w:rsid w:val="0015510D"/>
    <w:rsid w:val="001553E6"/>
    <w:rsid w:val="00156E37"/>
    <w:rsid w:val="00161727"/>
    <w:rsid w:val="00161B84"/>
    <w:rsid w:val="001624D1"/>
    <w:rsid w:val="00162A90"/>
    <w:rsid w:val="0016315C"/>
    <w:rsid w:val="0016745B"/>
    <w:rsid w:val="00173763"/>
    <w:rsid w:val="00173850"/>
    <w:rsid w:val="0017453A"/>
    <w:rsid w:val="001758D6"/>
    <w:rsid w:val="00176949"/>
    <w:rsid w:val="00180270"/>
    <w:rsid w:val="001809C6"/>
    <w:rsid w:val="001820AF"/>
    <w:rsid w:val="00184003"/>
    <w:rsid w:val="00185659"/>
    <w:rsid w:val="00195B80"/>
    <w:rsid w:val="001966FC"/>
    <w:rsid w:val="001A0D9A"/>
    <w:rsid w:val="001A5D2F"/>
    <w:rsid w:val="001B1961"/>
    <w:rsid w:val="001B232A"/>
    <w:rsid w:val="001B490C"/>
    <w:rsid w:val="001C6AB1"/>
    <w:rsid w:val="001D10E9"/>
    <w:rsid w:val="001D247E"/>
    <w:rsid w:val="001D33D6"/>
    <w:rsid w:val="001E5211"/>
    <w:rsid w:val="001E5F9C"/>
    <w:rsid w:val="001E6B49"/>
    <w:rsid w:val="001F1BFD"/>
    <w:rsid w:val="001F67B1"/>
    <w:rsid w:val="00200FC4"/>
    <w:rsid w:val="0020334D"/>
    <w:rsid w:val="002048A7"/>
    <w:rsid w:val="00206790"/>
    <w:rsid w:val="002079F9"/>
    <w:rsid w:val="00210510"/>
    <w:rsid w:val="0021115A"/>
    <w:rsid w:val="00212D3C"/>
    <w:rsid w:val="00214A6B"/>
    <w:rsid w:val="00220958"/>
    <w:rsid w:val="00224B6A"/>
    <w:rsid w:val="00235B21"/>
    <w:rsid w:val="002365D4"/>
    <w:rsid w:val="002467A1"/>
    <w:rsid w:val="002508EB"/>
    <w:rsid w:val="002543F4"/>
    <w:rsid w:val="00262C08"/>
    <w:rsid w:val="002643CC"/>
    <w:rsid w:val="0027170F"/>
    <w:rsid w:val="00271B69"/>
    <w:rsid w:val="002721B5"/>
    <w:rsid w:val="002734F9"/>
    <w:rsid w:val="0027357C"/>
    <w:rsid w:val="00277AF6"/>
    <w:rsid w:val="0029331B"/>
    <w:rsid w:val="00294A09"/>
    <w:rsid w:val="002A3551"/>
    <w:rsid w:val="002B0005"/>
    <w:rsid w:val="002B03E7"/>
    <w:rsid w:val="002B103E"/>
    <w:rsid w:val="002B10F7"/>
    <w:rsid w:val="002B2C50"/>
    <w:rsid w:val="002B3349"/>
    <w:rsid w:val="002B4A65"/>
    <w:rsid w:val="002B54A9"/>
    <w:rsid w:val="002C0CA8"/>
    <w:rsid w:val="002C7753"/>
    <w:rsid w:val="002D3B42"/>
    <w:rsid w:val="002D564A"/>
    <w:rsid w:val="002D5D59"/>
    <w:rsid w:val="002E251B"/>
    <w:rsid w:val="002E3B1F"/>
    <w:rsid w:val="002F2D00"/>
    <w:rsid w:val="002F32AB"/>
    <w:rsid w:val="002F3E40"/>
    <w:rsid w:val="002F4B7A"/>
    <w:rsid w:val="003022BD"/>
    <w:rsid w:val="003029AC"/>
    <w:rsid w:val="003054B3"/>
    <w:rsid w:val="00306330"/>
    <w:rsid w:val="00310723"/>
    <w:rsid w:val="0031453D"/>
    <w:rsid w:val="00314CE4"/>
    <w:rsid w:val="00315502"/>
    <w:rsid w:val="00316857"/>
    <w:rsid w:val="003214DD"/>
    <w:rsid w:val="00321C39"/>
    <w:rsid w:val="00324EF8"/>
    <w:rsid w:val="00327CDF"/>
    <w:rsid w:val="00331620"/>
    <w:rsid w:val="00332DB6"/>
    <w:rsid w:val="00334438"/>
    <w:rsid w:val="00334ECE"/>
    <w:rsid w:val="00336344"/>
    <w:rsid w:val="00343133"/>
    <w:rsid w:val="00343551"/>
    <w:rsid w:val="0034420E"/>
    <w:rsid w:val="003463C0"/>
    <w:rsid w:val="0034704A"/>
    <w:rsid w:val="00347EAE"/>
    <w:rsid w:val="0035700A"/>
    <w:rsid w:val="00360E6A"/>
    <w:rsid w:val="003610B1"/>
    <w:rsid w:val="00362EEB"/>
    <w:rsid w:val="003657B5"/>
    <w:rsid w:val="0037020F"/>
    <w:rsid w:val="00371822"/>
    <w:rsid w:val="00371C92"/>
    <w:rsid w:val="003721CD"/>
    <w:rsid w:val="00372432"/>
    <w:rsid w:val="00377B55"/>
    <w:rsid w:val="00380965"/>
    <w:rsid w:val="00380DAD"/>
    <w:rsid w:val="00387CD2"/>
    <w:rsid w:val="00390386"/>
    <w:rsid w:val="00395E81"/>
    <w:rsid w:val="00396667"/>
    <w:rsid w:val="00397A8F"/>
    <w:rsid w:val="003A26FE"/>
    <w:rsid w:val="003A4F75"/>
    <w:rsid w:val="003A7275"/>
    <w:rsid w:val="003B12E4"/>
    <w:rsid w:val="003B19E0"/>
    <w:rsid w:val="003B56C2"/>
    <w:rsid w:val="003B6C9E"/>
    <w:rsid w:val="003B7EA6"/>
    <w:rsid w:val="003C0423"/>
    <w:rsid w:val="003C6D16"/>
    <w:rsid w:val="003E4487"/>
    <w:rsid w:val="003E6228"/>
    <w:rsid w:val="003F0A39"/>
    <w:rsid w:val="003F204E"/>
    <w:rsid w:val="003F3640"/>
    <w:rsid w:val="003F37D3"/>
    <w:rsid w:val="003F3C58"/>
    <w:rsid w:val="003F4A5D"/>
    <w:rsid w:val="00400731"/>
    <w:rsid w:val="004047B1"/>
    <w:rsid w:val="00405F65"/>
    <w:rsid w:val="004112C5"/>
    <w:rsid w:val="00411725"/>
    <w:rsid w:val="00411DD1"/>
    <w:rsid w:val="00415A2E"/>
    <w:rsid w:val="004168F9"/>
    <w:rsid w:val="0041691D"/>
    <w:rsid w:val="00420AB8"/>
    <w:rsid w:val="004235EB"/>
    <w:rsid w:val="00434DD2"/>
    <w:rsid w:val="00442E31"/>
    <w:rsid w:val="0044426B"/>
    <w:rsid w:val="0044552A"/>
    <w:rsid w:val="00452B41"/>
    <w:rsid w:val="00452E06"/>
    <w:rsid w:val="0045691F"/>
    <w:rsid w:val="004618DB"/>
    <w:rsid w:val="00470A37"/>
    <w:rsid w:val="00472F76"/>
    <w:rsid w:val="00476C05"/>
    <w:rsid w:val="00477A6C"/>
    <w:rsid w:val="00477B33"/>
    <w:rsid w:val="0048151D"/>
    <w:rsid w:val="004904B0"/>
    <w:rsid w:val="00490FBB"/>
    <w:rsid w:val="0049409C"/>
    <w:rsid w:val="00494A08"/>
    <w:rsid w:val="00496AE3"/>
    <w:rsid w:val="004A190C"/>
    <w:rsid w:val="004A3395"/>
    <w:rsid w:val="004A4383"/>
    <w:rsid w:val="004A4C66"/>
    <w:rsid w:val="004A7746"/>
    <w:rsid w:val="004B1396"/>
    <w:rsid w:val="004B214C"/>
    <w:rsid w:val="004B23E7"/>
    <w:rsid w:val="004B6050"/>
    <w:rsid w:val="004B7BD8"/>
    <w:rsid w:val="004C1C73"/>
    <w:rsid w:val="004C2C5E"/>
    <w:rsid w:val="004C330F"/>
    <w:rsid w:val="004C3C2A"/>
    <w:rsid w:val="004C3D28"/>
    <w:rsid w:val="004C7458"/>
    <w:rsid w:val="004D762D"/>
    <w:rsid w:val="004E04AE"/>
    <w:rsid w:val="004E0B3F"/>
    <w:rsid w:val="004E3ABF"/>
    <w:rsid w:val="004E45EC"/>
    <w:rsid w:val="004E7F9B"/>
    <w:rsid w:val="004F257B"/>
    <w:rsid w:val="004F368B"/>
    <w:rsid w:val="004F530E"/>
    <w:rsid w:val="004F6D86"/>
    <w:rsid w:val="004F736A"/>
    <w:rsid w:val="005036A9"/>
    <w:rsid w:val="00503920"/>
    <w:rsid w:val="00504E44"/>
    <w:rsid w:val="00510A73"/>
    <w:rsid w:val="0051344F"/>
    <w:rsid w:val="00520B8F"/>
    <w:rsid w:val="005232CE"/>
    <w:rsid w:val="00523E59"/>
    <w:rsid w:val="0052601E"/>
    <w:rsid w:val="00526C3F"/>
    <w:rsid w:val="005303E2"/>
    <w:rsid w:val="00533561"/>
    <w:rsid w:val="00540484"/>
    <w:rsid w:val="00541A38"/>
    <w:rsid w:val="00544078"/>
    <w:rsid w:val="005552DA"/>
    <w:rsid w:val="0056217A"/>
    <w:rsid w:val="005651CD"/>
    <w:rsid w:val="00567799"/>
    <w:rsid w:val="005711A9"/>
    <w:rsid w:val="00573213"/>
    <w:rsid w:val="0057404B"/>
    <w:rsid w:val="005754F3"/>
    <w:rsid w:val="005756E9"/>
    <w:rsid w:val="0057592F"/>
    <w:rsid w:val="005771DC"/>
    <w:rsid w:val="00580A68"/>
    <w:rsid w:val="005850FA"/>
    <w:rsid w:val="00590E3F"/>
    <w:rsid w:val="00592719"/>
    <w:rsid w:val="00596485"/>
    <w:rsid w:val="0059782A"/>
    <w:rsid w:val="005A28B0"/>
    <w:rsid w:val="005A522E"/>
    <w:rsid w:val="005A6EC3"/>
    <w:rsid w:val="005B092A"/>
    <w:rsid w:val="005B0C2E"/>
    <w:rsid w:val="005B1B96"/>
    <w:rsid w:val="005B1F28"/>
    <w:rsid w:val="005B49EB"/>
    <w:rsid w:val="005B6051"/>
    <w:rsid w:val="005C1E1F"/>
    <w:rsid w:val="005C2B49"/>
    <w:rsid w:val="005C31F3"/>
    <w:rsid w:val="005C4A71"/>
    <w:rsid w:val="005D1636"/>
    <w:rsid w:val="005E0AE1"/>
    <w:rsid w:val="005E11DE"/>
    <w:rsid w:val="005E1AC4"/>
    <w:rsid w:val="005E21E2"/>
    <w:rsid w:val="005F1CD5"/>
    <w:rsid w:val="005F336D"/>
    <w:rsid w:val="005F4EDF"/>
    <w:rsid w:val="005F678C"/>
    <w:rsid w:val="005F7D34"/>
    <w:rsid w:val="00601498"/>
    <w:rsid w:val="00611F7A"/>
    <w:rsid w:val="00615A39"/>
    <w:rsid w:val="00631EA7"/>
    <w:rsid w:val="00632629"/>
    <w:rsid w:val="00632B45"/>
    <w:rsid w:val="00632CF1"/>
    <w:rsid w:val="00635D53"/>
    <w:rsid w:val="00640746"/>
    <w:rsid w:val="00641877"/>
    <w:rsid w:val="006428B8"/>
    <w:rsid w:val="00642BB9"/>
    <w:rsid w:val="006460C0"/>
    <w:rsid w:val="00646B80"/>
    <w:rsid w:val="006478E7"/>
    <w:rsid w:val="0065205D"/>
    <w:rsid w:val="00655378"/>
    <w:rsid w:val="0065758C"/>
    <w:rsid w:val="00661DF4"/>
    <w:rsid w:val="00663972"/>
    <w:rsid w:val="0066556D"/>
    <w:rsid w:val="00670C7B"/>
    <w:rsid w:val="00671B6E"/>
    <w:rsid w:val="00675416"/>
    <w:rsid w:val="006755E0"/>
    <w:rsid w:val="00676E07"/>
    <w:rsid w:val="00677AE3"/>
    <w:rsid w:val="0068392F"/>
    <w:rsid w:val="00685355"/>
    <w:rsid w:val="00685B6E"/>
    <w:rsid w:val="00686EED"/>
    <w:rsid w:val="00694F3E"/>
    <w:rsid w:val="006A1FF0"/>
    <w:rsid w:val="006A28C3"/>
    <w:rsid w:val="006A3ACF"/>
    <w:rsid w:val="006A467F"/>
    <w:rsid w:val="006A4824"/>
    <w:rsid w:val="006B09B8"/>
    <w:rsid w:val="006B2548"/>
    <w:rsid w:val="006C206D"/>
    <w:rsid w:val="006C215F"/>
    <w:rsid w:val="006C40AB"/>
    <w:rsid w:val="006C5A59"/>
    <w:rsid w:val="006C650D"/>
    <w:rsid w:val="006C76CD"/>
    <w:rsid w:val="006D14B0"/>
    <w:rsid w:val="006D574D"/>
    <w:rsid w:val="006E067B"/>
    <w:rsid w:val="006E19A9"/>
    <w:rsid w:val="006E3885"/>
    <w:rsid w:val="006E66B8"/>
    <w:rsid w:val="006F01C4"/>
    <w:rsid w:val="006F2E04"/>
    <w:rsid w:val="006F3046"/>
    <w:rsid w:val="006F305B"/>
    <w:rsid w:val="006F4AAA"/>
    <w:rsid w:val="00701F77"/>
    <w:rsid w:val="0070239A"/>
    <w:rsid w:val="00705702"/>
    <w:rsid w:val="00705DAD"/>
    <w:rsid w:val="00710FA1"/>
    <w:rsid w:val="0071107C"/>
    <w:rsid w:val="00713728"/>
    <w:rsid w:val="00717443"/>
    <w:rsid w:val="0072128E"/>
    <w:rsid w:val="007220B0"/>
    <w:rsid w:val="00723C80"/>
    <w:rsid w:val="00732B57"/>
    <w:rsid w:val="007346AC"/>
    <w:rsid w:val="00736C3F"/>
    <w:rsid w:val="0074046B"/>
    <w:rsid w:val="00740FA7"/>
    <w:rsid w:val="00742E87"/>
    <w:rsid w:val="00746F75"/>
    <w:rsid w:val="00751301"/>
    <w:rsid w:val="007537CA"/>
    <w:rsid w:val="00754E1B"/>
    <w:rsid w:val="0076147D"/>
    <w:rsid w:val="0076589E"/>
    <w:rsid w:val="0076740E"/>
    <w:rsid w:val="00770D7A"/>
    <w:rsid w:val="00772F2F"/>
    <w:rsid w:val="00773C4D"/>
    <w:rsid w:val="007740EA"/>
    <w:rsid w:val="007743B0"/>
    <w:rsid w:val="00780A8E"/>
    <w:rsid w:val="00784289"/>
    <w:rsid w:val="00785EFA"/>
    <w:rsid w:val="00786F83"/>
    <w:rsid w:val="00790065"/>
    <w:rsid w:val="007922A0"/>
    <w:rsid w:val="007946C7"/>
    <w:rsid w:val="00795017"/>
    <w:rsid w:val="00796D31"/>
    <w:rsid w:val="007A44E3"/>
    <w:rsid w:val="007A66C8"/>
    <w:rsid w:val="007B2D20"/>
    <w:rsid w:val="007B6141"/>
    <w:rsid w:val="007C01DB"/>
    <w:rsid w:val="007C57B8"/>
    <w:rsid w:val="007D2D2B"/>
    <w:rsid w:val="007D4036"/>
    <w:rsid w:val="007D6B83"/>
    <w:rsid w:val="007E19A7"/>
    <w:rsid w:val="007F0830"/>
    <w:rsid w:val="007F09CA"/>
    <w:rsid w:val="007F57A6"/>
    <w:rsid w:val="007F59FE"/>
    <w:rsid w:val="007F612C"/>
    <w:rsid w:val="007F707E"/>
    <w:rsid w:val="00805726"/>
    <w:rsid w:val="00810263"/>
    <w:rsid w:val="008133D1"/>
    <w:rsid w:val="0081785F"/>
    <w:rsid w:val="008238DC"/>
    <w:rsid w:val="00823C38"/>
    <w:rsid w:val="0082791D"/>
    <w:rsid w:val="00830468"/>
    <w:rsid w:val="00834726"/>
    <w:rsid w:val="008360A0"/>
    <w:rsid w:val="008405C5"/>
    <w:rsid w:val="00845549"/>
    <w:rsid w:val="00846DFD"/>
    <w:rsid w:val="0085133F"/>
    <w:rsid w:val="00853E9F"/>
    <w:rsid w:val="0085564B"/>
    <w:rsid w:val="008639C7"/>
    <w:rsid w:val="00864938"/>
    <w:rsid w:val="00872A20"/>
    <w:rsid w:val="00873BE1"/>
    <w:rsid w:val="00877A60"/>
    <w:rsid w:val="00877DAA"/>
    <w:rsid w:val="008828ED"/>
    <w:rsid w:val="00890A6A"/>
    <w:rsid w:val="00891488"/>
    <w:rsid w:val="008939B8"/>
    <w:rsid w:val="00896D1B"/>
    <w:rsid w:val="008A4FF3"/>
    <w:rsid w:val="008A585F"/>
    <w:rsid w:val="008A6625"/>
    <w:rsid w:val="008A6BB7"/>
    <w:rsid w:val="008A7910"/>
    <w:rsid w:val="008B1802"/>
    <w:rsid w:val="008B1E2F"/>
    <w:rsid w:val="008B2DC5"/>
    <w:rsid w:val="008C1200"/>
    <w:rsid w:val="008C36CB"/>
    <w:rsid w:val="008C4B3C"/>
    <w:rsid w:val="008D0CD7"/>
    <w:rsid w:val="008E0A27"/>
    <w:rsid w:val="008E3270"/>
    <w:rsid w:val="008E4C79"/>
    <w:rsid w:val="008E7DCC"/>
    <w:rsid w:val="008F13B0"/>
    <w:rsid w:val="008F1532"/>
    <w:rsid w:val="008F224C"/>
    <w:rsid w:val="008F2653"/>
    <w:rsid w:val="008F50F7"/>
    <w:rsid w:val="0090005D"/>
    <w:rsid w:val="00902E00"/>
    <w:rsid w:val="00906D30"/>
    <w:rsid w:val="00912660"/>
    <w:rsid w:val="00912D4F"/>
    <w:rsid w:val="0091472E"/>
    <w:rsid w:val="00914E57"/>
    <w:rsid w:val="00914F93"/>
    <w:rsid w:val="00916DA0"/>
    <w:rsid w:val="009250DA"/>
    <w:rsid w:val="00927448"/>
    <w:rsid w:val="00927767"/>
    <w:rsid w:val="00927773"/>
    <w:rsid w:val="009325A8"/>
    <w:rsid w:val="00933860"/>
    <w:rsid w:val="009352A8"/>
    <w:rsid w:val="00937A50"/>
    <w:rsid w:val="0094166F"/>
    <w:rsid w:val="00942AEA"/>
    <w:rsid w:val="009535C4"/>
    <w:rsid w:val="00953907"/>
    <w:rsid w:val="00954A0E"/>
    <w:rsid w:val="0095608A"/>
    <w:rsid w:val="0096261B"/>
    <w:rsid w:val="00965626"/>
    <w:rsid w:val="0096694A"/>
    <w:rsid w:val="00967188"/>
    <w:rsid w:val="009711DF"/>
    <w:rsid w:val="009724F1"/>
    <w:rsid w:val="00977672"/>
    <w:rsid w:val="00977CE3"/>
    <w:rsid w:val="00980216"/>
    <w:rsid w:val="009808AF"/>
    <w:rsid w:val="00993538"/>
    <w:rsid w:val="009A35A4"/>
    <w:rsid w:val="009A3F50"/>
    <w:rsid w:val="009A4C8E"/>
    <w:rsid w:val="009A65ED"/>
    <w:rsid w:val="009A6FCE"/>
    <w:rsid w:val="009B1EB0"/>
    <w:rsid w:val="009B2C34"/>
    <w:rsid w:val="009B31CC"/>
    <w:rsid w:val="009B40BD"/>
    <w:rsid w:val="009B46ED"/>
    <w:rsid w:val="009C0C5E"/>
    <w:rsid w:val="009C36AE"/>
    <w:rsid w:val="009C3B32"/>
    <w:rsid w:val="009C4AF2"/>
    <w:rsid w:val="009C4DA2"/>
    <w:rsid w:val="009C7F13"/>
    <w:rsid w:val="009D0653"/>
    <w:rsid w:val="009D0BFC"/>
    <w:rsid w:val="009D1012"/>
    <w:rsid w:val="009D4E1F"/>
    <w:rsid w:val="009D5914"/>
    <w:rsid w:val="009E1D30"/>
    <w:rsid w:val="009E46CC"/>
    <w:rsid w:val="009E7C9E"/>
    <w:rsid w:val="009F1C41"/>
    <w:rsid w:val="009F705B"/>
    <w:rsid w:val="00A03812"/>
    <w:rsid w:val="00A06E2C"/>
    <w:rsid w:val="00A10F43"/>
    <w:rsid w:val="00A12CF8"/>
    <w:rsid w:val="00A13856"/>
    <w:rsid w:val="00A1489F"/>
    <w:rsid w:val="00A14E62"/>
    <w:rsid w:val="00A20CF9"/>
    <w:rsid w:val="00A21BC0"/>
    <w:rsid w:val="00A3089B"/>
    <w:rsid w:val="00A317AC"/>
    <w:rsid w:val="00A32BE8"/>
    <w:rsid w:val="00A33126"/>
    <w:rsid w:val="00A33942"/>
    <w:rsid w:val="00A34407"/>
    <w:rsid w:val="00A401DB"/>
    <w:rsid w:val="00A44E41"/>
    <w:rsid w:val="00A57EFB"/>
    <w:rsid w:val="00A62163"/>
    <w:rsid w:val="00A62B18"/>
    <w:rsid w:val="00A637F8"/>
    <w:rsid w:val="00A63E58"/>
    <w:rsid w:val="00A65B04"/>
    <w:rsid w:val="00A670AF"/>
    <w:rsid w:val="00A71C1A"/>
    <w:rsid w:val="00A8178A"/>
    <w:rsid w:val="00A85561"/>
    <w:rsid w:val="00A90641"/>
    <w:rsid w:val="00A910A4"/>
    <w:rsid w:val="00A91AAE"/>
    <w:rsid w:val="00A95492"/>
    <w:rsid w:val="00A96B72"/>
    <w:rsid w:val="00A96D40"/>
    <w:rsid w:val="00AA483E"/>
    <w:rsid w:val="00AA60B3"/>
    <w:rsid w:val="00AB0368"/>
    <w:rsid w:val="00AB1502"/>
    <w:rsid w:val="00AB5BFE"/>
    <w:rsid w:val="00AC0145"/>
    <w:rsid w:val="00AC11DF"/>
    <w:rsid w:val="00AC3E54"/>
    <w:rsid w:val="00AC5313"/>
    <w:rsid w:val="00AD0957"/>
    <w:rsid w:val="00AD0A65"/>
    <w:rsid w:val="00AD3A4F"/>
    <w:rsid w:val="00AD60C8"/>
    <w:rsid w:val="00AD7536"/>
    <w:rsid w:val="00AE12AA"/>
    <w:rsid w:val="00AE2363"/>
    <w:rsid w:val="00AE4AE6"/>
    <w:rsid w:val="00AE6FE0"/>
    <w:rsid w:val="00AF4F94"/>
    <w:rsid w:val="00AF6211"/>
    <w:rsid w:val="00B049E0"/>
    <w:rsid w:val="00B10048"/>
    <w:rsid w:val="00B1372C"/>
    <w:rsid w:val="00B15282"/>
    <w:rsid w:val="00B15464"/>
    <w:rsid w:val="00B16C60"/>
    <w:rsid w:val="00B17B75"/>
    <w:rsid w:val="00B22B6D"/>
    <w:rsid w:val="00B231DF"/>
    <w:rsid w:val="00B253CD"/>
    <w:rsid w:val="00B27195"/>
    <w:rsid w:val="00B3390D"/>
    <w:rsid w:val="00B41E27"/>
    <w:rsid w:val="00B45B12"/>
    <w:rsid w:val="00B51088"/>
    <w:rsid w:val="00B52165"/>
    <w:rsid w:val="00B52292"/>
    <w:rsid w:val="00B5360A"/>
    <w:rsid w:val="00B62599"/>
    <w:rsid w:val="00B63DFA"/>
    <w:rsid w:val="00B6685D"/>
    <w:rsid w:val="00B66947"/>
    <w:rsid w:val="00B66DF4"/>
    <w:rsid w:val="00B70A9E"/>
    <w:rsid w:val="00B72896"/>
    <w:rsid w:val="00B72D7C"/>
    <w:rsid w:val="00B73AC5"/>
    <w:rsid w:val="00B7443A"/>
    <w:rsid w:val="00B80BEB"/>
    <w:rsid w:val="00B81B83"/>
    <w:rsid w:val="00B82A03"/>
    <w:rsid w:val="00B921D1"/>
    <w:rsid w:val="00B9551D"/>
    <w:rsid w:val="00BA4250"/>
    <w:rsid w:val="00BA67A1"/>
    <w:rsid w:val="00BB1698"/>
    <w:rsid w:val="00BB275D"/>
    <w:rsid w:val="00BB2DF1"/>
    <w:rsid w:val="00BB3207"/>
    <w:rsid w:val="00BB3915"/>
    <w:rsid w:val="00BB43A1"/>
    <w:rsid w:val="00BB4F14"/>
    <w:rsid w:val="00BC0903"/>
    <w:rsid w:val="00BC1348"/>
    <w:rsid w:val="00BC2599"/>
    <w:rsid w:val="00BC37BC"/>
    <w:rsid w:val="00BD04E5"/>
    <w:rsid w:val="00BE34F1"/>
    <w:rsid w:val="00BE4776"/>
    <w:rsid w:val="00BE6B2E"/>
    <w:rsid w:val="00BE7DEC"/>
    <w:rsid w:val="00BF00FA"/>
    <w:rsid w:val="00BF1A3C"/>
    <w:rsid w:val="00BF2D4A"/>
    <w:rsid w:val="00BF3B36"/>
    <w:rsid w:val="00BF4492"/>
    <w:rsid w:val="00BF4B1B"/>
    <w:rsid w:val="00BF738C"/>
    <w:rsid w:val="00BF799B"/>
    <w:rsid w:val="00C01929"/>
    <w:rsid w:val="00C045B3"/>
    <w:rsid w:val="00C05D31"/>
    <w:rsid w:val="00C05D39"/>
    <w:rsid w:val="00C2387F"/>
    <w:rsid w:val="00C23C90"/>
    <w:rsid w:val="00C277F7"/>
    <w:rsid w:val="00C33CDD"/>
    <w:rsid w:val="00C33DF1"/>
    <w:rsid w:val="00C36B83"/>
    <w:rsid w:val="00C40CC4"/>
    <w:rsid w:val="00C41FD8"/>
    <w:rsid w:val="00C47E52"/>
    <w:rsid w:val="00C54349"/>
    <w:rsid w:val="00C56033"/>
    <w:rsid w:val="00C61E5D"/>
    <w:rsid w:val="00C64764"/>
    <w:rsid w:val="00C65B98"/>
    <w:rsid w:val="00C71E24"/>
    <w:rsid w:val="00C72E92"/>
    <w:rsid w:val="00C74265"/>
    <w:rsid w:val="00C74AB1"/>
    <w:rsid w:val="00C84E1A"/>
    <w:rsid w:val="00C90B9E"/>
    <w:rsid w:val="00C91DAF"/>
    <w:rsid w:val="00C92D0E"/>
    <w:rsid w:val="00CA18A3"/>
    <w:rsid w:val="00CA502C"/>
    <w:rsid w:val="00CB4835"/>
    <w:rsid w:val="00CB68BB"/>
    <w:rsid w:val="00CC1070"/>
    <w:rsid w:val="00CC40E3"/>
    <w:rsid w:val="00CC5988"/>
    <w:rsid w:val="00CC7BA2"/>
    <w:rsid w:val="00CD0AAB"/>
    <w:rsid w:val="00CD558F"/>
    <w:rsid w:val="00CD77C4"/>
    <w:rsid w:val="00CE13CD"/>
    <w:rsid w:val="00CE1662"/>
    <w:rsid w:val="00CE1B13"/>
    <w:rsid w:val="00CE6118"/>
    <w:rsid w:val="00CF053B"/>
    <w:rsid w:val="00D00032"/>
    <w:rsid w:val="00D00CAD"/>
    <w:rsid w:val="00D01251"/>
    <w:rsid w:val="00D0321A"/>
    <w:rsid w:val="00D0590D"/>
    <w:rsid w:val="00D124FA"/>
    <w:rsid w:val="00D21182"/>
    <w:rsid w:val="00D220AB"/>
    <w:rsid w:val="00D2670B"/>
    <w:rsid w:val="00D26D2D"/>
    <w:rsid w:val="00D301C8"/>
    <w:rsid w:val="00D321F1"/>
    <w:rsid w:val="00D321FB"/>
    <w:rsid w:val="00D34944"/>
    <w:rsid w:val="00D354ED"/>
    <w:rsid w:val="00D37A3F"/>
    <w:rsid w:val="00D42FCF"/>
    <w:rsid w:val="00D441CC"/>
    <w:rsid w:val="00D50924"/>
    <w:rsid w:val="00D51B9C"/>
    <w:rsid w:val="00D51C44"/>
    <w:rsid w:val="00D51C77"/>
    <w:rsid w:val="00D52956"/>
    <w:rsid w:val="00D544F8"/>
    <w:rsid w:val="00D63BE9"/>
    <w:rsid w:val="00D65D3A"/>
    <w:rsid w:val="00D72510"/>
    <w:rsid w:val="00D73332"/>
    <w:rsid w:val="00D74ED1"/>
    <w:rsid w:val="00D80386"/>
    <w:rsid w:val="00D82E18"/>
    <w:rsid w:val="00D83062"/>
    <w:rsid w:val="00D84E12"/>
    <w:rsid w:val="00D85150"/>
    <w:rsid w:val="00D85A1B"/>
    <w:rsid w:val="00D867D5"/>
    <w:rsid w:val="00D873C0"/>
    <w:rsid w:val="00D931B9"/>
    <w:rsid w:val="00D95B62"/>
    <w:rsid w:val="00DA10BB"/>
    <w:rsid w:val="00DA1F65"/>
    <w:rsid w:val="00DA4A7A"/>
    <w:rsid w:val="00DB1583"/>
    <w:rsid w:val="00DB26FA"/>
    <w:rsid w:val="00DB3304"/>
    <w:rsid w:val="00DB7DFD"/>
    <w:rsid w:val="00DC0086"/>
    <w:rsid w:val="00DC1BEC"/>
    <w:rsid w:val="00DC3D86"/>
    <w:rsid w:val="00DC5486"/>
    <w:rsid w:val="00DC616A"/>
    <w:rsid w:val="00DD5372"/>
    <w:rsid w:val="00DE1DA2"/>
    <w:rsid w:val="00DE4478"/>
    <w:rsid w:val="00DE762F"/>
    <w:rsid w:val="00E00DCA"/>
    <w:rsid w:val="00E01349"/>
    <w:rsid w:val="00E03982"/>
    <w:rsid w:val="00E05172"/>
    <w:rsid w:val="00E10134"/>
    <w:rsid w:val="00E12138"/>
    <w:rsid w:val="00E134B2"/>
    <w:rsid w:val="00E13572"/>
    <w:rsid w:val="00E13B76"/>
    <w:rsid w:val="00E2296E"/>
    <w:rsid w:val="00E27B94"/>
    <w:rsid w:val="00E3093F"/>
    <w:rsid w:val="00E30C90"/>
    <w:rsid w:val="00E41489"/>
    <w:rsid w:val="00E460E9"/>
    <w:rsid w:val="00E470B0"/>
    <w:rsid w:val="00E50441"/>
    <w:rsid w:val="00E50543"/>
    <w:rsid w:val="00E5120D"/>
    <w:rsid w:val="00E51301"/>
    <w:rsid w:val="00E53DDE"/>
    <w:rsid w:val="00E54207"/>
    <w:rsid w:val="00E543A5"/>
    <w:rsid w:val="00E607F3"/>
    <w:rsid w:val="00E61E95"/>
    <w:rsid w:val="00E65236"/>
    <w:rsid w:val="00E7264A"/>
    <w:rsid w:val="00E73691"/>
    <w:rsid w:val="00E77F8B"/>
    <w:rsid w:val="00E81F70"/>
    <w:rsid w:val="00E874C8"/>
    <w:rsid w:val="00EA1939"/>
    <w:rsid w:val="00EA6747"/>
    <w:rsid w:val="00EA698E"/>
    <w:rsid w:val="00EB2457"/>
    <w:rsid w:val="00EB28D9"/>
    <w:rsid w:val="00EB3D89"/>
    <w:rsid w:val="00EB70B5"/>
    <w:rsid w:val="00EB7A05"/>
    <w:rsid w:val="00EC321B"/>
    <w:rsid w:val="00EC3630"/>
    <w:rsid w:val="00EC53B9"/>
    <w:rsid w:val="00EC5DB4"/>
    <w:rsid w:val="00ED2142"/>
    <w:rsid w:val="00ED68DC"/>
    <w:rsid w:val="00EE0445"/>
    <w:rsid w:val="00EE0D7A"/>
    <w:rsid w:val="00EE3811"/>
    <w:rsid w:val="00EE5689"/>
    <w:rsid w:val="00EE7301"/>
    <w:rsid w:val="00EF13EA"/>
    <w:rsid w:val="00EF54AD"/>
    <w:rsid w:val="00EF636E"/>
    <w:rsid w:val="00EF6F92"/>
    <w:rsid w:val="00F06023"/>
    <w:rsid w:val="00F11D94"/>
    <w:rsid w:val="00F2073A"/>
    <w:rsid w:val="00F27405"/>
    <w:rsid w:val="00F31BA4"/>
    <w:rsid w:val="00F34F5D"/>
    <w:rsid w:val="00F369D6"/>
    <w:rsid w:val="00F45955"/>
    <w:rsid w:val="00F533BC"/>
    <w:rsid w:val="00F53E54"/>
    <w:rsid w:val="00F56B72"/>
    <w:rsid w:val="00F57CAA"/>
    <w:rsid w:val="00F63A87"/>
    <w:rsid w:val="00F64DB8"/>
    <w:rsid w:val="00F660E8"/>
    <w:rsid w:val="00F70808"/>
    <w:rsid w:val="00F71B7C"/>
    <w:rsid w:val="00F746AC"/>
    <w:rsid w:val="00F758A8"/>
    <w:rsid w:val="00F80661"/>
    <w:rsid w:val="00F83037"/>
    <w:rsid w:val="00F8347D"/>
    <w:rsid w:val="00F872EE"/>
    <w:rsid w:val="00F9077F"/>
    <w:rsid w:val="00FA66D0"/>
    <w:rsid w:val="00FB2DEE"/>
    <w:rsid w:val="00FB47AB"/>
    <w:rsid w:val="00FB60E2"/>
    <w:rsid w:val="00FB7845"/>
    <w:rsid w:val="00FB7C71"/>
    <w:rsid w:val="00FC014C"/>
    <w:rsid w:val="00FD3461"/>
    <w:rsid w:val="00FD4842"/>
    <w:rsid w:val="00FD4C65"/>
    <w:rsid w:val="00FD4E33"/>
    <w:rsid w:val="00FD4FE5"/>
    <w:rsid w:val="00FE0ACE"/>
    <w:rsid w:val="00FE2409"/>
    <w:rsid w:val="00FF1D60"/>
    <w:rsid w:val="00FF36B5"/>
    <w:rsid w:val="00FF4E0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D9435B3"/>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B3C"/>
    <w:pPr>
      <w:spacing w:after="200" w:line="276" w:lineRule="auto"/>
    </w:pPr>
    <w:rPr>
      <w:rFonts w:ascii="Calibri" w:eastAsia="Calibri" w:hAnsi="Calibri" w:cs="Times New Roman"/>
    </w:rPr>
  </w:style>
  <w:style w:type="paragraph" w:styleId="Heading1">
    <w:name w:val="heading 1"/>
    <w:basedOn w:val="Heading10"/>
    <w:next w:val="Normal"/>
    <w:link w:val="Heading1Char"/>
    <w:uiPriority w:val="9"/>
    <w:qFormat/>
    <w:rsid w:val="008C4B3C"/>
    <w:pPr>
      <w:spacing w:before="1000"/>
      <w:jc w:val="center"/>
      <w:outlineLvl w:val="0"/>
    </w:pPr>
    <w:rPr>
      <w:sz w:val="72"/>
      <w:szCs w:val="72"/>
    </w:rPr>
  </w:style>
  <w:style w:type="paragraph" w:styleId="Heading2">
    <w:name w:val="heading 2"/>
    <w:basedOn w:val="Normal"/>
    <w:next w:val="Normal"/>
    <w:link w:val="Heading2Char"/>
    <w:uiPriority w:val="9"/>
    <w:unhideWhenUsed/>
    <w:qFormat/>
    <w:rsid w:val="004C7458"/>
    <w:pPr>
      <w:keepNext/>
      <w:keepLines/>
      <w:tabs>
        <w:tab w:val="left" w:pos="1701"/>
      </w:tabs>
      <w:spacing w:before="360" w:after="120" w:line="240" w:lineRule="auto"/>
      <w:outlineLvl w:val="1"/>
    </w:pPr>
    <w:rPr>
      <w:rFonts w:ascii="Franklin Gothic Medium" w:eastAsiaTheme="majorEastAsia" w:hAnsi="Franklin Gothic Medium" w:cstheme="majorBidi"/>
      <w:color w:val="000000" w:themeColor="text1"/>
      <w:sz w:val="32"/>
      <w:szCs w:val="26"/>
    </w:rPr>
  </w:style>
  <w:style w:type="paragraph" w:styleId="Heading3">
    <w:name w:val="heading 3"/>
    <w:basedOn w:val="Heading2"/>
    <w:next w:val="Normal"/>
    <w:link w:val="Heading3Char"/>
    <w:uiPriority w:val="9"/>
    <w:unhideWhenUsed/>
    <w:qFormat/>
    <w:rsid w:val="00713728"/>
    <w:pPr>
      <w:tabs>
        <w:tab w:val="clear" w:pos="1701"/>
      </w:tabs>
      <w:spacing w:line="276" w:lineRule="auto"/>
      <w:outlineLvl w:val="2"/>
    </w:pPr>
    <w:rPr>
      <w:rFonts w:ascii="Calibri" w:eastAsia="MS Gothic" w:hAnsi="Calibri" w:cs="Times New Roman"/>
      <w:b/>
      <w:bCs/>
      <w:i/>
      <w:color w:val="auto"/>
      <w:sz w:val="24"/>
      <w:szCs w:val="24"/>
    </w:rPr>
  </w:style>
  <w:style w:type="paragraph" w:styleId="Heading4">
    <w:name w:val="heading 4"/>
    <w:basedOn w:val="Normal"/>
    <w:next w:val="Normal"/>
    <w:link w:val="Heading4Char"/>
    <w:uiPriority w:val="9"/>
    <w:unhideWhenUsed/>
    <w:qFormat/>
    <w:rsid w:val="00D124FA"/>
    <w:pPr>
      <w:keepNext/>
      <w:keepLines/>
      <w:spacing w:before="40" w:after="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9"/>
    <w:unhideWhenUsed/>
    <w:qFormat/>
    <w:rsid w:val="005303E2"/>
    <w:pPr>
      <w:keepNext/>
      <w:keepLines/>
      <w:spacing w:before="40" w:after="0"/>
      <w:outlineLvl w:val="4"/>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478E7"/>
    <w:rPr>
      <w:rFonts w:ascii="Times New Roman" w:hAnsi="Times New Roman" w:cs="Times New Roman" w:hint="default"/>
      <w:color w:val="0000FF"/>
      <w:u w:val="single"/>
    </w:rPr>
  </w:style>
  <w:style w:type="paragraph" w:customStyle="1" w:styleId="Heading10">
    <w:name w:val="Heading1"/>
    <w:rsid w:val="006478E7"/>
    <w:pPr>
      <w:spacing w:after="200" w:line="240" w:lineRule="auto"/>
    </w:pPr>
    <w:rPr>
      <w:rFonts w:ascii="Calibri" w:eastAsia="Calibri" w:hAnsi="Calibri" w:cs="Calibri"/>
      <w:b/>
      <w:bCs/>
      <w:color w:val="000000"/>
      <w:sz w:val="36"/>
      <w:szCs w:val="36"/>
      <w:u w:color="000000"/>
      <w:lang w:val="en-US" w:eastAsia="en-AU"/>
    </w:rPr>
  </w:style>
  <w:style w:type="character" w:customStyle="1" w:styleId="Heading2Char">
    <w:name w:val="Heading 2 Char"/>
    <w:basedOn w:val="DefaultParagraphFont"/>
    <w:link w:val="Heading2"/>
    <w:uiPriority w:val="9"/>
    <w:rsid w:val="004C7458"/>
    <w:rPr>
      <w:rFonts w:ascii="Franklin Gothic Medium" w:eastAsiaTheme="majorEastAsia" w:hAnsi="Franklin Gothic Medium" w:cstheme="majorBidi"/>
      <w:color w:val="000000" w:themeColor="text1"/>
      <w:sz w:val="32"/>
      <w:szCs w:val="26"/>
    </w:rPr>
  </w:style>
  <w:style w:type="table" w:customStyle="1" w:styleId="TableGrid1">
    <w:name w:val="Table Grid1"/>
    <w:basedOn w:val="TableNormal"/>
    <w:uiPriority w:val="59"/>
    <w:rsid w:val="006478E7"/>
    <w:pPr>
      <w:spacing w:after="240" w:line="240" w:lineRule="auto"/>
      <w:ind w:left="720"/>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ES Paragraph,PBAC ES Paragraph,BulletPoints,Numbered para,List Paragraph1"/>
    <w:basedOn w:val="Normal"/>
    <w:link w:val="ListParagraphChar"/>
    <w:uiPriority w:val="34"/>
    <w:qFormat/>
    <w:rsid w:val="006478E7"/>
    <w:pPr>
      <w:ind w:left="720"/>
      <w:contextualSpacing/>
    </w:pPr>
  </w:style>
  <w:style w:type="table" w:styleId="TableGrid">
    <w:name w:val="Table Grid"/>
    <w:aliases w:val="Table Gridbeth,Summary box,HealthConsult"/>
    <w:basedOn w:val="TableNormal"/>
    <w:uiPriority w:val="59"/>
    <w:rsid w:val="002F3E40"/>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E01349"/>
    <w:pPr>
      <w:keepNext/>
      <w:spacing w:before="360" w:after="120" w:line="240" w:lineRule="auto"/>
      <w:ind w:left="709" w:hanging="709"/>
    </w:pPr>
    <w:rPr>
      <w:rFonts w:ascii="Arial Narrow" w:eastAsia="Times New Roman" w:hAnsi="Arial Narrow" w:cs="Tahoma"/>
      <w:b/>
      <w:sz w:val="20"/>
      <w:szCs w:val="20"/>
      <w:lang w:val="en-GB" w:eastAsia="ja-JP"/>
    </w:rPr>
  </w:style>
  <w:style w:type="paragraph" w:customStyle="1" w:styleId="TableHeading">
    <w:name w:val="TableHeading"/>
    <w:basedOn w:val="Normal"/>
    <w:link w:val="TableHeadingChar"/>
    <w:qFormat/>
    <w:rsid w:val="000939E0"/>
    <w:pPr>
      <w:keepNext/>
      <w:spacing w:before="40" w:after="40" w:line="240" w:lineRule="auto"/>
    </w:pPr>
    <w:rPr>
      <w:rFonts w:ascii="Arial Narrow" w:eastAsia="Times New Roman" w:hAnsi="Arial Narrow" w:cs="Tahoma"/>
      <w:b/>
      <w:sz w:val="20"/>
      <w:szCs w:val="20"/>
      <w:lang w:eastAsia="en-AU"/>
    </w:rPr>
  </w:style>
  <w:style w:type="character" w:customStyle="1" w:styleId="TableHeadingChar">
    <w:name w:val="TableHeading Char"/>
    <w:link w:val="TableHeading"/>
    <w:rsid w:val="000939E0"/>
    <w:rPr>
      <w:rFonts w:ascii="Arial Narrow" w:eastAsia="Times New Roman" w:hAnsi="Arial Narrow" w:cs="Tahoma"/>
      <w:b/>
      <w:sz w:val="20"/>
      <w:szCs w:val="20"/>
      <w:lang w:eastAsia="en-AU"/>
    </w:rPr>
  </w:style>
  <w:style w:type="paragraph" w:customStyle="1" w:styleId="Tabletext">
    <w:name w:val="Table text"/>
    <w:basedOn w:val="Normal"/>
    <w:link w:val="TabletextChar"/>
    <w:qFormat/>
    <w:rsid w:val="000939E0"/>
    <w:pPr>
      <w:spacing w:before="40" w:after="40" w:line="240" w:lineRule="auto"/>
    </w:pPr>
    <w:rPr>
      <w:rFonts w:ascii="Arial Narrow" w:eastAsia="Times New Roman" w:hAnsi="Arial Narrow" w:cs="Tahoma"/>
      <w:sz w:val="20"/>
      <w:szCs w:val="20"/>
      <w:lang w:eastAsia="en-AU"/>
    </w:rPr>
  </w:style>
  <w:style w:type="character" w:customStyle="1" w:styleId="TabletextChar">
    <w:name w:val="Table text Char"/>
    <w:link w:val="Tabletext"/>
    <w:rsid w:val="000939E0"/>
    <w:rPr>
      <w:rFonts w:ascii="Arial Narrow" w:eastAsia="Times New Roman" w:hAnsi="Arial Narrow" w:cs="Tahoma"/>
      <w:sz w:val="20"/>
      <w:szCs w:val="20"/>
      <w:lang w:eastAsia="en-AU"/>
    </w:rPr>
  </w:style>
  <w:style w:type="paragraph" w:customStyle="1" w:styleId="Tablenotes">
    <w:name w:val="Tablenotes"/>
    <w:basedOn w:val="Normal"/>
    <w:link w:val="TablenotesChar"/>
    <w:qFormat/>
    <w:rsid w:val="000939E0"/>
    <w:pPr>
      <w:widowControl w:val="0"/>
      <w:spacing w:after="120" w:line="240" w:lineRule="auto"/>
      <w:jc w:val="both"/>
    </w:pPr>
    <w:rPr>
      <w:rFonts w:ascii="Arial Narrow" w:eastAsia="Times New Roman" w:hAnsi="Arial Narrow" w:cs="Arial"/>
      <w:snapToGrid w:val="0"/>
      <w:sz w:val="18"/>
      <w:szCs w:val="20"/>
    </w:rPr>
  </w:style>
  <w:style w:type="character" w:customStyle="1" w:styleId="TablenotesChar">
    <w:name w:val="Tablenotes Char"/>
    <w:basedOn w:val="DefaultParagraphFont"/>
    <w:link w:val="Tablenotes"/>
    <w:rsid w:val="000939E0"/>
    <w:rPr>
      <w:rFonts w:ascii="Arial Narrow" w:eastAsia="Times New Roman" w:hAnsi="Arial Narrow" w:cs="Arial"/>
      <w:snapToGrid w:val="0"/>
      <w:sz w:val="18"/>
      <w:szCs w:val="20"/>
    </w:rPr>
  </w:style>
  <w:style w:type="paragraph" w:customStyle="1" w:styleId="TableName">
    <w:name w:val="TableName"/>
    <w:basedOn w:val="Normal"/>
    <w:qFormat/>
    <w:rsid w:val="00891488"/>
    <w:pPr>
      <w:keepNext/>
      <w:spacing w:after="240" w:line="240" w:lineRule="auto"/>
      <w:ind w:left="1134" w:hanging="1134"/>
    </w:pPr>
    <w:rPr>
      <w:rFonts w:ascii="Franklin Gothic Medium" w:eastAsiaTheme="minorHAnsi" w:hAnsi="Franklin Gothic Medium" w:cstheme="minorBidi"/>
    </w:rPr>
  </w:style>
  <w:style w:type="character" w:customStyle="1" w:styleId="ListParagraphChar">
    <w:name w:val="List Paragraph Char"/>
    <w:aliases w:val="ES Paragraph Char,PBAC ES Paragraph Char,BulletPoints Char,Numbered para Char,List Paragraph1 Char"/>
    <w:basedOn w:val="DefaultParagraphFont"/>
    <w:link w:val="ListParagraph"/>
    <w:uiPriority w:val="34"/>
    <w:qFormat/>
    <w:rsid w:val="00D867D5"/>
    <w:rPr>
      <w:rFonts w:ascii="Calibri" w:eastAsia="Calibri" w:hAnsi="Calibri" w:cs="Times New Roman"/>
    </w:rPr>
  </w:style>
  <w:style w:type="paragraph" w:styleId="Header">
    <w:name w:val="header"/>
    <w:basedOn w:val="Normal"/>
    <w:link w:val="HeaderChar"/>
    <w:uiPriority w:val="99"/>
    <w:unhideWhenUsed/>
    <w:rsid w:val="0016315C"/>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315C"/>
    <w:rPr>
      <w:rFonts w:ascii="Calibri" w:eastAsia="Calibri" w:hAnsi="Calibri" w:cs="Times New Roman"/>
    </w:rPr>
  </w:style>
  <w:style w:type="paragraph" w:styleId="Footer">
    <w:name w:val="footer"/>
    <w:basedOn w:val="Normal"/>
    <w:link w:val="FooterChar"/>
    <w:uiPriority w:val="99"/>
    <w:unhideWhenUsed/>
    <w:rsid w:val="0016315C"/>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315C"/>
    <w:rPr>
      <w:rFonts w:ascii="Calibri" w:eastAsia="Calibri" w:hAnsi="Calibri" w:cs="Times New Roman"/>
    </w:rPr>
  </w:style>
  <w:style w:type="paragraph" w:styleId="Subtitle">
    <w:name w:val="Subtitle"/>
    <w:basedOn w:val="Normal"/>
    <w:next w:val="Normal"/>
    <w:link w:val="SubtitleChar"/>
    <w:uiPriority w:val="11"/>
    <w:qFormat/>
    <w:rsid w:val="006F01C4"/>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6F01C4"/>
    <w:rPr>
      <w:rFonts w:eastAsiaTheme="minorEastAsia"/>
      <w:color w:val="5A5A5A" w:themeColor="text1" w:themeTint="A5"/>
      <w:spacing w:val="15"/>
    </w:rPr>
  </w:style>
  <w:style w:type="paragraph" w:styleId="BalloonText">
    <w:name w:val="Balloon Text"/>
    <w:basedOn w:val="Normal"/>
    <w:link w:val="BalloonTextChar"/>
    <w:uiPriority w:val="99"/>
    <w:semiHidden/>
    <w:unhideWhenUsed/>
    <w:rsid w:val="00A3312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126"/>
    <w:rPr>
      <w:rFonts w:ascii="Segoe UI" w:eastAsia="Calibri" w:hAnsi="Segoe UI" w:cs="Segoe UI"/>
      <w:sz w:val="18"/>
      <w:szCs w:val="18"/>
    </w:rPr>
  </w:style>
  <w:style w:type="character" w:styleId="CommentReference">
    <w:name w:val="annotation reference"/>
    <w:aliases w:val="Table Title"/>
    <w:basedOn w:val="DefaultParagraphFont"/>
    <w:uiPriority w:val="99"/>
    <w:unhideWhenUsed/>
    <w:qFormat/>
    <w:rsid w:val="00D84E12"/>
    <w:rPr>
      <w:sz w:val="16"/>
      <w:szCs w:val="16"/>
    </w:rPr>
  </w:style>
  <w:style w:type="paragraph" w:styleId="CommentText">
    <w:name w:val="annotation text"/>
    <w:basedOn w:val="Normal"/>
    <w:link w:val="CommentTextChar"/>
    <w:uiPriority w:val="99"/>
    <w:unhideWhenUsed/>
    <w:rsid w:val="00D84E12"/>
    <w:pPr>
      <w:spacing w:line="240" w:lineRule="auto"/>
    </w:pPr>
    <w:rPr>
      <w:sz w:val="20"/>
      <w:szCs w:val="20"/>
    </w:rPr>
  </w:style>
  <w:style w:type="character" w:customStyle="1" w:styleId="CommentTextChar">
    <w:name w:val="Comment Text Char"/>
    <w:basedOn w:val="DefaultParagraphFont"/>
    <w:link w:val="CommentText"/>
    <w:uiPriority w:val="99"/>
    <w:rsid w:val="00D84E1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D84E12"/>
    <w:rPr>
      <w:b/>
      <w:bCs/>
    </w:rPr>
  </w:style>
  <w:style w:type="character" w:customStyle="1" w:styleId="CommentSubjectChar">
    <w:name w:val="Comment Subject Char"/>
    <w:basedOn w:val="CommentTextChar"/>
    <w:link w:val="CommentSubject"/>
    <w:uiPriority w:val="99"/>
    <w:semiHidden/>
    <w:rsid w:val="00D84E12"/>
    <w:rPr>
      <w:rFonts w:ascii="Calibri" w:eastAsia="Calibri" w:hAnsi="Calibri" w:cs="Times New Roman"/>
      <w:b/>
      <w:bCs/>
      <w:sz w:val="20"/>
      <w:szCs w:val="20"/>
    </w:rPr>
  </w:style>
  <w:style w:type="character" w:styleId="FollowedHyperlink">
    <w:name w:val="FollowedHyperlink"/>
    <w:basedOn w:val="DefaultParagraphFont"/>
    <w:uiPriority w:val="99"/>
    <w:semiHidden/>
    <w:unhideWhenUsed/>
    <w:rsid w:val="008C4B3C"/>
    <w:rPr>
      <w:color w:val="954F72" w:themeColor="followedHyperlink"/>
      <w:u w:val="single"/>
    </w:rPr>
  </w:style>
  <w:style w:type="character" w:customStyle="1" w:styleId="Heading1Char">
    <w:name w:val="Heading 1 Char"/>
    <w:basedOn w:val="DefaultParagraphFont"/>
    <w:link w:val="Heading1"/>
    <w:uiPriority w:val="9"/>
    <w:rsid w:val="008C4B3C"/>
    <w:rPr>
      <w:rFonts w:ascii="Calibri" w:eastAsia="Calibri" w:hAnsi="Calibri" w:cs="Calibri"/>
      <w:b/>
      <w:bCs/>
      <w:color w:val="000000"/>
      <w:sz w:val="72"/>
      <w:szCs w:val="72"/>
      <w:u w:color="000000"/>
      <w:lang w:val="en-US" w:eastAsia="en-AU"/>
    </w:rPr>
  </w:style>
  <w:style w:type="paragraph" w:customStyle="1" w:styleId="Instructionaltext">
    <w:name w:val="Instructional text"/>
    <w:basedOn w:val="Normal"/>
    <w:link w:val="InstructionaltextChar"/>
    <w:qFormat/>
    <w:rsid w:val="006A467F"/>
    <w:pPr>
      <w:spacing w:before="120" w:after="160" w:line="259" w:lineRule="auto"/>
    </w:pPr>
    <w:rPr>
      <w:rFonts w:eastAsiaTheme="minorHAnsi" w:cstheme="minorBidi"/>
      <w:color w:val="258221"/>
    </w:rPr>
  </w:style>
  <w:style w:type="character" w:customStyle="1" w:styleId="InstructionaltextChar">
    <w:name w:val="Instructional text Char"/>
    <w:basedOn w:val="DefaultParagraphFont"/>
    <w:link w:val="Instructionaltext"/>
    <w:rsid w:val="006A467F"/>
    <w:rPr>
      <w:rFonts w:ascii="Calibri" w:hAnsi="Calibri"/>
      <w:color w:val="258221"/>
    </w:rPr>
  </w:style>
  <w:style w:type="character" w:customStyle="1" w:styleId="Heading3Char">
    <w:name w:val="Heading 3 Char"/>
    <w:basedOn w:val="DefaultParagraphFont"/>
    <w:link w:val="Heading3"/>
    <w:uiPriority w:val="9"/>
    <w:rsid w:val="00713728"/>
    <w:rPr>
      <w:rFonts w:ascii="Calibri" w:eastAsia="MS Gothic" w:hAnsi="Calibri" w:cs="Times New Roman"/>
      <w:b/>
      <w:bCs/>
      <w:i/>
      <w:sz w:val="24"/>
      <w:szCs w:val="24"/>
    </w:rPr>
  </w:style>
  <w:style w:type="paragraph" w:customStyle="1" w:styleId="Instructionaltext-bullet">
    <w:name w:val="Instructional text - bullet"/>
    <w:basedOn w:val="Instructionaltext"/>
    <w:qFormat/>
    <w:rsid w:val="006A467F"/>
    <w:pPr>
      <w:numPr>
        <w:numId w:val="1"/>
      </w:numPr>
      <w:spacing w:before="0" w:after="0"/>
    </w:pPr>
  </w:style>
  <w:style w:type="paragraph" w:customStyle="1" w:styleId="Guidelinescross-ref">
    <w:name w:val="Guidelines cross-ref"/>
    <w:basedOn w:val="Normal"/>
    <w:qFormat/>
    <w:rsid w:val="00E01349"/>
    <w:pPr>
      <w:keepNext/>
      <w:spacing w:before="240" w:after="240" w:line="259" w:lineRule="auto"/>
    </w:pPr>
    <w:rPr>
      <w:rFonts w:eastAsiaTheme="minorHAnsi" w:cstheme="minorBidi"/>
      <w:b/>
      <w:color w:val="0070C0"/>
      <w:sz w:val="24"/>
    </w:rPr>
  </w:style>
  <w:style w:type="paragraph" w:customStyle="1" w:styleId="Instructionaltext-afterfiguretable">
    <w:name w:val="Instructional text - after figure/table"/>
    <w:basedOn w:val="Instructionaltext"/>
    <w:qFormat/>
    <w:rsid w:val="00E01349"/>
    <w:pPr>
      <w:spacing w:before="360"/>
    </w:pPr>
  </w:style>
  <w:style w:type="paragraph" w:styleId="Revision">
    <w:name w:val="Revision"/>
    <w:hidden/>
    <w:uiPriority w:val="99"/>
    <w:semiHidden/>
    <w:rsid w:val="004E3ABF"/>
    <w:pPr>
      <w:spacing w:after="0" w:line="240" w:lineRule="auto"/>
    </w:pPr>
    <w:rPr>
      <w:rFonts w:ascii="Calibri" w:eastAsia="Calibri" w:hAnsi="Calibri" w:cs="Times New Roman"/>
    </w:rPr>
  </w:style>
  <w:style w:type="paragraph" w:customStyle="1" w:styleId="TableText0">
    <w:name w:val="Table Text"/>
    <w:basedOn w:val="Normal"/>
    <w:link w:val="TableTextChar0"/>
    <w:qFormat/>
    <w:rsid w:val="000D1FCF"/>
    <w:pPr>
      <w:spacing w:before="40" w:after="40" w:line="240" w:lineRule="auto"/>
    </w:pPr>
    <w:rPr>
      <w:rFonts w:ascii="Arial Narrow" w:eastAsiaTheme="minorHAnsi" w:hAnsi="Arial Narrow" w:cstheme="minorBidi"/>
      <w:sz w:val="20"/>
    </w:rPr>
  </w:style>
  <w:style w:type="character" w:customStyle="1" w:styleId="TableTextChar0">
    <w:name w:val="Table Text Char"/>
    <w:basedOn w:val="DefaultParagraphFont"/>
    <w:link w:val="TableText0"/>
    <w:rsid w:val="000D1FCF"/>
    <w:rPr>
      <w:rFonts w:ascii="Arial Narrow" w:hAnsi="Arial Narrow"/>
      <w:sz w:val="20"/>
    </w:rPr>
  </w:style>
  <w:style w:type="character" w:styleId="PageNumber">
    <w:name w:val="page number"/>
    <w:basedOn w:val="DefaultParagraphFont"/>
    <w:uiPriority w:val="99"/>
    <w:semiHidden/>
    <w:unhideWhenUsed/>
    <w:rsid w:val="00685355"/>
  </w:style>
  <w:style w:type="paragraph" w:styleId="FootnoteText">
    <w:name w:val="footnote text"/>
    <w:basedOn w:val="Normal"/>
    <w:link w:val="FootnoteTextChar"/>
    <w:uiPriority w:val="99"/>
    <w:unhideWhenUsed/>
    <w:rsid w:val="00477B33"/>
    <w:pPr>
      <w:spacing w:after="0" w:line="240" w:lineRule="auto"/>
    </w:pPr>
    <w:rPr>
      <w:sz w:val="20"/>
      <w:szCs w:val="20"/>
    </w:rPr>
  </w:style>
  <w:style w:type="character" w:customStyle="1" w:styleId="FootnoteTextChar">
    <w:name w:val="Footnote Text Char"/>
    <w:basedOn w:val="DefaultParagraphFont"/>
    <w:link w:val="FootnoteText"/>
    <w:uiPriority w:val="99"/>
    <w:rsid w:val="00477B33"/>
    <w:rPr>
      <w:rFonts w:ascii="Calibri" w:eastAsia="Calibri" w:hAnsi="Calibri" w:cs="Times New Roman"/>
      <w:sz w:val="20"/>
      <w:szCs w:val="20"/>
    </w:rPr>
  </w:style>
  <w:style w:type="character" w:styleId="FootnoteReference">
    <w:name w:val="footnote reference"/>
    <w:basedOn w:val="DefaultParagraphFont"/>
    <w:uiPriority w:val="99"/>
    <w:unhideWhenUsed/>
    <w:rsid w:val="00477B33"/>
    <w:rPr>
      <w:vertAlign w:val="superscript"/>
    </w:rPr>
  </w:style>
  <w:style w:type="paragraph" w:customStyle="1" w:styleId="Default">
    <w:name w:val="Default"/>
    <w:rsid w:val="00896D1B"/>
    <w:pPr>
      <w:autoSpaceDE w:val="0"/>
      <w:autoSpaceDN w:val="0"/>
      <w:adjustRightInd w:val="0"/>
      <w:spacing w:after="0" w:line="240" w:lineRule="auto"/>
    </w:pPr>
    <w:rPr>
      <w:rFonts w:ascii="Calibri" w:hAnsi="Calibri" w:cs="Calibri"/>
      <w:color w:val="000000"/>
      <w:sz w:val="24"/>
      <w:szCs w:val="24"/>
    </w:rPr>
  </w:style>
  <w:style w:type="paragraph" w:customStyle="1" w:styleId="EndNoteBibliography">
    <w:name w:val="EndNote Bibliography"/>
    <w:basedOn w:val="Normal"/>
    <w:link w:val="EndNoteBibliographyChar"/>
    <w:rsid w:val="00B72D7C"/>
    <w:pPr>
      <w:spacing w:before="120" w:after="120" w:line="240" w:lineRule="auto"/>
    </w:pPr>
    <w:rPr>
      <w:rFonts w:eastAsiaTheme="minorHAnsi" w:cs="Calibri"/>
      <w:noProof/>
      <w:sz w:val="20"/>
      <w:lang w:val="en-US"/>
    </w:rPr>
  </w:style>
  <w:style w:type="character" w:customStyle="1" w:styleId="EndNoteBibliographyChar">
    <w:name w:val="EndNote Bibliography Char"/>
    <w:basedOn w:val="DefaultParagraphFont"/>
    <w:link w:val="EndNoteBibliography"/>
    <w:rsid w:val="00B72D7C"/>
    <w:rPr>
      <w:rFonts w:ascii="Calibri" w:hAnsi="Calibri" w:cs="Calibri"/>
      <w:noProof/>
      <w:sz w:val="20"/>
      <w:lang w:val="en-US"/>
    </w:rPr>
  </w:style>
  <w:style w:type="character" w:customStyle="1" w:styleId="UnresolvedMention1">
    <w:name w:val="Unresolved Mention1"/>
    <w:basedOn w:val="DefaultParagraphFont"/>
    <w:uiPriority w:val="99"/>
    <w:semiHidden/>
    <w:unhideWhenUsed/>
    <w:rsid w:val="00754E1B"/>
    <w:rPr>
      <w:color w:val="605E5C"/>
      <w:shd w:val="clear" w:color="auto" w:fill="E1DFDD"/>
    </w:rPr>
  </w:style>
  <w:style w:type="paragraph" w:styleId="EndnoteText">
    <w:name w:val="endnote text"/>
    <w:basedOn w:val="Normal"/>
    <w:link w:val="EndnoteTextChar"/>
    <w:uiPriority w:val="99"/>
    <w:semiHidden/>
    <w:unhideWhenUsed/>
    <w:rsid w:val="009C36A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C36AE"/>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9C36AE"/>
    <w:rPr>
      <w:vertAlign w:val="superscript"/>
    </w:rPr>
  </w:style>
  <w:style w:type="character" w:customStyle="1" w:styleId="titledefault">
    <w:name w:val="title_default"/>
    <w:basedOn w:val="DefaultParagraphFont"/>
    <w:rsid w:val="00DB7DFD"/>
  </w:style>
  <w:style w:type="character" w:customStyle="1" w:styleId="sr-only">
    <w:name w:val="sr-only"/>
    <w:basedOn w:val="DefaultParagraphFont"/>
    <w:rsid w:val="00DB7DFD"/>
  </w:style>
  <w:style w:type="character" w:customStyle="1" w:styleId="Heading4Char">
    <w:name w:val="Heading 4 Char"/>
    <w:basedOn w:val="DefaultParagraphFont"/>
    <w:link w:val="Heading4"/>
    <w:uiPriority w:val="9"/>
    <w:rsid w:val="00D124FA"/>
    <w:rPr>
      <w:rFonts w:asciiTheme="majorHAnsi" w:eastAsiaTheme="majorEastAsia" w:hAnsiTheme="majorHAnsi" w:cstheme="majorBidi"/>
      <w:i/>
      <w:iCs/>
    </w:rPr>
  </w:style>
  <w:style w:type="paragraph" w:customStyle="1" w:styleId="MDPI31text">
    <w:name w:val="MDPI_3.1_text"/>
    <w:qFormat/>
    <w:rsid w:val="000D7105"/>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character" w:customStyle="1" w:styleId="Heading5Char">
    <w:name w:val="Heading 5 Char"/>
    <w:basedOn w:val="DefaultParagraphFont"/>
    <w:link w:val="Heading5"/>
    <w:uiPriority w:val="9"/>
    <w:rsid w:val="005303E2"/>
    <w:rPr>
      <w:rFonts w:asciiTheme="majorHAnsi" w:eastAsiaTheme="majorEastAsia" w:hAnsiTheme="majorHAnsi" w:cs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400520">
      <w:bodyDiv w:val="1"/>
      <w:marLeft w:val="0"/>
      <w:marRight w:val="0"/>
      <w:marTop w:val="0"/>
      <w:marBottom w:val="0"/>
      <w:divBdr>
        <w:top w:val="none" w:sz="0" w:space="0" w:color="auto"/>
        <w:left w:val="none" w:sz="0" w:space="0" w:color="auto"/>
        <w:bottom w:val="none" w:sz="0" w:space="0" w:color="auto"/>
        <w:right w:val="none" w:sz="0" w:space="0" w:color="auto"/>
      </w:divBdr>
    </w:div>
    <w:div w:id="116920213">
      <w:bodyDiv w:val="1"/>
      <w:marLeft w:val="0"/>
      <w:marRight w:val="0"/>
      <w:marTop w:val="0"/>
      <w:marBottom w:val="0"/>
      <w:divBdr>
        <w:top w:val="none" w:sz="0" w:space="0" w:color="auto"/>
        <w:left w:val="none" w:sz="0" w:space="0" w:color="auto"/>
        <w:bottom w:val="none" w:sz="0" w:space="0" w:color="auto"/>
        <w:right w:val="none" w:sz="0" w:space="0" w:color="auto"/>
      </w:divBdr>
    </w:div>
    <w:div w:id="129174960">
      <w:bodyDiv w:val="1"/>
      <w:marLeft w:val="0"/>
      <w:marRight w:val="0"/>
      <w:marTop w:val="0"/>
      <w:marBottom w:val="0"/>
      <w:divBdr>
        <w:top w:val="none" w:sz="0" w:space="0" w:color="auto"/>
        <w:left w:val="none" w:sz="0" w:space="0" w:color="auto"/>
        <w:bottom w:val="none" w:sz="0" w:space="0" w:color="auto"/>
        <w:right w:val="none" w:sz="0" w:space="0" w:color="auto"/>
      </w:divBdr>
    </w:div>
    <w:div w:id="189033646">
      <w:bodyDiv w:val="1"/>
      <w:marLeft w:val="0"/>
      <w:marRight w:val="0"/>
      <w:marTop w:val="0"/>
      <w:marBottom w:val="0"/>
      <w:divBdr>
        <w:top w:val="none" w:sz="0" w:space="0" w:color="auto"/>
        <w:left w:val="none" w:sz="0" w:space="0" w:color="auto"/>
        <w:bottom w:val="none" w:sz="0" w:space="0" w:color="auto"/>
        <w:right w:val="none" w:sz="0" w:space="0" w:color="auto"/>
      </w:divBdr>
    </w:div>
    <w:div w:id="283466083">
      <w:bodyDiv w:val="1"/>
      <w:marLeft w:val="0"/>
      <w:marRight w:val="0"/>
      <w:marTop w:val="0"/>
      <w:marBottom w:val="0"/>
      <w:divBdr>
        <w:top w:val="none" w:sz="0" w:space="0" w:color="auto"/>
        <w:left w:val="none" w:sz="0" w:space="0" w:color="auto"/>
        <w:bottom w:val="none" w:sz="0" w:space="0" w:color="auto"/>
        <w:right w:val="none" w:sz="0" w:space="0" w:color="auto"/>
      </w:divBdr>
    </w:div>
    <w:div w:id="348264063">
      <w:bodyDiv w:val="1"/>
      <w:marLeft w:val="0"/>
      <w:marRight w:val="0"/>
      <w:marTop w:val="0"/>
      <w:marBottom w:val="0"/>
      <w:divBdr>
        <w:top w:val="none" w:sz="0" w:space="0" w:color="auto"/>
        <w:left w:val="none" w:sz="0" w:space="0" w:color="auto"/>
        <w:bottom w:val="none" w:sz="0" w:space="0" w:color="auto"/>
        <w:right w:val="none" w:sz="0" w:space="0" w:color="auto"/>
      </w:divBdr>
    </w:div>
    <w:div w:id="378169523">
      <w:bodyDiv w:val="1"/>
      <w:marLeft w:val="0"/>
      <w:marRight w:val="0"/>
      <w:marTop w:val="0"/>
      <w:marBottom w:val="0"/>
      <w:divBdr>
        <w:top w:val="none" w:sz="0" w:space="0" w:color="auto"/>
        <w:left w:val="none" w:sz="0" w:space="0" w:color="auto"/>
        <w:bottom w:val="none" w:sz="0" w:space="0" w:color="auto"/>
        <w:right w:val="none" w:sz="0" w:space="0" w:color="auto"/>
      </w:divBdr>
    </w:div>
    <w:div w:id="402030214">
      <w:bodyDiv w:val="1"/>
      <w:marLeft w:val="0"/>
      <w:marRight w:val="0"/>
      <w:marTop w:val="0"/>
      <w:marBottom w:val="0"/>
      <w:divBdr>
        <w:top w:val="none" w:sz="0" w:space="0" w:color="auto"/>
        <w:left w:val="none" w:sz="0" w:space="0" w:color="auto"/>
        <w:bottom w:val="none" w:sz="0" w:space="0" w:color="auto"/>
        <w:right w:val="none" w:sz="0" w:space="0" w:color="auto"/>
      </w:divBdr>
    </w:div>
    <w:div w:id="510267069">
      <w:bodyDiv w:val="1"/>
      <w:marLeft w:val="0"/>
      <w:marRight w:val="0"/>
      <w:marTop w:val="0"/>
      <w:marBottom w:val="0"/>
      <w:divBdr>
        <w:top w:val="none" w:sz="0" w:space="0" w:color="auto"/>
        <w:left w:val="none" w:sz="0" w:space="0" w:color="auto"/>
        <w:bottom w:val="none" w:sz="0" w:space="0" w:color="auto"/>
        <w:right w:val="none" w:sz="0" w:space="0" w:color="auto"/>
      </w:divBdr>
    </w:div>
    <w:div w:id="557087695">
      <w:bodyDiv w:val="1"/>
      <w:marLeft w:val="0"/>
      <w:marRight w:val="0"/>
      <w:marTop w:val="0"/>
      <w:marBottom w:val="0"/>
      <w:divBdr>
        <w:top w:val="none" w:sz="0" w:space="0" w:color="auto"/>
        <w:left w:val="none" w:sz="0" w:space="0" w:color="auto"/>
        <w:bottom w:val="none" w:sz="0" w:space="0" w:color="auto"/>
        <w:right w:val="none" w:sz="0" w:space="0" w:color="auto"/>
      </w:divBdr>
    </w:div>
    <w:div w:id="573322541">
      <w:bodyDiv w:val="1"/>
      <w:marLeft w:val="0"/>
      <w:marRight w:val="0"/>
      <w:marTop w:val="0"/>
      <w:marBottom w:val="0"/>
      <w:divBdr>
        <w:top w:val="none" w:sz="0" w:space="0" w:color="auto"/>
        <w:left w:val="none" w:sz="0" w:space="0" w:color="auto"/>
        <w:bottom w:val="none" w:sz="0" w:space="0" w:color="auto"/>
        <w:right w:val="none" w:sz="0" w:space="0" w:color="auto"/>
      </w:divBdr>
    </w:div>
    <w:div w:id="674844703">
      <w:bodyDiv w:val="1"/>
      <w:marLeft w:val="0"/>
      <w:marRight w:val="0"/>
      <w:marTop w:val="0"/>
      <w:marBottom w:val="0"/>
      <w:divBdr>
        <w:top w:val="none" w:sz="0" w:space="0" w:color="auto"/>
        <w:left w:val="none" w:sz="0" w:space="0" w:color="auto"/>
        <w:bottom w:val="none" w:sz="0" w:space="0" w:color="auto"/>
        <w:right w:val="none" w:sz="0" w:space="0" w:color="auto"/>
      </w:divBdr>
    </w:div>
    <w:div w:id="688532201">
      <w:bodyDiv w:val="1"/>
      <w:marLeft w:val="0"/>
      <w:marRight w:val="0"/>
      <w:marTop w:val="0"/>
      <w:marBottom w:val="0"/>
      <w:divBdr>
        <w:top w:val="none" w:sz="0" w:space="0" w:color="auto"/>
        <w:left w:val="none" w:sz="0" w:space="0" w:color="auto"/>
        <w:bottom w:val="none" w:sz="0" w:space="0" w:color="auto"/>
        <w:right w:val="none" w:sz="0" w:space="0" w:color="auto"/>
      </w:divBdr>
    </w:div>
    <w:div w:id="943922892">
      <w:bodyDiv w:val="1"/>
      <w:marLeft w:val="0"/>
      <w:marRight w:val="0"/>
      <w:marTop w:val="0"/>
      <w:marBottom w:val="0"/>
      <w:divBdr>
        <w:top w:val="none" w:sz="0" w:space="0" w:color="auto"/>
        <w:left w:val="none" w:sz="0" w:space="0" w:color="auto"/>
        <w:bottom w:val="none" w:sz="0" w:space="0" w:color="auto"/>
        <w:right w:val="none" w:sz="0" w:space="0" w:color="auto"/>
      </w:divBdr>
    </w:div>
    <w:div w:id="949510375">
      <w:bodyDiv w:val="1"/>
      <w:marLeft w:val="0"/>
      <w:marRight w:val="0"/>
      <w:marTop w:val="0"/>
      <w:marBottom w:val="0"/>
      <w:divBdr>
        <w:top w:val="none" w:sz="0" w:space="0" w:color="auto"/>
        <w:left w:val="none" w:sz="0" w:space="0" w:color="auto"/>
        <w:bottom w:val="none" w:sz="0" w:space="0" w:color="auto"/>
        <w:right w:val="none" w:sz="0" w:space="0" w:color="auto"/>
      </w:divBdr>
    </w:div>
    <w:div w:id="1023242140">
      <w:bodyDiv w:val="1"/>
      <w:marLeft w:val="0"/>
      <w:marRight w:val="0"/>
      <w:marTop w:val="0"/>
      <w:marBottom w:val="0"/>
      <w:divBdr>
        <w:top w:val="none" w:sz="0" w:space="0" w:color="auto"/>
        <w:left w:val="none" w:sz="0" w:space="0" w:color="auto"/>
        <w:bottom w:val="none" w:sz="0" w:space="0" w:color="auto"/>
        <w:right w:val="none" w:sz="0" w:space="0" w:color="auto"/>
      </w:divBdr>
    </w:div>
    <w:div w:id="1123814143">
      <w:bodyDiv w:val="1"/>
      <w:marLeft w:val="0"/>
      <w:marRight w:val="0"/>
      <w:marTop w:val="0"/>
      <w:marBottom w:val="0"/>
      <w:divBdr>
        <w:top w:val="none" w:sz="0" w:space="0" w:color="auto"/>
        <w:left w:val="none" w:sz="0" w:space="0" w:color="auto"/>
        <w:bottom w:val="none" w:sz="0" w:space="0" w:color="auto"/>
        <w:right w:val="none" w:sz="0" w:space="0" w:color="auto"/>
      </w:divBdr>
    </w:div>
    <w:div w:id="1258444929">
      <w:bodyDiv w:val="1"/>
      <w:marLeft w:val="0"/>
      <w:marRight w:val="0"/>
      <w:marTop w:val="0"/>
      <w:marBottom w:val="0"/>
      <w:divBdr>
        <w:top w:val="none" w:sz="0" w:space="0" w:color="auto"/>
        <w:left w:val="none" w:sz="0" w:space="0" w:color="auto"/>
        <w:bottom w:val="none" w:sz="0" w:space="0" w:color="auto"/>
        <w:right w:val="none" w:sz="0" w:space="0" w:color="auto"/>
      </w:divBdr>
    </w:div>
    <w:div w:id="1320959386">
      <w:bodyDiv w:val="1"/>
      <w:marLeft w:val="0"/>
      <w:marRight w:val="0"/>
      <w:marTop w:val="0"/>
      <w:marBottom w:val="0"/>
      <w:divBdr>
        <w:top w:val="none" w:sz="0" w:space="0" w:color="auto"/>
        <w:left w:val="none" w:sz="0" w:space="0" w:color="auto"/>
        <w:bottom w:val="none" w:sz="0" w:space="0" w:color="auto"/>
        <w:right w:val="none" w:sz="0" w:space="0" w:color="auto"/>
      </w:divBdr>
    </w:div>
    <w:div w:id="1511987132">
      <w:bodyDiv w:val="1"/>
      <w:marLeft w:val="0"/>
      <w:marRight w:val="0"/>
      <w:marTop w:val="0"/>
      <w:marBottom w:val="0"/>
      <w:divBdr>
        <w:top w:val="none" w:sz="0" w:space="0" w:color="auto"/>
        <w:left w:val="none" w:sz="0" w:space="0" w:color="auto"/>
        <w:bottom w:val="none" w:sz="0" w:space="0" w:color="auto"/>
        <w:right w:val="none" w:sz="0" w:space="0" w:color="auto"/>
      </w:divBdr>
    </w:div>
    <w:div w:id="1559246317">
      <w:bodyDiv w:val="1"/>
      <w:marLeft w:val="0"/>
      <w:marRight w:val="0"/>
      <w:marTop w:val="0"/>
      <w:marBottom w:val="0"/>
      <w:divBdr>
        <w:top w:val="none" w:sz="0" w:space="0" w:color="auto"/>
        <w:left w:val="none" w:sz="0" w:space="0" w:color="auto"/>
        <w:bottom w:val="none" w:sz="0" w:space="0" w:color="auto"/>
        <w:right w:val="none" w:sz="0" w:space="0" w:color="auto"/>
      </w:divBdr>
    </w:div>
    <w:div w:id="1618946012">
      <w:bodyDiv w:val="1"/>
      <w:marLeft w:val="0"/>
      <w:marRight w:val="0"/>
      <w:marTop w:val="0"/>
      <w:marBottom w:val="0"/>
      <w:divBdr>
        <w:top w:val="none" w:sz="0" w:space="0" w:color="auto"/>
        <w:left w:val="none" w:sz="0" w:space="0" w:color="auto"/>
        <w:bottom w:val="none" w:sz="0" w:space="0" w:color="auto"/>
        <w:right w:val="none" w:sz="0" w:space="0" w:color="auto"/>
      </w:divBdr>
    </w:div>
    <w:div w:id="1689982625">
      <w:bodyDiv w:val="1"/>
      <w:marLeft w:val="0"/>
      <w:marRight w:val="0"/>
      <w:marTop w:val="0"/>
      <w:marBottom w:val="0"/>
      <w:divBdr>
        <w:top w:val="none" w:sz="0" w:space="0" w:color="auto"/>
        <w:left w:val="none" w:sz="0" w:space="0" w:color="auto"/>
        <w:bottom w:val="none" w:sz="0" w:space="0" w:color="auto"/>
        <w:right w:val="none" w:sz="0" w:space="0" w:color="auto"/>
      </w:divBdr>
    </w:div>
    <w:div w:id="1774010678">
      <w:bodyDiv w:val="1"/>
      <w:marLeft w:val="0"/>
      <w:marRight w:val="0"/>
      <w:marTop w:val="0"/>
      <w:marBottom w:val="0"/>
      <w:divBdr>
        <w:top w:val="none" w:sz="0" w:space="0" w:color="auto"/>
        <w:left w:val="none" w:sz="0" w:space="0" w:color="auto"/>
        <w:bottom w:val="none" w:sz="0" w:space="0" w:color="auto"/>
        <w:right w:val="none" w:sz="0" w:space="0" w:color="auto"/>
      </w:divBdr>
    </w:div>
    <w:div w:id="1776095209">
      <w:bodyDiv w:val="1"/>
      <w:marLeft w:val="0"/>
      <w:marRight w:val="0"/>
      <w:marTop w:val="0"/>
      <w:marBottom w:val="0"/>
      <w:divBdr>
        <w:top w:val="none" w:sz="0" w:space="0" w:color="auto"/>
        <w:left w:val="none" w:sz="0" w:space="0" w:color="auto"/>
        <w:bottom w:val="none" w:sz="0" w:space="0" w:color="auto"/>
        <w:right w:val="none" w:sz="0" w:space="0" w:color="auto"/>
      </w:divBdr>
    </w:div>
    <w:div w:id="1875774498">
      <w:bodyDiv w:val="1"/>
      <w:marLeft w:val="0"/>
      <w:marRight w:val="0"/>
      <w:marTop w:val="0"/>
      <w:marBottom w:val="0"/>
      <w:divBdr>
        <w:top w:val="none" w:sz="0" w:space="0" w:color="auto"/>
        <w:left w:val="none" w:sz="0" w:space="0" w:color="auto"/>
        <w:bottom w:val="none" w:sz="0" w:space="0" w:color="auto"/>
        <w:right w:val="none" w:sz="0" w:space="0" w:color="auto"/>
      </w:divBdr>
    </w:div>
    <w:div w:id="2032880099">
      <w:bodyDiv w:val="1"/>
      <w:marLeft w:val="0"/>
      <w:marRight w:val="0"/>
      <w:marTop w:val="0"/>
      <w:marBottom w:val="0"/>
      <w:divBdr>
        <w:top w:val="none" w:sz="0" w:space="0" w:color="auto"/>
        <w:left w:val="none" w:sz="0" w:space="0" w:color="auto"/>
        <w:bottom w:val="none" w:sz="0" w:space="0" w:color="auto"/>
        <w:right w:val="none" w:sz="0" w:space="0" w:color="auto"/>
      </w:divBdr>
    </w:div>
    <w:div w:id="204991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package" Target="embeddings/Microsoft_Visio_Drawing.vsdx"/><Relationship Id="rId3" Type="http://schemas.openxmlformats.org/officeDocument/2006/relationships/styles" Target="styles.xml"/><Relationship Id="rId21" Type="http://schemas.openxmlformats.org/officeDocument/2006/relationships/hyperlink" Target="https://www.proteomics.com.au/wp-content/uploads/2021-ISPOR-Poster-and-Announcements.pdf"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https://www.abs.gov.au/statistics/health/health-conditions-and-risks/national-health-survey-first-results/latest-releas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10" Type="http://schemas.openxmlformats.org/officeDocument/2006/relationships/image" Target="media/image3.emf"/><Relationship Id="rId19" Type="http://schemas.openxmlformats.org/officeDocument/2006/relationships/hyperlink" Target="https://www.aihw.gov.au/reports/chronic-kidney-disease/chronic-kidney-disease/contents/what-is-chronic-kidney-diseas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Nat18</b:Tag>
    <b:SourceType>InternetSite</b:SourceType>
    <b:Guid>{D66EC206-20BA-4F72-8E4A-3A8D22C14EE5}</b:Guid>
    <b:Title>National Health Survey</b:Title>
    <b:Year>2017-18</b:Year>
    <b:URL>https://www.abs.gov.au/statistics/health/health-conditions-and-risks/national-health-survey-first-results/latest-release#chronic-conditions</b:URL>
    <b:RefOrder>1</b:RefOrder>
  </b:Source>
</b:Sources>
</file>

<file path=customXml/itemProps1.xml><?xml version="1.0" encoding="utf-8"?>
<ds:datastoreItem xmlns:ds="http://schemas.openxmlformats.org/officeDocument/2006/customXml" ds:itemID="{9F03A5CC-ECB0-4227-9DDA-972C92F05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12951</Words>
  <Characters>73826</Characters>
  <Application>Microsoft Office Word</Application>
  <DocSecurity>4</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2022-02-14T00:03:00Z</dcterms:created>
  <dcterms:modified xsi:type="dcterms:W3CDTF">2022-02-14T00:03:00Z</dcterms:modified>
</cp:coreProperties>
</file>