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3F59" w14:textId="5FCC4AFF" w:rsidR="00E44B80" w:rsidRPr="00F637B3" w:rsidRDefault="00566496" w:rsidP="00E44B80">
      <w:pPr>
        <w:jc w:val="center"/>
        <w:rPr>
          <w:b/>
          <w:szCs w:val="20"/>
        </w:rPr>
      </w:pPr>
      <w:r>
        <w:rPr>
          <w:b/>
          <w:szCs w:val="20"/>
        </w:rPr>
        <w:t xml:space="preserve">  </w:t>
      </w:r>
    </w:p>
    <w:p w14:paraId="7F1B9D45" w14:textId="4828F256" w:rsidR="0056015F" w:rsidRDefault="00F643F2" w:rsidP="00325441">
      <w:pPr>
        <w:pStyle w:val="Title"/>
        <w:spacing w:before="2600"/>
      </w:pPr>
      <w:r>
        <w:t xml:space="preserve">MSAC </w:t>
      </w:r>
      <w:r w:rsidR="008B2610" w:rsidRPr="001906CD">
        <w:t xml:space="preserve">Application </w:t>
      </w:r>
      <w:r>
        <w:t>1728</w:t>
      </w:r>
    </w:p>
    <w:p w14:paraId="616D6224" w14:textId="55FAB098" w:rsidR="0056015F" w:rsidRPr="0056015F" w:rsidRDefault="00701B18" w:rsidP="00325441">
      <w:pPr>
        <w:pStyle w:val="TitleBlue"/>
        <w:spacing w:before="840" w:after="840"/>
      </w:pPr>
      <w:proofErr w:type="spellStart"/>
      <w:r>
        <w:t>Etranacogene</w:t>
      </w:r>
      <w:proofErr w:type="spellEnd"/>
      <w:r>
        <w:t xml:space="preserve"> </w:t>
      </w:r>
      <w:proofErr w:type="spellStart"/>
      <w:r>
        <w:t>dezaparvovec</w:t>
      </w:r>
      <w:proofErr w:type="spellEnd"/>
      <w:r>
        <w:t xml:space="preserve"> for</w:t>
      </w:r>
      <w:r w:rsidR="001214C9">
        <w:t xml:space="preserve"> the</w:t>
      </w:r>
      <w:r>
        <w:t xml:space="preserve"> treatment of </w:t>
      </w:r>
      <w:r w:rsidR="00231007">
        <w:t>H</w:t>
      </w:r>
      <w:r>
        <w:t>aemophilia B</w:t>
      </w:r>
    </w:p>
    <w:p w14:paraId="7530B240"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6833498B"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129942EC"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1CA92104" w14:textId="77777777" w:rsidR="009F5758" w:rsidRPr="00154B00" w:rsidRDefault="009F5758" w:rsidP="003F7CB9">
      <w:pPr>
        <w:spacing w:before="0" w:after="0"/>
      </w:pPr>
    </w:p>
    <w:p w14:paraId="1F6462A8" w14:textId="77777777" w:rsidR="009F5758" w:rsidRPr="00154B00" w:rsidRDefault="009F5758" w:rsidP="003F7CB9">
      <w:pPr>
        <w:spacing w:before="0" w:after="0"/>
      </w:pPr>
      <w:r w:rsidRPr="00154B00">
        <w:t xml:space="preserve">Email:  </w:t>
      </w:r>
      <w:hyperlink r:id="rId11" w:tooltip="click here to email the Department of Health HTA Team" w:history="1">
        <w:r w:rsidRPr="00154B00">
          <w:rPr>
            <w:rStyle w:val="Hyperlink"/>
            <w:szCs w:val="20"/>
          </w:rPr>
          <w:t>hta@health.gov.au</w:t>
        </w:r>
      </w:hyperlink>
    </w:p>
    <w:p w14:paraId="69299674" w14:textId="77777777" w:rsidR="009F5758" w:rsidRPr="00154B00" w:rsidRDefault="009F5758" w:rsidP="003F7CB9">
      <w:pPr>
        <w:spacing w:before="0" w:after="0"/>
      </w:pPr>
      <w:r w:rsidRPr="00154B00">
        <w:t xml:space="preserve">Website:  </w:t>
      </w:r>
      <w:hyperlink r:id="rId12"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7B7DCEA8" w14:textId="1CBE83E0"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46E002A"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B090BEC" w14:textId="53D5DD59" w:rsidR="00C171FB" w:rsidRPr="00BA0E3B" w:rsidRDefault="00C171FB" w:rsidP="00C171FB">
      <w:pPr>
        <w:pBdr>
          <w:top w:val="single" w:sz="4" w:space="1" w:color="auto"/>
          <w:left w:val="single" w:sz="4" w:space="4" w:color="auto"/>
          <w:bottom w:val="single" w:sz="4" w:space="1" w:color="auto"/>
          <w:right w:val="single" w:sz="4" w:space="4" w:color="auto"/>
        </w:pBdr>
      </w:pPr>
      <w:r>
        <w:t xml:space="preserve">Corporation / </w:t>
      </w:r>
      <w:r w:rsidRPr="00BA0E3B">
        <w:t xml:space="preserve">partnership details (where relevant): </w:t>
      </w:r>
    </w:p>
    <w:p w14:paraId="6205A3C0" w14:textId="3D9050B5" w:rsidR="00BA0E3B" w:rsidRPr="00BA0E3B" w:rsidRDefault="00C171FB" w:rsidP="00BA0E3B">
      <w:pPr>
        <w:pBdr>
          <w:top w:val="single" w:sz="4" w:space="1" w:color="auto"/>
          <w:left w:val="single" w:sz="4" w:space="4" w:color="auto"/>
          <w:bottom w:val="single" w:sz="4" w:space="1" w:color="auto"/>
          <w:right w:val="single" w:sz="4" w:space="4" w:color="auto"/>
        </w:pBdr>
      </w:pPr>
      <w:r w:rsidRPr="00BA0E3B">
        <w:t xml:space="preserve">Corporation name: </w:t>
      </w:r>
      <w:r w:rsidR="00BA0E3B" w:rsidRPr="00BA0E3B">
        <w:t>CSL Behring (Australia) Pty Ltd</w:t>
      </w:r>
    </w:p>
    <w:p w14:paraId="0D67E847" w14:textId="4B963D08" w:rsidR="00BA0E3B" w:rsidRPr="00BA0E3B" w:rsidRDefault="00BA0E3B" w:rsidP="00BA0E3B">
      <w:pPr>
        <w:pBdr>
          <w:top w:val="single" w:sz="4" w:space="1" w:color="auto"/>
          <w:left w:val="single" w:sz="4" w:space="4" w:color="auto"/>
          <w:bottom w:val="single" w:sz="4" w:space="1" w:color="auto"/>
          <w:right w:val="single" w:sz="4" w:space="4" w:color="auto"/>
        </w:pBdr>
      </w:pPr>
      <w:r w:rsidRPr="00BA0E3B">
        <w:t>ABN: 48 160 734 761</w:t>
      </w:r>
    </w:p>
    <w:p w14:paraId="453DFB20" w14:textId="7B09AB5F" w:rsidR="00C171FB" w:rsidRPr="00BA0E3B" w:rsidRDefault="00BA0E3B" w:rsidP="00BA0E3B">
      <w:pPr>
        <w:pBdr>
          <w:top w:val="single" w:sz="4" w:space="1" w:color="auto"/>
          <w:left w:val="single" w:sz="4" w:space="4" w:color="auto"/>
          <w:bottom w:val="single" w:sz="4" w:space="1" w:color="auto"/>
          <w:right w:val="single" w:sz="4" w:space="4" w:color="auto"/>
        </w:pBdr>
      </w:pPr>
      <w:r w:rsidRPr="00BA0E3B">
        <w:t>Business trading name: CSL Behring (Australia) Pty Ltd</w:t>
      </w:r>
    </w:p>
    <w:p w14:paraId="75D7D895" w14:textId="5F62D130" w:rsidR="00C171FB" w:rsidRPr="00C171FB" w:rsidRDefault="00C171FB" w:rsidP="00C171FB">
      <w:pPr>
        <w:rPr>
          <w:b/>
        </w:rPr>
      </w:pPr>
      <w:r>
        <w:rPr>
          <w:b/>
        </w:rPr>
        <w:t xml:space="preserve">Primary contact name: </w:t>
      </w:r>
      <w:r w:rsidR="000C6679" w:rsidRPr="000C6679">
        <w:rPr>
          <w:b/>
          <w:bCs/>
        </w:rPr>
        <w:t>REDACTED</w:t>
      </w:r>
    </w:p>
    <w:p w14:paraId="749CC3C9"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61912012" w14:textId="77777777" w:rsidR="000C6679" w:rsidRDefault="00C171FB" w:rsidP="00C171FB">
      <w:pPr>
        <w:pBdr>
          <w:top w:val="single" w:sz="4" w:space="1" w:color="auto"/>
          <w:left w:val="single" w:sz="4" w:space="4" w:color="auto"/>
          <w:bottom w:val="single" w:sz="4" w:space="1" w:color="auto"/>
          <w:right w:val="single" w:sz="4" w:space="4" w:color="auto"/>
        </w:pBdr>
      </w:pPr>
      <w:r w:rsidRPr="000A67D8">
        <w:t xml:space="preserve">Business: </w:t>
      </w:r>
      <w:r w:rsidR="000C6679" w:rsidRPr="000C6679">
        <w:rPr>
          <w:b/>
          <w:bCs/>
        </w:rPr>
        <w:t>REDACTED</w:t>
      </w:r>
      <w:r w:rsidR="000C6679">
        <w:t xml:space="preserve"> </w:t>
      </w:r>
    </w:p>
    <w:p w14:paraId="28DE7506" w14:textId="625CC5E5"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0C6679" w:rsidRPr="000C6679">
        <w:rPr>
          <w:b/>
          <w:bCs/>
        </w:rPr>
        <w:t>REDACTED</w:t>
      </w:r>
    </w:p>
    <w:p w14:paraId="793C33E7" w14:textId="21575459"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0C6679" w:rsidRPr="000C6679">
        <w:rPr>
          <w:b/>
          <w:bCs/>
        </w:rPr>
        <w:t>REDACTED</w:t>
      </w:r>
    </w:p>
    <w:p w14:paraId="15A02520" w14:textId="77777777" w:rsidR="00C171FB" w:rsidRDefault="00C171FB" w:rsidP="00C171FB">
      <w:pPr>
        <w:rPr>
          <w:b/>
        </w:rPr>
      </w:pPr>
    </w:p>
    <w:p w14:paraId="3BBCE802" w14:textId="60A8B898" w:rsidR="00C171FB" w:rsidRPr="00C171FB" w:rsidRDefault="00C171FB" w:rsidP="00C171FB">
      <w:pPr>
        <w:rPr>
          <w:b/>
        </w:rPr>
      </w:pPr>
      <w:r>
        <w:rPr>
          <w:b/>
        </w:rPr>
        <w:t xml:space="preserve">Alternative contact name: </w:t>
      </w:r>
      <w:r w:rsidR="000C6679" w:rsidRPr="000C6679">
        <w:rPr>
          <w:b/>
          <w:bCs/>
        </w:rPr>
        <w:t>REDACTED</w:t>
      </w:r>
    </w:p>
    <w:p w14:paraId="591D7515" w14:textId="77777777" w:rsidR="00C171FB" w:rsidRDefault="00C171FB" w:rsidP="00B92D2B">
      <w:pPr>
        <w:pBdr>
          <w:top w:val="single" w:sz="4" w:space="1" w:color="auto"/>
          <w:left w:val="single" w:sz="4" w:space="4" w:color="auto"/>
          <w:bottom w:val="single" w:sz="4" w:space="0" w:color="auto"/>
          <w:right w:val="single" w:sz="4" w:space="4" w:color="auto"/>
        </w:pBdr>
      </w:pPr>
      <w:r>
        <w:t>Alternative contact numbers</w:t>
      </w:r>
      <w:r>
        <w:tab/>
      </w:r>
    </w:p>
    <w:p w14:paraId="5A219718" w14:textId="043DE067" w:rsidR="00C171FB" w:rsidRDefault="00C171FB" w:rsidP="00B92D2B">
      <w:pPr>
        <w:pBdr>
          <w:top w:val="single" w:sz="4" w:space="1" w:color="auto"/>
          <w:left w:val="single" w:sz="4" w:space="4" w:color="auto"/>
          <w:bottom w:val="single" w:sz="4" w:space="0" w:color="auto"/>
          <w:right w:val="single" w:sz="4" w:space="4" w:color="auto"/>
        </w:pBdr>
      </w:pPr>
      <w:r>
        <w:t xml:space="preserve">Business: </w:t>
      </w:r>
      <w:r w:rsidR="000C6679" w:rsidRPr="000C6679">
        <w:rPr>
          <w:b/>
          <w:bCs/>
        </w:rPr>
        <w:t>REDACTED</w:t>
      </w:r>
    </w:p>
    <w:p w14:paraId="55AE6635" w14:textId="5424222F" w:rsidR="00C171FB" w:rsidRDefault="00C171FB" w:rsidP="00B92D2B">
      <w:pPr>
        <w:pBdr>
          <w:top w:val="single" w:sz="4" w:space="1" w:color="auto"/>
          <w:left w:val="single" w:sz="4" w:space="4" w:color="auto"/>
          <w:bottom w:val="single" w:sz="4" w:space="0" w:color="auto"/>
          <w:right w:val="single" w:sz="4" w:space="4" w:color="auto"/>
        </w:pBdr>
      </w:pPr>
      <w:r>
        <w:t xml:space="preserve">Mobile: </w:t>
      </w:r>
      <w:r w:rsidR="000C6679" w:rsidRPr="000C6679">
        <w:rPr>
          <w:b/>
          <w:bCs/>
        </w:rPr>
        <w:t>REDACTED</w:t>
      </w:r>
    </w:p>
    <w:p w14:paraId="1E93EE13" w14:textId="67BA076E" w:rsidR="00C171FB" w:rsidRDefault="00C171FB" w:rsidP="00B92D2B">
      <w:pPr>
        <w:pBdr>
          <w:top w:val="single" w:sz="4" w:space="1" w:color="auto"/>
          <w:left w:val="single" w:sz="4" w:space="4" w:color="auto"/>
          <w:bottom w:val="single" w:sz="4" w:space="0" w:color="auto"/>
          <w:right w:val="single" w:sz="4" w:space="4" w:color="auto"/>
        </w:pBdr>
      </w:pPr>
      <w:r>
        <w:t xml:space="preserve">Email: </w:t>
      </w:r>
      <w:hyperlink r:id="rId13" w:history="1">
        <w:r w:rsidR="000C6679" w:rsidRPr="000C6679">
          <w:rPr>
            <w:b/>
            <w:bCs/>
          </w:rPr>
          <w:t>REDACTED</w:t>
        </w:r>
        <w:r w:rsidR="000C6679">
          <w:rPr>
            <w:noProof/>
            <w:highlight w:val="yellow"/>
          </w:rPr>
          <w:t xml:space="preserve"> </w:t>
        </w:r>
      </w:hyperlink>
    </w:p>
    <w:p w14:paraId="2C211B2E" w14:textId="77777777" w:rsidR="00C171FB" w:rsidRPr="00C171FB" w:rsidRDefault="00C171FB" w:rsidP="00C171FB"/>
    <w:p w14:paraId="08CE583B" w14:textId="2A4672AA" w:rsidR="002B144A" w:rsidRPr="00162415" w:rsidRDefault="00AD2E85" w:rsidP="00162415">
      <w:pPr>
        <w:pStyle w:val="Heading2"/>
      </w:pPr>
      <w:r>
        <w:t xml:space="preserve">(a) </w:t>
      </w:r>
      <w:r w:rsidRPr="00AD2E85">
        <w:t>Are you a consultant acting on behalf on an applicant?</w:t>
      </w:r>
    </w:p>
    <w:p w14:paraId="7BED5BF2" w14:textId="54177583" w:rsidR="002B144A" w:rsidRPr="00162415" w:rsidRDefault="002B144A">
      <w:pPr>
        <w:spacing w:before="0" w:after="0"/>
        <w:ind w:left="426"/>
        <w:rPr>
          <w:bCs/>
          <w:szCs w:val="20"/>
        </w:rPr>
      </w:pPr>
      <w:r w:rsidRPr="002B144A">
        <w:rPr>
          <w:bCs/>
          <w:szCs w:val="20"/>
        </w:rPr>
        <w:fldChar w:fldCharType="begin">
          <w:ffData>
            <w:name w:val="Check1"/>
            <w:enabled/>
            <w:calcOnExit w:val="0"/>
            <w:checkBox>
              <w:sizeAuto/>
              <w:default w:val="0"/>
            </w:checkBox>
          </w:ffData>
        </w:fldChar>
      </w:r>
      <w:r w:rsidRPr="002B144A">
        <w:rPr>
          <w:bCs/>
          <w:szCs w:val="20"/>
        </w:rPr>
        <w:instrText xml:space="preserve"> FORMCHECKBOX </w:instrText>
      </w:r>
      <w:r w:rsidR="008D3120">
        <w:rPr>
          <w:bCs/>
          <w:szCs w:val="20"/>
        </w:rPr>
      </w:r>
      <w:r w:rsidR="008D3120">
        <w:rPr>
          <w:bCs/>
          <w:szCs w:val="20"/>
        </w:rPr>
        <w:fldChar w:fldCharType="separate"/>
      </w:r>
      <w:r w:rsidRPr="002B144A">
        <w:rPr>
          <w:szCs w:val="20"/>
        </w:rPr>
        <w:fldChar w:fldCharType="end"/>
      </w:r>
      <w:r w:rsidRPr="002B144A">
        <w:rPr>
          <w:bCs/>
          <w:szCs w:val="20"/>
        </w:rPr>
        <w:t xml:space="preserve"> Yes</w:t>
      </w:r>
    </w:p>
    <w:p w14:paraId="424CC29C" w14:textId="0BE397D4" w:rsidR="00AD2E85" w:rsidRDefault="006F29B9" w:rsidP="00AD2E85">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8D3120">
        <w:rPr>
          <w:szCs w:val="20"/>
        </w:rPr>
      </w:r>
      <w:r w:rsidR="008D3120">
        <w:rPr>
          <w:szCs w:val="20"/>
        </w:rPr>
        <w:fldChar w:fldCharType="separate"/>
      </w:r>
      <w:r>
        <w:rPr>
          <w:szCs w:val="20"/>
        </w:rPr>
        <w:fldChar w:fldCharType="end"/>
      </w:r>
      <w:bookmarkEnd w:id="1"/>
      <w:r w:rsidR="00AD2E85">
        <w:rPr>
          <w:szCs w:val="20"/>
        </w:rPr>
        <w:t xml:space="preserve"> No</w:t>
      </w:r>
      <w:r w:rsidR="00AD2E85" w:rsidRPr="00753C44">
        <w:rPr>
          <w:szCs w:val="20"/>
        </w:rPr>
        <w:t xml:space="preserve">  </w:t>
      </w:r>
    </w:p>
    <w:p w14:paraId="354463E7" w14:textId="77777777" w:rsidR="00BE3C53" w:rsidRDefault="00BE3C53" w:rsidP="00AD2E85">
      <w:pPr>
        <w:spacing w:before="0" w:after="0"/>
        <w:ind w:left="426"/>
        <w:rPr>
          <w:szCs w:val="20"/>
        </w:rPr>
      </w:pPr>
    </w:p>
    <w:p w14:paraId="4483E217" w14:textId="77777777" w:rsidR="00BE3C53" w:rsidRPr="00BE3C53" w:rsidRDefault="00BE3C53" w:rsidP="00BE3C53">
      <w:pPr>
        <w:spacing w:before="0" w:after="0"/>
        <w:ind w:left="426"/>
        <w:rPr>
          <w:b/>
          <w:bCs/>
          <w:szCs w:val="20"/>
        </w:rPr>
      </w:pPr>
      <w:r w:rsidRPr="00BE3C53">
        <w:rPr>
          <w:b/>
          <w:bCs/>
          <w:szCs w:val="20"/>
        </w:rPr>
        <w:t>(b) If yes what is the Applicant(s) name that you are acting on behalf of?</w:t>
      </w:r>
    </w:p>
    <w:p w14:paraId="1F806A73" w14:textId="2B3F6E3A" w:rsidR="00BE3C53" w:rsidRPr="00753C44" w:rsidRDefault="003002E2" w:rsidP="00CE3292">
      <w:pPr>
        <w:spacing w:before="0" w:after="0"/>
        <w:ind w:left="426"/>
        <w:rPr>
          <w:szCs w:val="20"/>
        </w:rPr>
      </w:pPr>
      <w:r w:rsidRPr="003002E2">
        <w:rPr>
          <w:szCs w:val="20"/>
        </w:rPr>
        <w:t>Not relevant</w:t>
      </w:r>
      <w:r w:rsidR="00BE3C53" w:rsidRPr="00BE3C53">
        <w:rPr>
          <w:szCs w:val="20"/>
        </w:rPr>
        <w:t xml:space="preserve"> </w:t>
      </w:r>
    </w:p>
    <w:p w14:paraId="793486D7" w14:textId="77777777" w:rsidR="00534C5F" w:rsidRPr="00154B00" w:rsidRDefault="00494011" w:rsidP="004A0BF4">
      <w:pPr>
        <w:pStyle w:val="Heading2"/>
      </w:pPr>
      <w:r>
        <w:t xml:space="preserve">(a) </w:t>
      </w:r>
      <w:r w:rsidR="00534C5F">
        <w:t>Are you a lobbyist acting on behalf of an Applicant?</w:t>
      </w:r>
    </w:p>
    <w:p w14:paraId="709655E6" w14:textId="77777777" w:rsidR="00EF2AF0" w:rsidRPr="000D5FE5" w:rsidRDefault="00EF2AF0" w:rsidP="00EF2AF0">
      <w:pPr>
        <w:spacing w:before="0" w:after="0"/>
        <w:ind w:left="426"/>
        <w:rPr>
          <w:bCs/>
          <w:szCs w:val="20"/>
        </w:rPr>
      </w:pPr>
      <w:r w:rsidRPr="002B144A">
        <w:rPr>
          <w:bCs/>
          <w:szCs w:val="20"/>
        </w:rPr>
        <w:fldChar w:fldCharType="begin">
          <w:ffData>
            <w:name w:val="Check1"/>
            <w:enabled/>
            <w:calcOnExit w:val="0"/>
            <w:checkBox>
              <w:sizeAuto/>
              <w:default w:val="0"/>
            </w:checkBox>
          </w:ffData>
        </w:fldChar>
      </w:r>
      <w:r w:rsidRPr="002B144A">
        <w:rPr>
          <w:bCs/>
          <w:szCs w:val="20"/>
        </w:rPr>
        <w:instrText xml:space="preserve"> FORMCHECKBOX </w:instrText>
      </w:r>
      <w:r w:rsidR="008D3120">
        <w:rPr>
          <w:bCs/>
          <w:szCs w:val="20"/>
        </w:rPr>
      </w:r>
      <w:r w:rsidR="008D3120">
        <w:rPr>
          <w:bCs/>
          <w:szCs w:val="20"/>
        </w:rPr>
        <w:fldChar w:fldCharType="separate"/>
      </w:r>
      <w:r w:rsidRPr="002B144A">
        <w:rPr>
          <w:szCs w:val="20"/>
        </w:rPr>
        <w:fldChar w:fldCharType="end"/>
      </w:r>
      <w:r w:rsidRPr="002B144A">
        <w:rPr>
          <w:bCs/>
          <w:szCs w:val="20"/>
        </w:rPr>
        <w:t xml:space="preserve"> Yes</w:t>
      </w:r>
    </w:p>
    <w:p w14:paraId="526A39A9" w14:textId="53640B1C" w:rsidR="00EF2AF0" w:rsidRDefault="00EF2AF0" w:rsidP="00EF2AF0">
      <w:pPr>
        <w:spacing w:before="0" w:after="0"/>
        <w:ind w:left="426"/>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8D3120">
        <w:rPr>
          <w:szCs w:val="20"/>
        </w:rPr>
      </w:r>
      <w:r w:rsidR="008D3120">
        <w:rPr>
          <w:szCs w:val="20"/>
        </w:rPr>
        <w:fldChar w:fldCharType="separate"/>
      </w:r>
      <w:r>
        <w:rPr>
          <w:szCs w:val="20"/>
        </w:rPr>
        <w:fldChar w:fldCharType="end"/>
      </w:r>
      <w:r>
        <w:rPr>
          <w:szCs w:val="20"/>
        </w:rPr>
        <w:t xml:space="preserve"> No</w:t>
      </w:r>
    </w:p>
    <w:p w14:paraId="400B0D90" w14:textId="77777777" w:rsidR="00C95845" w:rsidRPr="00753C44" w:rsidRDefault="00C95845" w:rsidP="00EF2AF0">
      <w:pPr>
        <w:spacing w:before="0" w:after="0"/>
        <w:ind w:left="426"/>
        <w:rPr>
          <w:szCs w:val="20"/>
        </w:rPr>
      </w:pPr>
    </w:p>
    <w:p w14:paraId="2E6AFAB5" w14:textId="77777777" w:rsidR="00CE0F9E" w:rsidRPr="00154B00" w:rsidRDefault="00CE0F9E" w:rsidP="00CE0F9E">
      <w:pPr>
        <w:pStyle w:val="Heading2"/>
        <w:numPr>
          <w:ilvl w:val="0"/>
          <w:numId w:val="23"/>
        </w:numPr>
      </w:pPr>
      <w:r>
        <w:t>Have you engaged a consultant on your behalf?</w:t>
      </w:r>
    </w:p>
    <w:p w14:paraId="5A23D868" w14:textId="2FADD4EC" w:rsidR="00CE0F9E" w:rsidRDefault="006F29B9" w:rsidP="00CE0F9E">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3120">
        <w:rPr>
          <w:szCs w:val="20"/>
        </w:rPr>
      </w:r>
      <w:r w:rsidR="008D3120">
        <w:rPr>
          <w:szCs w:val="20"/>
        </w:rPr>
        <w:fldChar w:fldCharType="separate"/>
      </w:r>
      <w:r>
        <w:rPr>
          <w:szCs w:val="20"/>
        </w:rPr>
        <w:fldChar w:fldCharType="end"/>
      </w:r>
      <w:r w:rsidR="00CE0F9E">
        <w:rPr>
          <w:szCs w:val="20"/>
        </w:rPr>
        <w:t xml:space="preserve"> No</w:t>
      </w:r>
      <w:r w:rsidR="00CE0F9E" w:rsidRPr="00753C44">
        <w:rPr>
          <w:szCs w:val="20"/>
        </w:rPr>
        <w:t xml:space="preserve">  </w:t>
      </w:r>
    </w:p>
    <w:p w14:paraId="2C31F7A8" w14:textId="77777777" w:rsidR="00CE0F9E" w:rsidRDefault="00CE0F9E" w:rsidP="00CE0F9E">
      <w:pPr>
        <w:spacing w:before="0" w:after="0"/>
        <w:ind w:left="426"/>
        <w:rPr>
          <w:szCs w:val="20"/>
        </w:rPr>
      </w:pPr>
    </w:p>
    <w:p w14:paraId="13F6B4C3" w14:textId="77777777" w:rsidR="00CE0F9E" w:rsidRPr="00753C44" w:rsidRDefault="00CE0F9E" w:rsidP="00CE0F9E">
      <w:pPr>
        <w:spacing w:before="0" w:after="0"/>
        <w:ind w:left="426"/>
        <w:rPr>
          <w:szCs w:val="20"/>
        </w:rPr>
      </w:pPr>
    </w:p>
    <w:p w14:paraId="7A815050" w14:textId="77777777" w:rsidR="00E04FB3" w:rsidRDefault="00E04FB3" w:rsidP="005C333E">
      <w:pPr>
        <w:spacing w:before="0" w:after="0"/>
        <w:ind w:left="426"/>
        <w:rPr>
          <w:b/>
          <w:szCs w:val="20"/>
        </w:rPr>
      </w:pPr>
      <w:r w:rsidRPr="00154B00">
        <w:rPr>
          <w:b/>
          <w:szCs w:val="20"/>
        </w:rPr>
        <w:br w:type="page"/>
      </w:r>
    </w:p>
    <w:p w14:paraId="4DF30519"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7F17699E" w14:textId="77777777" w:rsidR="000B3CD0" w:rsidRDefault="000B3CD0" w:rsidP="00730C04">
      <w:pPr>
        <w:pStyle w:val="Heading2"/>
      </w:pPr>
      <w:r w:rsidRPr="00154B00">
        <w:t>Application title</w:t>
      </w:r>
      <w:r w:rsidR="00A8732C">
        <w:t xml:space="preserve"> </w:t>
      </w:r>
    </w:p>
    <w:p w14:paraId="403BD4ED" w14:textId="0CF8C87C" w:rsidR="009056C5" w:rsidRPr="009056C5" w:rsidRDefault="00C10838" w:rsidP="00325441">
      <w:pPr>
        <w:ind w:left="284" w:firstLine="76"/>
      </w:pPr>
      <w:proofErr w:type="spellStart"/>
      <w:r w:rsidRPr="00C10838">
        <w:t>Etranacogene</w:t>
      </w:r>
      <w:proofErr w:type="spellEnd"/>
      <w:r w:rsidRPr="00C10838">
        <w:t xml:space="preserve"> </w:t>
      </w:r>
      <w:proofErr w:type="spellStart"/>
      <w:r w:rsidRPr="00C10838">
        <w:t>dezaparvovec</w:t>
      </w:r>
      <w:proofErr w:type="spellEnd"/>
      <w:r w:rsidRPr="00C10838">
        <w:t xml:space="preserve"> for the treatment of haemophilia B</w:t>
      </w:r>
    </w:p>
    <w:p w14:paraId="52644BC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46C38BA3" w14:textId="2D0BF4D7" w:rsidR="006F29B9" w:rsidRDefault="006F29B9" w:rsidP="00325441">
      <w:pPr>
        <w:ind w:left="360"/>
        <w:rPr>
          <w:noProof/>
        </w:rPr>
      </w:pPr>
      <w:r w:rsidRPr="008335C9">
        <w:rPr>
          <w:noProof/>
        </w:rPr>
        <w:t xml:space="preserve">Haemophilia is a rare congenital bleeding disorder caused by deficiencies in coagulation factors as a result of mutations in clotting factor genes. There are two main types of haemophilia, with </w:t>
      </w:r>
      <w:r>
        <w:rPr>
          <w:noProof/>
        </w:rPr>
        <w:t>type</w:t>
      </w:r>
      <w:r w:rsidRPr="008335C9">
        <w:rPr>
          <w:noProof/>
        </w:rPr>
        <w:t xml:space="preserve"> A (HMA) accounting for 80-85% </w:t>
      </w:r>
      <w:r>
        <w:rPr>
          <w:noProof/>
        </w:rPr>
        <w:t xml:space="preserve">and type </w:t>
      </w:r>
      <w:r w:rsidRPr="008335C9">
        <w:rPr>
          <w:noProof/>
        </w:rPr>
        <w:t xml:space="preserve">B (HMB) </w:t>
      </w:r>
      <w:r>
        <w:rPr>
          <w:noProof/>
        </w:rPr>
        <w:t xml:space="preserve">around 15% </w:t>
      </w:r>
      <w:r w:rsidRPr="008335C9">
        <w:rPr>
          <w:noProof/>
        </w:rPr>
        <w:t xml:space="preserve">of the total </w:t>
      </w:r>
      <w:r>
        <w:rPr>
          <w:noProof/>
        </w:rPr>
        <w:t xml:space="preserve">prevalent </w:t>
      </w:r>
      <w:r w:rsidRPr="008335C9">
        <w:rPr>
          <w:noProof/>
        </w:rPr>
        <w:t xml:space="preserve">population. </w:t>
      </w:r>
      <w:r>
        <w:rPr>
          <w:noProof/>
        </w:rPr>
        <w:t xml:space="preserve"> </w:t>
      </w:r>
      <w:r w:rsidRPr="006F29B9">
        <w:rPr>
          <w:noProof/>
        </w:rPr>
        <w:t xml:space="preserve">HMB is characterised by congenital underproduction or dysfunction of coagulation factor IX (FIX), an essential protein involved in promoting clot formation. The FIX gene is found on the X chromosome and because the genetic defect is expressed in an X-linked recessive manner the vast majority of </w:t>
      </w:r>
      <w:r w:rsidR="002E09C6">
        <w:rPr>
          <w:noProof/>
        </w:rPr>
        <w:t>people living</w:t>
      </w:r>
      <w:r w:rsidR="002E09C6" w:rsidRPr="006F29B9">
        <w:rPr>
          <w:noProof/>
        </w:rPr>
        <w:t xml:space="preserve"> </w:t>
      </w:r>
      <w:r w:rsidRPr="006F29B9">
        <w:rPr>
          <w:noProof/>
        </w:rPr>
        <w:t>with the disease are male.</w:t>
      </w:r>
      <w:r>
        <w:rPr>
          <w:noProof/>
        </w:rPr>
        <w:t xml:space="preserve"> </w:t>
      </w:r>
      <w:r w:rsidRPr="006F29B9">
        <w:rPr>
          <w:noProof/>
        </w:rPr>
        <w:t>A family history is present in about two-thirds of patients and the remaining cases are caused by spontaneous mutations. HMB is a lifelong condition typically causing bleeding tendency. Serious bleeds can result in disabling sequelae and may even be fatal in some circumstances.</w:t>
      </w:r>
    </w:p>
    <w:p w14:paraId="639932AC"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3AC0373" w14:textId="6E08EDEB" w:rsidR="00511663" w:rsidRDefault="00580E59" w:rsidP="00325441">
      <w:pPr>
        <w:ind w:left="360"/>
        <w:rPr>
          <w:noProof/>
        </w:rPr>
      </w:pPr>
      <w:r>
        <w:rPr>
          <w:noProof/>
        </w:rPr>
        <w:t>Etranacogene dezaparvovec (also known as AMT-061 and CSL222)</w:t>
      </w:r>
      <w:r w:rsidRPr="003F3D75">
        <w:rPr>
          <w:noProof/>
        </w:rPr>
        <w:t xml:space="preserve"> </w:t>
      </w:r>
      <w:r>
        <w:rPr>
          <w:noProof/>
        </w:rPr>
        <w:t xml:space="preserve">is a gene therapy </w:t>
      </w:r>
      <w:r w:rsidRPr="003F3D75">
        <w:rPr>
          <w:noProof/>
        </w:rPr>
        <w:t xml:space="preserve">designed to introduce a copy of the human FIX gene to address the lack of functional FIX protein expression in </w:t>
      </w:r>
      <w:r w:rsidR="006A16D8">
        <w:rPr>
          <w:noProof/>
        </w:rPr>
        <w:t xml:space="preserve">a haemophila B </w:t>
      </w:r>
      <w:r w:rsidRPr="003F3D75">
        <w:rPr>
          <w:noProof/>
        </w:rPr>
        <w:t>patient.</w:t>
      </w:r>
      <w:r>
        <w:rPr>
          <w:noProof/>
        </w:rPr>
        <w:t xml:space="preserve"> </w:t>
      </w:r>
      <w:r w:rsidR="000F23BF">
        <w:rPr>
          <w:noProof/>
        </w:rPr>
        <w:t>Etranacogene dezaparvovec</w:t>
      </w:r>
      <w:r w:rsidR="007E054E">
        <w:rPr>
          <w:noProof/>
        </w:rPr>
        <w:t xml:space="preserve"> (EtranaDez)</w:t>
      </w:r>
      <w:r w:rsidR="000F23BF">
        <w:rPr>
          <w:noProof/>
        </w:rPr>
        <w:t xml:space="preserve"> is an infusion of recombinant adeno-associated virus 5 (AAV5) vector including a gene cassette containing the FIX Padua variant under the control of a liver-specific promoter. </w:t>
      </w:r>
      <w:r w:rsidR="00950152">
        <w:rPr>
          <w:noProof/>
        </w:rPr>
        <w:t>A</w:t>
      </w:r>
      <w:r w:rsidR="00441C7F">
        <w:rPr>
          <w:noProof/>
        </w:rPr>
        <w:t xml:space="preserve">fter infusion, </w:t>
      </w:r>
      <w:r w:rsidRPr="00580E59">
        <w:rPr>
          <w:noProof/>
        </w:rPr>
        <w:t>EtranaDez preferentially targets liver cells, where vector DNA is released into the nucleus instructing the cell to produce FIX. Following transduction, functional FIX is produced at near normal to normal levels and circulates in the body, reducing the risk of bleeding</w:t>
      </w:r>
      <w:r>
        <w:rPr>
          <w:noProof/>
        </w:rPr>
        <w:t xml:space="preserve">. </w:t>
      </w:r>
    </w:p>
    <w:p w14:paraId="5F9D9BB5" w14:textId="1EDC1F10" w:rsidR="00C622CF" w:rsidRPr="000C6679" w:rsidRDefault="000C6679" w:rsidP="00325441">
      <w:pPr>
        <w:ind w:left="360"/>
        <w:rPr>
          <w:b/>
          <w:bCs/>
          <w:noProof/>
        </w:rPr>
      </w:pPr>
      <w:r w:rsidRPr="000C6679">
        <w:rPr>
          <w:b/>
          <w:bCs/>
          <w:noProof/>
        </w:rPr>
        <w:t>REDACTED</w:t>
      </w:r>
    </w:p>
    <w:p w14:paraId="53B9AE48"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bookmarkStart w:id="2" w:name="_Hlk108527950"/>
    <w:p w14:paraId="5A1C6E0B" w14:textId="77777777" w:rsidR="00011D23" w:rsidRPr="000D5FE5" w:rsidRDefault="00011D23" w:rsidP="00011D23">
      <w:pPr>
        <w:spacing w:before="0" w:after="0"/>
        <w:ind w:left="426"/>
        <w:rPr>
          <w:bCs/>
          <w:szCs w:val="20"/>
        </w:rPr>
      </w:pPr>
      <w:r w:rsidRPr="002B144A">
        <w:rPr>
          <w:bCs/>
          <w:szCs w:val="20"/>
        </w:rPr>
        <w:fldChar w:fldCharType="begin">
          <w:ffData>
            <w:name w:val="Check1"/>
            <w:enabled/>
            <w:calcOnExit w:val="0"/>
            <w:checkBox>
              <w:sizeAuto/>
              <w:default w:val="0"/>
            </w:checkBox>
          </w:ffData>
        </w:fldChar>
      </w:r>
      <w:r w:rsidRPr="002B144A">
        <w:rPr>
          <w:bCs/>
          <w:szCs w:val="20"/>
        </w:rPr>
        <w:instrText xml:space="preserve"> FORMCHECKBOX </w:instrText>
      </w:r>
      <w:r w:rsidR="008D3120">
        <w:rPr>
          <w:bCs/>
          <w:szCs w:val="20"/>
        </w:rPr>
      </w:r>
      <w:r w:rsidR="008D3120">
        <w:rPr>
          <w:bCs/>
          <w:szCs w:val="20"/>
        </w:rPr>
        <w:fldChar w:fldCharType="separate"/>
      </w:r>
      <w:r w:rsidRPr="002B144A">
        <w:rPr>
          <w:szCs w:val="20"/>
        </w:rPr>
        <w:fldChar w:fldCharType="end"/>
      </w:r>
      <w:r w:rsidRPr="002B144A">
        <w:rPr>
          <w:bCs/>
          <w:szCs w:val="20"/>
        </w:rPr>
        <w:t xml:space="preserve"> Yes</w:t>
      </w:r>
    </w:p>
    <w:p w14:paraId="285E5A4A" w14:textId="65E5ACA0" w:rsidR="00011D23" w:rsidRPr="00753C44" w:rsidRDefault="00011D23" w:rsidP="00325441">
      <w:pPr>
        <w:spacing w:before="0" w:after="0"/>
        <w:ind w:left="426"/>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8D3120">
        <w:rPr>
          <w:szCs w:val="20"/>
        </w:rPr>
      </w:r>
      <w:r w:rsidR="008D3120">
        <w:rPr>
          <w:szCs w:val="20"/>
        </w:rPr>
        <w:fldChar w:fldCharType="separate"/>
      </w:r>
      <w:r>
        <w:rPr>
          <w:szCs w:val="20"/>
        </w:rPr>
        <w:fldChar w:fldCharType="end"/>
      </w:r>
      <w:r>
        <w:rPr>
          <w:szCs w:val="20"/>
        </w:rPr>
        <w:t xml:space="preserve"> No</w:t>
      </w:r>
      <w:r w:rsidRPr="00753C44">
        <w:rPr>
          <w:szCs w:val="20"/>
        </w:rPr>
        <w:t xml:space="preserve">  </w:t>
      </w:r>
      <w:bookmarkEnd w:id="2"/>
    </w:p>
    <w:p w14:paraId="32556E9F"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BF24904" w14:textId="40BC825E" w:rsidR="00134937" w:rsidRPr="000D5FE5" w:rsidRDefault="00134937" w:rsidP="00134937">
      <w:pPr>
        <w:spacing w:before="0" w:after="0"/>
        <w:ind w:left="426"/>
        <w:rPr>
          <w:bCs/>
          <w:szCs w:val="20"/>
        </w:rPr>
      </w:pPr>
      <w:r>
        <w:rPr>
          <w:bCs/>
          <w:szCs w:val="20"/>
        </w:rPr>
        <w:fldChar w:fldCharType="begin">
          <w:ffData>
            <w:name w:val=""/>
            <w:enabled/>
            <w:calcOnExit w:val="0"/>
            <w:checkBox>
              <w:sizeAuto/>
              <w:default w:val="1"/>
            </w:checkBox>
          </w:ffData>
        </w:fldChar>
      </w:r>
      <w:r>
        <w:rPr>
          <w:bCs/>
          <w:szCs w:val="20"/>
        </w:rPr>
        <w:instrText xml:space="preserve"> FORMCHECKBOX </w:instrText>
      </w:r>
      <w:r w:rsidR="008D3120">
        <w:rPr>
          <w:bCs/>
          <w:szCs w:val="20"/>
        </w:rPr>
      </w:r>
      <w:r w:rsidR="008D3120">
        <w:rPr>
          <w:bCs/>
          <w:szCs w:val="20"/>
        </w:rPr>
        <w:fldChar w:fldCharType="separate"/>
      </w:r>
      <w:r>
        <w:rPr>
          <w:bCs/>
          <w:szCs w:val="20"/>
        </w:rPr>
        <w:fldChar w:fldCharType="end"/>
      </w:r>
      <w:r w:rsidRPr="002B144A">
        <w:rPr>
          <w:bCs/>
          <w:szCs w:val="20"/>
        </w:rPr>
        <w:t xml:space="preserve"> Yes</w:t>
      </w:r>
    </w:p>
    <w:p w14:paraId="50DB5902" w14:textId="371C58BB" w:rsidR="00134937" w:rsidRDefault="00134937" w:rsidP="0032544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8D3120">
        <w:rPr>
          <w:szCs w:val="20"/>
        </w:rPr>
      </w:r>
      <w:r w:rsidR="008D3120">
        <w:rPr>
          <w:szCs w:val="20"/>
        </w:rPr>
        <w:fldChar w:fldCharType="separate"/>
      </w:r>
      <w:r>
        <w:rPr>
          <w:szCs w:val="20"/>
        </w:rPr>
        <w:fldChar w:fldCharType="end"/>
      </w:r>
      <w:r>
        <w:rPr>
          <w:szCs w:val="20"/>
        </w:rPr>
        <w:t xml:space="preserve"> No</w:t>
      </w:r>
      <w:r w:rsidRPr="00753C44">
        <w:rPr>
          <w:szCs w:val="20"/>
        </w:rPr>
        <w:t xml:space="preserve">  </w:t>
      </w:r>
    </w:p>
    <w:p w14:paraId="007FC9B6"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0B1106DB" w14:textId="0C6BAFC6" w:rsidR="009B5182" w:rsidRPr="001A0AE8" w:rsidRDefault="009B5182" w:rsidP="00B92D2B">
      <w:pPr>
        <w:ind w:left="284"/>
        <w:rPr>
          <w:highlight w:val="green"/>
        </w:rPr>
      </w:pPr>
      <w:r w:rsidRPr="009B5182">
        <w:t>Public funding is sought</w:t>
      </w:r>
      <w:r w:rsidR="004A6B97">
        <w:t xml:space="preserve"> </w:t>
      </w:r>
      <w:r w:rsidR="004A6B97" w:rsidRPr="0041603F">
        <w:t xml:space="preserve">under the national blood agreement, </w:t>
      </w:r>
      <w:r w:rsidRPr="0041603F">
        <w:t>managed by the National Blood Authority (NBA). Funding is implemented by the blood or blood-related product being listed on the National Product</w:t>
      </w:r>
      <w:r w:rsidR="000D6DA1" w:rsidRPr="0041603F">
        <w:t>s Price</w:t>
      </w:r>
      <w:r w:rsidRPr="0041603F">
        <w:t xml:space="preserve"> Lis</w:t>
      </w:r>
      <w:r w:rsidR="000D6DA1" w:rsidRPr="0041603F">
        <w:t>t.</w:t>
      </w:r>
      <w:r w:rsidR="009B406A" w:rsidRPr="0041603F">
        <w:t xml:space="preserve"> </w:t>
      </w:r>
      <w:r w:rsidR="000C6679" w:rsidRPr="000C6679">
        <w:rPr>
          <w:b/>
          <w:bCs/>
        </w:rPr>
        <w:t>REDACTED</w:t>
      </w:r>
    </w:p>
    <w:p w14:paraId="0F74A080" w14:textId="7A6CCCF1" w:rsidR="00D94948" w:rsidRPr="0041603F" w:rsidRDefault="009B5182">
      <w:pPr>
        <w:ind w:left="284"/>
      </w:pPr>
      <w:r w:rsidRPr="0041603F">
        <w:t xml:space="preserve">It is usual practice for the Jurisdictional Blood Committee (JBC) to review new blood and blood-related products. Part of this review </w:t>
      </w:r>
      <w:r w:rsidR="0034183E" w:rsidRPr="0041603F">
        <w:t>can include referral to</w:t>
      </w:r>
      <w:r w:rsidRPr="0041603F">
        <w:t xml:space="preserve"> MSAC for an evidence-based, health technology assessment of clinical effectiveness, </w:t>
      </w:r>
      <w:r w:rsidR="00950A70" w:rsidRPr="0041603F">
        <w:t>cost-effectiveness,</w:t>
      </w:r>
      <w:r w:rsidRPr="0041603F">
        <w:t xml:space="preserve"> and safety.</w:t>
      </w:r>
      <w:r w:rsidRPr="0041603F" w:rsidDel="00C120BE">
        <w:t xml:space="preserve"> </w:t>
      </w:r>
    </w:p>
    <w:p w14:paraId="3F96CB60" w14:textId="3726F7A8" w:rsidR="00020D37" w:rsidRPr="00855944" w:rsidRDefault="000C6679" w:rsidP="00B92D2B">
      <w:pPr>
        <w:ind w:left="284"/>
        <w:rPr>
          <w:rStyle w:val="Strong"/>
          <w:b w:val="0"/>
          <w:szCs w:val="20"/>
        </w:rPr>
      </w:pPr>
      <w:r w:rsidRPr="000C6679">
        <w:rPr>
          <w:b/>
          <w:bCs/>
        </w:rPr>
        <w:t>REDACTED</w:t>
      </w:r>
    </w:p>
    <w:p w14:paraId="64901603" w14:textId="77777777" w:rsidR="00325441" w:rsidRDefault="00325441">
      <w:pPr>
        <w:spacing w:before="0" w:after="200" w:line="276" w:lineRule="auto"/>
        <w:rPr>
          <w:b/>
          <w:szCs w:val="20"/>
        </w:rPr>
      </w:pPr>
      <w:r>
        <w:br w:type="page"/>
      </w:r>
    </w:p>
    <w:p w14:paraId="193F2B92" w14:textId="5584D945" w:rsidR="000B3CD0" w:rsidRDefault="000B3CD0" w:rsidP="00730C04">
      <w:pPr>
        <w:pStyle w:val="Heading2"/>
      </w:pPr>
      <w:r w:rsidRPr="00154B00">
        <w:lastRenderedPageBreak/>
        <w:t xml:space="preserve">What is the type of </w:t>
      </w:r>
      <w:r w:rsidR="00B45CA5">
        <w:t xml:space="preserve">medical </w:t>
      </w:r>
      <w:r w:rsidRPr="00154B00">
        <w:t>service</w:t>
      </w:r>
      <w:r w:rsidR="00B45CA5">
        <w:t>/technology?</w:t>
      </w:r>
    </w:p>
    <w:p w14:paraId="25082DDE" w14:textId="7B4C3F47" w:rsidR="00AA35DA" w:rsidRPr="00162415" w:rsidRDefault="00931770" w:rsidP="00325441">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8D3120">
        <w:rPr>
          <w:b/>
          <w:szCs w:val="20"/>
        </w:rPr>
      </w:r>
      <w:r w:rsidR="008D3120">
        <w:rPr>
          <w:b/>
          <w:szCs w:val="20"/>
        </w:rPr>
        <w:fldChar w:fldCharType="separate"/>
      </w:r>
      <w:r>
        <w:rPr>
          <w:b/>
          <w:szCs w:val="20"/>
        </w:rPr>
        <w:fldChar w:fldCharType="end"/>
      </w:r>
      <w:r w:rsidR="00A6594E" w:rsidRPr="0027105F">
        <w:rPr>
          <w:b/>
          <w:szCs w:val="20"/>
        </w:rPr>
        <w:t xml:space="preserve"> </w:t>
      </w:r>
      <w:r w:rsidR="00A6594E">
        <w:t>Therapeutic</w:t>
      </w:r>
      <w:r w:rsidR="002D3118">
        <w:t xml:space="preserve"> </w:t>
      </w:r>
      <w:r w:rsidR="00397F2C">
        <w:t xml:space="preserve">medical </w:t>
      </w:r>
      <w:r w:rsidR="00BD47C6">
        <w:t>service</w:t>
      </w:r>
    </w:p>
    <w:p w14:paraId="45D4668E" w14:textId="77777777" w:rsidR="00AA35DA" w:rsidRPr="00AA35DA" w:rsidRDefault="00AA35DA" w:rsidP="00325441">
      <w:pPr>
        <w:spacing w:before="0" w:after="0"/>
        <w:ind w:left="360"/>
        <w:rPr>
          <w:bCs/>
        </w:rPr>
      </w:pPr>
      <w:r w:rsidRPr="00AA35DA">
        <w:rPr>
          <w:bCs/>
        </w:rPr>
        <w:fldChar w:fldCharType="begin">
          <w:ffData>
            <w:name w:val="Check2"/>
            <w:enabled/>
            <w:calcOnExit w:val="0"/>
            <w:checkBox>
              <w:sizeAuto/>
              <w:default w:val="0"/>
            </w:checkBox>
          </w:ffData>
        </w:fldChar>
      </w:r>
      <w:r w:rsidRPr="00AA35DA">
        <w:rPr>
          <w:bCs/>
        </w:rPr>
        <w:instrText xml:space="preserve"> FORMCHECKBOX </w:instrText>
      </w:r>
      <w:r w:rsidR="008D3120">
        <w:rPr>
          <w:bCs/>
        </w:rPr>
      </w:r>
      <w:r w:rsidR="008D3120">
        <w:rPr>
          <w:bCs/>
        </w:rPr>
        <w:fldChar w:fldCharType="separate"/>
      </w:r>
      <w:r w:rsidRPr="00AA35DA">
        <w:fldChar w:fldCharType="end"/>
      </w:r>
      <w:r w:rsidRPr="00AA35DA">
        <w:rPr>
          <w:bCs/>
        </w:rPr>
        <w:t xml:space="preserve"> Investigative medical service</w:t>
      </w:r>
    </w:p>
    <w:p w14:paraId="006F2550" w14:textId="77777777" w:rsidR="00AA35DA" w:rsidRPr="00AA35DA" w:rsidRDefault="00AA35DA" w:rsidP="00325441">
      <w:pPr>
        <w:spacing w:before="0" w:after="0"/>
        <w:ind w:left="360"/>
        <w:rPr>
          <w:bCs/>
        </w:rPr>
      </w:pPr>
      <w:r w:rsidRPr="00AA35DA">
        <w:rPr>
          <w:bCs/>
        </w:rPr>
        <w:fldChar w:fldCharType="begin">
          <w:ffData>
            <w:name w:val="Check2"/>
            <w:enabled/>
            <w:calcOnExit w:val="0"/>
            <w:checkBox>
              <w:sizeAuto/>
              <w:default w:val="0"/>
            </w:checkBox>
          </w:ffData>
        </w:fldChar>
      </w:r>
      <w:r w:rsidRPr="00AA35DA">
        <w:rPr>
          <w:bCs/>
        </w:rPr>
        <w:instrText xml:space="preserve"> FORMCHECKBOX </w:instrText>
      </w:r>
      <w:r w:rsidR="008D3120">
        <w:rPr>
          <w:bCs/>
        </w:rPr>
      </w:r>
      <w:r w:rsidR="008D3120">
        <w:rPr>
          <w:bCs/>
        </w:rPr>
        <w:fldChar w:fldCharType="separate"/>
      </w:r>
      <w:r w:rsidRPr="00AA35DA">
        <w:fldChar w:fldCharType="end"/>
      </w:r>
      <w:r w:rsidRPr="00AA35DA">
        <w:rPr>
          <w:bCs/>
        </w:rPr>
        <w:t xml:space="preserve"> Single consultation medical service</w:t>
      </w:r>
    </w:p>
    <w:p w14:paraId="42F72BBB" w14:textId="77777777" w:rsidR="00AA35DA" w:rsidRPr="00AA35DA" w:rsidRDefault="00AA35DA" w:rsidP="00325441">
      <w:pPr>
        <w:spacing w:before="0" w:after="0"/>
        <w:ind w:left="360"/>
        <w:rPr>
          <w:bCs/>
        </w:rPr>
      </w:pPr>
      <w:r w:rsidRPr="00AA35DA">
        <w:rPr>
          <w:bCs/>
        </w:rPr>
        <w:fldChar w:fldCharType="begin">
          <w:ffData>
            <w:name w:val="Check2"/>
            <w:enabled/>
            <w:calcOnExit w:val="0"/>
            <w:checkBox>
              <w:sizeAuto/>
              <w:default w:val="0"/>
            </w:checkBox>
          </w:ffData>
        </w:fldChar>
      </w:r>
      <w:r w:rsidRPr="00AA35DA">
        <w:rPr>
          <w:bCs/>
        </w:rPr>
        <w:instrText xml:space="preserve"> FORMCHECKBOX </w:instrText>
      </w:r>
      <w:r w:rsidR="008D3120">
        <w:rPr>
          <w:bCs/>
        </w:rPr>
      </w:r>
      <w:r w:rsidR="008D3120">
        <w:rPr>
          <w:bCs/>
        </w:rPr>
        <w:fldChar w:fldCharType="separate"/>
      </w:r>
      <w:r w:rsidRPr="00AA35DA">
        <w:fldChar w:fldCharType="end"/>
      </w:r>
      <w:r w:rsidRPr="00AA35DA">
        <w:rPr>
          <w:bCs/>
        </w:rPr>
        <w:t xml:space="preserve"> Global consultation medical service</w:t>
      </w:r>
    </w:p>
    <w:p w14:paraId="1F556B38" w14:textId="77777777" w:rsidR="00AA35DA" w:rsidRPr="00AA35DA" w:rsidRDefault="00AA35DA" w:rsidP="00325441">
      <w:pPr>
        <w:spacing w:before="0" w:after="0"/>
        <w:ind w:left="360"/>
        <w:rPr>
          <w:bCs/>
        </w:rPr>
      </w:pPr>
      <w:r w:rsidRPr="00AA35DA">
        <w:rPr>
          <w:bCs/>
        </w:rPr>
        <w:fldChar w:fldCharType="begin">
          <w:ffData>
            <w:name w:val="Check2"/>
            <w:enabled/>
            <w:calcOnExit w:val="0"/>
            <w:checkBox>
              <w:sizeAuto/>
              <w:default w:val="0"/>
            </w:checkBox>
          </w:ffData>
        </w:fldChar>
      </w:r>
      <w:r w:rsidRPr="00AA35DA">
        <w:rPr>
          <w:bCs/>
        </w:rPr>
        <w:instrText xml:space="preserve"> FORMCHECKBOX </w:instrText>
      </w:r>
      <w:r w:rsidR="008D3120">
        <w:rPr>
          <w:bCs/>
        </w:rPr>
      </w:r>
      <w:r w:rsidR="008D3120">
        <w:rPr>
          <w:bCs/>
        </w:rPr>
        <w:fldChar w:fldCharType="separate"/>
      </w:r>
      <w:r w:rsidRPr="00AA35DA">
        <w:fldChar w:fldCharType="end"/>
      </w:r>
      <w:r w:rsidRPr="00AA35DA">
        <w:rPr>
          <w:bCs/>
        </w:rPr>
        <w:t xml:space="preserve"> Allied health service</w:t>
      </w:r>
    </w:p>
    <w:p w14:paraId="2AFF10D2" w14:textId="77777777" w:rsidR="00AA35DA" w:rsidRPr="00AA35DA" w:rsidRDefault="00AA35DA" w:rsidP="00325441">
      <w:pPr>
        <w:spacing w:before="0" w:after="0"/>
        <w:ind w:left="360"/>
        <w:rPr>
          <w:bCs/>
        </w:rPr>
      </w:pPr>
      <w:r w:rsidRPr="00AA35DA">
        <w:rPr>
          <w:bCs/>
        </w:rPr>
        <w:fldChar w:fldCharType="begin">
          <w:ffData>
            <w:name w:val="Check2"/>
            <w:enabled/>
            <w:calcOnExit w:val="0"/>
            <w:checkBox>
              <w:sizeAuto/>
              <w:default w:val="0"/>
            </w:checkBox>
          </w:ffData>
        </w:fldChar>
      </w:r>
      <w:r w:rsidRPr="00AA35DA">
        <w:rPr>
          <w:bCs/>
        </w:rPr>
        <w:instrText xml:space="preserve"> FORMCHECKBOX </w:instrText>
      </w:r>
      <w:r w:rsidR="008D3120">
        <w:rPr>
          <w:bCs/>
        </w:rPr>
      </w:r>
      <w:r w:rsidR="008D3120">
        <w:rPr>
          <w:bCs/>
        </w:rPr>
        <w:fldChar w:fldCharType="separate"/>
      </w:r>
      <w:r w:rsidRPr="00AA35DA">
        <w:fldChar w:fldCharType="end"/>
      </w:r>
      <w:r w:rsidRPr="00AA35DA">
        <w:rPr>
          <w:bCs/>
        </w:rPr>
        <w:t xml:space="preserve"> Co-dependent technology</w:t>
      </w:r>
    </w:p>
    <w:p w14:paraId="45CD0B02" w14:textId="7D86144D" w:rsidR="00AA35DA" w:rsidRPr="00325441" w:rsidRDefault="00AA35DA" w:rsidP="00325441">
      <w:pPr>
        <w:spacing w:before="0" w:after="0"/>
        <w:ind w:left="360"/>
        <w:rPr>
          <w:bCs/>
        </w:rPr>
      </w:pPr>
      <w:r w:rsidRPr="00AA35DA">
        <w:rPr>
          <w:bCs/>
        </w:rPr>
        <w:fldChar w:fldCharType="begin">
          <w:ffData>
            <w:name w:val="Check2"/>
            <w:enabled/>
            <w:calcOnExit w:val="0"/>
            <w:checkBox>
              <w:sizeAuto/>
              <w:default w:val="0"/>
            </w:checkBox>
          </w:ffData>
        </w:fldChar>
      </w:r>
      <w:r w:rsidRPr="00AA35DA">
        <w:rPr>
          <w:bCs/>
        </w:rPr>
        <w:instrText xml:space="preserve"> FORMCHECKBOX </w:instrText>
      </w:r>
      <w:r w:rsidR="008D3120">
        <w:rPr>
          <w:bCs/>
        </w:rPr>
      </w:r>
      <w:r w:rsidR="008D3120">
        <w:rPr>
          <w:bCs/>
        </w:rPr>
        <w:fldChar w:fldCharType="separate"/>
      </w:r>
      <w:r w:rsidRPr="00AA35DA">
        <w:fldChar w:fldCharType="end"/>
      </w:r>
      <w:r w:rsidRPr="00AA35DA">
        <w:rPr>
          <w:bCs/>
        </w:rPr>
        <w:t xml:space="preserve"> Hybrid health technology</w:t>
      </w:r>
    </w:p>
    <w:p w14:paraId="13B13CCE" w14:textId="77777777" w:rsidR="00325441" w:rsidRPr="00325441" w:rsidRDefault="00E81A24" w:rsidP="00256477">
      <w:pPr>
        <w:numPr>
          <w:ilvl w:val="0"/>
          <w:numId w:val="1"/>
        </w:numPr>
        <w:ind w:left="284" w:firstLine="74"/>
      </w:pPr>
      <w:r w:rsidRPr="00325441">
        <w:rPr>
          <w:b/>
        </w:rPr>
        <w:t xml:space="preserve">For investigative services, advise the specific purpose of performing the service </w:t>
      </w:r>
    </w:p>
    <w:p w14:paraId="7A4FEA83" w14:textId="10190D62" w:rsidR="00DC50A4" w:rsidRDefault="00325441" w:rsidP="00325441">
      <w:pPr>
        <w:spacing w:after="0"/>
        <w:ind w:left="357"/>
      </w:pPr>
      <w:r>
        <w:rPr>
          <w:szCs w:val="20"/>
        </w:rPr>
        <w:t>N/A</w:t>
      </w:r>
    </w:p>
    <w:p w14:paraId="18393FF1" w14:textId="1F6CA8EC" w:rsidR="00FE16C1" w:rsidRDefault="000B3CD0" w:rsidP="00162415">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707E6F3" w14:textId="77777777" w:rsidR="00415136" w:rsidRPr="00415136" w:rsidRDefault="00415136" w:rsidP="00325441">
      <w:pPr>
        <w:spacing w:before="0" w:after="0"/>
        <w:ind w:left="360"/>
        <w:rPr>
          <w:bCs/>
        </w:rPr>
      </w:pPr>
      <w:r w:rsidRPr="00415136">
        <w:rPr>
          <w:b/>
          <w:bCs/>
        </w:rPr>
        <w:fldChar w:fldCharType="begin">
          <w:ffData>
            <w:name w:val="Check2"/>
            <w:enabled/>
            <w:calcOnExit w:val="0"/>
            <w:checkBox>
              <w:sizeAuto/>
              <w:default w:val="0"/>
            </w:checkBox>
          </w:ffData>
        </w:fldChar>
      </w:r>
      <w:r w:rsidRPr="00415136">
        <w:rPr>
          <w:b/>
          <w:bCs/>
        </w:rPr>
        <w:instrText xml:space="preserve"> FORMCHECKBOX </w:instrText>
      </w:r>
      <w:r w:rsidR="008D3120">
        <w:rPr>
          <w:b/>
          <w:bCs/>
        </w:rPr>
      </w:r>
      <w:r w:rsidR="008D3120">
        <w:rPr>
          <w:b/>
          <w:bCs/>
        </w:rPr>
        <w:fldChar w:fldCharType="separate"/>
      </w:r>
      <w:r w:rsidRPr="00415136">
        <w:fldChar w:fldCharType="end"/>
      </w:r>
      <w:r w:rsidRPr="00415136">
        <w:rPr>
          <w:b/>
          <w:bCs/>
        </w:rPr>
        <w:t xml:space="preserve"> </w:t>
      </w:r>
      <w:r w:rsidRPr="00415136">
        <w:rPr>
          <w:bCs/>
        </w:rPr>
        <w:t>Pharmaceutical / Biological</w:t>
      </w:r>
    </w:p>
    <w:p w14:paraId="4533CF7E" w14:textId="77777777" w:rsidR="00415136" w:rsidRPr="00415136" w:rsidRDefault="00415136" w:rsidP="00325441">
      <w:pPr>
        <w:spacing w:before="0" w:after="0"/>
        <w:ind w:left="360"/>
        <w:rPr>
          <w:bCs/>
        </w:rPr>
      </w:pPr>
      <w:r w:rsidRPr="00415136">
        <w:rPr>
          <w:b/>
          <w:bCs/>
        </w:rPr>
        <w:fldChar w:fldCharType="begin">
          <w:ffData>
            <w:name w:val="Check2"/>
            <w:enabled/>
            <w:calcOnExit w:val="0"/>
            <w:checkBox>
              <w:sizeAuto/>
              <w:default w:val="0"/>
            </w:checkBox>
          </w:ffData>
        </w:fldChar>
      </w:r>
      <w:r w:rsidRPr="00415136">
        <w:rPr>
          <w:b/>
          <w:bCs/>
        </w:rPr>
        <w:instrText xml:space="preserve"> FORMCHECKBOX </w:instrText>
      </w:r>
      <w:r w:rsidR="008D3120">
        <w:rPr>
          <w:b/>
          <w:bCs/>
        </w:rPr>
      </w:r>
      <w:r w:rsidR="008D3120">
        <w:rPr>
          <w:b/>
          <w:bCs/>
        </w:rPr>
        <w:fldChar w:fldCharType="separate"/>
      </w:r>
      <w:r w:rsidRPr="00415136">
        <w:fldChar w:fldCharType="end"/>
      </w:r>
      <w:r w:rsidRPr="00415136">
        <w:rPr>
          <w:b/>
          <w:bCs/>
        </w:rPr>
        <w:t xml:space="preserve"> </w:t>
      </w:r>
      <w:r w:rsidRPr="00415136">
        <w:rPr>
          <w:bCs/>
        </w:rPr>
        <w:t>Prosthesis or device</w:t>
      </w:r>
    </w:p>
    <w:p w14:paraId="7F30F53D" w14:textId="00B4C8A9" w:rsidR="00415136" w:rsidRPr="00325441" w:rsidRDefault="00415136" w:rsidP="00325441">
      <w:pPr>
        <w:spacing w:before="0" w:after="0"/>
        <w:ind w:left="360"/>
        <w:rPr>
          <w:bCs/>
        </w:rPr>
      </w:pPr>
      <w:r>
        <w:rPr>
          <w:bCs/>
        </w:rPr>
        <w:fldChar w:fldCharType="begin">
          <w:ffData>
            <w:name w:val=""/>
            <w:enabled/>
            <w:calcOnExit w:val="0"/>
            <w:checkBox>
              <w:sizeAuto/>
              <w:default w:val="1"/>
            </w:checkBox>
          </w:ffData>
        </w:fldChar>
      </w:r>
      <w:r>
        <w:rPr>
          <w:bCs/>
        </w:rPr>
        <w:instrText xml:space="preserve"> FORMCHECKBOX </w:instrText>
      </w:r>
      <w:r w:rsidR="008D3120">
        <w:rPr>
          <w:bCs/>
        </w:rPr>
      </w:r>
      <w:r w:rsidR="008D3120">
        <w:rPr>
          <w:bCs/>
        </w:rPr>
        <w:fldChar w:fldCharType="separate"/>
      </w:r>
      <w:r>
        <w:rPr>
          <w:bCs/>
        </w:rPr>
        <w:fldChar w:fldCharType="end"/>
      </w:r>
      <w:r w:rsidRPr="00415136">
        <w:rPr>
          <w:bCs/>
        </w:rPr>
        <w:t xml:space="preserve"> No</w:t>
      </w:r>
    </w:p>
    <w:p w14:paraId="77676769"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bookmarkStart w:id="3" w:name="_Hlk108528040"/>
    <w:p w14:paraId="5E4876E3" w14:textId="10CE85A1" w:rsidR="00415136" w:rsidRPr="00415136" w:rsidRDefault="00415136" w:rsidP="00325441">
      <w:pPr>
        <w:spacing w:before="0" w:after="0"/>
        <w:ind w:left="360"/>
        <w:rPr>
          <w:bCs/>
          <w:szCs w:val="20"/>
        </w:rPr>
      </w:pPr>
      <w:r w:rsidRPr="00415136">
        <w:rPr>
          <w:bCs/>
          <w:szCs w:val="20"/>
        </w:rPr>
        <w:fldChar w:fldCharType="begin">
          <w:ffData>
            <w:name w:val="Check1"/>
            <w:enabled/>
            <w:calcOnExit w:val="0"/>
            <w:checkBox>
              <w:sizeAuto/>
              <w:default w:val="0"/>
            </w:checkBox>
          </w:ffData>
        </w:fldChar>
      </w:r>
      <w:r w:rsidRPr="00415136">
        <w:rPr>
          <w:bCs/>
          <w:szCs w:val="20"/>
        </w:rPr>
        <w:instrText xml:space="preserve"> FORMCHECKBOX </w:instrText>
      </w:r>
      <w:r w:rsidR="008D3120">
        <w:rPr>
          <w:bCs/>
          <w:szCs w:val="20"/>
        </w:rPr>
      </w:r>
      <w:r w:rsidR="008D3120">
        <w:rPr>
          <w:bCs/>
          <w:szCs w:val="20"/>
        </w:rPr>
        <w:fldChar w:fldCharType="separate"/>
      </w:r>
      <w:r w:rsidRPr="00415136">
        <w:rPr>
          <w:szCs w:val="20"/>
        </w:rPr>
        <w:fldChar w:fldCharType="end"/>
      </w:r>
      <w:r w:rsidRPr="00415136">
        <w:rPr>
          <w:bCs/>
          <w:szCs w:val="20"/>
        </w:rPr>
        <w:t xml:space="preserve"> Yes</w:t>
      </w:r>
    </w:p>
    <w:bookmarkEnd w:id="3"/>
    <w:p w14:paraId="2B3251EB" w14:textId="3282AB20" w:rsidR="008D3824" w:rsidRDefault="00415136" w:rsidP="00325441">
      <w:pPr>
        <w:spacing w:before="0" w:after="0"/>
        <w:ind w:left="360"/>
        <w:rPr>
          <w:szCs w:val="20"/>
        </w:rPr>
      </w:pPr>
      <w:r w:rsidRPr="00415136">
        <w:rPr>
          <w:szCs w:val="20"/>
        </w:rPr>
        <w:fldChar w:fldCharType="begin">
          <w:ffData>
            <w:name w:val="Check2"/>
            <w:enabled/>
            <w:calcOnExit w:val="0"/>
            <w:checkBox>
              <w:sizeAuto/>
              <w:default w:val="1"/>
            </w:checkBox>
          </w:ffData>
        </w:fldChar>
      </w:r>
      <w:r w:rsidRPr="00415136">
        <w:rPr>
          <w:szCs w:val="20"/>
        </w:rPr>
        <w:instrText xml:space="preserve"> FORMCHECKBOX </w:instrText>
      </w:r>
      <w:r w:rsidR="008D3120">
        <w:rPr>
          <w:szCs w:val="20"/>
        </w:rPr>
      </w:r>
      <w:r w:rsidR="008D3120">
        <w:rPr>
          <w:szCs w:val="20"/>
        </w:rPr>
        <w:fldChar w:fldCharType="separate"/>
      </w:r>
      <w:r w:rsidRPr="00415136">
        <w:rPr>
          <w:szCs w:val="20"/>
        </w:rPr>
        <w:fldChar w:fldCharType="end"/>
      </w:r>
      <w:r w:rsidRPr="00415136">
        <w:rPr>
          <w:szCs w:val="20"/>
        </w:rPr>
        <w:t xml:space="preserve"> No  </w:t>
      </w:r>
    </w:p>
    <w:p w14:paraId="28861344" w14:textId="77777777" w:rsidR="008D3824" w:rsidRPr="008D3824" w:rsidRDefault="008D3824" w:rsidP="00325441">
      <w:pPr>
        <w:numPr>
          <w:ilvl w:val="0"/>
          <w:numId w:val="25"/>
        </w:numPr>
        <w:ind w:left="714" w:hanging="357"/>
        <w:rPr>
          <w:b/>
          <w:szCs w:val="20"/>
        </w:rPr>
      </w:pPr>
      <w:r w:rsidRPr="008D3824">
        <w:rPr>
          <w:b/>
          <w:szCs w:val="20"/>
        </w:rPr>
        <w:t>If yes, please list the relevant PBS item code(s):</w:t>
      </w:r>
    </w:p>
    <w:p w14:paraId="3A9DE2B5" w14:textId="4FA2FE27" w:rsidR="008D3824" w:rsidRPr="008D3824" w:rsidRDefault="00A04BFC" w:rsidP="00325441">
      <w:pPr>
        <w:spacing w:before="0"/>
        <w:ind w:left="284" w:firstLine="73"/>
        <w:rPr>
          <w:b/>
          <w:szCs w:val="20"/>
        </w:rPr>
      </w:pPr>
      <w:r>
        <w:rPr>
          <w:szCs w:val="20"/>
        </w:rPr>
        <w:t>N/A</w:t>
      </w:r>
    </w:p>
    <w:p w14:paraId="4CF052C8" w14:textId="77777777" w:rsidR="007353F8" w:rsidRPr="001E6958" w:rsidRDefault="007353F8" w:rsidP="00B92D2B">
      <w:pPr>
        <w:pStyle w:val="Heading2"/>
        <w:numPr>
          <w:ilvl w:val="0"/>
          <w:numId w:val="25"/>
        </w:numPr>
      </w:pPr>
      <w:r w:rsidRPr="001E6958">
        <w:t>If no, is an application (submission) in the process of being considered by the Pharmaceutical Benefits Advisory Committee (PBAC)?</w:t>
      </w:r>
    </w:p>
    <w:p w14:paraId="61A2C09D" w14:textId="77777777" w:rsidR="000E46EE" w:rsidRPr="00415136" w:rsidRDefault="000E46EE" w:rsidP="000E46EE">
      <w:pPr>
        <w:spacing w:before="0" w:after="0"/>
        <w:ind w:left="284"/>
        <w:rPr>
          <w:bCs/>
          <w:szCs w:val="20"/>
        </w:rPr>
      </w:pPr>
      <w:r w:rsidRPr="00415136">
        <w:rPr>
          <w:bCs/>
          <w:szCs w:val="20"/>
        </w:rPr>
        <w:fldChar w:fldCharType="begin">
          <w:ffData>
            <w:name w:val="Check1"/>
            <w:enabled/>
            <w:calcOnExit w:val="0"/>
            <w:checkBox>
              <w:sizeAuto/>
              <w:default w:val="0"/>
            </w:checkBox>
          </w:ffData>
        </w:fldChar>
      </w:r>
      <w:r w:rsidRPr="00415136">
        <w:rPr>
          <w:bCs/>
          <w:szCs w:val="20"/>
        </w:rPr>
        <w:instrText xml:space="preserve"> FORMCHECKBOX </w:instrText>
      </w:r>
      <w:r w:rsidR="008D3120">
        <w:rPr>
          <w:bCs/>
          <w:szCs w:val="20"/>
        </w:rPr>
      </w:r>
      <w:r w:rsidR="008D3120">
        <w:rPr>
          <w:bCs/>
          <w:szCs w:val="20"/>
        </w:rPr>
        <w:fldChar w:fldCharType="separate"/>
      </w:r>
      <w:r w:rsidRPr="00415136">
        <w:rPr>
          <w:szCs w:val="20"/>
        </w:rPr>
        <w:fldChar w:fldCharType="end"/>
      </w:r>
      <w:r w:rsidRPr="00415136">
        <w:rPr>
          <w:bCs/>
          <w:szCs w:val="20"/>
        </w:rPr>
        <w:t xml:space="preserve"> Yes</w:t>
      </w:r>
    </w:p>
    <w:p w14:paraId="1B74092E" w14:textId="576593A1" w:rsidR="009C101F" w:rsidRDefault="00A37A9A" w:rsidP="00CE3292">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3120">
        <w:rPr>
          <w:szCs w:val="20"/>
        </w:rPr>
      </w:r>
      <w:r w:rsidR="008D3120">
        <w:rPr>
          <w:szCs w:val="20"/>
        </w:rPr>
        <w:fldChar w:fldCharType="separate"/>
      </w:r>
      <w:r>
        <w:rPr>
          <w:szCs w:val="20"/>
        </w:rPr>
        <w:fldChar w:fldCharType="end"/>
      </w:r>
      <w:r w:rsidR="001E6919">
        <w:rPr>
          <w:szCs w:val="20"/>
        </w:rPr>
        <w:t xml:space="preserve"> No</w:t>
      </w:r>
      <w:r>
        <w:rPr>
          <w:szCs w:val="20"/>
        </w:rPr>
        <w:t xml:space="preserve"> – However if such a submission is deemed </w:t>
      </w:r>
      <w:r w:rsidR="00A81972">
        <w:rPr>
          <w:szCs w:val="20"/>
        </w:rPr>
        <w:t xml:space="preserve">more appropriate by the </w:t>
      </w:r>
      <w:r w:rsidR="0046775B">
        <w:rPr>
          <w:szCs w:val="20"/>
        </w:rPr>
        <w:t>Department</w:t>
      </w:r>
      <w:r>
        <w:rPr>
          <w:szCs w:val="20"/>
        </w:rPr>
        <w:t>, please advise the sponsor at the earliest opportunity</w:t>
      </w:r>
      <w:r w:rsidR="00EA6B25">
        <w:rPr>
          <w:szCs w:val="20"/>
        </w:rPr>
        <w:t xml:space="preserve">.  </w:t>
      </w:r>
    </w:p>
    <w:p w14:paraId="66C3D637" w14:textId="77777777" w:rsidR="00DC3101" w:rsidRPr="00DC3101" w:rsidRDefault="00DC3101" w:rsidP="00DC3101">
      <w:pPr>
        <w:numPr>
          <w:ilvl w:val="0"/>
          <w:numId w:val="51"/>
        </w:numPr>
        <w:spacing w:before="0"/>
        <w:rPr>
          <w:b/>
        </w:rPr>
      </w:pPr>
      <w:r w:rsidRPr="00DC3101">
        <w:rPr>
          <w:b/>
        </w:rPr>
        <w:t>If you are seeking both MBS and PBS listing, what is the trade name and generic name of the pharmaceutical?</w:t>
      </w:r>
    </w:p>
    <w:p w14:paraId="73837382" w14:textId="26416C82" w:rsidR="001E6919" w:rsidRPr="001E6958" w:rsidRDefault="00256477" w:rsidP="00256477">
      <w:pPr>
        <w:spacing w:before="0" w:after="0"/>
        <w:ind w:left="284" w:firstLine="73"/>
        <w:rPr>
          <w:szCs w:val="20"/>
        </w:rPr>
      </w:pPr>
      <w:r>
        <w:t>N/A</w:t>
      </w:r>
    </w:p>
    <w:p w14:paraId="7B6C67FF" w14:textId="08DEA849" w:rsidR="00C268CB" w:rsidRDefault="00C268CB" w:rsidP="007B4499">
      <w:pPr>
        <w:spacing w:before="0" w:after="0"/>
        <w:ind w:left="284"/>
      </w:pPr>
    </w:p>
    <w:p w14:paraId="3ABD089A" w14:textId="77777777" w:rsidR="00C268CB" w:rsidRPr="00C268CB" w:rsidRDefault="00C268CB" w:rsidP="00325441">
      <w:pPr>
        <w:numPr>
          <w:ilvl w:val="0"/>
          <w:numId w:val="1"/>
        </w:numPr>
        <w:spacing w:before="0"/>
        <w:ind w:left="357" w:hanging="357"/>
        <w:rPr>
          <w:b/>
          <w:szCs w:val="20"/>
        </w:rPr>
      </w:pPr>
      <w:r w:rsidRPr="00C268CB">
        <w:rPr>
          <w:b/>
          <w:szCs w:val="20"/>
        </w:rPr>
        <w:t>(a) If the proposed service is dependent on the use of a prosthesis, is it already included on the Prostheses List?</w:t>
      </w:r>
    </w:p>
    <w:p w14:paraId="00FFD0D8" w14:textId="77777777" w:rsidR="00C268CB" w:rsidRPr="00C268CB" w:rsidRDefault="00C268CB" w:rsidP="00325441">
      <w:pPr>
        <w:spacing w:before="0" w:after="0"/>
        <w:ind w:left="357"/>
        <w:rPr>
          <w:bCs/>
          <w:szCs w:val="20"/>
        </w:rPr>
      </w:pPr>
      <w:r w:rsidRPr="00C268CB">
        <w:rPr>
          <w:bCs/>
          <w:szCs w:val="20"/>
        </w:rPr>
        <w:fldChar w:fldCharType="begin">
          <w:ffData>
            <w:name w:val="Check1"/>
            <w:enabled/>
            <w:calcOnExit w:val="0"/>
            <w:checkBox>
              <w:sizeAuto/>
              <w:default w:val="0"/>
            </w:checkBox>
          </w:ffData>
        </w:fldChar>
      </w:r>
      <w:r w:rsidRPr="00C268CB">
        <w:rPr>
          <w:bCs/>
          <w:szCs w:val="20"/>
        </w:rPr>
        <w:instrText xml:space="preserve"> FORMCHECKBOX </w:instrText>
      </w:r>
      <w:r w:rsidR="008D3120">
        <w:rPr>
          <w:bCs/>
          <w:szCs w:val="20"/>
        </w:rPr>
      </w:r>
      <w:r w:rsidR="008D3120">
        <w:rPr>
          <w:bCs/>
          <w:szCs w:val="20"/>
        </w:rPr>
        <w:fldChar w:fldCharType="separate"/>
      </w:r>
      <w:r w:rsidRPr="00C268CB">
        <w:rPr>
          <w:szCs w:val="20"/>
        </w:rPr>
        <w:fldChar w:fldCharType="end"/>
      </w:r>
      <w:r w:rsidRPr="00C268CB">
        <w:rPr>
          <w:bCs/>
          <w:szCs w:val="20"/>
        </w:rPr>
        <w:t xml:space="preserve"> Yes</w:t>
      </w:r>
    </w:p>
    <w:p w14:paraId="012FCEC3" w14:textId="2909C290" w:rsidR="00C268CB" w:rsidRPr="00325441" w:rsidRDefault="00A04BFC" w:rsidP="00325441">
      <w:pPr>
        <w:spacing w:before="0" w:after="0"/>
        <w:ind w:left="357"/>
        <w:rPr>
          <w:bCs/>
          <w:szCs w:val="20"/>
        </w:rPr>
      </w:pPr>
      <w:r>
        <w:rPr>
          <w:bCs/>
          <w:szCs w:val="20"/>
        </w:rPr>
        <w:fldChar w:fldCharType="begin">
          <w:ffData>
            <w:name w:val=""/>
            <w:enabled/>
            <w:calcOnExit w:val="0"/>
            <w:checkBox>
              <w:sizeAuto/>
              <w:default w:val="1"/>
            </w:checkBox>
          </w:ffData>
        </w:fldChar>
      </w:r>
      <w:r>
        <w:rPr>
          <w:bCs/>
          <w:szCs w:val="20"/>
        </w:rPr>
        <w:instrText xml:space="preserve"> FORMCHECKBOX </w:instrText>
      </w:r>
      <w:r w:rsidR="008D3120">
        <w:rPr>
          <w:bCs/>
          <w:szCs w:val="20"/>
        </w:rPr>
      </w:r>
      <w:r w:rsidR="008D3120">
        <w:rPr>
          <w:bCs/>
          <w:szCs w:val="20"/>
        </w:rPr>
        <w:fldChar w:fldCharType="separate"/>
      </w:r>
      <w:r>
        <w:rPr>
          <w:bCs/>
          <w:szCs w:val="20"/>
        </w:rPr>
        <w:fldChar w:fldCharType="end"/>
      </w:r>
      <w:r w:rsidR="00C268CB" w:rsidRPr="00C268CB">
        <w:rPr>
          <w:bCs/>
          <w:szCs w:val="20"/>
        </w:rPr>
        <w:t xml:space="preserve"> No  </w:t>
      </w:r>
    </w:p>
    <w:p w14:paraId="221BBC79" w14:textId="77777777" w:rsidR="00C268CB" w:rsidRPr="00C268CB" w:rsidRDefault="00C268CB" w:rsidP="00325441">
      <w:pPr>
        <w:numPr>
          <w:ilvl w:val="0"/>
          <w:numId w:val="26"/>
        </w:numPr>
        <w:ind w:left="714" w:hanging="357"/>
        <w:rPr>
          <w:b/>
          <w:szCs w:val="20"/>
        </w:rPr>
      </w:pPr>
      <w:r w:rsidRPr="00C268CB">
        <w:rPr>
          <w:b/>
          <w:szCs w:val="20"/>
        </w:rPr>
        <w:t xml:space="preserve">If yes, please provide the following information (where relevant): </w:t>
      </w:r>
    </w:p>
    <w:p w14:paraId="4504033A" w14:textId="5EFC0796" w:rsidR="00C268CB" w:rsidRPr="00C268CB" w:rsidRDefault="00325441" w:rsidP="00256477">
      <w:pPr>
        <w:spacing w:before="0"/>
        <w:ind w:left="284" w:firstLine="74"/>
        <w:rPr>
          <w:szCs w:val="20"/>
        </w:rPr>
      </w:pPr>
      <w:r>
        <w:rPr>
          <w:szCs w:val="20"/>
        </w:rPr>
        <w:t>N/A</w:t>
      </w:r>
    </w:p>
    <w:p w14:paraId="22EA0A6B" w14:textId="77777777" w:rsidR="00C268CB" w:rsidRPr="00C268CB" w:rsidRDefault="00C268CB" w:rsidP="00C268CB">
      <w:pPr>
        <w:numPr>
          <w:ilvl w:val="0"/>
          <w:numId w:val="26"/>
        </w:numPr>
        <w:spacing w:before="0" w:after="0"/>
        <w:rPr>
          <w:b/>
          <w:szCs w:val="20"/>
        </w:rPr>
      </w:pPr>
      <w:r w:rsidRPr="00C268CB">
        <w:rPr>
          <w:b/>
          <w:szCs w:val="20"/>
        </w:rPr>
        <w:t>If no, is an application in the process of being considered by a Clinical Advisory Group or the Prostheses List Advisory Committee (PLAC)?</w:t>
      </w:r>
    </w:p>
    <w:p w14:paraId="079E6937" w14:textId="77777777" w:rsidR="00C268CB" w:rsidRPr="00C268CB" w:rsidRDefault="00C268CB" w:rsidP="00325441">
      <w:pPr>
        <w:spacing w:before="0" w:after="0"/>
        <w:ind w:left="360"/>
        <w:rPr>
          <w:bCs/>
          <w:szCs w:val="20"/>
        </w:rPr>
      </w:pPr>
      <w:r w:rsidRPr="00C268CB">
        <w:rPr>
          <w:bCs/>
          <w:szCs w:val="20"/>
        </w:rPr>
        <w:fldChar w:fldCharType="begin">
          <w:ffData>
            <w:name w:val="Check1"/>
            <w:enabled/>
            <w:calcOnExit w:val="0"/>
            <w:checkBox>
              <w:sizeAuto/>
              <w:default w:val="0"/>
            </w:checkBox>
          </w:ffData>
        </w:fldChar>
      </w:r>
      <w:r w:rsidRPr="00C268CB">
        <w:rPr>
          <w:bCs/>
          <w:szCs w:val="20"/>
        </w:rPr>
        <w:instrText xml:space="preserve"> FORMCHECKBOX </w:instrText>
      </w:r>
      <w:r w:rsidR="008D3120">
        <w:rPr>
          <w:bCs/>
          <w:szCs w:val="20"/>
        </w:rPr>
      </w:r>
      <w:r w:rsidR="008D3120">
        <w:rPr>
          <w:bCs/>
          <w:szCs w:val="20"/>
        </w:rPr>
        <w:fldChar w:fldCharType="separate"/>
      </w:r>
      <w:r w:rsidRPr="00C268CB">
        <w:rPr>
          <w:szCs w:val="20"/>
        </w:rPr>
        <w:fldChar w:fldCharType="end"/>
      </w:r>
      <w:r w:rsidRPr="00C268CB">
        <w:rPr>
          <w:bCs/>
          <w:szCs w:val="20"/>
        </w:rPr>
        <w:t xml:space="preserve"> Yes</w:t>
      </w:r>
    </w:p>
    <w:p w14:paraId="60EABBBB" w14:textId="74C242DD" w:rsidR="00C268CB" w:rsidRPr="00256477" w:rsidRDefault="00BD0E3D" w:rsidP="00256477">
      <w:pPr>
        <w:spacing w:before="0" w:after="0"/>
        <w:ind w:left="360"/>
        <w:rPr>
          <w:bCs/>
          <w:szCs w:val="20"/>
        </w:rPr>
      </w:pPr>
      <w:r>
        <w:rPr>
          <w:bCs/>
          <w:szCs w:val="20"/>
        </w:rPr>
        <w:fldChar w:fldCharType="begin">
          <w:ffData>
            <w:name w:val=""/>
            <w:enabled/>
            <w:calcOnExit w:val="0"/>
            <w:checkBox>
              <w:sizeAuto/>
              <w:default w:val="1"/>
            </w:checkBox>
          </w:ffData>
        </w:fldChar>
      </w:r>
      <w:r>
        <w:rPr>
          <w:bCs/>
          <w:szCs w:val="20"/>
        </w:rPr>
        <w:instrText xml:space="preserve"> FORMCHECKBOX </w:instrText>
      </w:r>
      <w:r w:rsidR="008D3120">
        <w:rPr>
          <w:bCs/>
          <w:szCs w:val="20"/>
        </w:rPr>
      </w:r>
      <w:r w:rsidR="008D3120">
        <w:rPr>
          <w:bCs/>
          <w:szCs w:val="20"/>
        </w:rPr>
        <w:fldChar w:fldCharType="separate"/>
      </w:r>
      <w:r>
        <w:rPr>
          <w:bCs/>
          <w:szCs w:val="20"/>
        </w:rPr>
        <w:fldChar w:fldCharType="end"/>
      </w:r>
      <w:r w:rsidR="00C268CB" w:rsidRPr="00C268CB">
        <w:rPr>
          <w:bCs/>
          <w:szCs w:val="20"/>
        </w:rPr>
        <w:t xml:space="preserve"> No  </w:t>
      </w:r>
    </w:p>
    <w:p w14:paraId="0A96228A" w14:textId="32AD21A8" w:rsidR="009939DC" w:rsidRPr="00162415" w:rsidRDefault="00016B6E" w:rsidP="00CE3292">
      <w:pPr>
        <w:pStyle w:val="Heading2"/>
        <w:numPr>
          <w:ilvl w:val="0"/>
          <w:numId w:val="26"/>
        </w:numPr>
      </w:pPr>
      <w:r w:rsidRPr="009939DC">
        <w:t>Are there any other sponsor(s) and / or manufacturer(</w:t>
      </w:r>
      <w:r w:rsidR="008B729C" w:rsidRPr="009939DC">
        <w:t xml:space="preserve">s) that have a similar </w:t>
      </w:r>
      <w:r w:rsidR="00A37A9A" w:rsidRPr="00CE3292">
        <w:rPr>
          <w:u w:val="single"/>
        </w:rPr>
        <w:t>pharmaceutical product</w:t>
      </w:r>
      <w:r w:rsidRPr="009939DC">
        <w:t xml:space="preserve"> in the Australian </w:t>
      </w:r>
      <w:r w:rsidR="00157473" w:rsidRPr="009939DC">
        <w:t>marketplace</w:t>
      </w:r>
      <w:r w:rsidRPr="009939DC">
        <w:t xml:space="preserve"> which this application is relevant to?</w:t>
      </w:r>
      <w:r w:rsidR="009939DC" w:rsidRPr="00162415">
        <w:t xml:space="preserve"> </w:t>
      </w:r>
    </w:p>
    <w:p w14:paraId="1BE7E3B1" w14:textId="77777777" w:rsidR="00C83749" w:rsidRPr="00415136" w:rsidRDefault="00C83749" w:rsidP="00325441">
      <w:pPr>
        <w:spacing w:before="0" w:after="0"/>
        <w:ind w:left="360"/>
        <w:rPr>
          <w:bCs/>
          <w:szCs w:val="20"/>
        </w:rPr>
      </w:pPr>
      <w:r w:rsidRPr="00415136">
        <w:rPr>
          <w:bCs/>
          <w:szCs w:val="20"/>
        </w:rPr>
        <w:fldChar w:fldCharType="begin">
          <w:ffData>
            <w:name w:val="Check1"/>
            <w:enabled/>
            <w:calcOnExit w:val="0"/>
            <w:checkBox>
              <w:sizeAuto/>
              <w:default w:val="0"/>
            </w:checkBox>
          </w:ffData>
        </w:fldChar>
      </w:r>
      <w:r w:rsidRPr="00415136">
        <w:rPr>
          <w:bCs/>
          <w:szCs w:val="20"/>
        </w:rPr>
        <w:instrText xml:space="preserve"> FORMCHECKBOX </w:instrText>
      </w:r>
      <w:r w:rsidR="008D3120">
        <w:rPr>
          <w:bCs/>
          <w:szCs w:val="20"/>
        </w:rPr>
      </w:r>
      <w:r w:rsidR="008D3120">
        <w:rPr>
          <w:bCs/>
          <w:szCs w:val="20"/>
        </w:rPr>
        <w:fldChar w:fldCharType="separate"/>
      </w:r>
      <w:r w:rsidRPr="00415136">
        <w:rPr>
          <w:szCs w:val="20"/>
        </w:rPr>
        <w:fldChar w:fldCharType="end"/>
      </w:r>
      <w:r w:rsidRPr="00415136">
        <w:rPr>
          <w:bCs/>
          <w:szCs w:val="20"/>
        </w:rPr>
        <w:t xml:space="preserve"> Yes</w:t>
      </w:r>
    </w:p>
    <w:p w14:paraId="4869BF97" w14:textId="5B8C0F6B" w:rsidR="00C83749" w:rsidRPr="001E6958" w:rsidRDefault="00C83749" w:rsidP="00256477">
      <w:pPr>
        <w:spacing w:before="0" w:after="0"/>
        <w:ind w:left="360"/>
        <w:rPr>
          <w:szCs w:val="20"/>
        </w:rPr>
      </w:pPr>
      <w:r w:rsidRPr="00415136">
        <w:rPr>
          <w:szCs w:val="20"/>
        </w:rPr>
        <w:fldChar w:fldCharType="begin">
          <w:ffData>
            <w:name w:val="Check2"/>
            <w:enabled/>
            <w:calcOnExit w:val="0"/>
            <w:checkBox>
              <w:sizeAuto/>
              <w:default w:val="1"/>
            </w:checkBox>
          </w:ffData>
        </w:fldChar>
      </w:r>
      <w:r w:rsidRPr="00415136">
        <w:rPr>
          <w:szCs w:val="20"/>
        </w:rPr>
        <w:instrText xml:space="preserve"> FORMCHECKBOX </w:instrText>
      </w:r>
      <w:r w:rsidR="008D3120">
        <w:rPr>
          <w:szCs w:val="20"/>
        </w:rPr>
      </w:r>
      <w:r w:rsidR="008D3120">
        <w:rPr>
          <w:szCs w:val="20"/>
        </w:rPr>
        <w:fldChar w:fldCharType="separate"/>
      </w:r>
      <w:r w:rsidRPr="00415136">
        <w:rPr>
          <w:szCs w:val="20"/>
        </w:rPr>
        <w:fldChar w:fldCharType="end"/>
      </w:r>
      <w:r w:rsidRPr="00415136">
        <w:rPr>
          <w:szCs w:val="20"/>
        </w:rPr>
        <w:t xml:space="preserve"> No  </w:t>
      </w:r>
    </w:p>
    <w:p w14:paraId="6FD75C74"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66408AED" w14:textId="2955AF94" w:rsidR="00F301F1" w:rsidRPr="00855944" w:rsidRDefault="00055F60" w:rsidP="00256477">
      <w:pPr>
        <w:spacing w:before="0" w:after="0"/>
        <w:ind w:left="360"/>
      </w:pPr>
      <w:r>
        <w:t xml:space="preserve">The only consumables routinely required are those associated with administration via a </w:t>
      </w:r>
      <w:r w:rsidR="00DD057C">
        <w:t>1–2-hour IV</w:t>
      </w:r>
      <w:r>
        <w:t xml:space="preserve"> infusion.  </w:t>
      </w:r>
      <w:r w:rsidR="00F301F1" w:rsidRPr="00855944">
        <w:br w:type="page"/>
      </w:r>
    </w:p>
    <w:p w14:paraId="551E9B22"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12325CEB"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312356A0" w14:textId="44C79A82" w:rsidR="00A26343" w:rsidRPr="00EA6B25" w:rsidRDefault="00A26343" w:rsidP="00256477">
      <w:pPr>
        <w:spacing w:before="0" w:after="0"/>
        <w:ind w:left="360"/>
      </w:pPr>
      <w:r w:rsidRPr="00EA6B25">
        <w:t xml:space="preserve">Type of therapeutic good: </w:t>
      </w:r>
      <w:r w:rsidR="00055F60">
        <w:t>Gene therapy</w:t>
      </w:r>
    </w:p>
    <w:p w14:paraId="33BEF4E5" w14:textId="37EE9301" w:rsidR="00A26343" w:rsidRPr="00EA6B25" w:rsidRDefault="00A26343" w:rsidP="00256477">
      <w:pPr>
        <w:spacing w:before="0" w:after="0"/>
        <w:ind w:left="360"/>
      </w:pPr>
      <w:r w:rsidRPr="00EA6B25">
        <w:t xml:space="preserve">Manufacturer’s name: </w:t>
      </w:r>
      <w:r w:rsidR="00F93E8F" w:rsidRPr="00F93E8F">
        <w:t>CSL Behring (Australia) Pty Ltd</w:t>
      </w:r>
    </w:p>
    <w:p w14:paraId="1EAD853C" w14:textId="37E2650E" w:rsidR="000E2E02" w:rsidRPr="00EA6B25" w:rsidRDefault="00A26343" w:rsidP="00256477">
      <w:pPr>
        <w:spacing w:before="0" w:after="0"/>
        <w:ind w:left="360"/>
      </w:pPr>
      <w:r w:rsidRPr="00EA6B25">
        <w:t xml:space="preserve">Sponsor’s name: </w:t>
      </w:r>
      <w:r w:rsidR="00F93E8F" w:rsidRPr="00F93E8F">
        <w:t>CSL Behring (Australia) Pty Ltd</w:t>
      </w:r>
    </w:p>
    <w:p w14:paraId="01DCFEC1" w14:textId="77777777" w:rsidR="00D56765" w:rsidRDefault="000E2E02" w:rsidP="000F3129">
      <w:pPr>
        <w:pStyle w:val="Heading2"/>
        <w:numPr>
          <w:ilvl w:val="0"/>
          <w:numId w:val="27"/>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24730193" w14:textId="64392CEB" w:rsidR="00F31C7E" w:rsidRDefault="00F31C7E" w:rsidP="00256477">
      <w:pPr>
        <w:spacing w:before="0" w:after="0"/>
        <w:ind w:left="360"/>
      </w:pPr>
      <w:r>
        <w:t xml:space="preserve">ARTG ID: </w:t>
      </w:r>
      <w:r w:rsidR="00256477">
        <w:t>Not listed</w:t>
      </w:r>
    </w:p>
    <w:p w14:paraId="1DB4FDE5" w14:textId="77777777" w:rsidR="002349BC" w:rsidRPr="00154B00" w:rsidRDefault="002349BC" w:rsidP="00B92D2B">
      <w:pPr>
        <w:pStyle w:val="Heading2"/>
        <w:numPr>
          <w:ilvl w:val="0"/>
          <w:numId w:val="27"/>
        </w:numPr>
      </w:pPr>
      <w:r>
        <w:t>If a</w:t>
      </w:r>
      <w:r w:rsidRPr="000E2E02">
        <w:t xml:space="preserve"> medical device is involved, has the medical device been classified by TGA as a Class III OR Active Implantable Medical Device (AIMD) under the TGA regulatory scheme for devices?</w:t>
      </w:r>
    </w:p>
    <w:p w14:paraId="437D0006" w14:textId="77777777" w:rsidR="002349BC" w:rsidRPr="00615F42" w:rsidRDefault="002349BC" w:rsidP="002349BC">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rsidRPr="000A5B32">
        <w:t xml:space="preserve"> </w:t>
      </w:r>
      <w:r w:rsidRPr="00615F42">
        <w:t>Class III</w:t>
      </w:r>
    </w:p>
    <w:p w14:paraId="2D76CB1C" w14:textId="77777777" w:rsidR="002349BC" w:rsidRPr="00615F42" w:rsidRDefault="002349BC" w:rsidP="002349BC">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rsidRPr="000A5B32">
        <w:t xml:space="preserve"> </w:t>
      </w:r>
      <w:r w:rsidRPr="00615F42">
        <w:t>AIMD</w:t>
      </w:r>
    </w:p>
    <w:p w14:paraId="415ABE59" w14:textId="1E7F17A1" w:rsidR="002349BC" w:rsidRPr="00154B00" w:rsidRDefault="002349BC" w:rsidP="002349BC">
      <w:pPr>
        <w:pStyle w:val="Tickboxes"/>
      </w:pPr>
      <w:r>
        <w:fldChar w:fldCharType="begin">
          <w:ffData>
            <w:name w:val=""/>
            <w:enabled/>
            <w:calcOnExit w:val="0"/>
            <w:checkBox>
              <w:sizeAuto/>
              <w:default w:val="1"/>
            </w:checkBox>
          </w:ffData>
        </w:fldChar>
      </w:r>
      <w:r>
        <w:instrText xml:space="preserve"> FORMCHECKBOX </w:instrText>
      </w:r>
      <w:r w:rsidR="008D3120">
        <w:fldChar w:fldCharType="separate"/>
      </w:r>
      <w:r>
        <w:fldChar w:fldCharType="end"/>
      </w:r>
      <w:r w:rsidRPr="000A5B32">
        <w:t xml:space="preserve"> </w:t>
      </w:r>
      <w:r w:rsidRPr="00615F42">
        <w:t>N/A</w:t>
      </w:r>
    </w:p>
    <w:p w14:paraId="39523584" w14:textId="77777777" w:rsidR="003B126E" w:rsidRDefault="003B126E" w:rsidP="003B126E">
      <w:pPr>
        <w:spacing w:before="0" w:after="0"/>
        <w:ind w:left="284"/>
        <w:rPr>
          <w:szCs w:val="20"/>
        </w:rPr>
      </w:pPr>
    </w:p>
    <w:p w14:paraId="7ED8DF7C" w14:textId="77777777" w:rsidR="000E2E02" w:rsidRDefault="000E2E02" w:rsidP="001165E7">
      <w:pPr>
        <w:pStyle w:val="Heading2"/>
        <w:numPr>
          <w:ilvl w:val="0"/>
          <w:numId w:val="27"/>
        </w:numPr>
        <w:spacing w:before="0"/>
        <w:rPr>
          <w:bCs/>
          <w:lang w:val="en-GB"/>
        </w:rPr>
      </w:pPr>
      <w:r w:rsidRPr="000E2E02">
        <w:rPr>
          <w:bCs/>
          <w:lang w:val="en-GB"/>
        </w:rPr>
        <w:t>Is the therapeutic good classified by TGA for Research Use Only (RUO)?</w:t>
      </w:r>
    </w:p>
    <w:p w14:paraId="6102A5BC" w14:textId="16A46C47" w:rsidR="000E2E02" w:rsidRPr="000E2E02" w:rsidRDefault="003B126E" w:rsidP="00256477">
      <w:pPr>
        <w:spacing w:before="0"/>
        <w:ind w:left="284" w:firstLine="74"/>
        <w:rPr>
          <w:lang w:val="en-GB"/>
        </w:rPr>
      </w:pPr>
      <w:r w:rsidRPr="003B126E">
        <w:rPr>
          <w:lang w:val="en-GB"/>
        </w:rPr>
        <w:fldChar w:fldCharType="begin">
          <w:ffData>
            <w:name w:val=""/>
            <w:enabled/>
            <w:calcOnExit w:val="0"/>
            <w:checkBox>
              <w:sizeAuto/>
              <w:default w:val="1"/>
            </w:checkBox>
          </w:ffData>
        </w:fldChar>
      </w:r>
      <w:r w:rsidRPr="003B126E">
        <w:rPr>
          <w:lang w:val="en-GB"/>
        </w:rPr>
        <w:instrText xml:space="preserve"> FORMCHECKBOX </w:instrText>
      </w:r>
      <w:r w:rsidR="008D3120">
        <w:rPr>
          <w:lang w:val="en-GB"/>
        </w:rPr>
      </w:r>
      <w:r w:rsidR="008D3120">
        <w:rPr>
          <w:lang w:val="en-GB"/>
        </w:rPr>
        <w:fldChar w:fldCharType="separate"/>
      </w:r>
      <w:r w:rsidRPr="003B126E">
        <w:rPr>
          <w:lang w:val="en-GB"/>
        </w:rPr>
        <w:fldChar w:fldCharType="end"/>
      </w:r>
      <w:r w:rsidRPr="003B126E">
        <w:rPr>
          <w:lang w:val="en-GB"/>
        </w:rPr>
        <w:t xml:space="preserve"> No</w:t>
      </w:r>
    </w:p>
    <w:p w14:paraId="3D9D09B8" w14:textId="77777777" w:rsidR="003421AE" w:rsidRPr="00A6491A" w:rsidRDefault="0011369B" w:rsidP="001165E7">
      <w:pPr>
        <w:pStyle w:val="Heading2"/>
        <w:spacing w:before="0"/>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7063735D" w14:textId="58CC49F4" w:rsidR="00281F59" w:rsidRPr="001165E7" w:rsidRDefault="00281F59" w:rsidP="00256477">
      <w:pPr>
        <w:spacing w:before="0" w:after="0"/>
        <w:ind w:left="360"/>
        <w:rPr>
          <w:lang w:val="en-GB"/>
        </w:rPr>
      </w:pPr>
      <w:r w:rsidRPr="000D5FE5">
        <w:rPr>
          <w:lang w:val="en-GB"/>
        </w:rPr>
        <w:fldChar w:fldCharType="begin">
          <w:ffData>
            <w:name w:val="Check1"/>
            <w:enabled/>
            <w:calcOnExit w:val="0"/>
            <w:checkBox>
              <w:sizeAuto/>
              <w:default w:val="0"/>
            </w:checkBox>
          </w:ffData>
        </w:fldChar>
      </w:r>
      <w:r w:rsidRPr="000D5FE5">
        <w:rPr>
          <w:lang w:val="en-GB"/>
        </w:rPr>
        <w:instrText xml:space="preserve"> FORMCHECKBOX </w:instrText>
      </w:r>
      <w:r w:rsidR="008D3120">
        <w:rPr>
          <w:lang w:val="en-GB"/>
        </w:rPr>
      </w:r>
      <w:r w:rsidR="008D3120">
        <w:rPr>
          <w:lang w:val="en-GB"/>
        </w:rPr>
        <w:fldChar w:fldCharType="separate"/>
      </w:r>
      <w:r w:rsidRPr="000D5FE5">
        <w:rPr>
          <w:lang w:val="en-GB"/>
        </w:rPr>
        <w:fldChar w:fldCharType="end"/>
      </w:r>
      <w:r w:rsidRPr="000D5FE5">
        <w:rPr>
          <w:lang w:val="en-GB"/>
        </w:rPr>
        <w:t xml:space="preserve"> Yes (If yes, please provide supporting documentation as an attachment to this application form)</w:t>
      </w:r>
    </w:p>
    <w:p w14:paraId="33181992" w14:textId="016D2BED" w:rsidR="00D56765" w:rsidRPr="00D56765" w:rsidRDefault="003B126E" w:rsidP="00256477">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3120">
        <w:rPr>
          <w:szCs w:val="20"/>
        </w:rPr>
      </w:r>
      <w:r w:rsidR="008D3120">
        <w:rPr>
          <w:szCs w:val="20"/>
        </w:rPr>
        <w:fldChar w:fldCharType="separate"/>
      </w:r>
      <w:r>
        <w:rPr>
          <w:szCs w:val="20"/>
        </w:rPr>
        <w:fldChar w:fldCharType="end"/>
      </w:r>
      <w:r w:rsidR="00615F42">
        <w:rPr>
          <w:szCs w:val="20"/>
        </w:rPr>
        <w:t xml:space="preserve"> No</w:t>
      </w:r>
    </w:p>
    <w:p w14:paraId="3E99CAC9" w14:textId="66E35562" w:rsidR="00FF23B8" w:rsidRDefault="00FF23B8" w:rsidP="001165E7">
      <w:pPr>
        <w:pStyle w:val="Heading2"/>
      </w:pPr>
      <w:r w:rsidRPr="00154B00">
        <w:t xml:space="preserve">If </w:t>
      </w:r>
      <w:r>
        <w:t xml:space="preserve">the therapeutic good is </w:t>
      </w:r>
      <w:r w:rsidRPr="00CE3292">
        <w:rPr>
          <w:u w:val="single"/>
        </w:rPr>
        <w:t>not ARTG listed</w:t>
      </w:r>
      <w:r>
        <w:t xml:space="preserve">, is the therapeutic good </w:t>
      </w:r>
      <w:r w:rsidR="00B80335">
        <w:t>in the process of being considered by TGA</w:t>
      </w:r>
      <w:r>
        <w:t>?</w:t>
      </w:r>
    </w:p>
    <w:p w14:paraId="4211520E" w14:textId="2D85C911" w:rsidR="00D66F0D" w:rsidRPr="000C6679" w:rsidRDefault="00D66F0D" w:rsidP="00256477">
      <w:pPr>
        <w:spacing w:before="0" w:after="0"/>
        <w:ind w:left="360"/>
        <w:rPr>
          <w:szCs w:val="20"/>
        </w:rPr>
      </w:pPr>
      <w:r w:rsidRPr="000C6679">
        <w:rPr>
          <w:lang w:val="en-GB"/>
        </w:rPr>
        <w:fldChar w:fldCharType="begin">
          <w:ffData>
            <w:name w:val="Check1"/>
            <w:enabled/>
            <w:calcOnExit w:val="0"/>
            <w:checkBox>
              <w:sizeAuto/>
              <w:default w:val="0"/>
            </w:checkBox>
          </w:ffData>
        </w:fldChar>
      </w:r>
      <w:r w:rsidRPr="000C6679">
        <w:rPr>
          <w:lang w:val="en-GB"/>
        </w:rPr>
        <w:instrText xml:space="preserve"> FORMCHECKBOX </w:instrText>
      </w:r>
      <w:r w:rsidR="008D3120">
        <w:rPr>
          <w:lang w:val="en-GB"/>
        </w:rPr>
      </w:r>
      <w:r w:rsidR="008D3120">
        <w:rPr>
          <w:lang w:val="en-GB"/>
        </w:rPr>
        <w:fldChar w:fldCharType="separate"/>
      </w:r>
      <w:r w:rsidRPr="000C6679">
        <w:rPr>
          <w:lang w:val="en-GB"/>
        </w:rPr>
        <w:fldChar w:fldCharType="end"/>
      </w:r>
      <w:r w:rsidRPr="000C6679">
        <w:rPr>
          <w:lang w:val="en-GB"/>
        </w:rPr>
        <w:t xml:space="preserve"> Yes</w:t>
      </w:r>
    </w:p>
    <w:p w14:paraId="6071574C" w14:textId="69CB949E" w:rsidR="00FF23B8" w:rsidRPr="00615F42" w:rsidRDefault="003B126E" w:rsidP="00256477">
      <w:pPr>
        <w:spacing w:before="0" w:after="0"/>
        <w:ind w:left="360"/>
        <w:rPr>
          <w:b/>
          <w:szCs w:val="20"/>
        </w:rPr>
      </w:pPr>
      <w:r w:rsidRPr="000C6679">
        <w:rPr>
          <w:szCs w:val="20"/>
        </w:rPr>
        <w:fldChar w:fldCharType="begin">
          <w:ffData>
            <w:name w:val=""/>
            <w:enabled/>
            <w:calcOnExit w:val="0"/>
            <w:checkBox>
              <w:sizeAuto/>
              <w:default w:val="1"/>
            </w:checkBox>
          </w:ffData>
        </w:fldChar>
      </w:r>
      <w:r w:rsidRPr="000C6679">
        <w:rPr>
          <w:szCs w:val="20"/>
        </w:rPr>
        <w:instrText xml:space="preserve"> FORMCHECKBOX </w:instrText>
      </w:r>
      <w:r w:rsidR="008D3120">
        <w:rPr>
          <w:szCs w:val="20"/>
        </w:rPr>
      </w:r>
      <w:r w:rsidR="008D3120">
        <w:rPr>
          <w:szCs w:val="20"/>
        </w:rPr>
        <w:fldChar w:fldCharType="separate"/>
      </w:r>
      <w:r w:rsidRPr="000C6679">
        <w:rPr>
          <w:szCs w:val="20"/>
        </w:rPr>
        <w:fldChar w:fldCharType="end"/>
      </w:r>
      <w:r w:rsidR="00FF23B8" w:rsidRPr="000C6679">
        <w:rPr>
          <w:szCs w:val="20"/>
        </w:rPr>
        <w:t xml:space="preserve"> </w:t>
      </w:r>
      <w:r w:rsidR="00FF23B8" w:rsidRPr="000C6679">
        <w:rPr>
          <w:b/>
          <w:szCs w:val="20"/>
        </w:rPr>
        <w:t>No</w:t>
      </w:r>
    </w:p>
    <w:p w14:paraId="655DBFD0" w14:textId="77777777" w:rsidR="00FF23B8" w:rsidRPr="00FF23B8" w:rsidRDefault="00FF23B8" w:rsidP="00FF23B8">
      <w:pPr>
        <w:pStyle w:val="ListParagraph"/>
        <w:numPr>
          <w:ilvl w:val="0"/>
          <w:numId w:val="28"/>
        </w:numPr>
        <w:rPr>
          <w:b/>
          <w:szCs w:val="20"/>
        </w:rPr>
      </w:pPr>
      <w:r w:rsidRPr="001165E7">
        <w:rPr>
          <w:b/>
          <w:bCs/>
        </w:rPr>
        <w:t xml:space="preserve">If </w:t>
      </w:r>
      <w:r w:rsidRPr="00D52412">
        <w:rPr>
          <w:b/>
          <w:bCs/>
          <w:szCs w:val="20"/>
        </w:rPr>
        <w:t>the therapeutic</w:t>
      </w:r>
      <w:r w:rsidRPr="00FF23B8">
        <w:rPr>
          <w:b/>
          <w:szCs w:val="20"/>
        </w:rPr>
        <w:t xml:space="preserve"> good is NOT </w:t>
      </w:r>
      <w:r>
        <w:rPr>
          <w:b/>
          <w:szCs w:val="20"/>
        </w:rPr>
        <w:t>in the process of being considered</w:t>
      </w:r>
      <w:r w:rsidRPr="00FF23B8">
        <w:rPr>
          <w:b/>
          <w:szCs w:val="20"/>
        </w:rPr>
        <w:t xml:space="preserve"> by TGA, is an application to TGA being prepared?</w:t>
      </w:r>
    </w:p>
    <w:p w14:paraId="7462328D" w14:textId="2CEA9D3D" w:rsidR="00DD308E" w:rsidRPr="001165E7" w:rsidRDefault="000C6679" w:rsidP="000C6679">
      <w:pPr>
        <w:tabs>
          <w:tab w:val="left" w:pos="426"/>
        </w:tabs>
        <w:rPr>
          <w:sz w:val="32"/>
          <w:szCs w:val="32"/>
        </w:rPr>
        <w:sectPr w:rsidR="00DD308E" w:rsidRPr="001165E7" w:rsidSect="00991EE4">
          <w:footerReference w:type="default" r:id="rId14"/>
          <w:pgSz w:w="11906" w:h="16838"/>
          <w:pgMar w:top="1440" w:right="1440" w:bottom="1440" w:left="1440" w:header="708" w:footer="708" w:gutter="0"/>
          <w:pgNumType w:start="0"/>
          <w:cols w:space="708"/>
          <w:titlePg/>
          <w:docGrid w:linePitch="360"/>
        </w:sectPr>
      </w:pPr>
      <w:r>
        <w:rPr>
          <w:b/>
          <w:bCs/>
        </w:rPr>
        <w:tab/>
      </w:r>
      <w:r w:rsidRPr="000C6679">
        <w:rPr>
          <w:b/>
          <w:bCs/>
        </w:rPr>
        <w:t>REDACTED</w:t>
      </w:r>
    </w:p>
    <w:p w14:paraId="763A51F1"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36667B2B" w14:textId="03B9D64E" w:rsidR="00DD308E" w:rsidRPr="00643755" w:rsidRDefault="00643755" w:rsidP="00643755">
      <w:pPr>
        <w:pStyle w:val="Heading2"/>
      </w:pPr>
      <w:r w:rsidRPr="00643755">
        <w:t>Provide one or more recent (published) high quality clinical studies that support use of the proposed health service/technology. At ‘Application Form lodgement’, please do not attach full text articles; just provide a summary</w:t>
      </w:r>
      <w:r w:rsidR="00DD308E" w:rsidRPr="00643755">
        <w:rPr>
          <w:i/>
        </w:rPr>
        <w:t>.</w:t>
      </w:r>
    </w:p>
    <w:tbl>
      <w:tblPr>
        <w:tblStyle w:val="TableGrid"/>
        <w:tblpPr w:leftFromText="180" w:rightFromText="180" w:vertAnchor="text" w:tblpY="1"/>
        <w:tblOverlap w:val="never"/>
        <w:tblW w:w="5000" w:type="pct"/>
        <w:tblLook w:val="04A0" w:firstRow="1" w:lastRow="0" w:firstColumn="1" w:lastColumn="0" w:noHBand="0" w:noVBand="1"/>
        <w:tblCaption w:val="Summary of Evidence - Published"/>
      </w:tblPr>
      <w:tblGrid>
        <w:gridCol w:w="380"/>
        <w:gridCol w:w="2073"/>
        <w:gridCol w:w="2580"/>
        <w:gridCol w:w="4014"/>
        <w:gridCol w:w="3261"/>
        <w:gridCol w:w="1640"/>
      </w:tblGrid>
      <w:tr w:rsidR="007964BD" w14:paraId="404FAE97" w14:textId="77777777" w:rsidTr="001165E7">
        <w:trPr>
          <w:cantSplit/>
          <w:tblHeader/>
        </w:trPr>
        <w:tc>
          <w:tcPr>
            <w:tcW w:w="136" w:type="pct"/>
          </w:tcPr>
          <w:p w14:paraId="148FFAC3" w14:textId="77777777" w:rsidR="00DD308E" w:rsidRDefault="00DD308E" w:rsidP="007964BD">
            <w:pPr>
              <w:pStyle w:val="TableHEADER"/>
            </w:pPr>
          </w:p>
        </w:tc>
        <w:tc>
          <w:tcPr>
            <w:tcW w:w="743" w:type="pct"/>
          </w:tcPr>
          <w:p w14:paraId="7293D205" w14:textId="1C23DC7A" w:rsidR="00DD308E" w:rsidRDefault="00DD308E" w:rsidP="007964BD">
            <w:pPr>
              <w:pStyle w:val="TableHEADER"/>
            </w:pPr>
            <w:r>
              <w:t>Type of study design</w:t>
            </w:r>
          </w:p>
        </w:tc>
        <w:tc>
          <w:tcPr>
            <w:tcW w:w="925" w:type="pct"/>
          </w:tcPr>
          <w:p w14:paraId="2BECF916" w14:textId="20EF6C8B" w:rsidR="00DD308E" w:rsidRDefault="00DD308E" w:rsidP="007964BD">
            <w:pPr>
              <w:pStyle w:val="TableHEADER"/>
            </w:pPr>
            <w:r>
              <w:t>Title of journal article or research project</w:t>
            </w:r>
          </w:p>
        </w:tc>
        <w:tc>
          <w:tcPr>
            <w:tcW w:w="1439" w:type="pct"/>
          </w:tcPr>
          <w:p w14:paraId="3D1C90CB" w14:textId="163C4352" w:rsidR="00DD308E" w:rsidRDefault="00DD308E" w:rsidP="007964BD">
            <w:pPr>
              <w:pStyle w:val="TableHEADER"/>
            </w:pPr>
            <w:r>
              <w:t>Short description of research</w:t>
            </w:r>
          </w:p>
        </w:tc>
        <w:tc>
          <w:tcPr>
            <w:tcW w:w="1169" w:type="pct"/>
          </w:tcPr>
          <w:p w14:paraId="0BEB8062" w14:textId="0E98C7F9" w:rsidR="00DD308E" w:rsidRDefault="00DD308E" w:rsidP="007964BD">
            <w:pPr>
              <w:pStyle w:val="TableHEADER"/>
            </w:pPr>
            <w:r w:rsidRPr="00E82F54">
              <w:t xml:space="preserve">Website link to </w:t>
            </w:r>
            <w:r>
              <w:t xml:space="preserve">journal article or research </w:t>
            </w:r>
          </w:p>
        </w:tc>
        <w:tc>
          <w:tcPr>
            <w:tcW w:w="588" w:type="pct"/>
          </w:tcPr>
          <w:p w14:paraId="64A8F1C3" w14:textId="0DF517A5" w:rsidR="00DD308E" w:rsidRDefault="00DD308E" w:rsidP="007964BD">
            <w:pPr>
              <w:pStyle w:val="TableHEADER"/>
            </w:pPr>
            <w:r w:rsidRPr="00E82F54">
              <w:t>Date</w:t>
            </w:r>
            <w:r>
              <w:t xml:space="preserve"> of publication</w:t>
            </w:r>
          </w:p>
        </w:tc>
      </w:tr>
      <w:tr w:rsidR="007964BD" w14:paraId="40F1443F" w14:textId="77777777" w:rsidTr="001165E7">
        <w:trPr>
          <w:cantSplit/>
        </w:trPr>
        <w:tc>
          <w:tcPr>
            <w:tcW w:w="136" w:type="pct"/>
          </w:tcPr>
          <w:p w14:paraId="4BE9AE26" w14:textId="77777777" w:rsidR="00DD308E" w:rsidRPr="005B60C4" w:rsidRDefault="00DD308E" w:rsidP="007964BD">
            <w:r w:rsidRPr="005B60C4">
              <w:t>1.</w:t>
            </w:r>
          </w:p>
        </w:tc>
        <w:tc>
          <w:tcPr>
            <w:tcW w:w="743" w:type="pct"/>
          </w:tcPr>
          <w:p w14:paraId="5ECAB2BB" w14:textId="5108AC2D" w:rsidR="005B60C4" w:rsidRPr="005B60C4" w:rsidRDefault="00D43719" w:rsidP="005B60C4">
            <w:r>
              <w:t>Phase I/II, open-label</w:t>
            </w:r>
            <w:r w:rsidR="00586E8B">
              <w:t>, parallel group,</w:t>
            </w:r>
            <w:r>
              <w:t xml:space="preserve"> dose escalation study</w:t>
            </w:r>
            <w:r w:rsidR="00586E8B">
              <w:t xml:space="preserve"> </w:t>
            </w:r>
            <w:r w:rsidR="005B60C4">
              <w:t xml:space="preserve">of precursor formulation AMT-060 </w:t>
            </w:r>
            <w:r w:rsidR="005B60C4" w:rsidRPr="005B60C4">
              <w:t>(n=10)</w:t>
            </w:r>
          </w:p>
        </w:tc>
        <w:tc>
          <w:tcPr>
            <w:tcW w:w="925" w:type="pct"/>
          </w:tcPr>
          <w:p w14:paraId="2137A25A" w14:textId="172A89F0" w:rsidR="00DD308E" w:rsidRDefault="005B60C4" w:rsidP="007964BD">
            <w:pPr>
              <w:rPr>
                <w:b/>
                <w:szCs w:val="20"/>
              </w:rPr>
            </w:pPr>
            <w:r w:rsidRPr="005B60C4">
              <w:t xml:space="preserve">Gene therapy with adeno-associated virus vector 5-human factor IX in adults with </w:t>
            </w:r>
            <w:proofErr w:type="spellStart"/>
            <w:r w:rsidRPr="005B60C4">
              <w:t>hemophilia</w:t>
            </w:r>
            <w:proofErr w:type="spellEnd"/>
            <w:r w:rsidRPr="005B60C4">
              <w:t xml:space="preserve"> B</w:t>
            </w:r>
            <w:r w:rsidR="0043411A">
              <w:t xml:space="preserve">.  </w:t>
            </w:r>
            <w:r w:rsidR="0043411A" w:rsidRPr="0043411A">
              <w:t>NCT02396342</w:t>
            </w:r>
          </w:p>
        </w:tc>
        <w:tc>
          <w:tcPr>
            <w:tcW w:w="1439" w:type="pct"/>
          </w:tcPr>
          <w:p w14:paraId="6E5C182E" w14:textId="132574F8" w:rsidR="00DD308E" w:rsidRDefault="00060148" w:rsidP="007964BD">
            <w:pPr>
              <w:rPr>
                <w:b/>
                <w:szCs w:val="20"/>
              </w:rPr>
            </w:pPr>
            <w:r>
              <w:t xml:space="preserve">This was an </w:t>
            </w:r>
            <w:r w:rsidR="00692F22">
              <w:t>initial</w:t>
            </w:r>
            <w:r>
              <w:t xml:space="preserve"> safety, efficacy and dose ranging study assessing the </w:t>
            </w:r>
            <w:r w:rsidR="00692F22">
              <w:t xml:space="preserve">therapeutic </w:t>
            </w:r>
            <w:r>
              <w:t xml:space="preserve">potential of an early formulation of the proposed intervention (AMT-061) in </w:t>
            </w:r>
            <w:r w:rsidR="00692F22">
              <w:t xml:space="preserve">a small cohort of patients with moderate to severe haemophilia B.  Long term follow up is ongoing and further publications are planned.  </w:t>
            </w:r>
          </w:p>
        </w:tc>
        <w:tc>
          <w:tcPr>
            <w:tcW w:w="1169" w:type="pct"/>
          </w:tcPr>
          <w:p w14:paraId="6BD1747F" w14:textId="77777777" w:rsidR="00DD308E" w:rsidRDefault="007964BD" w:rsidP="007964BD">
            <w:r>
              <w:t>p</w:t>
            </w:r>
            <w:r w:rsidRPr="007964BD">
              <w:t>ubmed.ncbi.nlm.nih.gov/29246900/</w:t>
            </w:r>
          </w:p>
          <w:p w14:paraId="5E189379" w14:textId="3783AADD" w:rsidR="00692F22" w:rsidRPr="007964BD" w:rsidRDefault="00692F22" w:rsidP="007964BD">
            <w:r w:rsidRPr="00692F22">
              <w:t>pubmed.ncbi.nlm.nih.gov/31276009/</w:t>
            </w:r>
          </w:p>
        </w:tc>
        <w:tc>
          <w:tcPr>
            <w:tcW w:w="588" w:type="pct"/>
          </w:tcPr>
          <w:p w14:paraId="45E83086" w14:textId="77777777" w:rsidR="00DD308E" w:rsidRDefault="00586E8B" w:rsidP="007964BD">
            <w:r w:rsidRPr="00586E8B">
              <w:t>2018</w:t>
            </w:r>
          </w:p>
          <w:p w14:paraId="6FDE5F0C" w14:textId="6246CB2A" w:rsidR="00060148" w:rsidRPr="00586E8B" w:rsidRDefault="00060148" w:rsidP="007964BD">
            <w:r>
              <w:t>2019</w:t>
            </w:r>
          </w:p>
        </w:tc>
      </w:tr>
      <w:tr w:rsidR="007964BD" w14:paraId="2F00CB61" w14:textId="77777777" w:rsidTr="001165E7">
        <w:trPr>
          <w:cantSplit/>
        </w:trPr>
        <w:tc>
          <w:tcPr>
            <w:tcW w:w="136" w:type="pct"/>
          </w:tcPr>
          <w:p w14:paraId="02D40C84" w14:textId="77777777" w:rsidR="00DD308E" w:rsidRPr="00965B6B" w:rsidRDefault="00DD308E" w:rsidP="007964BD">
            <w:pPr>
              <w:rPr>
                <w:szCs w:val="20"/>
              </w:rPr>
            </w:pPr>
            <w:r>
              <w:rPr>
                <w:szCs w:val="20"/>
              </w:rPr>
              <w:t>2.</w:t>
            </w:r>
          </w:p>
        </w:tc>
        <w:tc>
          <w:tcPr>
            <w:tcW w:w="743" w:type="pct"/>
          </w:tcPr>
          <w:p w14:paraId="1BF0DF73" w14:textId="0B01F511" w:rsidR="00DD308E" w:rsidRDefault="005B60C4" w:rsidP="005B60C4">
            <w:pPr>
              <w:rPr>
                <w:b/>
                <w:szCs w:val="20"/>
              </w:rPr>
            </w:pPr>
            <w:r>
              <w:t xml:space="preserve">Phase IIb, open-label, single-dose, confirmatory study with commercial formulation AMT-061 (n=3) </w:t>
            </w:r>
          </w:p>
        </w:tc>
        <w:tc>
          <w:tcPr>
            <w:tcW w:w="925" w:type="pct"/>
          </w:tcPr>
          <w:p w14:paraId="54D0789C" w14:textId="77777777" w:rsidR="00DD308E" w:rsidRPr="003F0D45" w:rsidRDefault="005B60C4" w:rsidP="001165E7">
            <w:pPr>
              <w:spacing w:after="0"/>
            </w:pPr>
            <w:proofErr w:type="spellStart"/>
            <w:r w:rsidRPr="005B60C4">
              <w:t>Etranacogene</w:t>
            </w:r>
            <w:proofErr w:type="spellEnd"/>
            <w:r w:rsidRPr="005B60C4">
              <w:t xml:space="preserve"> </w:t>
            </w:r>
            <w:proofErr w:type="spellStart"/>
            <w:r w:rsidRPr="005B60C4">
              <w:t>dezaparvovec</w:t>
            </w:r>
            <w:proofErr w:type="spellEnd"/>
            <w:r w:rsidRPr="005B60C4">
              <w:t xml:space="preserve"> (AMT-061 phase 2b): </w:t>
            </w:r>
            <w:r>
              <w:t>n</w:t>
            </w:r>
            <w:r w:rsidRPr="005B60C4">
              <w:t>ormal</w:t>
            </w:r>
            <w:r>
              <w:t xml:space="preserve"> or n</w:t>
            </w:r>
            <w:r w:rsidRPr="005B60C4">
              <w:t xml:space="preserve">ear normal FIX activity and bleed cessation in </w:t>
            </w:r>
            <w:proofErr w:type="spellStart"/>
            <w:r w:rsidRPr="00D52412">
              <w:t>hemophilia</w:t>
            </w:r>
            <w:proofErr w:type="spellEnd"/>
            <w:r w:rsidRPr="00D52412">
              <w:t xml:space="preserve"> B</w:t>
            </w:r>
            <w:r w:rsidR="003F0D45" w:rsidRPr="003F0D45">
              <w:t>.</w:t>
            </w:r>
          </w:p>
          <w:p w14:paraId="02B8FACD" w14:textId="72BABE6D" w:rsidR="003F0D45" w:rsidRDefault="003F0D45" w:rsidP="001165E7">
            <w:pPr>
              <w:spacing w:before="0"/>
              <w:rPr>
                <w:b/>
                <w:szCs w:val="20"/>
              </w:rPr>
            </w:pPr>
            <w:r w:rsidRPr="001165E7">
              <w:rPr>
                <w:szCs w:val="20"/>
              </w:rPr>
              <w:t>NCT03489291</w:t>
            </w:r>
          </w:p>
        </w:tc>
        <w:tc>
          <w:tcPr>
            <w:tcW w:w="1439" w:type="pct"/>
          </w:tcPr>
          <w:p w14:paraId="0D7A418C" w14:textId="17C729CF" w:rsidR="00DD308E" w:rsidRDefault="00060148" w:rsidP="007964BD">
            <w:pPr>
              <w:rPr>
                <w:b/>
                <w:szCs w:val="20"/>
              </w:rPr>
            </w:pPr>
            <w:r>
              <w:t>This small pragmatic</w:t>
            </w:r>
            <w:r w:rsidR="00787C14">
              <w:t xml:space="preserve"> </w:t>
            </w:r>
            <w:r w:rsidR="00787C14" w:rsidRPr="00787C14">
              <w:t xml:space="preserve">was proposed by </w:t>
            </w:r>
            <w:r w:rsidR="00787C14">
              <w:t xml:space="preserve">the sponsor and </w:t>
            </w:r>
            <w:r w:rsidR="00787C14" w:rsidRPr="00787C14">
              <w:t xml:space="preserve">supported by the US </w:t>
            </w:r>
            <w:r w:rsidR="00787C14">
              <w:t xml:space="preserve">FDA and EMEA </w:t>
            </w:r>
            <w:r w:rsidR="00787C14" w:rsidRPr="00787C14">
              <w:t xml:space="preserve">to address </w:t>
            </w:r>
            <w:r w:rsidR="00787C14">
              <w:t xml:space="preserve">a </w:t>
            </w:r>
            <w:r w:rsidR="00787C14" w:rsidRPr="00787C14">
              <w:t xml:space="preserve">change of transgene construct </w:t>
            </w:r>
            <w:r>
              <w:t xml:space="preserve">(from AMT-060 to AMT-061) </w:t>
            </w:r>
            <w:r w:rsidR="00787C14" w:rsidRPr="00787C14">
              <w:t xml:space="preserve">and inform the dose </w:t>
            </w:r>
            <w:r w:rsidR="00787C14">
              <w:t>selection for the Phase III study (see below).  T</w:t>
            </w:r>
            <w:r w:rsidR="00787C14" w:rsidRPr="00787C14">
              <w:t xml:space="preserve">he primary aim was to confirm that a single dose of 2 × 1013 </w:t>
            </w:r>
            <w:proofErr w:type="spellStart"/>
            <w:r w:rsidR="00787C14" w:rsidRPr="00787C14">
              <w:t>gc</w:t>
            </w:r>
            <w:proofErr w:type="spellEnd"/>
            <w:r w:rsidR="00787C14" w:rsidRPr="00787C14">
              <w:t xml:space="preserve">/kg of </w:t>
            </w:r>
            <w:proofErr w:type="spellStart"/>
            <w:r w:rsidR="00787C14" w:rsidRPr="00787C14">
              <w:t>etranacogene</w:t>
            </w:r>
            <w:proofErr w:type="spellEnd"/>
            <w:r w:rsidR="00787C14" w:rsidRPr="00787C14">
              <w:t xml:space="preserve"> </w:t>
            </w:r>
            <w:proofErr w:type="spellStart"/>
            <w:r w:rsidR="00787C14" w:rsidRPr="00787C14">
              <w:t>dezaparvovec</w:t>
            </w:r>
            <w:proofErr w:type="spellEnd"/>
            <w:r w:rsidR="00787C14" w:rsidRPr="00787C14">
              <w:t xml:space="preserve"> would result in FIX activity levels ≥5% by 6 weeks</w:t>
            </w:r>
            <w:r>
              <w:t xml:space="preserve"> of follow up</w:t>
            </w:r>
            <w:r w:rsidR="00787C14">
              <w:t xml:space="preserve">.  </w:t>
            </w:r>
          </w:p>
        </w:tc>
        <w:tc>
          <w:tcPr>
            <w:tcW w:w="1169" w:type="pct"/>
          </w:tcPr>
          <w:p w14:paraId="26315EBF" w14:textId="6F40E57E" w:rsidR="00DD308E" w:rsidRPr="00E82F54" w:rsidRDefault="007964BD" w:rsidP="007964BD">
            <w:pPr>
              <w:rPr>
                <w:b/>
                <w:szCs w:val="20"/>
              </w:rPr>
            </w:pPr>
            <w:r w:rsidRPr="007964BD">
              <w:t>pubmed.ncbi.nlm.nih.gov/31698454/</w:t>
            </w:r>
          </w:p>
        </w:tc>
        <w:tc>
          <w:tcPr>
            <w:tcW w:w="588" w:type="pct"/>
          </w:tcPr>
          <w:p w14:paraId="4F0C896C" w14:textId="6994B5CC" w:rsidR="00DD308E" w:rsidRPr="00E82F54" w:rsidRDefault="007964BD" w:rsidP="007964BD">
            <w:pPr>
              <w:rPr>
                <w:b/>
                <w:szCs w:val="20"/>
              </w:rPr>
            </w:pPr>
            <w:r>
              <w:t>2019</w:t>
            </w:r>
          </w:p>
        </w:tc>
      </w:tr>
    </w:tbl>
    <w:p w14:paraId="357CC80B" w14:textId="77777777" w:rsidR="00DD308E" w:rsidRDefault="00DD308E" w:rsidP="00DD308E">
      <w:pPr>
        <w:rPr>
          <w:i/>
          <w:szCs w:val="20"/>
        </w:rPr>
      </w:pPr>
      <w:r>
        <w:rPr>
          <w:i/>
          <w:szCs w:val="20"/>
        </w:rPr>
        <w:br w:type="page"/>
      </w:r>
    </w:p>
    <w:p w14:paraId="0F132571"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6C90128D" w14:textId="77777777" w:rsidR="004C49EF" w:rsidRDefault="00643755" w:rsidP="3B487DF8">
      <w:pPr>
        <w:pStyle w:val="Heading2"/>
        <w:rPr>
          <w:i/>
          <w:iCs/>
        </w:rPr>
      </w:pPr>
      <w:r>
        <w:lastRenderedPageBreak/>
        <w:t xml:space="preserve">Identify </w:t>
      </w:r>
      <w:r w:rsidRPr="3B487DF8">
        <w:rPr>
          <w:u w:val="single"/>
        </w:rPr>
        <w:t>yet-to-be-published</w:t>
      </w:r>
      <w:r>
        <w:t xml:space="preserve"> research that may have results available </w:t>
      </w:r>
      <w:proofErr w:type="gramStart"/>
      <w:r>
        <w:t>in the near future</w:t>
      </w:r>
      <w:proofErr w:type="gramEnd"/>
      <w:r>
        <w:t xml:space="preserve"> (that could be relevant to your application). Do not attach full text articles; this is just a summary</w:t>
      </w:r>
      <w:r w:rsidR="004C49EF" w:rsidRPr="3B487DF8">
        <w:rPr>
          <w:i/>
          <w:iCs/>
        </w:rPr>
        <w:t>.</w:t>
      </w:r>
    </w:p>
    <w:tbl>
      <w:tblPr>
        <w:tblStyle w:val="TableGrid"/>
        <w:tblW w:w="5029" w:type="pct"/>
        <w:tblLook w:val="04A0" w:firstRow="1" w:lastRow="0" w:firstColumn="1" w:lastColumn="0" w:noHBand="0" w:noVBand="1"/>
        <w:tblCaption w:val="Summary of Evidence - Yet to be Published"/>
      </w:tblPr>
      <w:tblGrid>
        <w:gridCol w:w="513"/>
        <w:gridCol w:w="2225"/>
        <w:gridCol w:w="2879"/>
        <w:gridCol w:w="3482"/>
        <w:gridCol w:w="3575"/>
        <w:gridCol w:w="1355"/>
      </w:tblGrid>
      <w:tr w:rsidR="00B27187" w14:paraId="1983C2E8" w14:textId="77777777" w:rsidTr="001165E7">
        <w:trPr>
          <w:cantSplit/>
          <w:tblHeader/>
        </w:trPr>
        <w:tc>
          <w:tcPr>
            <w:tcW w:w="183" w:type="pct"/>
          </w:tcPr>
          <w:p w14:paraId="6E249565" w14:textId="77777777" w:rsidR="004C49EF" w:rsidRDefault="004C49EF" w:rsidP="00855944">
            <w:pPr>
              <w:pStyle w:val="TableHEADER"/>
            </w:pPr>
          </w:p>
        </w:tc>
        <w:tc>
          <w:tcPr>
            <w:tcW w:w="793" w:type="pct"/>
          </w:tcPr>
          <w:p w14:paraId="0C842C5F" w14:textId="26CDEED7" w:rsidR="004C49EF" w:rsidRDefault="004C49EF" w:rsidP="00855944">
            <w:pPr>
              <w:pStyle w:val="TableHEADER"/>
            </w:pPr>
            <w:r>
              <w:t>Type of study design</w:t>
            </w:r>
          </w:p>
        </w:tc>
        <w:tc>
          <w:tcPr>
            <w:tcW w:w="1026" w:type="pct"/>
          </w:tcPr>
          <w:p w14:paraId="45A6E28C" w14:textId="77777777" w:rsidR="004C49EF" w:rsidRDefault="004C49EF" w:rsidP="00855944">
            <w:pPr>
              <w:pStyle w:val="TableHEADER"/>
            </w:pPr>
            <w:r>
              <w:t>Title of research (including any trial identifier if relevant)</w:t>
            </w:r>
          </w:p>
        </w:tc>
        <w:tc>
          <w:tcPr>
            <w:tcW w:w="1241" w:type="pct"/>
          </w:tcPr>
          <w:p w14:paraId="2E4DEAE1" w14:textId="360C01BC" w:rsidR="004C49EF" w:rsidRDefault="00367C1B" w:rsidP="00855944">
            <w:pPr>
              <w:pStyle w:val="TableHEADER"/>
            </w:pPr>
            <w:r>
              <w:t xml:space="preserve">Short description of </w:t>
            </w:r>
            <w:r w:rsidR="00325441">
              <w:t>research</w:t>
            </w:r>
          </w:p>
        </w:tc>
        <w:tc>
          <w:tcPr>
            <w:tcW w:w="1274" w:type="pct"/>
          </w:tcPr>
          <w:p w14:paraId="7E38814B" w14:textId="5430C15A" w:rsidR="004C49EF" w:rsidRDefault="004C49EF" w:rsidP="00855944">
            <w:pPr>
              <w:pStyle w:val="TableHEADER"/>
            </w:pPr>
            <w:r w:rsidRPr="00E82F54">
              <w:t xml:space="preserve">Website link to </w:t>
            </w:r>
            <w:r>
              <w:t>research</w:t>
            </w:r>
          </w:p>
        </w:tc>
        <w:tc>
          <w:tcPr>
            <w:tcW w:w="483" w:type="pct"/>
          </w:tcPr>
          <w:p w14:paraId="58C505FE" w14:textId="758E1C13" w:rsidR="004C49EF" w:rsidRDefault="004C49EF" w:rsidP="00855944">
            <w:pPr>
              <w:pStyle w:val="TableHEADER"/>
            </w:pPr>
            <w:r w:rsidRPr="00E82F54">
              <w:t>Date</w:t>
            </w:r>
          </w:p>
        </w:tc>
      </w:tr>
      <w:tr w:rsidR="00B27187" w14:paraId="50FB9128" w14:textId="77777777" w:rsidTr="001165E7">
        <w:trPr>
          <w:cantSplit/>
        </w:trPr>
        <w:tc>
          <w:tcPr>
            <w:tcW w:w="183" w:type="pct"/>
          </w:tcPr>
          <w:p w14:paraId="6ED90BC1" w14:textId="77777777" w:rsidR="004C49EF" w:rsidRPr="00965B6B" w:rsidRDefault="004C49EF" w:rsidP="00526478">
            <w:pPr>
              <w:rPr>
                <w:szCs w:val="20"/>
              </w:rPr>
            </w:pPr>
            <w:r w:rsidRPr="00965B6B">
              <w:rPr>
                <w:szCs w:val="20"/>
              </w:rPr>
              <w:t>1</w:t>
            </w:r>
            <w:r>
              <w:rPr>
                <w:szCs w:val="20"/>
              </w:rPr>
              <w:t>.</w:t>
            </w:r>
          </w:p>
        </w:tc>
        <w:tc>
          <w:tcPr>
            <w:tcW w:w="793" w:type="pct"/>
          </w:tcPr>
          <w:p w14:paraId="17A4E446" w14:textId="1F4C5685" w:rsidR="004C49EF" w:rsidRPr="001165E7" w:rsidRDefault="00692F22" w:rsidP="00526478">
            <w:pPr>
              <w:rPr>
                <w:szCs w:val="20"/>
              </w:rPr>
            </w:pPr>
            <w:r w:rsidRPr="00D52412">
              <w:t xml:space="preserve">Phase III open-label, single dose, before and after study investigating the safety and efficacy of </w:t>
            </w:r>
            <w:proofErr w:type="spellStart"/>
            <w:r w:rsidRPr="00D52412">
              <w:t>etranacogene</w:t>
            </w:r>
            <w:proofErr w:type="spellEnd"/>
            <w:r w:rsidRPr="00D52412">
              <w:t xml:space="preserve"> </w:t>
            </w:r>
            <w:proofErr w:type="spellStart"/>
            <w:r w:rsidRPr="00D52412">
              <w:t>dezaparvovec</w:t>
            </w:r>
            <w:proofErr w:type="spellEnd"/>
            <w:r w:rsidR="00E3074D" w:rsidRPr="007F3D88">
              <w:t xml:space="preserve"> in patients with haemophilia B (n=56)</w:t>
            </w:r>
          </w:p>
        </w:tc>
        <w:tc>
          <w:tcPr>
            <w:tcW w:w="1026" w:type="pct"/>
          </w:tcPr>
          <w:p w14:paraId="33FCF0BB" w14:textId="77777777" w:rsidR="004C49EF" w:rsidRPr="007F3D88" w:rsidRDefault="00E3074D" w:rsidP="001165E7">
            <w:pPr>
              <w:spacing w:after="0"/>
            </w:pPr>
            <w:r w:rsidRPr="00D52412">
              <w:t>Phase III,</w:t>
            </w:r>
            <w:r w:rsidRPr="007F3D88">
              <w:t xml:space="preserve"> open-label, single-dose, multicentre, multinational trial investigating a serotype 5 adeno-associated viral vector containing the Padua variant of a codon-optimized Human Factor IX gene (AAV5-hFIXco-Padua, AMT-061) administered to adult subjects with severe or moderately severe </w:t>
            </w:r>
            <w:proofErr w:type="spellStart"/>
            <w:r w:rsidRPr="007F3D88">
              <w:t>hemophilia</w:t>
            </w:r>
            <w:proofErr w:type="spellEnd"/>
            <w:r w:rsidRPr="007F3D88">
              <w:t xml:space="preserve"> B</w:t>
            </w:r>
            <w:r w:rsidR="007F3D88" w:rsidRPr="007F3D88">
              <w:t>.</w:t>
            </w:r>
          </w:p>
          <w:p w14:paraId="2BD62055" w14:textId="477267B9" w:rsidR="007F3D88" w:rsidRPr="001165E7" w:rsidRDefault="007F3D88" w:rsidP="001165E7">
            <w:pPr>
              <w:spacing w:before="0"/>
              <w:rPr>
                <w:szCs w:val="20"/>
              </w:rPr>
            </w:pPr>
            <w:r w:rsidRPr="001165E7">
              <w:rPr>
                <w:szCs w:val="20"/>
              </w:rPr>
              <w:t>NCT03569891</w:t>
            </w:r>
          </w:p>
        </w:tc>
        <w:tc>
          <w:tcPr>
            <w:tcW w:w="1241" w:type="pct"/>
          </w:tcPr>
          <w:p w14:paraId="50A31A9E" w14:textId="75E31C77" w:rsidR="004C49EF" w:rsidRPr="007B77D5" w:rsidRDefault="007B77D5" w:rsidP="00526478">
            <w:pPr>
              <w:rPr>
                <w:bCs/>
                <w:szCs w:val="20"/>
              </w:rPr>
            </w:pPr>
            <w:r w:rsidRPr="007B77D5">
              <w:rPr>
                <w:bCs/>
                <w:szCs w:val="20"/>
              </w:rPr>
              <w:t>Pivotal</w:t>
            </w:r>
            <w:r>
              <w:rPr>
                <w:bCs/>
                <w:szCs w:val="20"/>
              </w:rPr>
              <w:t xml:space="preserve"> study to demonstrate the efficacy and safety of </w:t>
            </w:r>
            <w:proofErr w:type="spellStart"/>
            <w:r>
              <w:rPr>
                <w:bCs/>
                <w:szCs w:val="20"/>
              </w:rPr>
              <w:t>etranacogene</w:t>
            </w:r>
            <w:proofErr w:type="spellEnd"/>
            <w:r>
              <w:rPr>
                <w:bCs/>
                <w:szCs w:val="20"/>
              </w:rPr>
              <w:t xml:space="preserve"> </w:t>
            </w:r>
            <w:proofErr w:type="spellStart"/>
            <w:r>
              <w:rPr>
                <w:bCs/>
                <w:szCs w:val="20"/>
              </w:rPr>
              <w:t>dezaparvovec</w:t>
            </w:r>
            <w:proofErr w:type="spellEnd"/>
            <w:r>
              <w:rPr>
                <w:bCs/>
                <w:szCs w:val="20"/>
              </w:rPr>
              <w:t xml:space="preserve"> in the target patient population, as measured by annualised bleed rates, FIX activity levels, use of FIX replacement therapy and treatment emergent adverse events.  The primary analysis was conducted after 52 weeks, with longer term follow up planned and ongoing.  </w:t>
            </w:r>
          </w:p>
        </w:tc>
        <w:tc>
          <w:tcPr>
            <w:tcW w:w="1274" w:type="pct"/>
          </w:tcPr>
          <w:p w14:paraId="1C411304" w14:textId="4DB6018E" w:rsidR="004C49EF" w:rsidRPr="00E82F54" w:rsidRDefault="00E3074D" w:rsidP="00526478">
            <w:pPr>
              <w:rPr>
                <w:b/>
                <w:szCs w:val="20"/>
              </w:rPr>
            </w:pPr>
            <w:r w:rsidRPr="00E3074D">
              <w:t>clinicaltrials.gov/ct2/show/NCT03569891</w:t>
            </w:r>
          </w:p>
        </w:tc>
        <w:tc>
          <w:tcPr>
            <w:tcW w:w="483" w:type="pct"/>
          </w:tcPr>
          <w:p w14:paraId="07833E59" w14:textId="40A25BA1" w:rsidR="004C49EF" w:rsidRPr="00E82F54" w:rsidRDefault="00E3074D" w:rsidP="00526478">
            <w:pPr>
              <w:rPr>
                <w:b/>
                <w:szCs w:val="20"/>
              </w:rPr>
            </w:pPr>
            <w:r>
              <w:t>2022</w:t>
            </w:r>
          </w:p>
        </w:tc>
      </w:tr>
      <w:tr w:rsidR="00190298" w14:paraId="3022C6F4" w14:textId="77777777" w:rsidTr="00B27187">
        <w:trPr>
          <w:cantSplit/>
        </w:trPr>
        <w:tc>
          <w:tcPr>
            <w:tcW w:w="183" w:type="pct"/>
          </w:tcPr>
          <w:p w14:paraId="60AC2797" w14:textId="16BDA025" w:rsidR="00190298" w:rsidRPr="00965B6B" w:rsidRDefault="00190298" w:rsidP="00526478">
            <w:pPr>
              <w:rPr>
                <w:szCs w:val="20"/>
              </w:rPr>
            </w:pPr>
            <w:r>
              <w:rPr>
                <w:szCs w:val="20"/>
              </w:rPr>
              <w:t xml:space="preserve">2. </w:t>
            </w:r>
          </w:p>
        </w:tc>
        <w:tc>
          <w:tcPr>
            <w:tcW w:w="793" w:type="pct"/>
          </w:tcPr>
          <w:p w14:paraId="4777ADA3" w14:textId="21CEB028" w:rsidR="00190298" w:rsidRDefault="00D63DCF" w:rsidP="00526478">
            <w:r w:rsidRPr="003B63E2">
              <w:t>Phase I/IIb</w:t>
            </w:r>
            <w:r w:rsidR="0028645A">
              <w:t>, open-label,</w:t>
            </w:r>
            <w:r w:rsidR="00FA4E98">
              <w:t xml:space="preserve"> parallel group,</w:t>
            </w:r>
            <w:r w:rsidRPr="003B63E2">
              <w:t xml:space="preserve"> extension study </w:t>
            </w:r>
            <w:r w:rsidR="00456DEC">
              <w:t>(n=10)</w:t>
            </w:r>
          </w:p>
        </w:tc>
        <w:tc>
          <w:tcPr>
            <w:tcW w:w="1026" w:type="pct"/>
          </w:tcPr>
          <w:p w14:paraId="554D21A0" w14:textId="7F94E362" w:rsidR="00190298" w:rsidRPr="00E3074D" w:rsidRDefault="003B63E2" w:rsidP="00526478">
            <w:r w:rsidRPr="003B63E2">
              <w:t>A Phase I/IIb extension study assessing the long-term safety and efficacy of an adeno-associated viral vector containing a codon-optimized human factor IX gene (AAV5-hFIX) previously administered to adult patients with severe or moderately severe haemophilia B during the CT-AMT-060-01 Phase I/II study.</w:t>
            </w:r>
            <w:r w:rsidR="00BD4251" w:rsidRPr="003B63E2">
              <w:t xml:space="preserve"> EudraCT Number: 2020-000739-28.</w:t>
            </w:r>
          </w:p>
        </w:tc>
        <w:tc>
          <w:tcPr>
            <w:tcW w:w="1241" w:type="pct"/>
          </w:tcPr>
          <w:p w14:paraId="2C35C459" w14:textId="6D6B97DA" w:rsidR="00864E06" w:rsidRPr="00864E06" w:rsidRDefault="00F75CA0" w:rsidP="00864E06">
            <w:pPr>
              <w:rPr>
                <w:bCs/>
                <w:szCs w:val="20"/>
              </w:rPr>
            </w:pPr>
            <w:r>
              <w:rPr>
                <w:bCs/>
                <w:szCs w:val="20"/>
              </w:rPr>
              <w:t>Extension study t</w:t>
            </w:r>
            <w:r w:rsidR="009F5BB8">
              <w:rPr>
                <w:bCs/>
                <w:szCs w:val="20"/>
              </w:rPr>
              <w:t xml:space="preserve">o assess the long-term safety </w:t>
            </w:r>
            <w:r w:rsidR="007C05B8">
              <w:rPr>
                <w:bCs/>
                <w:szCs w:val="20"/>
              </w:rPr>
              <w:t xml:space="preserve">and efficacy </w:t>
            </w:r>
            <w:r w:rsidR="009F5BB8">
              <w:rPr>
                <w:bCs/>
                <w:szCs w:val="20"/>
              </w:rPr>
              <w:t>(6-10 years</w:t>
            </w:r>
            <w:r w:rsidR="007C05B8">
              <w:rPr>
                <w:bCs/>
                <w:szCs w:val="20"/>
              </w:rPr>
              <w:t xml:space="preserve"> after dosing) of AMT-060</w:t>
            </w:r>
            <w:r w:rsidR="00E810C6">
              <w:rPr>
                <w:bCs/>
                <w:szCs w:val="20"/>
              </w:rPr>
              <w:t xml:space="preserve"> on patients with moderately severe and severe haemophilia B</w:t>
            </w:r>
            <w:r w:rsidR="00864E06">
              <w:rPr>
                <w:bCs/>
                <w:szCs w:val="20"/>
              </w:rPr>
              <w:t xml:space="preserve"> as measured by</w:t>
            </w:r>
            <w:r w:rsidR="00864E06" w:rsidRPr="00864E06">
              <w:rPr>
                <w:bCs/>
                <w:szCs w:val="20"/>
              </w:rPr>
              <w:t xml:space="preserve"> long-term safety, including frequency and incidence of AEs, levels of FIX inhibitors, ALT/AST levels, liver pathology and AFP.</w:t>
            </w:r>
          </w:p>
          <w:p w14:paraId="0B0FE80C" w14:textId="519AB3F8" w:rsidR="00190298" w:rsidRPr="007B77D5" w:rsidRDefault="00864E06" w:rsidP="00864E06">
            <w:pPr>
              <w:rPr>
                <w:bCs/>
                <w:szCs w:val="20"/>
              </w:rPr>
            </w:pPr>
            <w:r w:rsidRPr="00864E06">
              <w:rPr>
                <w:bCs/>
                <w:szCs w:val="20"/>
              </w:rPr>
              <w:t xml:space="preserve">Secondary endpoints are FIX activity level, FIX consumption, bleeding events requiring FIX, procedures, </w:t>
            </w:r>
            <w:r>
              <w:rPr>
                <w:bCs/>
                <w:szCs w:val="20"/>
              </w:rPr>
              <w:t>quality of life</w:t>
            </w:r>
            <w:r w:rsidRPr="00864E06">
              <w:rPr>
                <w:bCs/>
                <w:szCs w:val="20"/>
              </w:rPr>
              <w:t xml:space="preserve"> and H</w:t>
            </w:r>
            <w:r>
              <w:rPr>
                <w:bCs/>
                <w:szCs w:val="20"/>
              </w:rPr>
              <w:t>aemophilia Joint Health Score</w:t>
            </w:r>
            <w:r w:rsidRPr="00864E06">
              <w:rPr>
                <w:bCs/>
                <w:szCs w:val="20"/>
              </w:rPr>
              <w:t>.</w:t>
            </w:r>
          </w:p>
        </w:tc>
        <w:tc>
          <w:tcPr>
            <w:tcW w:w="1274" w:type="pct"/>
          </w:tcPr>
          <w:p w14:paraId="72E1F451" w14:textId="77777777" w:rsidR="00190298" w:rsidRDefault="00D63DCF" w:rsidP="00526478">
            <w:r>
              <w:t>n/a</w:t>
            </w:r>
          </w:p>
          <w:p w14:paraId="7C45BD91" w14:textId="0DE41054" w:rsidR="00FA4E98" w:rsidRPr="00E3074D" w:rsidRDefault="00FA4E98" w:rsidP="00526478"/>
        </w:tc>
        <w:tc>
          <w:tcPr>
            <w:tcW w:w="483" w:type="pct"/>
          </w:tcPr>
          <w:p w14:paraId="1A866022" w14:textId="1D971F3E" w:rsidR="00190298" w:rsidRDefault="0067779D" w:rsidP="00526478">
            <w:r>
              <w:t>2023+</w:t>
            </w:r>
          </w:p>
        </w:tc>
      </w:tr>
    </w:tbl>
    <w:p w14:paraId="63EF2E65" w14:textId="1104A8C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69D3BDC4" w14:textId="6F6C2054"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7B2409AD" w14:textId="02344673"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w:t>
      </w:r>
    </w:p>
    <w:p w14:paraId="031F4D16" w14:textId="7F3D0C12" w:rsidR="00EC770E" w:rsidRDefault="00D312B3" w:rsidP="001165E7">
      <w:pPr>
        <w:spacing w:after="0"/>
        <w:ind w:left="426"/>
      </w:pPr>
      <w:r>
        <w:t>Royal Australasian College of Physicians (RACP)</w:t>
      </w:r>
      <w:r w:rsidR="00577541">
        <w:t>;</w:t>
      </w:r>
      <w:r>
        <w:br/>
        <w:t>Royal College of Pathologists of Australia (RCPA)</w:t>
      </w:r>
      <w:r w:rsidR="00577541">
        <w:t>; and</w:t>
      </w:r>
      <w:r>
        <w:br/>
      </w:r>
      <w:r w:rsidRPr="00950C62">
        <w:t>Australian Haemophilia Centre Directors’ Organisation (AHCDO</w:t>
      </w:r>
      <w:r>
        <w:t>)</w:t>
      </w:r>
      <w:r w:rsidRPr="007B4499" w:rsidDel="00B958B1">
        <w:t xml:space="preserve"> </w:t>
      </w:r>
    </w:p>
    <w:p w14:paraId="6E02FC1F" w14:textId="77777777" w:rsidR="00D312B3" w:rsidRPr="007B4499" w:rsidRDefault="00D312B3" w:rsidP="001165E7">
      <w:pPr>
        <w:spacing w:before="0" w:after="0"/>
        <w:ind w:left="284"/>
      </w:pPr>
    </w:p>
    <w:p w14:paraId="3F98F6BF" w14:textId="6DF55155"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r w:rsidR="00356073">
        <w:t>i.e.,</w:t>
      </w:r>
      <w:r w:rsidR="00F93784">
        <w:t xml:space="preserve"> those who provide the comparator service)</w:t>
      </w:r>
      <w:r w:rsidR="00197D29">
        <w:t>:</w:t>
      </w:r>
    </w:p>
    <w:p w14:paraId="4ED0611E" w14:textId="77777777" w:rsidR="00EB0E57" w:rsidRDefault="00EB0E57" w:rsidP="001165E7">
      <w:pPr>
        <w:spacing w:before="0" w:after="0"/>
        <w:ind w:left="426"/>
      </w:pPr>
      <w:r>
        <w:t>State and Territory Haemophilia Treatment Centres (HTCs</w:t>
      </w:r>
      <w:proofErr w:type="gramStart"/>
      <w:r>
        <w:t>);</w:t>
      </w:r>
      <w:proofErr w:type="gramEnd"/>
      <w:r>
        <w:t xml:space="preserve"> </w:t>
      </w:r>
    </w:p>
    <w:p w14:paraId="2B2AA0FA" w14:textId="3507796B" w:rsidR="00EB0E57" w:rsidRDefault="00EB0E57" w:rsidP="001165E7">
      <w:pPr>
        <w:spacing w:before="0" w:after="0"/>
        <w:ind w:left="426"/>
      </w:pPr>
      <w:r>
        <w:t xml:space="preserve">Australian Red Cross </w:t>
      </w:r>
      <w:proofErr w:type="gramStart"/>
      <w:r w:rsidR="008A4029">
        <w:t>Lifeblood</w:t>
      </w:r>
      <w:r>
        <w:t>;</w:t>
      </w:r>
      <w:proofErr w:type="gramEnd"/>
      <w:r>
        <w:t xml:space="preserve"> </w:t>
      </w:r>
    </w:p>
    <w:p w14:paraId="1D6E71F0" w14:textId="77777777" w:rsidR="00EB0E57" w:rsidRDefault="00EB0E57" w:rsidP="001165E7">
      <w:pPr>
        <w:spacing w:before="0" w:after="0"/>
        <w:ind w:left="426"/>
      </w:pPr>
      <w:r>
        <w:t>Australasian Society of Thrombosis and Haemostasis (ASTH</w:t>
      </w:r>
      <w:proofErr w:type="gramStart"/>
      <w:r>
        <w:t>);</w:t>
      </w:r>
      <w:proofErr w:type="gramEnd"/>
      <w:r>
        <w:t xml:space="preserve"> </w:t>
      </w:r>
    </w:p>
    <w:p w14:paraId="3115B2DE" w14:textId="77777777" w:rsidR="00EB0E57" w:rsidRDefault="00EB0E57" w:rsidP="001165E7">
      <w:pPr>
        <w:spacing w:before="0" w:after="0"/>
        <w:ind w:left="426"/>
      </w:pPr>
      <w:r>
        <w:t>Australian Centre for Blood Diseases (ACBD</w:t>
      </w:r>
      <w:proofErr w:type="gramStart"/>
      <w:r>
        <w:t>);</w:t>
      </w:r>
      <w:proofErr w:type="gramEnd"/>
      <w:r>
        <w:t xml:space="preserve"> </w:t>
      </w:r>
    </w:p>
    <w:p w14:paraId="287BCEB5" w14:textId="77777777" w:rsidR="00EB0E57" w:rsidRDefault="00EB0E57" w:rsidP="001165E7">
      <w:pPr>
        <w:spacing w:before="0" w:after="0"/>
        <w:ind w:left="426"/>
      </w:pPr>
      <w:r>
        <w:t>Australian Haemophilia Nurses’ Group (AHNG</w:t>
      </w:r>
      <w:proofErr w:type="gramStart"/>
      <w:r>
        <w:t>);</w:t>
      </w:r>
      <w:proofErr w:type="gramEnd"/>
    </w:p>
    <w:p w14:paraId="30B5CA59" w14:textId="77777777" w:rsidR="00EB0E57" w:rsidRDefault="00EB0E57" w:rsidP="001165E7">
      <w:pPr>
        <w:spacing w:before="0" w:after="0"/>
        <w:ind w:left="426"/>
      </w:pPr>
      <w:r>
        <w:t>Australia/New Zealand Haemophilia Social Workers’ and Counsellors’ Group (ANZHSWCG); and</w:t>
      </w:r>
    </w:p>
    <w:p w14:paraId="6095FD9D" w14:textId="13F1AF37" w:rsidR="00EB0E57" w:rsidRDefault="00EB0E57" w:rsidP="00EB0E57">
      <w:pPr>
        <w:spacing w:before="0" w:after="0"/>
        <w:ind w:left="426"/>
      </w:pPr>
      <w:r>
        <w:t>Australian and New Zealand Physiotherapy Haemophilia Group (ANZPHG).</w:t>
      </w:r>
    </w:p>
    <w:p w14:paraId="39DB8222" w14:textId="77777777" w:rsidR="00EB0E57" w:rsidRDefault="00EB0E57" w:rsidP="001165E7">
      <w:pPr>
        <w:spacing w:before="0" w:after="0"/>
        <w:ind w:left="426"/>
      </w:pPr>
    </w:p>
    <w:p w14:paraId="0815BAC5" w14:textId="5E143CA7" w:rsidR="00E82F54" w:rsidRDefault="00E82F54" w:rsidP="00325441">
      <w:pPr>
        <w:pStyle w:val="Heading2"/>
        <w:ind w:left="357" w:hanging="357"/>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0B68E050" w14:textId="2F690624" w:rsidR="00386D1A" w:rsidRDefault="001D7A16" w:rsidP="00386D1A">
      <w:pPr>
        <w:spacing w:before="0"/>
        <w:ind w:left="426"/>
      </w:pPr>
      <w:r w:rsidRPr="001D7A16">
        <w:t>Haemophilia Foundation Australia (HFA)</w:t>
      </w:r>
    </w:p>
    <w:p w14:paraId="6A35F465" w14:textId="58B74F45"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7A1D2435" w14:textId="77777777" w:rsidR="00386D1A" w:rsidRDefault="00386D1A" w:rsidP="00386D1A">
      <w:pPr>
        <w:spacing w:before="0"/>
        <w:ind w:left="426"/>
      </w:pPr>
      <w:r w:rsidRPr="00386D1A">
        <w:t>Not relevant</w:t>
      </w:r>
    </w:p>
    <w:p w14:paraId="32D47077" w14:textId="0F0CD391" w:rsidR="00A96329" w:rsidRPr="00A96329" w:rsidRDefault="00BA72E3" w:rsidP="001165E7">
      <w:pPr>
        <w:numPr>
          <w:ilvl w:val="0"/>
          <w:numId w:val="1"/>
        </w:numPr>
      </w:pPr>
      <w:r w:rsidRPr="00BA72E3">
        <w:rPr>
          <w:b/>
          <w:szCs w:val="20"/>
        </w:rPr>
        <w:t>Nominate two experts that can be contacted about the proposed medical service, and current clinical management of the condition</w:t>
      </w:r>
      <w:r>
        <w:rPr>
          <w:b/>
          <w:szCs w:val="20"/>
        </w:rPr>
        <w:t>:</w:t>
      </w:r>
    </w:p>
    <w:p w14:paraId="1AEB4466" w14:textId="1E604499" w:rsidR="00987ABE" w:rsidRPr="00987ABE" w:rsidRDefault="00987ABE" w:rsidP="001165E7">
      <w:pPr>
        <w:spacing w:before="0" w:after="0"/>
        <w:ind w:left="426"/>
        <w:rPr>
          <w:szCs w:val="20"/>
        </w:rPr>
      </w:pPr>
      <w:r>
        <w:rPr>
          <w:szCs w:val="20"/>
        </w:rPr>
        <w:t xml:space="preserve">Name of expert 1: </w:t>
      </w:r>
      <w:r w:rsidR="00DE49E1">
        <w:rPr>
          <w:szCs w:val="20"/>
        </w:rPr>
        <w:tab/>
      </w:r>
      <w:r w:rsidR="000C6679" w:rsidRPr="000C6679">
        <w:rPr>
          <w:b/>
          <w:bCs/>
        </w:rPr>
        <w:t>REDACTED</w:t>
      </w:r>
    </w:p>
    <w:p w14:paraId="4EABB540" w14:textId="145069C3" w:rsidR="00987ABE" w:rsidRPr="00987ABE" w:rsidRDefault="00987ABE" w:rsidP="001165E7">
      <w:pPr>
        <w:spacing w:before="0" w:after="0"/>
        <w:ind w:left="426"/>
        <w:rPr>
          <w:szCs w:val="20"/>
        </w:rPr>
      </w:pPr>
      <w:r>
        <w:rPr>
          <w:szCs w:val="20"/>
        </w:rPr>
        <w:t xml:space="preserve">Telephone number(s): </w:t>
      </w:r>
      <w:r w:rsidR="000C6679" w:rsidRPr="000C6679">
        <w:rPr>
          <w:b/>
          <w:bCs/>
        </w:rPr>
        <w:t>REDACTED</w:t>
      </w:r>
    </w:p>
    <w:p w14:paraId="2C553AEF" w14:textId="390848D2" w:rsidR="00987ABE" w:rsidRPr="00987ABE" w:rsidRDefault="00987ABE" w:rsidP="00187ECE">
      <w:pPr>
        <w:spacing w:before="0" w:after="0"/>
        <w:ind w:firstLine="426"/>
        <w:rPr>
          <w:szCs w:val="20"/>
        </w:rPr>
      </w:pPr>
      <w:r>
        <w:rPr>
          <w:szCs w:val="20"/>
        </w:rPr>
        <w:t xml:space="preserve">Email address: </w:t>
      </w:r>
      <w:r w:rsidR="000C6679" w:rsidRPr="000C6679">
        <w:rPr>
          <w:b/>
          <w:bCs/>
        </w:rPr>
        <w:t>REDACTED</w:t>
      </w:r>
    </w:p>
    <w:p w14:paraId="3151AB08" w14:textId="1D326FC7" w:rsidR="00987ABE" w:rsidRDefault="00987ABE" w:rsidP="001165E7">
      <w:pPr>
        <w:spacing w:before="0" w:after="0"/>
        <w:ind w:left="426"/>
        <w:rPr>
          <w:b/>
          <w:bCs/>
        </w:rPr>
      </w:pPr>
      <w:r>
        <w:rPr>
          <w:szCs w:val="20"/>
        </w:rPr>
        <w:t xml:space="preserve">Justification of expertise: </w:t>
      </w:r>
      <w:r w:rsidR="000C6679" w:rsidRPr="000C6679">
        <w:rPr>
          <w:b/>
          <w:bCs/>
        </w:rPr>
        <w:t>REDACTED</w:t>
      </w:r>
    </w:p>
    <w:p w14:paraId="32F6E429" w14:textId="77777777" w:rsidR="000C6679" w:rsidRPr="00987ABE" w:rsidRDefault="000C6679" w:rsidP="001165E7">
      <w:pPr>
        <w:spacing w:before="0" w:after="0"/>
        <w:ind w:left="426"/>
        <w:rPr>
          <w:szCs w:val="20"/>
        </w:rPr>
      </w:pPr>
    </w:p>
    <w:p w14:paraId="251B25FA" w14:textId="68CEA395" w:rsidR="00987ABE" w:rsidRPr="00987ABE" w:rsidRDefault="00987ABE" w:rsidP="001165E7">
      <w:pPr>
        <w:spacing w:before="0" w:after="0"/>
        <w:ind w:left="426"/>
        <w:rPr>
          <w:szCs w:val="20"/>
        </w:rPr>
      </w:pPr>
      <w:r>
        <w:rPr>
          <w:szCs w:val="20"/>
        </w:rPr>
        <w:t xml:space="preserve">Name of expert 2: </w:t>
      </w:r>
      <w:r w:rsidR="000C6679" w:rsidRPr="000C6679">
        <w:rPr>
          <w:b/>
          <w:bCs/>
        </w:rPr>
        <w:t>REDACTED</w:t>
      </w:r>
    </w:p>
    <w:p w14:paraId="2AB1092A" w14:textId="77777777" w:rsidR="000C6679" w:rsidRPr="00987ABE" w:rsidRDefault="000C6679" w:rsidP="000C6679">
      <w:pPr>
        <w:spacing w:before="0" w:after="0"/>
        <w:ind w:left="426"/>
        <w:rPr>
          <w:szCs w:val="20"/>
        </w:rPr>
      </w:pPr>
      <w:r>
        <w:rPr>
          <w:szCs w:val="20"/>
        </w:rPr>
        <w:t xml:space="preserve">Telephone number(s): </w:t>
      </w:r>
      <w:r w:rsidRPr="000C6679">
        <w:rPr>
          <w:b/>
          <w:bCs/>
        </w:rPr>
        <w:t>REDACTED</w:t>
      </w:r>
    </w:p>
    <w:p w14:paraId="64B95B1C" w14:textId="77777777" w:rsidR="000C6679" w:rsidRPr="00987ABE" w:rsidRDefault="000C6679" w:rsidP="000C6679">
      <w:pPr>
        <w:spacing w:before="0" w:after="0"/>
        <w:ind w:firstLine="426"/>
        <w:rPr>
          <w:szCs w:val="20"/>
        </w:rPr>
      </w:pPr>
      <w:r>
        <w:rPr>
          <w:szCs w:val="20"/>
        </w:rPr>
        <w:t xml:space="preserve">Email address: </w:t>
      </w:r>
      <w:r w:rsidRPr="000C6679">
        <w:rPr>
          <w:b/>
          <w:bCs/>
        </w:rPr>
        <w:t>REDACTED</w:t>
      </w:r>
    </w:p>
    <w:p w14:paraId="35E92C9F" w14:textId="77777777" w:rsidR="000C6679" w:rsidRDefault="000C6679" w:rsidP="000C6679">
      <w:pPr>
        <w:spacing w:before="0" w:after="0"/>
        <w:ind w:left="426"/>
        <w:rPr>
          <w:b/>
          <w:bCs/>
        </w:rPr>
      </w:pPr>
      <w:r>
        <w:rPr>
          <w:szCs w:val="20"/>
        </w:rPr>
        <w:t xml:space="preserve">Justification of expertise: </w:t>
      </w:r>
      <w:r w:rsidRPr="000C6679">
        <w:rPr>
          <w:b/>
          <w:bCs/>
        </w:rPr>
        <w:t>REDACTED</w:t>
      </w:r>
    </w:p>
    <w:p w14:paraId="78A80169" w14:textId="604B0F14" w:rsidR="00586DBF" w:rsidRDefault="00586DBF" w:rsidP="001165E7">
      <w:pPr>
        <w:spacing w:before="0" w:after="0"/>
        <w:ind w:left="426"/>
      </w:pPr>
    </w:p>
    <w:p w14:paraId="05403D7A" w14:textId="04756518" w:rsidR="00586DBF" w:rsidRPr="00987ABE" w:rsidRDefault="00586DBF" w:rsidP="001165E7">
      <w:pPr>
        <w:spacing w:before="0" w:after="0"/>
        <w:ind w:left="426"/>
        <w:rPr>
          <w:szCs w:val="20"/>
        </w:rPr>
      </w:pPr>
      <w:r>
        <w:rPr>
          <w:szCs w:val="20"/>
        </w:rPr>
        <w:t xml:space="preserve">Name of expert 3: </w:t>
      </w:r>
      <w:r w:rsidR="000C6679" w:rsidRPr="000C6679">
        <w:rPr>
          <w:b/>
          <w:bCs/>
        </w:rPr>
        <w:t>REDACTED</w:t>
      </w:r>
    </w:p>
    <w:p w14:paraId="550A7F02" w14:textId="77777777" w:rsidR="000C6679" w:rsidRPr="00987ABE" w:rsidRDefault="000C6679" w:rsidP="000C6679">
      <w:pPr>
        <w:spacing w:before="0" w:after="0"/>
        <w:ind w:left="426"/>
        <w:rPr>
          <w:szCs w:val="20"/>
        </w:rPr>
      </w:pPr>
      <w:r>
        <w:rPr>
          <w:szCs w:val="20"/>
        </w:rPr>
        <w:t xml:space="preserve">Telephone number(s): </w:t>
      </w:r>
      <w:r w:rsidRPr="000C6679">
        <w:rPr>
          <w:b/>
          <w:bCs/>
        </w:rPr>
        <w:t>REDACTED</w:t>
      </w:r>
    </w:p>
    <w:p w14:paraId="0EB75362" w14:textId="77777777" w:rsidR="000C6679" w:rsidRPr="00987ABE" w:rsidRDefault="000C6679" w:rsidP="000C6679">
      <w:pPr>
        <w:spacing w:before="0" w:after="0"/>
        <w:ind w:firstLine="426"/>
        <w:rPr>
          <w:szCs w:val="20"/>
        </w:rPr>
      </w:pPr>
      <w:r>
        <w:rPr>
          <w:szCs w:val="20"/>
        </w:rPr>
        <w:t xml:space="preserve">Email address: </w:t>
      </w:r>
      <w:r w:rsidRPr="000C6679">
        <w:rPr>
          <w:b/>
          <w:bCs/>
        </w:rPr>
        <w:t>REDACTED</w:t>
      </w:r>
    </w:p>
    <w:p w14:paraId="2A06A068" w14:textId="77777777" w:rsidR="000C6679" w:rsidRDefault="000C6679" w:rsidP="000C6679">
      <w:pPr>
        <w:spacing w:before="0" w:after="0"/>
        <w:ind w:left="426"/>
        <w:rPr>
          <w:b/>
          <w:bCs/>
        </w:rPr>
      </w:pPr>
      <w:r>
        <w:rPr>
          <w:szCs w:val="20"/>
        </w:rPr>
        <w:t xml:space="preserve">Justification of expertise: </w:t>
      </w:r>
      <w:r w:rsidRPr="000C6679">
        <w:rPr>
          <w:b/>
          <w:bCs/>
        </w:rPr>
        <w:t>REDACTED</w:t>
      </w:r>
    </w:p>
    <w:p w14:paraId="1B1C1739" w14:textId="77777777" w:rsidR="00987ABE" w:rsidRDefault="00987ABE" w:rsidP="001165E7">
      <w:pPr>
        <w:spacing w:before="0" w:after="0"/>
        <w:ind w:left="426"/>
        <w:rPr>
          <w:i/>
          <w:szCs w:val="20"/>
        </w:rPr>
      </w:pPr>
    </w:p>
    <w:p w14:paraId="4802B201" w14:textId="2F68E875" w:rsidR="003433D1" w:rsidRDefault="00E82F54" w:rsidP="00A9398C">
      <w:pPr>
        <w:ind w:left="426"/>
        <w:rPr>
          <w:b/>
          <w:sz w:val="32"/>
          <w:szCs w:val="32"/>
        </w:rPr>
      </w:pPr>
      <w:r w:rsidRPr="00154B00">
        <w:rPr>
          <w:i/>
          <w:szCs w:val="20"/>
        </w:rPr>
        <w:t>Please note that the Department may also consult with other referrers, proceduralists and disease specialists to obtain their insight.</w:t>
      </w:r>
    </w:p>
    <w:p w14:paraId="2A73B1FF"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3380511D" w14:textId="77777777" w:rsidR="0021185D" w:rsidRPr="005C3AE7" w:rsidRDefault="005C3AE7" w:rsidP="00325441">
      <w:pPr>
        <w:pStyle w:val="Subtitle"/>
        <w:ind w:left="0"/>
      </w:pPr>
      <w:r w:rsidRPr="005C3AE7">
        <w:t xml:space="preserve">PART 6a – </w:t>
      </w:r>
      <w:r w:rsidR="0021185D" w:rsidRPr="005C3AE7">
        <w:t>INFORMATION ABOUT THE PROPOSED POPULATION</w:t>
      </w:r>
    </w:p>
    <w:p w14:paraId="5CB49854" w14:textId="05127ACA"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3237EF" w:rsidRPr="00A96329">
        <w:t>high-level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558D18FE" w14:textId="10E9D4F0" w:rsidR="0020341A" w:rsidRPr="0016520F" w:rsidRDefault="00FF5003" w:rsidP="00325441">
      <w:pPr>
        <w:ind w:left="425"/>
        <w:rPr>
          <w:szCs w:val="20"/>
        </w:rPr>
      </w:pPr>
      <w:r w:rsidRPr="0016520F">
        <w:rPr>
          <w:szCs w:val="20"/>
        </w:rPr>
        <w:t xml:space="preserve">Haemophilia is a rare congenital bleeding disorder caused by deficiencies in coagulation factors </w:t>
      </w:r>
      <w:proofErr w:type="gramStart"/>
      <w:r w:rsidRPr="0016520F">
        <w:rPr>
          <w:szCs w:val="20"/>
        </w:rPr>
        <w:t>as a result of</w:t>
      </w:r>
      <w:proofErr w:type="gramEnd"/>
      <w:r w:rsidRPr="0016520F">
        <w:rPr>
          <w:szCs w:val="20"/>
        </w:rPr>
        <w:t xml:space="preserve"> mutations in clotting factor genes. There are two main types of haemophilia, with type A (HMA) accounting for 80-85% and type B (HMB) around 15% of the total prevalent population.  A much rarer form known as type C (HMC) is estimated to occur in less than 5% of cases.</w:t>
      </w:r>
      <w:r w:rsidR="00E020E7">
        <w:rPr>
          <w:szCs w:val="20"/>
        </w:rPr>
        <w:t xml:space="preserve"> Haemophilia B </w:t>
      </w:r>
      <w:r w:rsidR="00820541">
        <w:rPr>
          <w:szCs w:val="20"/>
        </w:rPr>
        <w:t xml:space="preserve">is </w:t>
      </w:r>
      <w:r w:rsidR="00B028BA">
        <w:rPr>
          <w:szCs w:val="20"/>
        </w:rPr>
        <w:t xml:space="preserve">characterised by </w:t>
      </w:r>
      <w:r w:rsidR="0031046B">
        <w:rPr>
          <w:szCs w:val="20"/>
        </w:rPr>
        <w:t>a partial or complete deficiency in the activity of the essential coagulation factor IX (FIX)</w:t>
      </w:r>
      <w:r w:rsidR="00437EE8">
        <w:rPr>
          <w:szCs w:val="20"/>
        </w:rPr>
        <w:t xml:space="preserve">, and occurs primarily in males, with females typically carriers with a mild or absent phenotype. </w:t>
      </w:r>
    </w:p>
    <w:p w14:paraId="2B6A1CAE" w14:textId="4B9891AE" w:rsidR="004C028A" w:rsidRDefault="003160DA" w:rsidP="00325441">
      <w:pPr>
        <w:ind w:left="425"/>
        <w:rPr>
          <w:szCs w:val="20"/>
        </w:rPr>
      </w:pPr>
      <w:r>
        <w:rPr>
          <w:rFonts w:cstheme="minorHAnsi"/>
        </w:rPr>
        <w:t>Haemophilia B</w:t>
      </w:r>
      <w:r w:rsidRPr="0049325F">
        <w:rPr>
          <w:rFonts w:cstheme="minorHAnsi"/>
        </w:rPr>
        <w:t xml:space="preserve"> remains a serious and life-threatening condition in which breakthrough bleeds and repeated bleeding in the joints in prophylactic treatment settings </w:t>
      </w:r>
      <w:proofErr w:type="gramStart"/>
      <w:r w:rsidRPr="0049325F">
        <w:rPr>
          <w:rFonts w:cstheme="minorHAnsi"/>
        </w:rPr>
        <w:t>lead</w:t>
      </w:r>
      <w:proofErr w:type="gramEnd"/>
      <w:r w:rsidRPr="0049325F">
        <w:rPr>
          <w:rFonts w:cstheme="minorHAnsi"/>
        </w:rPr>
        <w:t xml:space="preserve"> to </w:t>
      </w:r>
      <w:r>
        <w:rPr>
          <w:rFonts w:cstheme="minorHAnsi"/>
        </w:rPr>
        <w:t xml:space="preserve">major </w:t>
      </w:r>
      <w:r w:rsidRPr="0049325F">
        <w:rPr>
          <w:rFonts w:cstheme="minorHAnsi"/>
        </w:rPr>
        <w:t>sequelae, including permanent joint disease</w:t>
      </w:r>
      <w:r>
        <w:rPr>
          <w:rFonts w:cstheme="minorHAnsi"/>
        </w:rPr>
        <w:t xml:space="preserve"> and reduced quality of life</w:t>
      </w:r>
      <w:r w:rsidRPr="0049325F">
        <w:rPr>
          <w:rFonts w:cstheme="minorHAnsi"/>
        </w:rPr>
        <w:t xml:space="preserve">. Severe and moderate </w:t>
      </w:r>
      <w:r>
        <w:rPr>
          <w:rFonts w:cstheme="minorHAnsi"/>
        </w:rPr>
        <w:t xml:space="preserve">phenotypes </w:t>
      </w:r>
      <w:r w:rsidRPr="0049325F">
        <w:rPr>
          <w:rFonts w:cstheme="minorHAnsi"/>
        </w:rPr>
        <w:t xml:space="preserve">are associated with </w:t>
      </w:r>
      <w:r>
        <w:rPr>
          <w:rFonts w:cstheme="minorHAnsi"/>
        </w:rPr>
        <w:t>a</w:t>
      </w:r>
      <w:r w:rsidRPr="0049325F">
        <w:rPr>
          <w:rFonts w:cstheme="minorHAnsi"/>
        </w:rPr>
        <w:t xml:space="preserve"> lifetime risk of spontaneous and trauma-related bleeding,</w:t>
      </w:r>
      <w:r>
        <w:rPr>
          <w:rFonts w:cstheme="minorHAnsi"/>
        </w:rPr>
        <w:t xml:space="preserve"> hypertension, cardiovascular disease (CVD), low bone density, joint morbidity, and obesity </w:t>
      </w:r>
      <w:sdt>
        <w:sdtPr>
          <w:rPr>
            <w:rFonts w:cstheme="minorHAnsi"/>
          </w:rPr>
          <w:alias w:val="SmartCite Citation"/>
          <w:tag w:val="5e3f6b11-4472-4be6-89df-b5bd952cd979:3f68da5e-aa0f-40d5-a7a8-0953412598ab+"/>
          <w:id w:val="-1125851753"/>
          <w:placeholder>
            <w:docPart w:val="F6BB19EE3DE7411EA0A0AC8D1DFB54D2"/>
          </w:placeholder>
        </w:sdtPr>
        <w:sdtEndPr/>
        <w:sdtContent>
          <w:r w:rsidR="0010380A" w:rsidRPr="0010380A">
            <w:rPr>
              <w:rFonts w:ascii="Calibri" w:eastAsia="Times New Roman" w:hAnsi="Calibri"/>
              <w:color w:val="000000"/>
            </w:rPr>
            <w:t>(Jiménez‐</w:t>
          </w:r>
          <w:proofErr w:type="spellStart"/>
          <w:r w:rsidR="0010380A" w:rsidRPr="0010380A">
            <w:rPr>
              <w:rFonts w:ascii="Calibri" w:eastAsia="Times New Roman" w:hAnsi="Calibri"/>
              <w:color w:val="000000"/>
            </w:rPr>
            <w:t>Yuste</w:t>
          </w:r>
          <w:proofErr w:type="spellEnd"/>
          <w:r w:rsidR="0010380A" w:rsidRPr="0010380A">
            <w:rPr>
              <w:rFonts w:ascii="Calibri" w:eastAsia="Times New Roman" w:hAnsi="Calibri"/>
              <w:color w:val="000000"/>
            </w:rPr>
            <w:t xml:space="preserve"> et al. 2019)</w:t>
          </w:r>
        </w:sdtContent>
      </w:sdt>
      <w:r>
        <w:rPr>
          <w:rFonts w:cstheme="minorHAnsi"/>
        </w:rPr>
        <w:t>.</w:t>
      </w:r>
      <w:r w:rsidRPr="0049325F">
        <w:rPr>
          <w:rFonts w:cstheme="minorHAnsi"/>
        </w:rPr>
        <w:t xml:space="preserve"> </w:t>
      </w:r>
      <w:r>
        <w:rPr>
          <w:rFonts w:cstheme="minorHAnsi"/>
        </w:rPr>
        <w:t>I</w:t>
      </w:r>
      <w:r w:rsidRPr="0049325F">
        <w:rPr>
          <w:rFonts w:cstheme="minorHAnsi"/>
        </w:rPr>
        <w:t>f left un</w:t>
      </w:r>
      <w:r>
        <w:rPr>
          <w:rFonts w:cstheme="minorHAnsi"/>
        </w:rPr>
        <w:t>treated</w:t>
      </w:r>
      <w:r w:rsidRPr="0049325F">
        <w:rPr>
          <w:rFonts w:cstheme="minorHAnsi"/>
        </w:rPr>
        <w:t xml:space="preserve">, </w:t>
      </w:r>
      <w:r>
        <w:rPr>
          <w:rFonts w:cstheme="minorHAnsi"/>
        </w:rPr>
        <w:t>haemophilia</w:t>
      </w:r>
      <w:r w:rsidRPr="0049325F">
        <w:rPr>
          <w:rFonts w:cstheme="minorHAnsi"/>
        </w:rPr>
        <w:t xml:space="preserve"> B </w:t>
      </w:r>
      <w:r>
        <w:rPr>
          <w:rFonts w:cstheme="minorHAnsi"/>
        </w:rPr>
        <w:t>leads to</w:t>
      </w:r>
      <w:r w:rsidRPr="0049325F">
        <w:rPr>
          <w:rFonts w:cstheme="minorHAnsi"/>
        </w:rPr>
        <w:t xml:space="preserve"> </w:t>
      </w:r>
      <w:r>
        <w:rPr>
          <w:rFonts w:cstheme="minorHAnsi"/>
        </w:rPr>
        <w:t>significant</w:t>
      </w:r>
      <w:r w:rsidRPr="0049325F">
        <w:rPr>
          <w:rFonts w:cstheme="minorHAnsi"/>
        </w:rPr>
        <w:t xml:space="preserve"> morbidity and reduced life expectancy</w:t>
      </w:r>
      <w:r w:rsidR="00135277">
        <w:rPr>
          <w:rFonts w:cstheme="minorHAnsi"/>
        </w:rPr>
        <w:t>.</w:t>
      </w:r>
    </w:p>
    <w:p w14:paraId="00EE1806" w14:textId="3DB9862B" w:rsidR="00FF5003" w:rsidRDefault="00FF5003" w:rsidP="00325441">
      <w:pPr>
        <w:ind w:left="425"/>
        <w:rPr>
          <w:szCs w:val="20"/>
        </w:rPr>
      </w:pPr>
      <w:r w:rsidRPr="0016520F">
        <w:rPr>
          <w:szCs w:val="20"/>
        </w:rPr>
        <w:t>Most bleeding occurs internally, with intra-articular, intramuscular and mucocutaneous bleeds considered severe. Repeated bleeding, in particular joint bleeds (</w:t>
      </w:r>
      <w:proofErr w:type="spellStart"/>
      <w:r w:rsidRPr="0016520F">
        <w:rPr>
          <w:szCs w:val="20"/>
        </w:rPr>
        <w:t>haemarthrosis</w:t>
      </w:r>
      <w:proofErr w:type="spellEnd"/>
      <w:r w:rsidRPr="0016520F">
        <w:rPr>
          <w:szCs w:val="20"/>
        </w:rPr>
        <w:t xml:space="preserve">), is a major cause of significant morbidity and decreased quality of life in </w:t>
      </w:r>
      <w:r w:rsidR="00124E7C">
        <w:rPr>
          <w:szCs w:val="20"/>
        </w:rPr>
        <w:t>people living with haemophilia B.</w:t>
      </w:r>
      <w:r w:rsidRPr="0016520F">
        <w:rPr>
          <w:szCs w:val="20"/>
        </w:rPr>
        <w:t xml:space="preserve"> Although infrequent, </w:t>
      </w:r>
      <w:proofErr w:type="gramStart"/>
      <w:r w:rsidRPr="0016520F">
        <w:rPr>
          <w:szCs w:val="20"/>
        </w:rPr>
        <w:t>intracranial</w:t>
      </w:r>
      <w:proofErr w:type="gramEnd"/>
      <w:r w:rsidRPr="0016520F">
        <w:rPr>
          <w:szCs w:val="20"/>
        </w:rPr>
        <w:t xml:space="preserve"> and gastrointestinal bleeding, and bleeding into the neck and throat, can be life-threatening.  The </w:t>
      </w:r>
      <w:r w:rsidR="0016520F">
        <w:rPr>
          <w:szCs w:val="20"/>
        </w:rPr>
        <w:t>typical</w:t>
      </w:r>
      <w:r w:rsidRPr="0016520F">
        <w:rPr>
          <w:szCs w:val="20"/>
        </w:rPr>
        <w:t xml:space="preserve"> phenotype of HMB is the tendency to bleed, which is correlated with the level of FIX. </w:t>
      </w:r>
      <w:r w:rsidR="004A110C" w:rsidRPr="0016520F">
        <w:rPr>
          <w:szCs w:val="20"/>
        </w:rPr>
        <w:t>Therefore,</w:t>
      </w:r>
      <w:r w:rsidRPr="0016520F">
        <w:rPr>
          <w:szCs w:val="20"/>
        </w:rPr>
        <w:t xml:space="preserve"> the severity of (and bleeding risk associated with) HMB is classified according to patients’ endogenous FIX activity in their plasma. Those patients with FIX activity levels less than 1% are classified as having severe disease; between 1% and 5%, moderate disease; and between 5% and 40%, mild disease.</w:t>
      </w:r>
      <w:r w:rsidR="008F5378">
        <w:rPr>
          <w:szCs w:val="20"/>
        </w:rPr>
        <w:t xml:space="preserve"> </w:t>
      </w:r>
      <w:r w:rsidR="00BD11DA">
        <w:t xml:space="preserve">However, individuals may exhibit severe bleeding irrespective of their FIX level or with current use of factor IX continuous prophylaxis. </w:t>
      </w:r>
    </w:p>
    <w:p w14:paraId="4682F3F2" w14:textId="2B565555" w:rsidR="00815C82" w:rsidRPr="007D5B8D" w:rsidRDefault="0016520F" w:rsidP="00325441">
      <w:pPr>
        <w:ind w:left="425"/>
        <w:rPr>
          <w:szCs w:val="20"/>
        </w:rPr>
      </w:pPr>
      <w:r w:rsidRPr="0041603F">
        <w:rPr>
          <w:szCs w:val="20"/>
        </w:rPr>
        <w:t>Based on the Australian Bleeding Disorders Registry (ABDR) in 2019-2020 the national prevalence of HMB was estimated at around 590 persons, approximately 80% o</w:t>
      </w:r>
      <w:r w:rsidR="00F36205" w:rsidRPr="0041603F">
        <w:rPr>
          <w:szCs w:val="20"/>
        </w:rPr>
        <w:t>f</w:t>
      </w:r>
      <w:r w:rsidRPr="0041603F">
        <w:rPr>
          <w:szCs w:val="20"/>
        </w:rPr>
        <w:t xml:space="preserve"> whom were male, 75% adults ≥ 18 years, and 45% with moderate to severe disease</w:t>
      </w:r>
      <w:r w:rsidR="00890174" w:rsidRPr="00920218">
        <w:rPr>
          <w:szCs w:val="20"/>
        </w:rPr>
        <w:t xml:space="preserve"> </w:t>
      </w:r>
      <w:sdt>
        <w:sdtPr>
          <w:rPr>
            <w:szCs w:val="20"/>
          </w:rPr>
          <w:alias w:val="SmartCite Citation"/>
          <w:tag w:val="5e3f6b11-4472-4be6-89df-b5bd952cd979:209e9425-e2a7-47e1-97ca-ac55b9581ba2+{&quot;items&quot;:{&quot;5e3f6b11-4472-4be6-89df-b5bd952cd979:209e9425-e2a7-47e1-97ca-ac55b9581ba2&quot;:{&quot;position&quot;:null,&quot;prefix&quot;:&quot;NBA&quot;,&quot;suffix&quot;:&quot;&quot;,&quot;suppressAuthor&quot;:false}}}"/>
          <w:id w:val="-1015838677"/>
          <w:placeholder>
            <w:docPart w:val="DefaultPlaceholder_-1854013440"/>
          </w:placeholder>
        </w:sdtPr>
        <w:sdtEndPr/>
        <w:sdtContent>
          <w:r w:rsidR="0010380A" w:rsidRPr="0010380A">
            <w:rPr>
              <w:rFonts w:ascii="Calibri" w:eastAsia="Times New Roman" w:hAnsi="Calibri"/>
              <w:color w:val="000000"/>
            </w:rPr>
            <w:t>(NBA Australia 2021)</w:t>
          </w:r>
        </w:sdtContent>
      </w:sdt>
      <w:r w:rsidRPr="00920218">
        <w:rPr>
          <w:szCs w:val="20"/>
        </w:rPr>
        <w:t xml:space="preserve">. </w:t>
      </w:r>
      <w:r w:rsidR="00815C82" w:rsidRPr="00920218">
        <w:rPr>
          <w:szCs w:val="20"/>
          <w:lang w:val="en-US"/>
        </w:rPr>
        <w:t xml:space="preserve">Current unmet needs in </w:t>
      </w:r>
      <w:proofErr w:type="spellStart"/>
      <w:r w:rsidR="00815C82" w:rsidRPr="00920218">
        <w:rPr>
          <w:szCs w:val="20"/>
          <w:lang w:val="en-US"/>
        </w:rPr>
        <w:t>haemophilia</w:t>
      </w:r>
      <w:proofErr w:type="spellEnd"/>
      <w:r w:rsidR="00815C82" w:rsidRPr="00920218">
        <w:rPr>
          <w:szCs w:val="20"/>
          <w:lang w:val="en-US"/>
        </w:rPr>
        <w:t xml:space="preserve"> B include treatments that provide long-term bleeding control without</w:t>
      </w:r>
      <w:r w:rsidR="00815C82" w:rsidRPr="007D5B8D">
        <w:rPr>
          <w:szCs w:val="20"/>
          <w:lang w:val="en-US"/>
        </w:rPr>
        <w:t xml:space="preserve"> the risk of inhibitor development, eliminate the burden of frequent injections, and improve quality of life (QoL). Patients with severe or moderately severe </w:t>
      </w:r>
      <w:proofErr w:type="spellStart"/>
      <w:r w:rsidR="00815C82" w:rsidRPr="007D5B8D">
        <w:rPr>
          <w:szCs w:val="20"/>
          <w:lang w:val="en-US"/>
        </w:rPr>
        <w:t>haemophilia</w:t>
      </w:r>
      <w:proofErr w:type="spellEnd"/>
      <w:r w:rsidR="00815C82" w:rsidRPr="007D5B8D">
        <w:rPr>
          <w:szCs w:val="20"/>
          <w:lang w:val="en-US"/>
        </w:rPr>
        <w:t xml:space="preserve"> B experience chronic pain with most reporting an impact of </w:t>
      </w:r>
      <w:proofErr w:type="spellStart"/>
      <w:r w:rsidR="00815C82" w:rsidRPr="007D5B8D">
        <w:rPr>
          <w:szCs w:val="20"/>
          <w:lang w:val="en-US"/>
        </w:rPr>
        <w:t>haemophilia</w:t>
      </w:r>
      <w:proofErr w:type="spellEnd"/>
      <w:r w:rsidR="00815C82" w:rsidRPr="007D5B8D">
        <w:rPr>
          <w:szCs w:val="20"/>
          <w:lang w:val="en-US"/>
        </w:rPr>
        <w:t xml:space="preserve"> on their daily lives. Physical limitations caused by </w:t>
      </w:r>
      <w:proofErr w:type="spellStart"/>
      <w:r w:rsidR="00815C82" w:rsidRPr="007D5B8D">
        <w:rPr>
          <w:szCs w:val="20"/>
          <w:lang w:val="en-US"/>
        </w:rPr>
        <w:t>haemophilia</w:t>
      </w:r>
      <w:proofErr w:type="spellEnd"/>
      <w:r w:rsidR="00815C82" w:rsidRPr="007D5B8D">
        <w:rPr>
          <w:szCs w:val="20"/>
          <w:lang w:val="en-US"/>
        </w:rPr>
        <w:t xml:space="preserve"> B can make it difficult for patients to participate in social activities, leading to substantial effects on mental well-being, particularly among younger people living with the condition</w:t>
      </w:r>
      <w:r w:rsidR="0027421F">
        <w:rPr>
          <w:szCs w:val="20"/>
          <w:lang w:val="en-US"/>
        </w:rPr>
        <w:t>.</w:t>
      </w:r>
    </w:p>
    <w:p w14:paraId="5D46F64E" w14:textId="6765BDDF" w:rsidR="009F0D27" w:rsidRPr="000A3C9B" w:rsidRDefault="009F0D27" w:rsidP="00325441">
      <w:pPr>
        <w:ind w:left="425"/>
        <w:rPr>
          <w:szCs w:val="20"/>
        </w:rPr>
      </w:pPr>
      <w:r w:rsidRPr="009F0D27">
        <w:rPr>
          <w:szCs w:val="20"/>
        </w:rPr>
        <w:t>The mainstay of treatment for HMB consists of IV FIX replacement therapy, using either plasma-derived or recombinant factor concentrates, administered either on demand (when bleeds occur) or prophylactically (</w:t>
      </w:r>
      <w:r w:rsidR="00C50C18">
        <w:rPr>
          <w:szCs w:val="20"/>
        </w:rPr>
        <w:t>as</w:t>
      </w:r>
      <w:r w:rsidRPr="005D0B27">
        <w:rPr>
          <w:szCs w:val="20"/>
        </w:rPr>
        <w:t xml:space="preserve"> regular</w:t>
      </w:r>
      <w:r w:rsidR="00C50C18">
        <w:rPr>
          <w:szCs w:val="20"/>
        </w:rPr>
        <w:t xml:space="preserve"> ongoing</w:t>
      </w:r>
      <w:r w:rsidRPr="005D0B27">
        <w:rPr>
          <w:szCs w:val="20"/>
        </w:rPr>
        <w:t xml:space="preserve"> infusions).</w:t>
      </w:r>
      <w:r w:rsidRPr="009F0D27">
        <w:rPr>
          <w:szCs w:val="20"/>
        </w:rPr>
        <w:t xml:space="preserve">  Optimal management is highly nuanced and patient specific, </w:t>
      </w:r>
      <w:proofErr w:type="gramStart"/>
      <w:r w:rsidRPr="009F0D27">
        <w:rPr>
          <w:szCs w:val="20"/>
        </w:rPr>
        <w:t>specialised</w:t>
      </w:r>
      <w:proofErr w:type="gramEnd"/>
      <w:r w:rsidRPr="009F0D27">
        <w:rPr>
          <w:szCs w:val="20"/>
        </w:rPr>
        <w:t xml:space="preserve"> and multidisciplinary in nature.  Various detailed clinical guidelines are available both locally and internationally, which summarise a constantly evolving treatment landscape and evidence base.  In Australia most</w:t>
      </w:r>
      <w:r w:rsidR="00ED2A19">
        <w:rPr>
          <w:szCs w:val="20"/>
        </w:rPr>
        <w:t xml:space="preserve"> people living with haemophilia B</w:t>
      </w:r>
      <w:r w:rsidRPr="009F0D27">
        <w:rPr>
          <w:szCs w:val="20"/>
        </w:rPr>
        <w:t xml:space="preserve"> receive care through a dedicated Haemophilia Treatment Centre (HTC). </w:t>
      </w:r>
    </w:p>
    <w:p w14:paraId="491C5C12" w14:textId="4D1A3709" w:rsidR="00FF5003" w:rsidRDefault="002F2B40" w:rsidP="00325441">
      <w:pPr>
        <w:ind w:left="425"/>
        <w:rPr>
          <w:szCs w:val="20"/>
        </w:rPr>
      </w:pPr>
      <w:r>
        <w:rPr>
          <w:szCs w:val="20"/>
        </w:rPr>
        <w:t>Guidelines</w:t>
      </w:r>
      <w:r w:rsidR="009F0D27" w:rsidRPr="009F0D27">
        <w:rPr>
          <w:szCs w:val="20"/>
        </w:rPr>
        <w:t xml:space="preserve"> recommended that patients wit</w:t>
      </w:r>
      <w:r w:rsidR="00D302AF">
        <w:rPr>
          <w:szCs w:val="20"/>
        </w:rPr>
        <w:t>h</w:t>
      </w:r>
      <w:r w:rsidR="009F0D27" w:rsidRPr="009F0D27">
        <w:rPr>
          <w:szCs w:val="20"/>
        </w:rPr>
        <w:t xml:space="preserve"> severe HMB</w:t>
      </w:r>
      <w:r w:rsidR="00D302AF">
        <w:rPr>
          <w:szCs w:val="20"/>
        </w:rPr>
        <w:t>, or moderate HMB with a severe phenotype</w:t>
      </w:r>
      <w:r w:rsidR="009F0D27" w:rsidRPr="009F0D27">
        <w:rPr>
          <w:szCs w:val="20"/>
        </w:rPr>
        <w:t xml:space="preserve"> should receive routine prophylaxis with recombinant FIX concentrate, preferably using an extended half</w:t>
      </w:r>
      <w:r w:rsidR="009F0D27">
        <w:rPr>
          <w:szCs w:val="20"/>
        </w:rPr>
        <w:t>-</w:t>
      </w:r>
      <w:r w:rsidR="009F0D27" w:rsidRPr="009F0D27">
        <w:rPr>
          <w:szCs w:val="20"/>
        </w:rPr>
        <w:t xml:space="preserve">life (EHL) formulation.  </w:t>
      </w:r>
      <w:r w:rsidR="00FF5003" w:rsidRPr="0016520F">
        <w:rPr>
          <w:szCs w:val="20"/>
        </w:rPr>
        <w:t>Over the last 30 years, plasma derived FIX replacement products (</w:t>
      </w:r>
      <w:r w:rsidR="004D355E" w:rsidRPr="0016520F">
        <w:rPr>
          <w:szCs w:val="20"/>
        </w:rPr>
        <w:t>e.g.,</w:t>
      </w:r>
      <w:r w:rsidR="00FF5003" w:rsidRPr="0016520F">
        <w:rPr>
          <w:szCs w:val="20"/>
        </w:rPr>
        <w:t xml:space="preserve"> </w:t>
      </w:r>
      <w:proofErr w:type="spellStart"/>
      <w:r w:rsidR="00FF5003" w:rsidRPr="0016520F">
        <w:rPr>
          <w:szCs w:val="20"/>
        </w:rPr>
        <w:t>MonoFIX</w:t>
      </w:r>
      <w:proofErr w:type="spellEnd"/>
      <w:r w:rsidR="00FF5003" w:rsidRPr="0016520F">
        <w:rPr>
          <w:szCs w:val="20"/>
        </w:rPr>
        <w:t xml:space="preserve">) have been largely </w:t>
      </w:r>
      <w:r w:rsidR="00527A44">
        <w:rPr>
          <w:szCs w:val="20"/>
        </w:rPr>
        <w:t>replaced</w:t>
      </w:r>
      <w:r w:rsidR="00FF5003" w:rsidRPr="0016520F">
        <w:rPr>
          <w:szCs w:val="20"/>
        </w:rPr>
        <w:t xml:space="preserve"> by recombinant products (</w:t>
      </w:r>
      <w:r w:rsidR="004A110C" w:rsidRPr="0016520F">
        <w:rPr>
          <w:szCs w:val="20"/>
        </w:rPr>
        <w:t>e.g.,</w:t>
      </w:r>
      <w:r w:rsidR="00FF5003" w:rsidRPr="0016520F">
        <w:rPr>
          <w:szCs w:val="20"/>
        </w:rPr>
        <w:t xml:space="preserve"> </w:t>
      </w:r>
      <w:proofErr w:type="spellStart"/>
      <w:r w:rsidR="00FF5003" w:rsidRPr="0016520F">
        <w:rPr>
          <w:szCs w:val="20"/>
        </w:rPr>
        <w:t>BeneFIX</w:t>
      </w:r>
      <w:proofErr w:type="spellEnd"/>
      <w:r w:rsidR="00FF5003" w:rsidRPr="0016520F">
        <w:rPr>
          <w:szCs w:val="20"/>
        </w:rPr>
        <w:t>) with use of extended half</w:t>
      </w:r>
      <w:r w:rsidR="0016520F">
        <w:rPr>
          <w:szCs w:val="20"/>
        </w:rPr>
        <w:t>-</w:t>
      </w:r>
      <w:r w:rsidR="00FF5003" w:rsidRPr="0016520F">
        <w:rPr>
          <w:szCs w:val="20"/>
        </w:rPr>
        <w:t xml:space="preserve">life (EHL) </w:t>
      </w:r>
      <w:r w:rsidR="00FF5003" w:rsidRPr="0016520F">
        <w:rPr>
          <w:szCs w:val="20"/>
        </w:rPr>
        <w:lastRenderedPageBreak/>
        <w:t>formulations (</w:t>
      </w:r>
      <w:r w:rsidR="004A110C" w:rsidRPr="0016520F">
        <w:rPr>
          <w:szCs w:val="20"/>
        </w:rPr>
        <w:t>e.g.,</w:t>
      </w:r>
      <w:r w:rsidR="00FF5003" w:rsidRPr="0016520F">
        <w:rPr>
          <w:szCs w:val="20"/>
        </w:rPr>
        <w:t xml:space="preserve"> ALPROLIX) becoming increasingly common in the last 5 years, especially for </w:t>
      </w:r>
      <w:r w:rsidR="0016520F">
        <w:rPr>
          <w:szCs w:val="20"/>
        </w:rPr>
        <w:t xml:space="preserve">regular </w:t>
      </w:r>
      <w:r w:rsidR="00FF5003" w:rsidRPr="0016520F">
        <w:rPr>
          <w:szCs w:val="20"/>
        </w:rPr>
        <w:t xml:space="preserve">prophylaxis. </w:t>
      </w:r>
      <w:r w:rsidR="009F0D27">
        <w:rPr>
          <w:szCs w:val="20"/>
        </w:rPr>
        <w:t xml:space="preserve"> </w:t>
      </w:r>
    </w:p>
    <w:p w14:paraId="249259F2" w14:textId="2A323D6E" w:rsidR="000A3C9B" w:rsidRPr="000D5FE5" w:rsidRDefault="000A3C9B" w:rsidP="00325441">
      <w:pPr>
        <w:ind w:left="425"/>
        <w:rPr>
          <w:szCs w:val="20"/>
          <w:lang w:val="en-GB"/>
        </w:rPr>
      </w:pPr>
      <w:r w:rsidRPr="00136CFA">
        <w:rPr>
          <w:iCs/>
          <w:szCs w:val="20"/>
          <w:lang w:val="en-US"/>
        </w:rPr>
        <w:t xml:space="preserve">Although the introduction of EHL products has decreased the number of injections, FIX replacement </w:t>
      </w:r>
      <w:r w:rsidR="00F82FA6">
        <w:rPr>
          <w:szCs w:val="20"/>
          <w:lang w:val="en-US"/>
        </w:rPr>
        <w:t>injections</w:t>
      </w:r>
      <w:r w:rsidRPr="00136CFA">
        <w:rPr>
          <w:iCs/>
          <w:szCs w:val="20"/>
          <w:lang w:val="en-US"/>
        </w:rPr>
        <w:t xml:space="preserve"> are still frequent and lifelong. Frequent injections can lead to poor venous access, blood clots, inflammation, and secondary infections. Treatment complexity and pain associated with FIX injections can lead to poor adherence</w:t>
      </w:r>
      <w:r w:rsidR="0078391E">
        <w:rPr>
          <w:iCs/>
          <w:szCs w:val="20"/>
          <w:lang w:val="en-US"/>
        </w:rPr>
        <w:t>,</w:t>
      </w:r>
      <w:r w:rsidRPr="00136CFA">
        <w:rPr>
          <w:iCs/>
          <w:szCs w:val="20"/>
          <w:lang w:val="en-US"/>
        </w:rPr>
        <w:t xml:space="preserve"> leading to poor clinical outcomes </w:t>
      </w:r>
      <w:sdt>
        <w:sdtPr>
          <w:rPr>
            <w:szCs w:val="20"/>
          </w:rPr>
          <w:alias w:val="SmartCite Citation"/>
          <w:tag w:val="5e3f6b11-4472-4be6-89df-b5bd952cd979:4e597c5b-bb14-422f-8646-9b5dc1eb046e+{&quot;items&quot;:{}}"/>
          <w:id w:val="1506860372"/>
        </w:sdtPr>
        <w:sdtEndPr/>
        <w:sdtContent>
          <w:r w:rsidR="0010380A" w:rsidRPr="0010380A">
            <w:rPr>
              <w:rFonts w:ascii="Calibri" w:eastAsia="Times New Roman" w:hAnsi="Calibri"/>
              <w:color w:val="000000"/>
            </w:rPr>
            <w:t>(Srivastava et al. 2020)</w:t>
          </w:r>
        </w:sdtContent>
      </w:sdt>
      <w:r w:rsidR="00112AEC">
        <w:rPr>
          <w:szCs w:val="20"/>
          <w:lang w:val="en-US"/>
        </w:rPr>
        <w:t xml:space="preserve"> and it is estimated </w:t>
      </w:r>
      <w:r w:rsidR="008262F2">
        <w:rPr>
          <w:szCs w:val="20"/>
          <w:lang w:val="en-US"/>
        </w:rPr>
        <w:t xml:space="preserve">more than a quarter of people living with </w:t>
      </w:r>
      <w:proofErr w:type="spellStart"/>
      <w:r w:rsidR="008262F2">
        <w:rPr>
          <w:szCs w:val="20"/>
          <w:lang w:val="en-US"/>
        </w:rPr>
        <w:t>haemophilia</w:t>
      </w:r>
      <w:proofErr w:type="spellEnd"/>
      <w:r w:rsidR="00CB534B">
        <w:rPr>
          <w:szCs w:val="20"/>
          <w:lang w:val="en-US"/>
        </w:rPr>
        <w:t xml:space="preserve"> B in Australia are currently</w:t>
      </w:r>
      <w:r w:rsidR="00CE58A3">
        <w:rPr>
          <w:szCs w:val="20"/>
          <w:lang w:val="en-US"/>
        </w:rPr>
        <w:t xml:space="preserve"> not optimally adherent to </w:t>
      </w:r>
      <w:r w:rsidR="00CB534B">
        <w:rPr>
          <w:szCs w:val="20"/>
          <w:lang w:val="en-US"/>
        </w:rPr>
        <w:t xml:space="preserve">treatment </w:t>
      </w:r>
      <w:sdt>
        <w:sdtPr>
          <w:rPr>
            <w:szCs w:val="20"/>
            <w:lang w:val="en-US"/>
          </w:rPr>
          <w:alias w:val="SmartCite Citation"/>
          <w:tag w:val="5e3f6b11-4472-4be6-89df-b5bd952cd979:0d9b0eb8-4b28-477b-87f5-02391ff4ca1f+"/>
          <w:id w:val="1763260085"/>
          <w:placeholder>
            <w:docPart w:val="DefaultPlaceholder_-1854013440"/>
          </w:placeholder>
        </w:sdtPr>
        <w:sdtEndPr/>
        <w:sdtContent>
          <w:r w:rsidR="0010380A" w:rsidRPr="0010380A">
            <w:rPr>
              <w:rFonts w:ascii="Calibri" w:eastAsia="Times New Roman" w:hAnsi="Calibri"/>
              <w:color w:val="000000"/>
            </w:rPr>
            <w:t>(Brennan, Parikh, McRae, &amp; Tran 2020)</w:t>
          </w:r>
        </w:sdtContent>
      </w:sdt>
      <w:r w:rsidR="00423141">
        <w:rPr>
          <w:szCs w:val="20"/>
          <w:lang w:val="en-US"/>
        </w:rPr>
        <w:t>.</w:t>
      </w:r>
      <w:r w:rsidR="008262F2">
        <w:rPr>
          <w:szCs w:val="20"/>
          <w:lang w:val="en-US"/>
        </w:rPr>
        <w:t xml:space="preserve"> </w:t>
      </w:r>
      <w:r w:rsidRPr="00136CFA">
        <w:rPr>
          <w:szCs w:val="20"/>
          <w:lang w:val="en-GB"/>
        </w:rPr>
        <w:t xml:space="preserve">Although EHL products extend the time until patients reach the minimum trough levels required to avoid spontaneous bleeds, there is significant interpatient variability related to age, body mass, blood group, von Willebrand factor (VWF) level, bleeding phenotype, physical activity level, joint status, and adherence.  </w:t>
      </w:r>
    </w:p>
    <w:p w14:paraId="16323CED" w14:textId="73D364C5" w:rsidR="00A72F1A" w:rsidRDefault="000A3C9B" w:rsidP="00325441">
      <w:pPr>
        <w:ind w:left="425"/>
        <w:rPr>
          <w:szCs w:val="20"/>
          <w:lang w:val="en-US"/>
        </w:rPr>
      </w:pPr>
      <w:r w:rsidRPr="00136CFA">
        <w:rPr>
          <w:szCs w:val="20"/>
          <w:lang w:val="en-US"/>
        </w:rPr>
        <w:t xml:space="preserve">Poor adherence to prophylaxis may be especially dangerous as missing an infusion can cause clotting factor levels to fall below the individual protective trough level, causing an increase of bleeding risk. </w:t>
      </w:r>
      <w:r w:rsidRPr="00136CFA">
        <w:rPr>
          <w:iCs/>
          <w:szCs w:val="20"/>
          <w:lang w:val="en-US"/>
        </w:rPr>
        <w:t xml:space="preserve">Patients are at high risk of breakthrough, </w:t>
      </w:r>
      <w:r w:rsidRPr="00136CFA">
        <w:rPr>
          <w:szCs w:val="20"/>
          <w:lang w:val="en-US"/>
        </w:rPr>
        <w:t xml:space="preserve">spontaneous bleeding in-between infusion periods. </w:t>
      </w:r>
      <w:r w:rsidR="000302A2" w:rsidRPr="007D5B8D">
        <w:rPr>
          <w:szCs w:val="20"/>
        </w:rPr>
        <w:t>Long term, the negative effects of haemophilia on patients’ lives as well as treatment burden can interfere with their education, employment, and productivity at work. Haemophilia B is also associated with a substantial use of non-FIX treatment healthcare resources including physician visits, outpatient visits, emergency room visits, and hospitalisations for spontaneous bleeds, and for traumatic bleeds from surger</w:t>
      </w:r>
      <w:r w:rsidR="000302A2">
        <w:rPr>
          <w:szCs w:val="20"/>
        </w:rPr>
        <w:t>y.</w:t>
      </w:r>
    </w:p>
    <w:p w14:paraId="07D885CD" w14:textId="7EC1E956" w:rsidR="00401F4B" w:rsidRPr="000656CA" w:rsidRDefault="00A72F1A" w:rsidP="00325441">
      <w:pPr>
        <w:ind w:left="425"/>
        <w:rPr>
          <w:szCs w:val="20"/>
          <w:lang w:val="en-US"/>
        </w:rPr>
      </w:pPr>
      <w:r w:rsidRPr="00A72F1A">
        <w:rPr>
          <w:szCs w:val="20"/>
          <w:lang w:val="en-US"/>
        </w:rPr>
        <w:t xml:space="preserve">Current treatments cannot deliver sufficiently high and sustained factor IX activity levels to provide protection from bleeds and resolve these issues. The peak and trough nature of these treatments, and the need for regular intravenous infusion are major limitations of current therapy. </w:t>
      </w:r>
      <w:r w:rsidR="007D5B8D" w:rsidRPr="007D5B8D">
        <w:rPr>
          <w:szCs w:val="20"/>
          <w:lang w:val="en-US"/>
        </w:rPr>
        <w:t xml:space="preserve">New treatments are needed to improve patient and clinical outcomes and </w:t>
      </w:r>
      <w:r w:rsidR="007D5B8D" w:rsidRPr="007D5B8D">
        <w:rPr>
          <w:szCs w:val="20"/>
        </w:rPr>
        <w:t>to slow down or completely stop the progression of the disease; ultimately improving humanistic and economic burdens resulting from haemophilia B.</w:t>
      </w:r>
    </w:p>
    <w:p w14:paraId="4414AD87" w14:textId="107B31AC" w:rsidR="00AA5FDA" w:rsidRPr="00154B00" w:rsidRDefault="00E95FE2" w:rsidP="00325441">
      <w:pPr>
        <w:pStyle w:val="Heading2"/>
        <w:ind w:left="357" w:hanging="357"/>
      </w:pPr>
      <w:r>
        <w:t xml:space="preserve">Specify the characteristics of patients with the medical condition, who would be eligible for the proposed </w:t>
      </w:r>
      <w:r w:rsidR="009F0D27">
        <w:t>medicine</w:t>
      </w:r>
      <w:r>
        <w:t xml:space="preserve"> (including details on how a patient would be investigated, </w:t>
      </w:r>
      <w:proofErr w:type="gramStart"/>
      <w:r>
        <w:t>managed</w:t>
      </w:r>
      <w:proofErr w:type="gramEnd"/>
      <w:r>
        <w:t xml:space="preserve"> and referred within the Australian health care system, in the lead up to being eligible for the </w:t>
      </w:r>
      <w:r w:rsidR="009F0D27">
        <w:t>medicine</w:t>
      </w:r>
      <w:r>
        <w:t>):</w:t>
      </w:r>
    </w:p>
    <w:p w14:paraId="70F9264A" w14:textId="5B44334A" w:rsidR="00DD0161" w:rsidRPr="0041603F" w:rsidRDefault="009F0D27" w:rsidP="007B4499">
      <w:pPr>
        <w:ind w:left="426"/>
        <w:rPr>
          <w:szCs w:val="20"/>
        </w:rPr>
      </w:pPr>
      <w:r w:rsidRPr="0041603F">
        <w:rPr>
          <w:szCs w:val="20"/>
        </w:rPr>
        <w:t xml:space="preserve">Based on the characteristics of </w:t>
      </w:r>
      <w:r w:rsidR="0094171D" w:rsidRPr="0041603F">
        <w:rPr>
          <w:szCs w:val="20"/>
        </w:rPr>
        <w:t xml:space="preserve">the </w:t>
      </w:r>
      <w:r w:rsidR="00663202" w:rsidRPr="0041603F">
        <w:rPr>
          <w:szCs w:val="20"/>
        </w:rPr>
        <w:t>proposed medicine</w:t>
      </w:r>
      <w:r w:rsidRPr="0041603F">
        <w:rPr>
          <w:szCs w:val="20"/>
        </w:rPr>
        <w:t xml:space="preserve">, </w:t>
      </w:r>
      <w:r w:rsidR="0094171D" w:rsidRPr="0041603F">
        <w:rPr>
          <w:szCs w:val="20"/>
        </w:rPr>
        <w:t xml:space="preserve">draft regulatory indication, and </w:t>
      </w:r>
      <w:r w:rsidRPr="0041603F">
        <w:rPr>
          <w:szCs w:val="20"/>
        </w:rPr>
        <w:t xml:space="preserve">respective eligibility criteria and </w:t>
      </w:r>
      <w:r w:rsidR="0094171D" w:rsidRPr="0041603F">
        <w:rPr>
          <w:szCs w:val="20"/>
        </w:rPr>
        <w:t>r</w:t>
      </w:r>
      <w:r w:rsidRPr="0041603F">
        <w:rPr>
          <w:szCs w:val="20"/>
        </w:rPr>
        <w:t xml:space="preserve">esults of the </w:t>
      </w:r>
      <w:r w:rsidR="0094171D" w:rsidRPr="0041603F">
        <w:rPr>
          <w:szCs w:val="20"/>
        </w:rPr>
        <w:t xml:space="preserve">key </w:t>
      </w:r>
      <w:r w:rsidRPr="0041603F">
        <w:rPr>
          <w:szCs w:val="20"/>
        </w:rPr>
        <w:t xml:space="preserve">clinical trials, the </w:t>
      </w:r>
      <w:r w:rsidR="00E300AC" w:rsidRPr="0041603F">
        <w:rPr>
          <w:szCs w:val="20"/>
        </w:rPr>
        <w:t xml:space="preserve">optimal </w:t>
      </w:r>
      <w:r w:rsidRPr="0041603F">
        <w:rPr>
          <w:szCs w:val="20"/>
        </w:rPr>
        <w:t xml:space="preserve">clinical place </w:t>
      </w:r>
      <w:r w:rsidR="00E300AC" w:rsidRPr="0041603F">
        <w:rPr>
          <w:szCs w:val="20"/>
        </w:rPr>
        <w:t>for</w:t>
      </w:r>
      <w:r w:rsidRPr="0041603F">
        <w:rPr>
          <w:szCs w:val="20"/>
        </w:rPr>
        <w:t xml:space="preserve"> </w:t>
      </w:r>
      <w:proofErr w:type="spellStart"/>
      <w:r w:rsidR="0094171D" w:rsidRPr="0041603F">
        <w:rPr>
          <w:szCs w:val="20"/>
        </w:rPr>
        <w:t>etranacogene</w:t>
      </w:r>
      <w:proofErr w:type="spellEnd"/>
      <w:r w:rsidR="0094171D" w:rsidRPr="0041603F">
        <w:rPr>
          <w:szCs w:val="20"/>
        </w:rPr>
        <w:t xml:space="preserve"> </w:t>
      </w:r>
      <w:proofErr w:type="spellStart"/>
      <w:r w:rsidR="0094171D" w:rsidRPr="0041603F">
        <w:rPr>
          <w:szCs w:val="20"/>
        </w:rPr>
        <w:t>dezaparvovec</w:t>
      </w:r>
      <w:proofErr w:type="spellEnd"/>
      <w:r w:rsidR="0094171D" w:rsidRPr="0041603F">
        <w:rPr>
          <w:szCs w:val="20"/>
        </w:rPr>
        <w:t xml:space="preserve"> in Australian practice will </w:t>
      </w:r>
      <w:r w:rsidR="00E300AC" w:rsidRPr="0041603F">
        <w:rPr>
          <w:szCs w:val="20"/>
        </w:rPr>
        <w:t xml:space="preserve">likely </w:t>
      </w:r>
      <w:r w:rsidR="0094171D" w:rsidRPr="0041603F">
        <w:rPr>
          <w:szCs w:val="20"/>
        </w:rPr>
        <w:t xml:space="preserve">be </w:t>
      </w:r>
      <w:r w:rsidRPr="0041603F">
        <w:rPr>
          <w:szCs w:val="20"/>
        </w:rPr>
        <w:t xml:space="preserve">as a single (once </w:t>
      </w:r>
      <w:r w:rsidR="0094171D" w:rsidRPr="0041603F">
        <w:rPr>
          <w:szCs w:val="20"/>
        </w:rPr>
        <w:t>in a lifetime</w:t>
      </w:r>
      <w:r w:rsidRPr="0041603F">
        <w:rPr>
          <w:szCs w:val="20"/>
        </w:rPr>
        <w:t>) treatment</w:t>
      </w:r>
      <w:r w:rsidR="00E300AC" w:rsidRPr="0041603F">
        <w:rPr>
          <w:szCs w:val="20"/>
        </w:rPr>
        <w:t>, of curative intent</w:t>
      </w:r>
      <w:r w:rsidRPr="0041603F">
        <w:rPr>
          <w:szCs w:val="20"/>
        </w:rPr>
        <w:t xml:space="preserve">, for </w:t>
      </w:r>
      <w:r w:rsidR="00BD30EB" w:rsidRPr="0041603F">
        <w:rPr>
          <w:szCs w:val="20"/>
        </w:rPr>
        <w:t xml:space="preserve">some </w:t>
      </w:r>
      <w:r w:rsidRPr="0041603F">
        <w:rPr>
          <w:szCs w:val="20"/>
        </w:rPr>
        <w:t>adult</w:t>
      </w:r>
      <w:r w:rsidR="00E300AC" w:rsidRPr="0041603F">
        <w:rPr>
          <w:szCs w:val="20"/>
        </w:rPr>
        <w:t xml:space="preserve"> patients </w:t>
      </w:r>
      <w:r w:rsidRPr="0041603F">
        <w:rPr>
          <w:szCs w:val="20"/>
        </w:rPr>
        <w:t>(≥18 years), with at least moderately severe</w:t>
      </w:r>
      <w:r w:rsidR="00D77A10" w:rsidRPr="0041603F">
        <w:rPr>
          <w:szCs w:val="20"/>
        </w:rPr>
        <w:t xml:space="preserve"> to severe</w:t>
      </w:r>
      <w:r w:rsidRPr="0041603F">
        <w:rPr>
          <w:szCs w:val="20"/>
        </w:rPr>
        <w:t xml:space="preserve"> (≤2% FIX) HMB</w:t>
      </w:r>
      <w:r w:rsidR="008F3F41" w:rsidRPr="0041603F">
        <w:rPr>
          <w:szCs w:val="20"/>
        </w:rPr>
        <w:t xml:space="preserve"> </w:t>
      </w:r>
      <w:r w:rsidR="00E300AC" w:rsidRPr="0041603F">
        <w:rPr>
          <w:szCs w:val="20"/>
        </w:rPr>
        <w:t xml:space="preserve">and </w:t>
      </w:r>
      <w:r w:rsidRPr="0041603F">
        <w:rPr>
          <w:szCs w:val="20"/>
        </w:rPr>
        <w:t>anti-AAV5 neutralising antibody (</w:t>
      </w:r>
      <w:proofErr w:type="spellStart"/>
      <w:r w:rsidRPr="0041603F">
        <w:rPr>
          <w:szCs w:val="20"/>
        </w:rPr>
        <w:t>N</w:t>
      </w:r>
      <w:r w:rsidR="00BE6655" w:rsidRPr="0041603F">
        <w:rPr>
          <w:szCs w:val="20"/>
        </w:rPr>
        <w:t>A</w:t>
      </w:r>
      <w:r w:rsidRPr="0041603F">
        <w:rPr>
          <w:szCs w:val="20"/>
        </w:rPr>
        <w:t>b</w:t>
      </w:r>
      <w:proofErr w:type="spellEnd"/>
      <w:r w:rsidRPr="0041603F">
        <w:rPr>
          <w:szCs w:val="20"/>
        </w:rPr>
        <w:t>) titres &lt;</w:t>
      </w:r>
      <w:r w:rsidR="00E300AC" w:rsidRPr="0041603F">
        <w:rPr>
          <w:szCs w:val="20"/>
        </w:rPr>
        <w:t>1:</w:t>
      </w:r>
      <w:r w:rsidR="0094171D" w:rsidRPr="0041603F">
        <w:rPr>
          <w:szCs w:val="20"/>
        </w:rPr>
        <w:t>700</w:t>
      </w:r>
      <w:r w:rsidRPr="0041603F">
        <w:rPr>
          <w:szCs w:val="20"/>
        </w:rPr>
        <w:t xml:space="preserve">, who have been receiving a stable dose of regular FIX prophylaxis </w:t>
      </w:r>
      <w:r w:rsidR="00853788" w:rsidRPr="0041603F">
        <w:rPr>
          <w:szCs w:val="20"/>
        </w:rPr>
        <w:t>and who</w:t>
      </w:r>
      <w:r w:rsidR="002D6181" w:rsidRPr="0041603F">
        <w:rPr>
          <w:szCs w:val="20"/>
        </w:rPr>
        <w:t>m</w:t>
      </w:r>
      <w:r w:rsidR="00853788" w:rsidRPr="0041603F">
        <w:rPr>
          <w:szCs w:val="20"/>
        </w:rPr>
        <w:t xml:space="preserve"> do not have inhibitors.  </w:t>
      </w:r>
    </w:p>
    <w:p w14:paraId="6ECC5E3A" w14:textId="76A5B8FC" w:rsidR="007337C9" w:rsidRPr="0041603F" w:rsidRDefault="0011451D" w:rsidP="000656CA">
      <w:pPr>
        <w:autoSpaceDE w:val="0"/>
        <w:autoSpaceDN w:val="0"/>
        <w:adjustRightInd w:val="0"/>
        <w:spacing w:before="0" w:after="0"/>
        <w:ind w:firstLine="426"/>
        <w:rPr>
          <w:rFonts w:ascii="Calibri" w:eastAsia="Times New Roman" w:hAnsi="Calibri" w:cs="Calibri"/>
          <w:b/>
          <w:szCs w:val="20"/>
          <w:lang w:eastAsia="en-AU"/>
        </w:rPr>
      </w:pPr>
      <w:r w:rsidRPr="0041603F">
        <w:rPr>
          <w:rFonts w:ascii="Calibri" w:eastAsia="Times New Roman" w:hAnsi="Calibri" w:cs="Calibri"/>
          <w:b/>
          <w:szCs w:val="20"/>
          <w:lang w:val="en-US" w:eastAsia="en-AU"/>
        </w:rPr>
        <w:t xml:space="preserve">Classification of moderately severe and severe </w:t>
      </w:r>
      <w:proofErr w:type="spellStart"/>
      <w:r w:rsidRPr="0041603F">
        <w:rPr>
          <w:rFonts w:ascii="Calibri" w:eastAsia="Times New Roman" w:hAnsi="Calibri" w:cs="Calibri"/>
          <w:b/>
          <w:szCs w:val="20"/>
          <w:lang w:val="en-US" w:eastAsia="en-AU"/>
        </w:rPr>
        <w:t>haemophilia</w:t>
      </w:r>
      <w:proofErr w:type="spellEnd"/>
      <w:r w:rsidRPr="0041603F">
        <w:rPr>
          <w:rFonts w:ascii="Calibri" w:eastAsia="Times New Roman" w:hAnsi="Calibri" w:cs="Calibri"/>
          <w:b/>
          <w:szCs w:val="20"/>
          <w:lang w:val="en-US" w:eastAsia="en-AU"/>
        </w:rPr>
        <w:t xml:space="preserve"> B patients</w:t>
      </w:r>
    </w:p>
    <w:tbl>
      <w:tblPr>
        <w:tblStyle w:val="TableTheme"/>
        <w:tblW w:w="8363" w:type="dxa"/>
        <w:tblInd w:w="421" w:type="dxa"/>
        <w:tblLook w:val="04A0" w:firstRow="1" w:lastRow="0" w:firstColumn="1" w:lastColumn="0" w:noHBand="0" w:noVBand="1"/>
      </w:tblPr>
      <w:tblGrid>
        <w:gridCol w:w="1253"/>
        <w:gridCol w:w="1685"/>
        <w:gridCol w:w="3867"/>
        <w:gridCol w:w="1558"/>
      </w:tblGrid>
      <w:tr w:rsidR="007337C9" w:rsidRPr="0041603F" w14:paraId="131A70A0" w14:textId="77777777" w:rsidTr="00426037">
        <w:tc>
          <w:tcPr>
            <w:tcW w:w="1253" w:type="dxa"/>
            <w:tcBorders>
              <w:bottom w:val="single" w:sz="24" w:space="0" w:color="auto"/>
            </w:tcBorders>
            <w:shd w:val="clear" w:color="auto" w:fill="D9D9D9"/>
          </w:tcPr>
          <w:p w14:paraId="3147D660" w14:textId="77777777" w:rsidR="007337C9" w:rsidRPr="0041603F" w:rsidRDefault="007337C9" w:rsidP="007337C9">
            <w:pPr>
              <w:spacing w:before="0" w:after="0"/>
              <w:rPr>
                <w:rFonts w:ascii="Calibri" w:hAnsi="Calibri" w:cs="Calibri"/>
                <w:b/>
                <w:sz w:val="18"/>
                <w:szCs w:val="18"/>
              </w:rPr>
            </w:pPr>
            <w:r w:rsidRPr="0041603F">
              <w:rPr>
                <w:rFonts w:ascii="Calibri" w:hAnsi="Calibri" w:cs="Calibri"/>
                <w:b/>
                <w:sz w:val="18"/>
                <w:szCs w:val="18"/>
              </w:rPr>
              <w:t>Clinical severity</w:t>
            </w:r>
          </w:p>
        </w:tc>
        <w:tc>
          <w:tcPr>
            <w:tcW w:w="1685" w:type="dxa"/>
            <w:tcBorders>
              <w:bottom w:val="single" w:sz="24" w:space="0" w:color="auto"/>
            </w:tcBorders>
            <w:shd w:val="clear" w:color="auto" w:fill="D9D9D9"/>
          </w:tcPr>
          <w:p w14:paraId="2BF7EBBB" w14:textId="77777777" w:rsidR="007337C9" w:rsidRPr="0041603F" w:rsidRDefault="007337C9" w:rsidP="007337C9">
            <w:pPr>
              <w:spacing w:before="0" w:after="0"/>
              <w:rPr>
                <w:rFonts w:ascii="Calibri" w:hAnsi="Calibri" w:cs="Calibri"/>
                <w:b/>
                <w:sz w:val="18"/>
                <w:szCs w:val="18"/>
              </w:rPr>
            </w:pPr>
            <w:r w:rsidRPr="0041603F">
              <w:rPr>
                <w:rFonts w:ascii="Calibri" w:hAnsi="Calibri" w:cs="Calibri"/>
                <w:b/>
                <w:sz w:val="18"/>
                <w:szCs w:val="18"/>
              </w:rPr>
              <w:t>FIX clotting activity</w:t>
            </w:r>
          </w:p>
        </w:tc>
        <w:tc>
          <w:tcPr>
            <w:tcW w:w="3867" w:type="dxa"/>
            <w:tcBorders>
              <w:bottom w:val="single" w:sz="24" w:space="0" w:color="auto"/>
            </w:tcBorders>
            <w:shd w:val="clear" w:color="auto" w:fill="D9D9D9"/>
          </w:tcPr>
          <w:p w14:paraId="611B2A04" w14:textId="77777777" w:rsidR="007337C9" w:rsidRPr="0041603F" w:rsidRDefault="007337C9" w:rsidP="007337C9">
            <w:pPr>
              <w:spacing w:before="0" w:after="0"/>
              <w:rPr>
                <w:rFonts w:ascii="Calibri" w:hAnsi="Calibri" w:cs="Calibri"/>
                <w:b/>
                <w:sz w:val="18"/>
                <w:szCs w:val="18"/>
              </w:rPr>
            </w:pPr>
            <w:r w:rsidRPr="0041603F">
              <w:rPr>
                <w:rFonts w:ascii="Calibri" w:hAnsi="Calibri" w:cs="Calibri"/>
                <w:b/>
                <w:sz w:val="18"/>
                <w:szCs w:val="18"/>
              </w:rPr>
              <w:t>Symptoms</w:t>
            </w:r>
          </w:p>
        </w:tc>
        <w:tc>
          <w:tcPr>
            <w:tcW w:w="1558" w:type="dxa"/>
            <w:tcBorders>
              <w:bottom w:val="single" w:sz="24" w:space="0" w:color="auto"/>
            </w:tcBorders>
            <w:shd w:val="clear" w:color="auto" w:fill="D9D9D9"/>
          </w:tcPr>
          <w:p w14:paraId="6A27C76C" w14:textId="77777777" w:rsidR="007337C9" w:rsidRPr="0041603F" w:rsidRDefault="007337C9" w:rsidP="007337C9">
            <w:pPr>
              <w:spacing w:before="0" w:after="0"/>
              <w:rPr>
                <w:rFonts w:ascii="Calibri" w:hAnsi="Calibri" w:cs="Calibri"/>
                <w:b/>
                <w:sz w:val="18"/>
                <w:szCs w:val="18"/>
              </w:rPr>
            </w:pPr>
            <w:r w:rsidRPr="0041603F">
              <w:rPr>
                <w:rFonts w:ascii="Calibri" w:hAnsi="Calibri" w:cs="Calibri"/>
                <w:b/>
                <w:sz w:val="18"/>
                <w:szCs w:val="18"/>
              </w:rPr>
              <w:t>Usual age of diagnosis</w:t>
            </w:r>
          </w:p>
        </w:tc>
      </w:tr>
      <w:tr w:rsidR="00F5486F" w:rsidRPr="0041603F" w14:paraId="666D619C" w14:textId="77777777" w:rsidTr="00F5486F">
        <w:tc>
          <w:tcPr>
            <w:tcW w:w="1253" w:type="dxa"/>
            <w:tcBorders>
              <w:top w:val="single" w:sz="24" w:space="0" w:color="auto"/>
              <w:left w:val="single" w:sz="24" w:space="0" w:color="auto"/>
              <w:bottom w:val="single" w:sz="8" w:space="0" w:color="auto"/>
              <w:right w:val="single" w:sz="8" w:space="0" w:color="auto"/>
            </w:tcBorders>
            <w:shd w:val="clear" w:color="auto" w:fill="F2F2F2"/>
          </w:tcPr>
          <w:p w14:paraId="785F5D4C" w14:textId="77777777" w:rsidR="00F5486F" w:rsidRPr="0041603F" w:rsidRDefault="00F5486F" w:rsidP="007337C9">
            <w:pPr>
              <w:spacing w:before="0" w:after="0"/>
              <w:rPr>
                <w:rFonts w:ascii="Calibri" w:hAnsi="Calibri" w:cs="Calibri"/>
                <w:sz w:val="18"/>
                <w:szCs w:val="18"/>
              </w:rPr>
            </w:pPr>
            <w:r w:rsidRPr="0041603F">
              <w:rPr>
                <w:rFonts w:ascii="Calibri" w:hAnsi="Calibri" w:cs="Calibri"/>
                <w:sz w:val="18"/>
                <w:szCs w:val="18"/>
              </w:rPr>
              <w:t xml:space="preserve">Severe </w:t>
            </w:r>
          </w:p>
        </w:tc>
        <w:tc>
          <w:tcPr>
            <w:tcW w:w="1685" w:type="dxa"/>
            <w:tcBorders>
              <w:top w:val="single" w:sz="24" w:space="0" w:color="auto"/>
              <w:left w:val="single" w:sz="8" w:space="0" w:color="auto"/>
              <w:bottom w:val="single" w:sz="8" w:space="0" w:color="auto"/>
              <w:right w:val="single" w:sz="8" w:space="0" w:color="auto"/>
            </w:tcBorders>
            <w:shd w:val="clear" w:color="auto" w:fill="F2F2F2"/>
          </w:tcPr>
          <w:p w14:paraId="7D8B2F22" w14:textId="77777777" w:rsidR="00F5486F" w:rsidRPr="0041603F" w:rsidRDefault="00F5486F" w:rsidP="007337C9">
            <w:pPr>
              <w:spacing w:before="0" w:after="0"/>
              <w:rPr>
                <w:rFonts w:ascii="Calibri" w:hAnsi="Calibri" w:cs="Calibri"/>
                <w:sz w:val="18"/>
                <w:szCs w:val="18"/>
              </w:rPr>
            </w:pPr>
            <w:r w:rsidRPr="0041603F">
              <w:rPr>
                <w:rFonts w:ascii="Calibri" w:hAnsi="Calibri" w:cs="Calibri"/>
                <w:sz w:val="18"/>
                <w:szCs w:val="18"/>
              </w:rPr>
              <w:t xml:space="preserve">&lt;1% </w:t>
            </w:r>
          </w:p>
          <w:p w14:paraId="5F9C1560" w14:textId="77777777" w:rsidR="00F5486F" w:rsidRPr="0041603F" w:rsidRDefault="00F5486F" w:rsidP="007337C9">
            <w:pPr>
              <w:spacing w:before="0" w:after="0"/>
              <w:rPr>
                <w:rFonts w:ascii="Calibri" w:hAnsi="Calibri" w:cs="Calibri"/>
                <w:sz w:val="18"/>
                <w:szCs w:val="18"/>
              </w:rPr>
            </w:pPr>
            <w:r w:rsidRPr="0041603F">
              <w:rPr>
                <w:rFonts w:ascii="Calibri" w:hAnsi="Calibri" w:cs="Calibri"/>
                <w:sz w:val="18"/>
                <w:szCs w:val="18"/>
              </w:rPr>
              <w:t>(&lt;0.01 IU/mL)</w:t>
            </w:r>
          </w:p>
        </w:tc>
        <w:tc>
          <w:tcPr>
            <w:tcW w:w="3867" w:type="dxa"/>
            <w:vMerge w:val="restart"/>
            <w:tcBorders>
              <w:top w:val="single" w:sz="24" w:space="0" w:color="auto"/>
              <w:left w:val="single" w:sz="8" w:space="0" w:color="auto"/>
              <w:right w:val="single" w:sz="8" w:space="0" w:color="auto"/>
            </w:tcBorders>
            <w:shd w:val="clear" w:color="auto" w:fill="F2F2F2"/>
          </w:tcPr>
          <w:p w14:paraId="01ECDE9E" w14:textId="77777777" w:rsidR="00F5486F" w:rsidRPr="0041603F" w:rsidRDefault="00F5486F" w:rsidP="007337C9">
            <w:pPr>
              <w:spacing w:before="0" w:after="0"/>
              <w:rPr>
                <w:rFonts w:ascii="Calibri" w:hAnsi="Calibri" w:cs="Calibri"/>
                <w:sz w:val="18"/>
                <w:szCs w:val="18"/>
              </w:rPr>
            </w:pPr>
            <w:r w:rsidRPr="0041603F">
              <w:rPr>
                <w:rFonts w:ascii="Calibri" w:hAnsi="Calibri" w:cs="Calibri"/>
                <w:sz w:val="18"/>
                <w:szCs w:val="18"/>
              </w:rPr>
              <w:t>Frequent spontaneous bleeding</w:t>
            </w:r>
          </w:p>
          <w:p w14:paraId="5D68DD5E" w14:textId="77777777" w:rsidR="00F5486F" w:rsidRPr="0041603F" w:rsidRDefault="00F5486F" w:rsidP="007337C9">
            <w:pPr>
              <w:spacing w:before="0" w:after="0"/>
              <w:rPr>
                <w:rFonts w:ascii="Calibri" w:hAnsi="Calibri" w:cs="Calibri"/>
                <w:sz w:val="18"/>
                <w:szCs w:val="18"/>
              </w:rPr>
            </w:pPr>
            <w:r w:rsidRPr="0041603F">
              <w:rPr>
                <w:rFonts w:ascii="Calibri" w:hAnsi="Calibri" w:cs="Calibri"/>
                <w:sz w:val="18"/>
                <w:szCs w:val="18"/>
              </w:rPr>
              <w:t>Excessive and/or prolonged bleeding after minor injuries, surgery, or tooth extractions</w:t>
            </w:r>
          </w:p>
          <w:p w14:paraId="77250599" w14:textId="1B013E4F" w:rsidR="00F5486F" w:rsidRPr="0041603F" w:rsidRDefault="00F5486F" w:rsidP="007337C9">
            <w:pPr>
              <w:spacing w:before="0" w:after="0"/>
              <w:rPr>
                <w:rFonts w:ascii="Calibri" w:hAnsi="Calibri" w:cs="Calibri"/>
                <w:sz w:val="18"/>
                <w:szCs w:val="18"/>
              </w:rPr>
            </w:pPr>
            <w:r w:rsidRPr="0041603F">
              <w:rPr>
                <w:rFonts w:ascii="Calibri" w:hAnsi="Calibri" w:cs="Calibri"/>
                <w:i/>
                <w:sz w:val="18"/>
                <w:szCs w:val="18"/>
              </w:rPr>
              <w:t>Used in the HOPE-B trial*</w:t>
            </w:r>
          </w:p>
        </w:tc>
        <w:tc>
          <w:tcPr>
            <w:tcW w:w="1558" w:type="dxa"/>
            <w:tcBorders>
              <w:top w:val="single" w:sz="24" w:space="0" w:color="auto"/>
              <w:left w:val="single" w:sz="8" w:space="0" w:color="auto"/>
              <w:bottom w:val="nil"/>
              <w:right w:val="single" w:sz="24" w:space="0" w:color="auto"/>
            </w:tcBorders>
            <w:shd w:val="clear" w:color="auto" w:fill="F2F2F2"/>
          </w:tcPr>
          <w:p w14:paraId="6254B33F" w14:textId="77777777" w:rsidR="00F5486F" w:rsidRPr="0041603F" w:rsidRDefault="00F5486F" w:rsidP="007337C9">
            <w:pPr>
              <w:spacing w:before="0" w:after="0"/>
              <w:rPr>
                <w:rFonts w:ascii="Calibri" w:hAnsi="Calibri" w:cs="Calibri"/>
                <w:sz w:val="18"/>
                <w:szCs w:val="18"/>
              </w:rPr>
            </w:pPr>
            <w:r w:rsidRPr="0041603F">
              <w:rPr>
                <w:rFonts w:ascii="Calibri" w:hAnsi="Calibri" w:cs="Calibri"/>
                <w:sz w:val="18"/>
                <w:szCs w:val="18"/>
              </w:rPr>
              <w:t>Age ≤2 years</w:t>
            </w:r>
          </w:p>
        </w:tc>
      </w:tr>
      <w:tr w:rsidR="00F5486F" w:rsidRPr="0041603F" w14:paraId="19B84428" w14:textId="77777777" w:rsidTr="00F5486F">
        <w:tc>
          <w:tcPr>
            <w:tcW w:w="1253" w:type="dxa"/>
            <w:tcBorders>
              <w:top w:val="single" w:sz="8" w:space="0" w:color="auto"/>
              <w:left w:val="single" w:sz="24" w:space="0" w:color="auto"/>
              <w:bottom w:val="single" w:sz="24" w:space="0" w:color="auto"/>
              <w:right w:val="single" w:sz="8" w:space="0" w:color="auto"/>
            </w:tcBorders>
            <w:shd w:val="clear" w:color="auto" w:fill="F2F2F2"/>
          </w:tcPr>
          <w:p w14:paraId="0D4682D4" w14:textId="77777777" w:rsidR="00F5486F" w:rsidRPr="0041603F" w:rsidRDefault="00F5486F" w:rsidP="007337C9">
            <w:pPr>
              <w:spacing w:before="0" w:after="0"/>
              <w:rPr>
                <w:rFonts w:ascii="Calibri" w:hAnsi="Calibri" w:cs="Calibri"/>
                <w:sz w:val="18"/>
                <w:szCs w:val="18"/>
              </w:rPr>
            </w:pPr>
            <w:r w:rsidRPr="0041603F">
              <w:rPr>
                <w:rFonts w:ascii="Calibri" w:hAnsi="Calibri" w:cs="Calibri"/>
                <w:sz w:val="18"/>
                <w:szCs w:val="18"/>
              </w:rPr>
              <w:t>Moderately severe</w:t>
            </w:r>
          </w:p>
        </w:tc>
        <w:tc>
          <w:tcPr>
            <w:tcW w:w="1685" w:type="dxa"/>
            <w:tcBorders>
              <w:top w:val="single" w:sz="8" w:space="0" w:color="auto"/>
              <w:left w:val="single" w:sz="8" w:space="0" w:color="auto"/>
              <w:bottom w:val="single" w:sz="24" w:space="0" w:color="auto"/>
              <w:right w:val="single" w:sz="8" w:space="0" w:color="auto"/>
            </w:tcBorders>
            <w:shd w:val="clear" w:color="auto" w:fill="F2F2F2"/>
          </w:tcPr>
          <w:p w14:paraId="6515BABB" w14:textId="77777777" w:rsidR="00F5486F" w:rsidRPr="0041603F" w:rsidRDefault="00F5486F" w:rsidP="007337C9">
            <w:pPr>
              <w:spacing w:before="0" w:after="0"/>
              <w:rPr>
                <w:rFonts w:ascii="Calibri" w:hAnsi="Calibri" w:cs="Calibri"/>
                <w:sz w:val="18"/>
                <w:szCs w:val="18"/>
              </w:rPr>
            </w:pPr>
            <w:r w:rsidRPr="0041603F">
              <w:rPr>
                <w:rFonts w:ascii="Calibri" w:hAnsi="Calibri" w:cs="Calibri"/>
                <w:sz w:val="18"/>
                <w:szCs w:val="18"/>
              </w:rPr>
              <w:t>1-≤2%</w:t>
            </w:r>
          </w:p>
          <w:p w14:paraId="0DA98F39" w14:textId="77777777" w:rsidR="00F5486F" w:rsidRPr="0041603F" w:rsidRDefault="00F5486F" w:rsidP="007337C9">
            <w:pPr>
              <w:spacing w:before="0" w:after="0"/>
              <w:rPr>
                <w:rFonts w:ascii="Calibri" w:hAnsi="Calibri" w:cs="Calibri"/>
                <w:sz w:val="18"/>
                <w:szCs w:val="18"/>
              </w:rPr>
            </w:pPr>
            <w:r w:rsidRPr="0041603F">
              <w:rPr>
                <w:rFonts w:ascii="Calibri" w:hAnsi="Calibri" w:cs="Calibri"/>
                <w:sz w:val="18"/>
                <w:szCs w:val="18"/>
              </w:rPr>
              <w:t>(&lt;0.02 IU/mL)</w:t>
            </w:r>
          </w:p>
        </w:tc>
        <w:tc>
          <w:tcPr>
            <w:tcW w:w="3867" w:type="dxa"/>
            <w:vMerge/>
            <w:tcBorders>
              <w:left w:val="single" w:sz="8" w:space="0" w:color="auto"/>
              <w:bottom w:val="single" w:sz="24" w:space="0" w:color="auto"/>
              <w:right w:val="single" w:sz="8" w:space="0" w:color="auto"/>
            </w:tcBorders>
            <w:shd w:val="clear" w:color="auto" w:fill="F2F2F2"/>
          </w:tcPr>
          <w:p w14:paraId="3CE837C7" w14:textId="5D49DF01" w:rsidR="00F5486F" w:rsidRPr="0041603F" w:rsidRDefault="00F5486F" w:rsidP="007337C9">
            <w:pPr>
              <w:spacing w:before="0" w:after="0"/>
              <w:rPr>
                <w:rFonts w:ascii="Calibri" w:hAnsi="Calibri" w:cs="Calibri"/>
                <w:i/>
                <w:sz w:val="18"/>
                <w:szCs w:val="18"/>
              </w:rPr>
            </w:pPr>
          </w:p>
        </w:tc>
        <w:tc>
          <w:tcPr>
            <w:tcW w:w="1558" w:type="dxa"/>
            <w:tcBorders>
              <w:top w:val="nil"/>
              <w:left w:val="single" w:sz="8" w:space="0" w:color="auto"/>
              <w:bottom w:val="single" w:sz="24" w:space="0" w:color="auto"/>
              <w:right w:val="single" w:sz="24" w:space="0" w:color="auto"/>
            </w:tcBorders>
            <w:shd w:val="clear" w:color="auto" w:fill="F2F2F2"/>
          </w:tcPr>
          <w:p w14:paraId="33B09E5E" w14:textId="77777777" w:rsidR="00F5486F" w:rsidRPr="0041603F" w:rsidRDefault="00F5486F" w:rsidP="007337C9">
            <w:pPr>
              <w:spacing w:before="0" w:after="0"/>
              <w:rPr>
                <w:rFonts w:ascii="Calibri" w:hAnsi="Calibri" w:cs="Calibri"/>
                <w:i/>
                <w:sz w:val="18"/>
                <w:szCs w:val="18"/>
              </w:rPr>
            </w:pPr>
          </w:p>
        </w:tc>
      </w:tr>
      <w:tr w:rsidR="00B27187" w:rsidRPr="0041603F" w14:paraId="13858A8A" w14:textId="77777777" w:rsidTr="00F5486F">
        <w:tc>
          <w:tcPr>
            <w:tcW w:w="1253" w:type="dxa"/>
            <w:tcBorders>
              <w:top w:val="single" w:sz="24" w:space="0" w:color="auto"/>
            </w:tcBorders>
          </w:tcPr>
          <w:p w14:paraId="4D1B7B5C"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Moderate</w:t>
            </w:r>
          </w:p>
        </w:tc>
        <w:tc>
          <w:tcPr>
            <w:tcW w:w="1685" w:type="dxa"/>
            <w:tcBorders>
              <w:top w:val="single" w:sz="24" w:space="0" w:color="auto"/>
            </w:tcBorders>
          </w:tcPr>
          <w:p w14:paraId="3258678B"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 xml:space="preserve">1-5% </w:t>
            </w:r>
          </w:p>
          <w:p w14:paraId="04890149"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(0.01</w:t>
            </w:r>
            <w:r w:rsidRPr="0041603F">
              <w:rPr>
                <w:rFonts w:ascii="Calibri" w:hAnsi="Calibri" w:cs="Calibri"/>
                <w:sz w:val="18"/>
                <w:szCs w:val="18"/>
              </w:rPr>
              <w:noBreakHyphen/>
              <w:t>0.05 IU/mL)</w:t>
            </w:r>
          </w:p>
        </w:tc>
        <w:tc>
          <w:tcPr>
            <w:tcW w:w="3867" w:type="dxa"/>
            <w:tcBorders>
              <w:top w:val="single" w:sz="24" w:space="0" w:color="auto"/>
            </w:tcBorders>
          </w:tcPr>
          <w:p w14:paraId="1703136E"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Rare spontaneous bleeding</w:t>
            </w:r>
          </w:p>
          <w:p w14:paraId="6C0D287E"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Excessive/or prolonged bleeding after minor injuries, surgery, or tooth extractions</w:t>
            </w:r>
          </w:p>
        </w:tc>
        <w:tc>
          <w:tcPr>
            <w:tcW w:w="1558" w:type="dxa"/>
            <w:tcBorders>
              <w:top w:val="single" w:sz="24" w:space="0" w:color="auto"/>
            </w:tcBorders>
          </w:tcPr>
          <w:p w14:paraId="4FD75931"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Age &lt;5-6 years</w:t>
            </w:r>
          </w:p>
        </w:tc>
      </w:tr>
      <w:tr w:rsidR="00B27187" w:rsidRPr="0041603F" w14:paraId="34AD764B" w14:textId="77777777" w:rsidTr="00F5486F">
        <w:tc>
          <w:tcPr>
            <w:tcW w:w="1253" w:type="dxa"/>
          </w:tcPr>
          <w:p w14:paraId="05208C87"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Mild</w:t>
            </w:r>
          </w:p>
        </w:tc>
        <w:tc>
          <w:tcPr>
            <w:tcW w:w="1685" w:type="dxa"/>
          </w:tcPr>
          <w:p w14:paraId="4CBBD9F4"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5­&lt;40% (0.05</w:t>
            </w:r>
            <w:r w:rsidRPr="0041603F">
              <w:rPr>
                <w:rFonts w:ascii="Calibri" w:hAnsi="Calibri" w:cs="Calibri"/>
                <w:sz w:val="18"/>
                <w:szCs w:val="18"/>
              </w:rPr>
              <w:noBreakHyphen/>
              <w:t>0.4IU/mL)</w:t>
            </w:r>
          </w:p>
        </w:tc>
        <w:tc>
          <w:tcPr>
            <w:tcW w:w="3867" w:type="dxa"/>
          </w:tcPr>
          <w:p w14:paraId="5DA54758"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No spontaneous bleeding</w:t>
            </w:r>
          </w:p>
          <w:p w14:paraId="28AEF5C7"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Excessive and/or prolonged bleeding after major injuries, surgery, or tooth extractions</w:t>
            </w:r>
          </w:p>
        </w:tc>
        <w:tc>
          <w:tcPr>
            <w:tcW w:w="1558" w:type="dxa"/>
          </w:tcPr>
          <w:p w14:paraId="5B17A1F7" w14:textId="77777777" w:rsidR="007337C9" w:rsidRPr="0041603F" w:rsidRDefault="007337C9" w:rsidP="007337C9">
            <w:pPr>
              <w:spacing w:before="0" w:after="0"/>
              <w:rPr>
                <w:rFonts w:ascii="Calibri" w:hAnsi="Calibri" w:cs="Calibri"/>
                <w:sz w:val="18"/>
                <w:szCs w:val="18"/>
              </w:rPr>
            </w:pPr>
            <w:r w:rsidRPr="0041603F">
              <w:rPr>
                <w:rFonts w:ascii="Calibri" w:hAnsi="Calibri" w:cs="Calibri"/>
                <w:sz w:val="18"/>
                <w:szCs w:val="18"/>
              </w:rPr>
              <w:t xml:space="preserve">Often later in life, depending on </w:t>
            </w:r>
            <w:proofErr w:type="spellStart"/>
            <w:r w:rsidRPr="0041603F">
              <w:rPr>
                <w:rFonts w:ascii="Calibri" w:hAnsi="Calibri" w:cs="Calibri"/>
                <w:sz w:val="18"/>
                <w:szCs w:val="18"/>
              </w:rPr>
              <w:t>hemostasis</w:t>
            </w:r>
            <w:proofErr w:type="spellEnd"/>
            <w:r w:rsidRPr="0041603F">
              <w:rPr>
                <w:rFonts w:ascii="Calibri" w:hAnsi="Calibri" w:cs="Calibri"/>
                <w:sz w:val="18"/>
                <w:szCs w:val="18"/>
              </w:rPr>
              <w:t xml:space="preserve"> challenges</w:t>
            </w:r>
          </w:p>
        </w:tc>
      </w:tr>
    </w:tbl>
    <w:p w14:paraId="7D9FF4DB" w14:textId="77777777" w:rsidR="007337C9" w:rsidRPr="0041603F" w:rsidRDefault="007337C9" w:rsidP="000656CA">
      <w:pPr>
        <w:spacing w:before="0" w:after="0"/>
        <w:ind w:firstLine="426"/>
        <w:rPr>
          <w:rFonts w:ascii="Calibri" w:eastAsia="Times New Roman" w:hAnsi="Calibri" w:cs="Calibri"/>
          <w:sz w:val="16"/>
          <w:szCs w:val="16"/>
          <w:lang w:val="en-US" w:eastAsia="en-AU"/>
        </w:rPr>
      </w:pPr>
      <w:r w:rsidRPr="0041603F">
        <w:rPr>
          <w:rFonts w:ascii="Calibri" w:eastAsia="Times New Roman" w:hAnsi="Calibri" w:cs="Calibri"/>
          <w:sz w:val="16"/>
          <w:szCs w:val="16"/>
          <w:lang w:val="en-US" w:eastAsia="en-AU"/>
        </w:rPr>
        <w:t>FIX: Factor IX; IU: International units; mL: Milliliters</w:t>
      </w:r>
    </w:p>
    <w:p w14:paraId="7C817F0C" w14:textId="77777777" w:rsidR="007337C9" w:rsidRPr="0041603F" w:rsidRDefault="007337C9" w:rsidP="000656CA">
      <w:pPr>
        <w:spacing w:before="0" w:after="0"/>
        <w:ind w:firstLine="426"/>
        <w:rPr>
          <w:rFonts w:ascii="Calibri" w:eastAsia="Times New Roman" w:hAnsi="Calibri" w:cs="Calibri"/>
          <w:sz w:val="16"/>
          <w:szCs w:val="16"/>
          <w:lang w:val="en-US" w:eastAsia="en-AU"/>
        </w:rPr>
      </w:pPr>
      <w:r w:rsidRPr="0041603F">
        <w:rPr>
          <w:rFonts w:ascii="Calibri" w:eastAsia="Times New Roman" w:hAnsi="Calibri" w:cs="Calibri"/>
          <w:sz w:val="16"/>
          <w:szCs w:val="16"/>
          <w:lang w:val="en-US" w:eastAsia="en-AU"/>
        </w:rPr>
        <w:t xml:space="preserve">*Not part of historical </w:t>
      </w:r>
      <w:proofErr w:type="spellStart"/>
      <w:r w:rsidRPr="0041603F">
        <w:rPr>
          <w:rFonts w:ascii="Calibri" w:eastAsia="Times New Roman" w:hAnsi="Calibri" w:cs="Calibri"/>
          <w:sz w:val="16"/>
          <w:szCs w:val="16"/>
          <w:lang w:val="en-US" w:eastAsia="en-AU"/>
        </w:rPr>
        <w:t>haemophilia</w:t>
      </w:r>
      <w:proofErr w:type="spellEnd"/>
      <w:r w:rsidRPr="0041603F">
        <w:rPr>
          <w:rFonts w:ascii="Calibri" w:eastAsia="Times New Roman" w:hAnsi="Calibri" w:cs="Calibri"/>
          <w:sz w:val="16"/>
          <w:szCs w:val="16"/>
          <w:lang w:val="en-US" w:eastAsia="en-AU"/>
        </w:rPr>
        <w:t xml:space="preserve"> </w:t>
      </w:r>
      <w:proofErr w:type="spellStart"/>
      <w:r w:rsidRPr="0041603F">
        <w:rPr>
          <w:rFonts w:ascii="Calibri" w:eastAsia="Times New Roman" w:hAnsi="Calibri" w:cs="Calibri"/>
          <w:sz w:val="16"/>
          <w:szCs w:val="16"/>
          <w:lang w:val="en-US" w:eastAsia="en-AU"/>
        </w:rPr>
        <w:t>categorisation</w:t>
      </w:r>
      <w:proofErr w:type="spellEnd"/>
      <w:r w:rsidRPr="0041603F">
        <w:rPr>
          <w:rFonts w:ascii="Calibri" w:eastAsia="Times New Roman" w:hAnsi="Calibri" w:cs="Calibri"/>
          <w:sz w:val="16"/>
          <w:szCs w:val="16"/>
          <w:lang w:val="en-US" w:eastAsia="en-AU"/>
        </w:rPr>
        <w:t xml:space="preserve"> but was used as an inclusion criterion in the HOPE-B trial. </w:t>
      </w:r>
    </w:p>
    <w:p w14:paraId="6BFC1968" w14:textId="094CE3F6" w:rsidR="00427DD5" w:rsidRPr="00325441" w:rsidRDefault="007337C9" w:rsidP="00325441">
      <w:pPr>
        <w:spacing w:before="0" w:after="0"/>
        <w:ind w:firstLine="426"/>
        <w:rPr>
          <w:rFonts w:ascii="Calibri" w:eastAsia="Times New Roman" w:hAnsi="Calibri" w:cs="Calibri"/>
          <w:sz w:val="16"/>
          <w:szCs w:val="16"/>
          <w:lang w:val="en-US" w:eastAsia="en-AU"/>
        </w:rPr>
      </w:pPr>
      <w:r w:rsidRPr="0041603F">
        <w:rPr>
          <w:rFonts w:ascii="Calibri" w:eastAsia="Times New Roman" w:hAnsi="Calibri" w:cs="Calibri"/>
          <w:sz w:val="16"/>
          <w:szCs w:val="16"/>
          <w:lang w:val="en-US" w:eastAsia="en-AU"/>
        </w:rPr>
        <w:t xml:space="preserve">Sources: </w:t>
      </w:r>
      <w:sdt>
        <w:sdtPr>
          <w:rPr>
            <w:rFonts w:ascii="Calibri" w:eastAsia="Times New Roman" w:hAnsi="Calibri" w:cs="Times New Roman"/>
            <w:sz w:val="16"/>
            <w:szCs w:val="16"/>
            <w:lang w:eastAsia="en-AU"/>
          </w:rPr>
          <w:alias w:val="SmartCite Citation"/>
          <w:tag w:val="5e3f6b11-4472-4be6-89df-b5bd952cd979:bf5a1fa4-9ef2-4667-9ca3-174539e54b98+{&quot;items&quot;:{}}"/>
          <w:id w:val="43783"/>
        </w:sdtPr>
        <w:sdtEndPr/>
        <w:sdtContent>
          <w:r w:rsidR="0010380A" w:rsidRPr="0041603F">
            <w:rPr>
              <w:rFonts w:ascii="Calibri" w:eastAsia="Times New Roman" w:hAnsi="Calibri"/>
              <w:color w:val="000000"/>
              <w:sz w:val="16"/>
            </w:rPr>
            <w:t>(</w:t>
          </w:r>
          <w:proofErr w:type="spellStart"/>
          <w:r w:rsidR="0010380A" w:rsidRPr="0041603F">
            <w:rPr>
              <w:rFonts w:ascii="Calibri" w:eastAsia="Times New Roman" w:hAnsi="Calibri"/>
              <w:color w:val="000000"/>
              <w:sz w:val="16"/>
            </w:rPr>
            <w:t>Konkle</w:t>
          </w:r>
          <w:proofErr w:type="spellEnd"/>
          <w:r w:rsidR="0010380A" w:rsidRPr="0041603F">
            <w:rPr>
              <w:rFonts w:ascii="Calibri" w:eastAsia="Times New Roman" w:hAnsi="Calibri"/>
              <w:color w:val="000000"/>
              <w:sz w:val="16"/>
            </w:rPr>
            <w:t>, Huston, &amp; Fletcher 1993)</w:t>
          </w:r>
        </w:sdtContent>
      </w:sdt>
      <w:r w:rsidRPr="0041603F">
        <w:rPr>
          <w:rFonts w:ascii="Calibri" w:eastAsia="Times New Roman" w:hAnsi="Calibri" w:cs="Calibri"/>
          <w:sz w:val="16"/>
          <w:szCs w:val="16"/>
          <w:lang w:val="en-US" w:eastAsia="en-AU"/>
        </w:rPr>
        <w:t xml:space="preserve"> </w:t>
      </w:r>
      <w:sdt>
        <w:sdtPr>
          <w:rPr>
            <w:rFonts w:ascii="Calibri" w:eastAsia="Times New Roman" w:hAnsi="Calibri" w:cs="Times New Roman"/>
            <w:sz w:val="16"/>
            <w:szCs w:val="16"/>
            <w:lang w:eastAsia="en-AU"/>
          </w:rPr>
          <w:alias w:val="SmartCite Citation"/>
          <w:tag w:val="5e3f6b11-4472-4be6-89df-b5bd952cd979:38d30f05-5c6a-4290-a504-c48459655f3e+{&quot;items&quot;:{}}"/>
          <w:id w:val="43785"/>
        </w:sdtPr>
        <w:sdtEndPr/>
        <w:sdtContent>
          <w:r w:rsidR="0010380A" w:rsidRPr="0041603F">
            <w:rPr>
              <w:rFonts w:ascii="Calibri" w:eastAsia="Times New Roman" w:hAnsi="Calibri"/>
              <w:color w:val="000000"/>
              <w:sz w:val="16"/>
            </w:rPr>
            <w:t>(C. et al. 2001)</w:t>
          </w:r>
        </w:sdtContent>
      </w:sdt>
    </w:p>
    <w:p w14:paraId="7FCEC37A" w14:textId="5E06D37B" w:rsidR="000D682C" w:rsidRDefault="00B575EA" w:rsidP="00325441">
      <w:pPr>
        <w:ind w:left="425"/>
        <w:rPr>
          <w:szCs w:val="20"/>
        </w:rPr>
      </w:pPr>
      <w:r>
        <w:rPr>
          <w:szCs w:val="20"/>
        </w:rPr>
        <w:t>These patients would all currently be receiving care through one of 18 specialist Australian Haemophilia Treatment Centres (HTCs) although the investigative, management and referral pathways leading to th</w:t>
      </w:r>
      <w:r w:rsidR="00BD30EB">
        <w:rPr>
          <w:szCs w:val="20"/>
        </w:rPr>
        <w:t>e</w:t>
      </w:r>
      <w:r>
        <w:rPr>
          <w:szCs w:val="20"/>
        </w:rPr>
        <w:t xml:space="preserve">se treatment destinations are </w:t>
      </w:r>
      <w:r w:rsidR="00BD30EB">
        <w:rPr>
          <w:szCs w:val="20"/>
        </w:rPr>
        <w:t xml:space="preserve">likely </w:t>
      </w:r>
      <w:r>
        <w:rPr>
          <w:szCs w:val="20"/>
        </w:rPr>
        <w:t>heterogeneous.  It is anticipated</w:t>
      </w:r>
      <w:r w:rsidR="004E35B1">
        <w:rPr>
          <w:szCs w:val="20"/>
        </w:rPr>
        <w:t xml:space="preserve"> the</w:t>
      </w:r>
      <w:r>
        <w:rPr>
          <w:szCs w:val="20"/>
        </w:rPr>
        <w:t xml:space="preserve"> </w:t>
      </w:r>
      <w:r w:rsidR="00BD30EB">
        <w:rPr>
          <w:szCs w:val="20"/>
        </w:rPr>
        <w:t xml:space="preserve">assessment of suitability for </w:t>
      </w:r>
      <w:proofErr w:type="spellStart"/>
      <w:r>
        <w:rPr>
          <w:szCs w:val="20"/>
        </w:rPr>
        <w:t>etranacogene</w:t>
      </w:r>
      <w:proofErr w:type="spellEnd"/>
      <w:r>
        <w:rPr>
          <w:szCs w:val="20"/>
        </w:rPr>
        <w:t xml:space="preserve"> </w:t>
      </w:r>
      <w:proofErr w:type="spellStart"/>
      <w:r>
        <w:rPr>
          <w:szCs w:val="20"/>
        </w:rPr>
        <w:t>dezaparvovec</w:t>
      </w:r>
      <w:proofErr w:type="spellEnd"/>
      <w:r w:rsidR="00BD30EB">
        <w:rPr>
          <w:szCs w:val="20"/>
        </w:rPr>
        <w:t>, administration of the therapy and subsequent follow up,</w:t>
      </w:r>
      <w:r>
        <w:rPr>
          <w:szCs w:val="20"/>
        </w:rPr>
        <w:t xml:space="preserve"> would be exclusively </w:t>
      </w:r>
      <w:r w:rsidR="00BD30EB" w:rsidRPr="003237EF">
        <w:rPr>
          <w:szCs w:val="20"/>
        </w:rPr>
        <w:t>con</w:t>
      </w:r>
      <w:r w:rsidR="003237EF" w:rsidRPr="004E35B1">
        <w:rPr>
          <w:szCs w:val="20"/>
        </w:rPr>
        <w:t>ducted</w:t>
      </w:r>
      <w:r w:rsidR="00BD30EB">
        <w:rPr>
          <w:szCs w:val="20"/>
        </w:rPr>
        <w:t xml:space="preserve"> </w:t>
      </w:r>
      <w:r>
        <w:rPr>
          <w:szCs w:val="20"/>
        </w:rPr>
        <w:t xml:space="preserve">within an established HTC setting.  </w:t>
      </w:r>
    </w:p>
    <w:p w14:paraId="402B7C48" w14:textId="77777777" w:rsidR="00204E68" w:rsidRPr="00E300AC" w:rsidRDefault="00204E68" w:rsidP="00325441">
      <w:pPr>
        <w:spacing w:before="0"/>
        <w:rPr>
          <w:szCs w:val="20"/>
        </w:rPr>
      </w:pPr>
    </w:p>
    <w:p w14:paraId="28DAF764" w14:textId="3092E4D8" w:rsidR="002A50FD" w:rsidRPr="00881F93" w:rsidRDefault="005C3AE7" w:rsidP="00325441">
      <w:pPr>
        <w:pStyle w:val="Subtitle"/>
        <w:ind w:left="0"/>
      </w:pPr>
      <w:r>
        <w:t xml:space="preserve">PART 6b – </w:t>
      </w:r>
      <w:r w:rsidR="002A50FD" w:rsidRPr="00881F93">
        <w:t>INFORMATION ABOUT THE INTERVENTION</w:t>
      </w:r>
    </w:p>
    <w:p w14:paraId="73516FAC" w14:textId="64AC5F85"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 xml:space="preserve">proposed medical </w:t>
      </w:r>
      <w:r w:rsidR="0008323F">
        <w:t>technology</w:t>
      </w:r>
      <w:r w:rsidR="00197D29">
        <w:t>:</w:t>
      </w:r>
    </w:p>
    <w:p w14:paraId="1DF8E70B" w14:textId="4B7C8B98" w:rsidR="002B2DF1" w:rsidRPr="000656CA" w:rsidRDefault="00771B76">
      <w:pPr>
        <w:ind w:left="426"/>
      </w:pPr>
      <w:r w:rsidRPr="000656CA">
        <w:t>P</w:t>
      </w:r>
      <w:r w:rsidR="009775E7">
        <w:t xml:space="preserve">eople living with HMB are managed </w:t>
      </w:r>
      <w:r w:rsidR="008E6B9E">
        <w:t xml:space="preserve">by Australia’s network of specialist HTCs. </w:t>
      </w:r>
      <w:r w:rsidR="00015290" w:rsidRPr="00015290">
        <w:t xml:space="preserve">These centres deliver a comprehensive care model to ensure the complex care needs of haemophilia patients spanning prevention and treatment are provided in a co-ordinated way by a multi-disciplinary team with specialised expertise. </w:t>
      </w:r>
    </w:p>
    <w:p w14:paraId="21CC60BA" w14:textId="77777777" w:rsidR="000C6679" w:rsidRDefault="00663202" w:rsidP="0044477F">
      <w:pPr>
        <w:ind w:left="426"/>
        <w:rPr>
          <w:szCs w:val="20"/>
        </w:rPr>
      </w:pPr>
      <w:r>
        <w:rPr>
          <w:szCs w:val="20"/>
        </w:rPr>
        <w:t xml:space="preserve">The first step in delivering the medicine is to </w:t>
      </w:r>
      <w:r w:rsidR="00176E64">
        <w:rPr>
          <w:szCs w:val="20"/>
        </w:rPr>
        <w:t>establish</w:t>
      </w:r>
      <w:r>
        <w:rPr>
          <w:szCs w:val="20"/>
        </w:rPr>
        <w:t xml:space="preserve"> </w:t>
      </w:r>
      <w:r w:rsidR="009E63C2">
        <w:rPr>
          <w:szCs w:val="20"/>
        </w:rPr>
        <w:t>patients’</w:t>
      </w:r>
      <w:r w:rsidR="00176E64">
        <w:rPr>
          <w:szCs w:val="20"/>
        </w:rPr>
        <w:t xml:space="preserve"> </w:t>
      </w:r>
      <w:r>
        <w:rPr>
          <w:szCs w:val="20"/>
        </w:rPr>
        <w:t>eligibility and suitability</w:t>
      </w:r>
      <w:r w:rsidR="00176E64">
        <w:rPr>
          <w:szCs w:val="20"/>
        </w:rPr>
        <w:t xml:space="preserve"> for treatment</w:t>
      </w:r>
      <w:r>
        <w:rPr>
          <w:szCs w:val="20"/>
        </w:rPr>
        <w:t xml:space="preserve">.  This will involve a combination of clinical and laboratory assessments. Of these, only the assessment of anti-AAV5 neutralising antibodies would be </w:t>
      </w:r>
      <w:r w:rsidR="00176E64">
        <w:rPr>
          <w:szCs w:val="20"/>
        </w:rPr>
        <w:t>an addition to current clinical care</w:t>
      </w:r>
      <w:r w:rsidR="009E63C2">
        <w:rPr>
          <w:szCs w:val="20"/>
        </w:rPr>
        <w:t xml:space="preserve"> for this patient population</w:t>
      </w:r>
      <w:r w:rsidR="00176E64">
        <w:rPr>
          <w:szCs w:val="20"/>
        </w:rPr>
        <w:t xml:space="preserve">. </w:t>
      </w:r>
      <w:r w:rsidR="00C42502">
        <w:rPr>
          <w:szCs w:val="20"/>
        </w:rPr>
        <w:t>Patients may be referred to a</w:t>
      </w:r>
      <w:r w:rsidR="009E6B51">
        <w:rPr>
          <w:szCs w:val="20"/>
        </w:rPr>
        <w:t>n</w:t>
      </w:r>
      <w:r w:rsidR="00C42502">
        <w:rPr>
          <w:szCs w:val="20"/>
        </w:rPr>
        <w:t xml:space="preserve"> HTC of expertise</w:t>
      </w:r>
      <w:r w:rsidR="00866E03">
        <w:rPr>
          <w:szCs w:val="20"/>
        </w:rPr>
        <w:t xml:space="preserve"> if their local HTC does not </w:t>
      </w:r>
      <w:r w:rsidR="00197776">
        <w:rPr>
          <w:szCs w:val="20"/>
        </w:rPr>
        <w:t xml:space="preserve">have </w:t>
      </w:r>
      <w:proofErr w:type="spellStart"/>
      <w:r w:rsidR="00B47E84">
        <w:rPr>
          <w:szCs w:val="20"/>
        </w:rPr>
        <w:t>etranacogene</w:t>
      </w:r>
      <w:proofErr w:type="spellEnd"/>
      <w:r w:rsidR="00B47E84">
        <w:rPr>
          <w:szCs w:val="20"/>
        </w:rPr>
        <w:t xml:space="preserve"> </w:t>
      </w:r>
      <w:proofErr w:type="spellStart"/>
      <w:r w:rsidR="00B47E84">
        <w:rPr>
          <w:szCs w:val="20"/>
        </w:rPr>
        <w:t>dezaparvovec</w:t>
      </w:r>
      <w:proofErr w:type="spellEnd"/>
      <w:r w:rsidR="00197776">
        <w:rPr>
          <w:szCs w:val="20"/>
        </w:rPr>
        <w:t xml:space="preserve"> dosing capabilities</w:t>
      </w:r>
      <w:r w:rsidR="00866E03">
        <w:rPr>
          <w:szCs w:val="20"/>
        </w:rPr>
        <w:t>. Patients will</w:t>
      </w:r>
      <w:r w:rsidR="006F6C71">
        <w:rPr>
          <w:szCs w:val="20"/>
        </w:rPr>
        <w:t xml:space="preserve"> receive counselling and education </w:t>
      </w:r>
      <w:r w:rsidR="004B7955">
        <w:rPr>
          <w:szCs w:val="20"/>
        </w:rPr>
        <w:t>ahead of making a</w:t>
      </w:r>
      <w:r w:rsidR="006F6C71">
        <w:rPr>
          <w:szCs w:val="20"/>
        </w:rPr>
        <w:t xml:space="preserve"> shared decision under a multidisciplinary care model. </w:t>
      </w:r>
      <w:r w:rsidR="000C6679" w:rsidRPr="000C6679">
        <w:rPr>
          <w:b/>
          <w:bCs/>
        </w:rPr>
        <w:t>REDACTED</w:t>
      </w:r>
      <w:r w:rsidR="000C6679">
        <w:rPr>
          <w:szCs w:val="20"/>
        </w:rPr>
        <w:t xml:space="preserve"> </w:t>
      </w:r>
    </w:p>
    <w:p w14:paraId="16360A1B" w14:textId="4921692B" w:rsidR="002A50FD" w:rsidRDefault="009E63C2" w:rsidP="0044477F">
      <w:pPr>
        <w:ind w:left="426"/>
        <w:rPr>
          <w:szCs w:val="20"/>
        </w:rPr>
      </w:pPr>
      <w:r>
        <w:rPr>
          <w:szCs w:val="20"/>
        </w:rPr>
        <w:t xml:space="preserve">For eligible and suitable </w:t>
      </w:r>
      <w:r w:rsidRPr="0041603F">
        <w:rPr>
          <w:szCs w:val="20"/>
        </w:rPr>
        <w:t xml:space="preserve">patients, </w:t>
      </w:r>
      <w:proofErr w:type="spellStart"/>
      <w:r w:rsidRPr="0041603F">
        <w:rPr>
          <w:szCs w:val="20"/>
        </w:rPr>
        <w:t>etranacogene</w:t>
      </w:r>
      <w:proofErr w:type="spellEnd"/>
      <w:r w:rsidRPr="0041603F">
        <w:rPr>
          <w:szCs w:val="20"/>
        </w:rPr>
        <w:t xml:space="preserve"> </w:t>
      </w:r>
      <w:proofErr w:type="spellStart"/>
      <w:r w:rsidRPr="0041603F">
        <w:rPr>
          <w:szCs w:val="20"/>
        </w:rPr>
        <w:t>dezaparvovec</w:t>
      </w:r>
      <w:proofErr w:type="spellEnd"/>
      <w:r w:rsidRPr="0041603F">
        <w:rPr>
          <w:szCs w:val="20"/>
        </w:rPr>
        <w:t xml:space="preserve"> would be administered by IV infusion at a dose of 2 x 10</w:t>
      </w:r>
      <w:r w:rsidRPr="0041603F">
        <w:rPr>
          <w:szCs w:val="20"/>
          <w:vertAlign w:val="superscript"/>
        </w:rPr>
        <w:t>13</w:t>
      </w:r>
      <w:r w:rsidRPr="0041603F">
        <w:rPr>
          <w:szCs w:val="20"/>
        </w:rPr>
        <w:t xml:space="preserve"> </w:t>
      </w:r>
      <w:proofErr w:type="spellStart"/>
      <w:r w:rsidRPr="0041603F">
        <w:rPr>
          <w:szCs w:val="20"/>
        </w:rPr>
        <w:t>gc</w:t>
      </w:r>
      <w:proofErr w:type="spellEnd"/>
      <w:r w:rsidRPr="0041603F">
        <w:rPr>
          <w:szCs w:val="20"/>
        </w:rPr>
        <w:t>/kg over approximately 1</w:t>
      </w:r>
      <w:r w:rsidR="007B3B74" w:rsidRPr="0041603F">
        <w:rPr>
          <w:szCs w:val="20"/>
        </w:rPr>
        <w:t xml:space="preserve"> - 2 </w:t>
      </w:r>
      <w:r w:rsidRPr="0041603F">
        <w:rPr>
          <w:szCs w:val="20"/>
        </w:rPr>
        <w:t>hour</w:t>
      </w:r>
      <w:r w:rsidR="007B3B74" w:rsidRPr="0041603F">
        <w:rPr>
          <w:szCs w:val="20"/>
        </w:rPr>
        <w:t>s</w:t>
      </w:r>
      <w:r w:rsidRPr="0041603F">
        <w:rPr>
          <w:szCs w:val="20"/>
        </w:rPr>
        <w:t>,</w:t>
      </w:r>
      <w:r>
        <w:rPr>
          <w:szCs w:val="20"/>
        </w:rPr>
        <w:t xml:space="preserve"> </w:t>
      </w:r>
      <w:r w:rsidR="00291075">
        <w:rPr>
          <w:szCs w:val="20"/>
        </w:rPr>
        <w:t>in an</w:t>
      </w:r>
      <w:r w:rsidR="0044477F">
        <w:rPr>
          <w:szCs w:val="20"/>
        </w:rPr>
        <w:t xml:space="preserve"> o</w:t>
      </w:r>
      <w:r>
        <w:rPr>
          <w:szCs w:val="20"/>
        </w:rPr>
        <w:t xml:space="preserve">utpatient </w:t>
      </w:r>
      <w:r w:rsidR="00291075">
        <w:rPr>
          <w:szCs w:val="20"/>
        </w:rPr>
        <w:t>setting under the care of a</w:t>
      </w:r>
      <w:r>
        <w:rPr>
          <w:szCs w:val="20"/>
        </w:rPr>
        <w:t xml:space="preserve"> specialised HTC.   </w:t>
      </w:r>
      <w:r w:rsidR="0044477F">
        <w:rPr>
          <w:szCs w:val="20"/>
        </w:rPr>
        <w:t xml:space="preserve">Patients would be closely monitored </w:t>
      </w:r>
      <w:r w:rsidR="0044477F" w:rsidRPr="0044477F">
        <w:rPr>
          <w:szCs w:val="20"/>
        </w:rPr>
        <w:t xml:space="preserve">for tolerance and detection of immediate </w:t>
      </w:r>
      <w:r w:rsidR="0044477F">
        <w:rPr>
          <w:szCs w:val="20"/>
        </w:rPr>
        <w:t xml:space="preserve">adverse events for approximately </w:t>
      </w:r>
      <w:r w:rsidR="0044477F" w:rsidRPr="0044477F">
        <w:rPr>
          <w:szCs w:val="20"/>
        </w:rPr>
        <w:t xml:space="preserve">3 hours after </w:t>
      </w:r>
      <w:r w:rsidR="0044477F">
        <w:rPr>
          <w:szCs w:val="20"/>
        </w:rPr>
        <w:t>administration. Longer term follow</w:t>
      </w:r>
      <w:r w:rsidR="007825AC">
        <w:rPr>
          <w:szCs w:val="20"/>
        </w:rPr>
        <w:t>-</w:t>
      </w:r>
      <w:r w:rsidR="0044477F">
        <w:rPr>
          <w:szCs w:val="20"/>
        </w:rPr>
        <w:t xml:space="preserve">up for assessment of safety and treatment response would be determined by the treating </w:t>
      </w:r>
      <w:r w:rsidR="00AE7CCB">
        <w:rPr>
          <w:szCs w:val="20"/>
        </w:rPr>
        <w:t>specialist haematologist</w:t>
      </w:r>
      <w:r w:rsidR="0044477F">
        <w:rPr>
          <w:szCs w:val="20"/>
        </w:rPr>
        <w:t xml:space="preserve">, consistent with regulatory advice.  </w:t>
      </w:r>
      <w:r w:rsidR="009A2FFC">
        <w:rPr>
          <w:szCs w:val="20"/>
        </w:rPr>
        <w:t xml:space="preserve">Under no circumstances, would patients receive a second course of treatment.  </w:t>
      </w:r>
      <w:r w:rsidR="0044477F">
        <w:rPr>
          <w:szCs w:val="20"/>
        </w:rPr>
        <w:t xml:space="preserve"> </w:t>
      </w:r>
    </w:p>
    <w:p w14:paraId="322E6196"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8627EAD" w14:textId="04910833" w:rsidR="002A6753" w:rsidRDefault="00713FD4" w:rsidP="00E357B9">
      <w:pPr>
        <w:ind w:left="426"/>
      </w:pPr>
      <w:r>
        <w:t xml:space="preserve">Yes, the proposed intervention is a proprietary product.  </w:t>
      </w:r>
    </w:p>
    <w:p w14:paraId="063BE513" w14:textId="77777777" w:rsidR="00F11599" w:rsidRPr="00154B00" w:rsidRDefault="00F11599" w:rsidP="00F11599">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0EAC6218" w14:textId="0028E175" w:rsidR="00F11599" w:rsidRPr="000656CA" w:rsidRDefault="00287C30" w:rsidP="000656CA">
      <w:pPr>
        <w:ind w:firstLine="360"/>
        <w:rPr>
          <w:b/>
          <w:szCs w:val="20"/>
        </w:rPr>
      </w:pPr>
      <w:r>
        <w:t>Not applicable.</w:t>
      </w:r>
    </w:p>
    <w:p w14:paraId="017977C7" w14:textId="799C2D89" w:rsidR="006B1B49" w:rsidRPr="00E357B9" w:rsidRDefault="006B1B49" w:rsidP="00530204">
      <w:pPr>
        <w:pStyle w:val="Heading2"/>
      </w:pPr>
      <w:r>
        <w:t xml:space="preserve">If applicable, are there any limitations on the </w:t>
      </w:r>
      <w:r w:rsidR="00DF0C51">
        <w:t xml:space="preserve">provision </w:t>
      </w:r>
      <w:r>
        <w:t>of the proposed medical se</w:t>
      </w:r>
      <w:r w:rsidR="00DF0C51">
        <w:t xml:space="preserve">rvice delivered to the patient </w:t>
      </w:r>
      <w:r w:rsidR="00D30BDC">
        <w:t>(</w:t>
      </w:r>
      <w:r w:rsidR="00045DEE">
        <w:t>i.e.,</w:t>
      </w:r>
      <w:r w:rsidR="00DF0C51">
        <w:t xml:space="preserve"> </w:t>
      </w:r>
      <w:r w:rsidR="00707D4D">
        <w:t xml:space="preserve">accessibility, </w:t>
      </w:r>
      <w:r w:rsidR="00DF0C51">
        <w:t xml:space="preserve">dosage, quantity, </w:t>
      </w:r>
      <w:proofErr w:type="gramStart"/>
      <w:r w:rsidR="00DF0C51">
        <w:t>duration</w:t>
      </w:r>
      <w:proofErr w:type="gramEnd"/>
      <w:r w:rsidR="00DF0C51">
        <w:t xml:space="preserve"> or frequency</w:t>
      </w:r>
      <w:r w:rsidR="00D30BDC">
        <w:t>)</w:t>
      </w:r>
      <w:r w:rsidR="00093F22">
        <w:t>?</w:t>
      </w:r>
    </w:p>
    <w:p w14:paraId="33821FF3" w14:textId="4429ADE6" w:rsidR="009A2FFC" w:rsidRPr="00154B00" w:rsidRDefault="009A2FFC" w:rsidP="009A2FFC">
      <w:pPr>
        <w:ind w:left="426"/>
        <w:rPr>
          <w:szCs w:val="20"/>
        </w:rPr>
      </w:pPr>
      <w:r>
        <w:t xml:space="preserve">Yes, the proposed medicine would be provided only once in a patient’s lifetime.    </w:t>
      </w:r>
    </w:p>
    <w:p w14:paraId="64A5D8FE"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9826E96" w14:textId="435D19DC" w:rsidR="00791C8D" w:rsidRPr="00154B00" w:rsidRDefault="009A2FFC" w:rsidP="00884E69">
      <w:pPr>
        <w:ind w:left="426"/>
        <w:rPr>
          <w:szCs w:val="20"/>
        </w:rPr>
      </w:pPr>
      <w:r>
        <w:t>Not applicable.</w:t>
      </w:r>
    </w:p>
    <w:p w14:paraId="2BD95EA3"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D106D81" w14:textId="0258F8CB" w:rsidR="00B17E26" w:rsidRPr="00154B00" w:rsidRDefault="009A2FFC" w:rsidP="00884E69">
      <w:pPr>
        <w:ind w:left="426"/>
        <w:rPr>
          <w:szCs w:val="20"/>
        </w:rPr>
      </w:pPr>
      <w:r>
        <w:t xml:space="preserve">Specialist medical professionals working within </w:t>
      </w:r>
      <w:proofErr w:type="gramStart"/>
      <w:r>
        <w:t>a</w:t>
      </w:r>
      <w:proofErr w:type="gramEnd"/>
      <w:r>
        <w:t xml:space="preserve"> HTC setting.  </w:t>
      </w:r>
    </w:p>
    <w:p w14:paraId="0A45C2FC"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3155FE36" w14:textId="778BDBF3" w:rsidR="00B17E26" w:rsidRPr="00154B00" w:rsidRDefault="009A2FFC" w:rsidP="00884E69">
      <w:pPr>
        <w:ind w:left="426"/>
        <w:rPr>
          <w:szCs w:val="20"/>
        </w:rPr>
      </w:pPr>
      <w:r>
        <w:t xml:space="preserve">Precise arrangements for administration of the </w:t>
      </w:r>
      <w:r w:rsidR="00B3731F">
        <w:t xml:space="preserve">gene therapy </w:t>
      </w:r>
      <w:r>
        <w:t xml:space="preserve">will be at the discretion of each HTC.  </w:t>
      </w:r>
    </w:p>
    <w:p w14:paraId="4B062E17"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48E4BF0B" w14:textId="26D93527" w:rsidR="009A2FFC" w:rsidRDefault="009A2FFC" w:rsidP="00426037">
      <w:pPr>
        <w:ind w:left="426"/>
        <w:rPr>
          <w:b/>
          <w:szCs w:val="20"/>
        </w:rPr>
      </w:pPr>
      <w:r w:rsidRPr="00B92D2B">
        <w:t xml:space="preserve">The intervention would only be provided within an established HTC. </w:t>
      </w:r>
    </w:p>
    <w:p w14:paraId="2590C468" w14:textId="45B1966D"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DCB8F8A" w14:textId="3BAFD353" w:rsidR="00EA0E25" w:rsidRPr="00154B00" w:rsidRDefault="009A2FFC" w:rsidP="0073597B">
      <w:pPr>
        <w:ind w:left="426"/>
        <w:rPr>
          <w:szCs w:val="20"/>
        </w:rPr>
      </w:pPr>
      <w:r w:rsidRPr="00B47E84">
        <w:t>CSL Behring will work with the HTCs</w:t>
      </w:r>
      <w:r w:rsidR="0009317E" w:rsidRPr="00B47E84">
        <w:t xml:space="preserve"> to provide appropriate education and training in the administration of </w:t>
      </w:r>
      <w:proofErr w:type="spellStart"/>
      <w:r w:rsidR="0009317E" w:rsidRPr="00B47E84">
        <w:t>etranacogene</w:t>
      </w:r>
      <w:proofErr w:type="spellEnd"/>
      <w:r w:rsidR="0009317E" w:rsidRPr="00B47E84">
        <w:t xml:space="preserve"> </w:t>
      </w:r>
      <w:proofErr w:type="spellStart"/>
      <w:r w:rsidR="0009317E" w:rsidRPr="00B47E84">
        <w:t>dezaparvovec</w:t>
      </w:r>
      <w:proofErr w:type="spellEnd"/>
      <w:r w:rsidR="0009317E" w:rsidRPr="00B47E84">
        <w:t xml:space="preserve"> both prior to and beyond the product launch. </w:t>
      </w:r>
      <w:r w:rsidR="00537978" w:rsidRPr="00FC2612">
        <w:rPr>
          <w:rFonts w:cstheme="minorHAnsi"/>
        </w:rPr>
        <w:t>The Office of the Gene Technology Regulator (OGTR) has the specific responsibility to protect the health and safety of people, and to protect the environment from any risks posed by gene technology.</w:t>
      </w:r>
      <w:r w:rsidR="000C6679" w:rsidRPr="000C6679">
        <w:rPr>
          <w:b/>
          <w:bCs/>
        </w:rPr>
        <w:t xml:space="preserve"> REDACTED</w:t>
      </w:r>
    </w:p>
    <w:p w14:paraId="454E7F18" w14:textId="77777777" w:rsidR="005F3F07" w:rsidRDefault="005C3AE7" w:rsidP="00530204">
      <w:pPr>
        <w:pStyle w:val="Heading2"/>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2A7F1F33" w14:textId="77777777"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Inpatient private hospital (admitted patient)</w:t>
      </w:r>
    </w:p>
    <w:p w14:paraId="69DCBBE5" w14:textId="77777777"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Inpatient public hospital (admitted patient)</w:t>
      </w:r>
    </w:p>
    <w:p w14:paraId="54212E43" w14:textId="1CD5DD96" w:rsidR="00D82AD8" w:rsidRDefault="00822920" w:rsidP="00D82AD8">
      <w:pPr>
        <w:pStyle w:val="Tickboxes"/>
      </w:pPr>
      <w:r>
        <w:fldChar w:fldCharType="begin">
          <w:ffData>
            <w:name w:val=""/>
            <w:enabled/>
            <w:calcOnExit w:val="0"/>
            <w:checkBox>
              <w:sizeAuto/>
              <w:default w:val="1"/>
            </w:checkBox>
          </w:ffData>
        </w:fldChar>
      </w:r>
      <w:r>
        <w:instrText xml:space="preserve"> FORMCHECKBOX </w:instrText>
      </w:r>
      <w:r w:rsidR="008D3120">
        <w:fldChar w:fldCharType="separate"/>
      </w:r>
      <w:r>
        <w:fldChar w:fldCharType="end"/>
      </w:r>
      <w:r w:rsidR="00D82AD8">
        <w:t xml:space="preserve"> Private outpatient clinic</w:t>
      </w:r>
    </w:p>
    <w:p w14:paraId="17F893AA" w14:textId="53A279F7" w:rsidR="00D82AD8" w:rsidRDefault="00822920" w:rsidP="00D82AD8">
      <w:pPr>
        <w:pStyle w:val="Tickboxes"/>
      </w:pPr>
      <w:r>
        <w:fldChar w:fldCharType="begin">
          <w:ffData>
            <w:name w:val=""/>
            <w:enabled/>
            <w:calcOnExit w:val="0"/>
            <w:checkBox>
              <w:sizeAuto/>
              <w:default w:val="1"/>
            </w:checkBox>
          </w:ffData>
        </w:fldChar>
      </w:r>
      <w:r>
        <w:instrText xml:space="preserve"> FORMCHECKBOX </w:instrText>
      </w:r>
      <w:r w:rsidR="008D3120">
        <w:fldChar w:fldCharType="separate"/>
      </w:r>
      <w:r>
        <w:fldChar w:fldCharType="end"/>
      </w:r>
      <w:r w:rsidR="00D82AD8">
        <w:t xml:space="preserve"> Public outpatient clinic</w:t>
      </w:r>
    </w:p>
    <w:p w14:paraId="364593A3" w14:textId="77777777"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Emergency Department</w:t>
      </w:r>
    </w:p>
    <w:p w14:paraId="263D9481" w14:textId="77777777"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Private consulting rooms - GP</w:t>
      </w:r>
    </w:p>
    <w:p w14:paraId="2376ECDC" w14:textId="77777777"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Private consulting rooms – specialist</w:t>
      </w:r>
    </w:p>
    <w:p w14:paraId="24697F27" w14:textId="77777777"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Private consulting rooms – other health practitioner (nurse or allied health)</w:t>
      </w:r>
    </w:p>
    <w:p w14:paraId="7E3FBCBA" w14:textId="73F4AC31"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Private day surgery clinic</w:t>
      </w:r>
    </w:p>
    <w:p w14:paraId="7B954104" w14:textId="0F37D8BF"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Public day surgery clinic </w:t>
      </w:r>
    </w:p>
    <w:p w14:paraId="2B642381" w14:textId="77777777"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Residential aged care facility</w:t>
      </w:r>
    </w:p>
    <w:p w14:paraId="3BB2DC56" w14:textId="77777777"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Patient’s home</w:t>
      </w:r>
    </w:p>
    <w:p w14:paraId="57BBAC3A" w14:textId="77777777" w:rsidR="00D82AD8" w:rsidRDefault="00D82AD8" w:rsidP="00D82AD8">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8D3120">
        <w:fldChar w:fldCharType="separate"/>
      </w:r>
      <w:r w:rsidRPr="000A5B32">
        <w:fldChar w:fldCharType="end"/>
      </w:r>
      <w:r>
        <w:t xml:space="preserve"> Laboratory</w:t>
      </w:r>
    </w:p>
    <w:p w14:paraId="314B455A" w14:textId="51ADD5C1" w:rsidR="00325441" w:rsidRDefault="00831D89" w:rsidP="00105252">
      <w:pPr>
        <w:pStyle w:val="Tickboxes"/>
      </w:pPr>
      <w:r>
        <w:fldChar w:fldCharType="begin">
          <w:ffData>
            <w:name w:val=""/>
            <w:enabled/>
            <w:calcOnExit w:val="0"/>
            <w:checkBox>
              <w:sizeAuto/>
              <w:default w:val="1"/>
            </w:checkBox>
          </w:ffData>
        </w:fldChar>
      </w:r>
      <w:r>
        <w:instrText xml:space="preserve"> FORMCHECKBOX </w:instrText>
      </w:r>
      <w:r w:rsidR="008D3120">
        <w:fldChar w:fldCharType="separate"/>
      </w:r>
      <w:r>
        <w:fldChar w:fldCharType="end"/>
      </w:r>
      <w:r w:rsidR="00D82AD8">
        <w:t xml:space="preserve"> Other – please specify below</w:t>
      </w:r>
    </w:p>
    <w:p w14:paraId="26A0DCA9" w14:textId="020FC027" w:rsidR="00325441" w:rsidRPr="000A478F" w:rsidRDefault="00325441" w:rsidP="00105252">
      <w:pPr>
        <w:pStyle w:val="Tickboxes"/>
        <w:spacing w:before="120"/>
        <w:ind w:left="357"/>
      </w:pPr>
      <w:r w:rsidRPr="00325441">
        <w:t>Specialist Haemophilia Treatment Centre</w:t>
      </w:r>
    </w:p>
    <w:p w14:paraId="3F681555" w14:textId="77777777" w:rsidR="003E30FB" w:rsidRDefault="003E30FB" w:rsidP="00530204">
      <w:pPr>
        <w:pStyle w:val="Heading2"/>
      </w:pPr>
      <w:r>
        <w:t xml:space="preserve">Is the </w:t>
      </w:r>
      <w:r w:rsidRPr="001B29A1">
        <w:t>proposed</w:t>
      </w:r>
      <w:r>
        <w:t xml:space="preserve"> medical service intended to be entirely rendered in Australia?</w:t>
      </w:r>
    </w:p>
    <w:p w14:paraId="542468CF" w14:textId="1AFB9276" w:rsidR="000A478F" w:rsidRDefault="00F56C7A" w:rsidP="0032544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3120">
        <w:rPr>
          <w:szCs w:val="20"/>
        </w:rPr>
      </w:r>
      <w:r w:rsidR="008D3120">
        <w:rPr>
          <w:szCs w:val="20"/>
        </w:rPr>
        <w:fldChar w:fldCharType="separate"/>
      </w:r>
      <w:r>
        <w:rPr>
          <w:szCs w:val="20"/>
        </w:rPr>
        <w:fldChar w:fldCharType="end"/>
      </w:r>
      <w:r w:rsidR="000A478F">
        <w:rPr>
          <w:szCs w:val="20"/>
        </w:rPr>
        <w:t xml:space="preserve"> Yes</w:t>
      </w:r>
    </w:p>
    <w:p w14:paraId="4F247374" w14:textId="77777777" w:rsidR="000C6679" w:rsidRDefault="000C6679" w:rsidP="00325441">
      <w:pPr>
        <w:spacing w:before="0" w:after="0"/>
        <w:ind w:left="426"/>
        <w:rPr>
          <w:b/>
          <w:bCs/>
        </w:rPr>
      </w:pPr>
    </w:p>
    <w:p w14:paraId="402E69F2" w14:textId="552D8A6E" w:rsidR="000C6679" w:rsidRPr="00325441" w:rsidRDefault="000C6679" w:rsidP="00325441">
      <w:pPr>
        <w:spacing w:before="0" w:after="0"/>
        <w:ind w:left="426"/>
        <w:rPr>
          <w:szCs w:val="20"/>
        </w:rPr>
      </w:pPr>
      <w:r w:rsidRPr="000C6679">
        <w:rPr>
          <w:b/>
          <w:bCs/>
        </w:rPr>
        <w:t>REDACTED</w:t>
      </w:r>
    </w:p>
    <w:p w14:paraId="13D5BE7F" w14:textId="77777777" w:rsidR="00E60529" w:rsidRPr="00881F93" w:rsidRDefault="005C3AE7" w:rsidP="00325441">
      <w:pPr>
        <w:pStyle w:val="Subtitle"/>
        <w:ind w:left="0"/>
      </w:pPr>
      <w:r>
        <w:t xml:space="preserve">PART 6c – </w:t>
      </w:r>
      <w:r w:rsidR="00E60529" w:rsidRPr="00881F93">
        <w:t>INFORMATION ABOUT THE COMPARATOR</w:t>
      </w:r>
      <w:r w:rsidR="00A83EC6" w:rsidRPr="00881F93">
        <w:t>(S)</w:t>
      </w:r>
    </w:p>
    <w:p w14:paraId="09F9BF4B" w14:textId="2415AA41" w:rsidR="00E60529" w:rsidRPr="00154B00" w:rsidRDefault="00A83EC6" w:rsidP="00530204">
      <w:pPr>
        <w:pStyle w:val="Heading2"/>
      </w:pPr>
      <w:r w:rsidRPr="00154B00">
        <w:t>Nominate the appropriate comparator(s) for the proposed medical service</w:t>
      </w:r>
      <w:r w:rsidR="00BF6497">
        <w:t xml:space="preserve"> (</w:t>
      </w:r>
      <w:r w:rsidR="00F801DF">
        <w:t>i.</w:t>
      </w:r>
      <w:r w:rsidR="00F801DF" w:rsidRPr="00154B00">
        <w:t>e.,</w:t>
      </w:r>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4D2C59B7" w14:textId="6015B7DE" w:rsidR="00E60529" w:rsidRPr="00154B00" w:rsidRDefault="00A71692" w:rsidP="001B29A1">
      <w:pPr>
        <w:ind w:left="426"/>
        <w:rPr>
          <w:szCs w:val="20"/>
        </w:rPr>
      </w:pPr>
      <w:r>
        <w:t>The proposed comparator is no gene therapy (or other treatment of curative intent, against a background standard of care comprising both routine and on demand use of FIX replacement therapy</w:t>
      </w:r>
      <w:r w:rsidR="00B97CC4">
        <w:t>)</w:t>
      </w:r>
      <w:r>
        <w:t xml:space="preserve">.  This standard of care is not itself the relevant comparator, as some patients </w:t>
      </w:r>
      <w:r w:rsidR="00CE62D4">
        <w:t xml:space="preserve">who receive </w:t>
      </w:r>
      <w:proofErr w:type="spellStart"/>
      <w:r>
        <w:t>etranacogene</w:t>
      </w:r>
      <w:proofErr w:type="spellEnd"/>
      <w:r>
        <w:t xml:space="preserve"> </w:t>
      </w:r>
      <w:proofErr w:type="spellStart"/>
      <w:r>
        <w:t>dezaparvovec</w:t>
      </w:r>
      <w:proofErr w:type="spellEnd"/>
      <w:r w:rsidR="00CE62D4">
        <w:t xml:space="preserve"> may continue to have either a </w:t>
      </w:r>
      <w:r w:rsidR="00B97CC4">
        <w:t>short- or longer-term</w:t>
      </w:r>
      <w:r w:rsidR="00CE62D4">
        <w:t xml:space="preserve"> requirement for FIX replacement therapy</w:t>
      </w:r>
      <w:r w:rsidR="00B97CC4">
        <w:t>. A</w:t>
      </w:r>
      <w:r w:rsidR="00CE62D4">
        <w:t xml:space="preserve">lthough this would typically be greatly reduced </w:t>
      </w:r>
      <w:proofErr w:type="gramStart"/>
      <w:r w:rsidR="00CE62D4">
        <w:t>as a result of</w:t>
      </w:r>
      <w:proofErr w:type="gramEnd"/>
      <w:r w:rsidR="00CE62D4">
        <w:t xml:space="preserve"> </w:t>
      </w:r>
      <w:r w:rsidR="00B97CC4">
        <w:t xml:space="preserve">treatment with </w:t>
      </w:r>
      <w:proofErr w:type="spellStart"/>
      <w:r w:rsidR="00B97CC4">
        <w:t>etranacogene</w:t>
      </w:r>
      <w:proofErr w:type="spellEnd"/>
      <w:r w:rsidR="00B97CC4">
        <w:t xml:space="preserve"> </w:t>
      </w:r>
      <w:proofErr w:type="spellStart"/>
      <w:r w:rsidR="00B97CC4">
        <w:t>dezaparvovec</w:t>
      </w:r>
      <w:proofErr w:type="spellEnd"/>
      <w:r w:rsidR="00B97CC4">
        <w:t xml:space="preserve">. </w:t>
      </w:r>
    </w:p>
    <w:p w14:paraId="397AA789"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2EC77670" w14:textId="6BD1B2DB" w:rsidR="000159B9" w:rsidRDefault="00CE62D4"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3120">
        <w:rPr>
          <w:szCs w:val="20"/>
        </w:rPr>
      </w:r>
      <w:r w:rsidR="008D3120">
        <w:rPr>
          <w:szCs w:val="20"/>
        </w:rPr>
        <w:fldChar w:fldCharType="separate"/>
      </w:r>
      <w:r>
        <w:rPr>
          <w:szCs w:val="20"/>
        </w:rPr>
        <w:fldChar w:fldCharType="end"/>
      </w:r>
      <w:r w:rsidR="006A1038">
        <w:rPr>
          <w:szCs w:val="20"/>
        </w:rPr>
        <w:t xml:space="preserve"> No</w:t>
      </w:r>
      <w:r>
        <w:rPr>
          <w:szCs w:val="20"/>
        </w:rPr>
        <w:t xml:space="preserve">, however various FIX replacement therapies used in the background standard of care are currently funded for certain HMB patients through the National Blood Authority.  </w:t>
      </w:r>
    </w:p>
    <w:p w14:paraId="5D943BCA" w14:textId="604D1275" w:rsidR="00A83EC6" w:rsidRPr="00154B00" w:rsidRDefault="005C3AE7" w:rsidP="00530204">
      <w:pPr>
        <w:pStyle w:val="Heading2"/>
      </w:pPr>
      <w:r>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4ECF2C6E" w14:textId="77F366AF" w:rsidR="001B29A1" w:rsidRDefault="00282BE8" w:rsidP="00DE4129">
      <w:pPr>
        <w:spacing w:before="0" w:after="0"/>
        <w:ind w:firstLine="360"/>
        <w:rPr>
          <w:szCs w:val="20"/>
        </w:rPr>
      </w:pPr>
      <w:r>
        <w:rPr>
          <w:szCs w:val="20"/>
        </w:rPr>
        <w:t>Instead of (</w:t>
      </w:r>
      <w:r w:rsidR="00F32F31">
        <w:rPr>
          <w:szCs w:val="20"/>
        </w:rPr>
        <w:t>i.e.,</w:t>
      </w:r>
      <w:r>
        <w:rPr>
          <w:szCs w:val="20"/>
        </w:rPr>
        <w:t xml:space="preserve"> it is a replacement or alternative)</w:t>
      </w:r>
    </w:p>
    <w:p w14:paraId="7CE85398" w14:textId="77777777" w:rsidR="00E70D86" w:rsidRPr="00154B00" w:rsidRDefault="00095B45" w:rsidP="00095B45">
      <w:pPr>
        <w:pStyle w:val="Heading2"/>
        <w:numPr>
          <w:ilvl w:val="0"/>
          <w:numId w:val="30"/>
        </w:numPr>
      </w:pPr>
      <w:r w:rsidRPr="00095B45">
        <w:t>If yes, please outline the extent to which the current service/comparator is expected to be substituted</w:t>
      </w:r>
    </w:p>
    <w:p w14:paraId="1DC3414A" w14:textId="4EEC9F98" w:rsidR="001B29A1" w:rsidRDefault="00E637CC" w:rsidP="00426037">
      <w:pPr>
        <w:ind w:left="426"/>
        <w:rPr>
          <w:b/>
          <w:i/>
          <w:szCs w:val="20"/>
          <w:u w:val="single"/>
        </w:rPr>
      </w:pPr>
      <w:r>
        <w:t xml:space="preserve">The proposed </w:t>
      </w:r>
      <w:r w:rsidR="00023205">
        <w:t>therapy</w:t>
      </w:r>
      <w:r>
        <w:t xml:space="preserve"> will (by definition) completely substitute the proposed comparator in all treated patients.  The extent to which the current standard of care will be reduced </w:t>
      </w:r>
      <w:proofErr w:type="gramStart"/>
      <w:r>
        <w:t>as a result of</w:t>
      </w:r>
      <w:proofErr w:type="gramEnd"/>
      <w:r>
        <w:t xml:space="preserve"> this </w:t>
      </w:r>
      <w:r w:rsidR="00FF6C5F">
        <w:t>one-time</w:t>
      </w:r>
      <w:r>
        <w:t xml:space="preserve"> treatment of curative intent, is a more complex question than </w:t>
      </w:r>
      <w:r w:rsidR="00FD4451">
        <w:t>cannot</w:t>
      </w:r>
      <w:r>
        <w:t xml:space="preserve"> be addressed in this application form.  </w:t>
      </w:r>
    </w:p>
    <w:p w14:paraId="4CE7F82C" w14:textId="77777777" w:rsidR="000C6679" w:rsidRDefault="000C6679">
      <w:pPr>
        <w:spacing w:before="0" w:after="200" w:line="276" w:lineRule="auto"/>
        <w:rPr>
          <w:b/>
          <w:i/>
          <w:szCs w:val="20"/>
          <w:u w:val="single"/>
        </w:rPr>
      </w:pPr>
      <w:r>
        <w:br w:type="page"/>
      </w:r>
    </w:p>
    <w:p w14:paraId="66AC7691" w14:textId="446E0CA5" w:rsidR="00DF0D47" w:rsidRPr="00881F93" w:rsidRDefault="00095B45" w:rsidP="00F643F2">
      <w:pPr>
        <w:pStyle w:val="Subtitle"/>
        <w:ind w:left="0"/>
      </w:pPr>
      <w:r w:rsidRPr="00095B45">
        <w:lastRenderedPageBreak/>
        <w:t xml:space="preserve">PART 6c </w:t>
      </w:r>
      <w:r w:rsidR="006146EB" w:rsidRPr="00095B45">
        <w:t>CONTINUED –</w:t>
      </w:r>
      <w:r w:rsidRPr="00095B45">
        <w:t xml:space="preserve"> INFORMATION ABOUT ALGORITHMS (CLINICAL MANAGEMENT PATHWAYS)</w:t>
      </w:r>
    </w:p>
    <w:p w14:paraId="014D8BD8" w14:textId="100BE8A1" w:rsidR="00095B45" w:rsidRPr="00154B00" w:rsidRDefault="00095B45" w:rsidP="00095B45">
      <w:pPr>
        <w:pStyle w:val="Heading2"/>
      </w:pPr>
      <w:r>
        <w:t>Define and summarise the CURRENT clinical management pathway (algorithm) that patients follow when they receive the COMPARATOR service (</w:t>
      </w:r>
      <w:r w:rsidR="00814A43">
        <w:t>i.e.,</w:t>
      </w:r>
      <w:r>
        <w:t xml:space="preserve"> the landscape </w:t>
      </w:r>
      <w:r w:rsidRPr="3B487DF8">
        <w:rPr>
          <w:u w:val="single"/>
        </w:rPr>
        <w:t>before</w:t>
      </w:r>
      <w:r>
        <w:t xml:space="preserve"> the proposed service is introduced). An easy-to-follow flowchart is preferred, depicting the current </w:t>
      </w:r>
      <w:r w:rsidRPr="3B487DF8">
        <w:rPr>
          <w:u w:val="single"/>
        </w:rPr>
        <w:t>clinical management pathway</w:t>
      </w:r>
      <w:r>
        <w:t>), but dot-points would be acceptable. Please include health care resources used in the current landscape (</w:t>
      </w:r>
      <w:r w:rsidR="00814A43">
        <w:t>e.g.,</w:t>
      </w:r>
      <w:r>
        <w:t xml:space="preserve"> pharmaceuticals, </w:t>
      </w:r>
      <w:proofErr w:type="gramStart"/>
      <w:r>
        <w:t>diagnostics</w:t>
      </w:r>
      <w:proofErr w:type="gramEnd"/>
      <w:r>
        <w:t xml:space="preserve"> and investigative services, </w:t>
      </w:r>
      <w:r w:rsidR="005272F8">
        <w:t>etc.</w:t>
      </w:r>
      <w:r>
        <w:t xml:space="preserve">). </w:t>
      </w:r>
    </w:p>
    <w:p w14:paraId="460477E9" w14:textId="2BC0D371" w:rsidR="00610CFC" w:rsidRDefault="00E637CC" w:rsidP="00E637CC">
      <w:pPr>
        <w:ind w:left="426"/>
      </w:pPr>
      <w:r>
        <w:t xml:space="preserve">A summarised version of the current clinical management algorithm for HMB in Australia is presented </w:t>
      </w:r>
      <w:r w:rsidR="00F66853">
        <w:t xml:space="preserve">in the diagram </w:t>
      </w:r>
      <w:r>
        <w:t>below. Briefly, treatment approaches are</w:t>
      </w:r>
      <w:r w:rsidR="00F66853">
        <w:t xml:space="preserve"> </w:t>
      </w:r>
      <w:r>
        <w:t>guided by disease severity (as measured by residual FIX activity) although</w:t>
      </w:r>
      <w:r w:rsidR="000C6C5C">
        <w:t xml:space="preserve"> bleeding phenotype,</w:t>
      </w:r>
      <w:r>
        <w:t xml:space="preserve"> individual patient circumstances and preferences also play an important role.  Patients with more severe disease </w:t>
      </w:r>
      <w:r w:rsidR="00F66853">
        <w:t>typically receive</w:t>
      </w:r>
      <w:r>
        <w:t xml:space="preserve"> routine </w:t>
      </w:r>
      <w:r w:rsidR="00F66853">
        <w:t xml:space="preserve">FIX </w:t>
      </w:r>
      <w:r>
        <w:t>prophylaxis</w:t>
      </w:r>
      <w:r w:rsidR="00F66853">
        <w:t xml:space="preserve">, usually with a </w:t>
      </w:r>
      <w:r>
        <w:t>recombinant EHL product</w:t>
      </w:r>
      <w:r w:rsidR="00F66853">
        <w:t xml:space="preserve">. </w:t>
      </w:r>
      <w:r>
        <w:t xml:space="preserve">Short-term prophylactic therapy is recommended for all patients prior to surgical or dental </w:t>
      </w:r>
      <w:r w:rsidR="00F66853">
        <w:t>p</w:t>
      </w:r>
      <w:r>
        <w:t xml:space="preserve">rocedures or other foreseeable occasional events for which there is an elevated bleeding risk. Irrespective of prophylaxis, most patients will require at least occasional on-demand treatment for a bleeding event.  </w:t>
      </w:r>
    </w:p>
    <w:p w14:paraId="5FA33285" w14:textId="21BFE2DE" w:rsidR="00E637CC" w:rsidRDefault="000C6C5C" w:rsidP="00E637CC">
      <w:pPr>
        <w:ind w:left="426"/>
        <w:rPr>
          <w:b/>
          <w:bCs/>
        </w:rPr>
      </w:pPr>
      <w:r w:rsidRPr="000C6C5C">
        <w:rPr>
          <w:b/>
          <w:bCs/>
        </w:rPr>
        <w:t xml:space="preserve">Current </w:t>
      </w:r>
      <w:r w:rsidR="00E637CC" w:rsidRPr="00F66853">
        <w:rPr>
          <w:b/>
          <w:bCs/>
        </w:rPr>
        <w:t>Australian clinical management algorithm for treatment of haemophilia</w:t>
      </w:r>
    </w:p>
    <w:p w14:paraId="2EBC57DF" w14:textId="1362BAA6" w:rsidR="00C53E99" w:rsidRDefault="007C4631" w:rsidP="007C4631">
      <w:pPr>
        <w:spacing w:after="0"/>
        <w:ind w:left="426"/>
        <w:rPr>
          <w:b/>
          <w:bCs/>
        </w:rPr>
      </w:pPr>
      <w:r>
        <w:rPr>
          <w:b/>
          <w:bCs/>
          <w:noProof/>
        </w:rPr>
        <w:drawing>
          <wp:inline distT="0" distB="0" distL="0" distR="0" wp14:anchorId="2510DD8E" wp14:editId="60472EE7">
            <wp:extent cx="5353050" cy="3889779"/>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7668" cy="3900401"/>
                    </a:xfrm>
                    <a:prstGeom prst="rect">
                      <a:avLst/>
                    </a:prstGeom>
                    <a:noFill/>
                  </pic:spPr>
                </pic:pic>
              </a:graphicData>
            </a:graphic>
          </wp:inline>
        </w:drawing>
      </w:r>
    </w:p>
    <w:p w14:paraId="60912B9A" w14:textId="77777777" w:rsidR="007C4631" w:rsidRDefault="007C4631" w:rsidP="007C4631">
      <w:pPr>
        <w:spacing w:before="0" w:after="0"/>
        <w:ind w:left="426"/>
        <w:rPr>
          <w:rFonts w:cstheme="minorHAnsi"/>
          <w:sz w:val="16"/>
          <w:szCs w:val="16"/>
        </w:rPr>
      </w:pPr>
      <w:r w:rsidRPr="0049325F">
        <w:rPr>
          <w:rFonts w:cstheme="minorHAnsi"/>
          <w:sz w:val="16"/>
          <w:szCs w:val="16"/>
        </w:rPr>
        <w:t>Abbreviations: FIX = factor IX expression; EHL = extended half-life recombinant FIX replacement therapy; SHL = standard half-life recombinant FIX replacement therapy</w:t>
      </w:r>
      <w:r>
        <w:rPr>
          <w:rFonts w:cstheme="minorHAnsi"/>
          <w:sz w:val="16"/>
          <w:szCs w:val="16"/>
        </w:rPr>
        <w:t xml:space="preserve"> </w:t>
      </w:r>
    </w:p>
    <w:p w14:paraId="3C42A73C" w14:textId="280A9CA1" w:rsidR="007C4631" w:rsidRDefault="007C4631" w:rsidP="007C4631">
      <w:pPr>
        <w:spacing w:before="0" w:after="0"/>
        <w:ind w:left="426"/>
        <w:rPr>
          <w:rFonts w:cstheme="minorHAnsi"/>
          <w:sz w:val="16"/>
          <w:szCs w:val="16"/>
        </w:rPr>
      </w:pPr>
      <w:r w:rsidRPr="00826767">
        <w:rPr>
          <w:rFonts w:cstheme="minorHAnsi"/>
          <w:sz w:val="16"/>
          <w:szCs w:val="16"/>
        </w:rPr>
        <w:t>Sources:</w:t>
      </w:r>
      <w:r>
        <w:rPr>
          <w:rFonts w:cstheme="minorHAnsi"/>
          <w:sz w:val="16"/>
          <w:szCs w:val="16"/>
        </w:rPr>
        <w:t xml:space="preserve"> Developed using</w:t>
      </w:r>
      <w:r w:rsidRPr="00826767">
        <w:rPr>
          <w:rFonts w:cstheme="minorHAnsi"/>
          <w:sz w:val="16"/>
          <w:szCs w:val="16"/>
        </w:rPr>
        <w:t xml:space="preserve"> </w:t>
      </w:r>
      <w:sdt>
        <w:sdtPr>
          <w:rPr>
            <w:rFonts w:cstheme="minorHAnsi"/>
            <w:sz w:val="16"/>
            <w:szCs w:val="16"/>
          </w:rPr>
          <w:alias w:val="SmartCite Citation"/>
          <w:tag w:val="5e3f6b11-4472-4be6-89df-b5bd952cd979:43289f76-5e3f-4091-8123-4de1838a0f1f,5e3f6b11-4472-4be6-89df-b5bd952cd979:11d708ae-f429-4441-b6ea-fb740b3eadba,5e3f6b11-4472-4be6-89df-b5bd952cd979:1fed11ac-04c7-4572-a130-d910f6318ae2+"/>
          <w:id w:val="-645817706"/>
          <w:placeholder>
            <w:docPart w:val="94E86D35D4924D4AAFFD4FB35D61F8D1"/>
          </w:placeholder>
        </w:sdtPr>
        <w:sdtEndPr/>
        <w:sdtContent>
          <w:r w:rsidR="0010380A" w:rsidRPr="0010380A">
            <w:rPr>
              <w:rFonts w:ascii="Calibri" w:eastAsia="Times New Roman" w:hAnsi="Calibri"/>
              <w:color w:val="000000"/>
              <w:sz w:val="16"/>
            </w:rPr>
            <w:t>(AHCDO 2016; Dolan et al. 2018; MSAC 2018)</w:t>
          </w:r>
        </w:sdtContent>
      </w:sdt>
      <w:r w:rsidRPr="00826767">
        <w:rPr>
          <w:rFonts w:cstheme="minorHAnsi"/>
          <w:sz w:val="16"/>
          <w:szCs w:val="16"/>
        </w:rPr>
        <w:t xml:space="preserve">  </w:t>
      </w:r>
    </w:p>
    <w:p w14:paraId="4D9F20FC" w14:textId="77777777" w:rsidR="007C4631" w:rsidRPr="00F66853" w:rsidRDefault="007C4631" w:rsidP="007C4631">
      <w:pPr>
        <w:spacing w:after="0"/>
        <w:ind w:left="426"/>
        <w:rPr>
          <w:b/>
          <w:bCs/>
        </w:rPr>
      </w:pPr>
    </w:p>
    <w:p w14:paraId="4BB58837" w14:textId="77777777" w:rsidR="00095B45" w:rsidRDefault="00095B45" w:rsidP="00095B45">
      <w:pPr>
        <w:pStyle w:val="Heading2"/>
      </w:pPr>
      <w:r>
        <w:t xml:space="preserve">Define and summarise the PROPOSED clinical management pathway (algorithm) that patients would </w:t>
      </w:r>
      <w:proofErr w:type="gramStart"/>
      <w:r>
        <w:t xml:space="preserve">follow </w:t>
      </w:r>
      <w:r w:rsidRPr="3B487DF8">
        <w:rPr>
          <w:u w:val="single"/>
        </w:rPr>
        <w:t>after</w:t>
      </w:r>
      <w:proofErr w:type="gramEnd"/>
      <w:r>
        <w:t xml:space="preserve"> the proposed service/technology is introduced, including variation in health care resources.</w:t>
      </w:r>
    </w:p>
    <w:p w14:paraId="3E82D296" w14:textId="6F762B4D" w:rsidR="005919E9" w:rsidRDefault="00450A16" w:rsidP="00450A16">
      <w:pPr>
        <w:ind w:left="426"/>
      </w:pPr>
      <w:r>
        <w:t>The proposed intervention would not so much change the current clinical management pathway, but rapidly and permanently shift the majority of</w:t>
      </w:r>
      <w:r w:rsidR="002E7814">
        <w:t xml:space="preserve"> eligible</w:t>
      </w:r>
      <w:r w:rsidR="00AB5596">
        <w:t xml:space="preserve"> HMB</w:t>
      </w:r>
      <w:r>
        <w:t xml:space="preserve"> patients to a mild</w:t>
      </w:r>
      <w:r w:rsidR="00367226">
        <w:t xml:space="preserve"> or normal</w:t>
      </w:r>
      <w:r>
        <w:t xml:space="preserve"> phenotype where only occasional procedural prophylactic or on-demand replacement </w:t>
      </w:r>
      <w:r w:rsidR="003D4843">
        <w:t>may be</w:t>
      </w:r>
      <w:r>
        <w:t xml:space="preserve"> </w:t>
      </w:r>
      <w:r w:rsidR="00AB5596">
        <w:t>required,</w:t>
      </w:r>
      <w:r>
        <w:t xml:space="preserve"> and the risk of developing inhibitors is greatly reduced. </w:t>
      </w:r>
      <w:r w:rsidR="00BB269C">
        <w:t xml:space="preserve">The use of </w:t>
      </w:r>
      <w:proofErr w:type="spellStart"/>
      <w:r w:rsidR="00BB269C">
        <w:t>etranacogene</w:t>
      </w:r>
      <w:proofErr w:type="spellEnd"/>
      <w:r w:rsidR="00BB269C">
        <w:t xml:space="preserve"> </w:t>
      </w:r>
      <w:proofErr w:type="spellStart"/>
      <w:r w:rsidR="00BB269C">
        <w:t>dezaparvovec</w:t>
      </w:r>
      <w:proofErr w:type="spellEnd"/>
      <w:r w:rsidR="00025BFF">
        <w:t xml:space="preserve"> will not </w:t>
      </w:r>
      <w:proofErr w:type="gramStart"/>
      <w:r w:rsidR="00025BFF">
        <w:t>completely eliminate</w:t>
      </w:r>
      <w:proofErr w:type="gramEnd"/>
      <w:r w:rsidR="00025BFF">
        <w:t xml:space="preserve"> the need for FIX replacement therapy or change the circumstances under which it would be required, but significantly reduce both the extent and frequency of its use.</w:t>
      </w:r>
    </w:p>
    <w:p w14:paraId="21F6405B" w14:textId="3A384378" w:rsidR="000C6C5C" w:rsidRPr="0041603F" w:rsidRDefault="000C6C5C" w:rsidP="000C6C5C">
      <w:pPr>
        <w:ind w:left="426"/>
      </w:pPr>
      <w:r>
        <w:lastRenderedPageBreak/>
        <w:t xml:space="preserve">As </w:t>
      </w:r>
      <w:r w:rsidRPr="0041603F">
        <w:t xml:space="preserve">described previously, the indicative clinical place for </w:t>
      </w:r>
      <w:proofErr w:type="spellStart"/>
      <w:r w:rsidRPr="0041603F">
        <w:t>etranacogene</w:t>
      </w:r>
      <w:proofErr w:type="spellEnd"/>
      <w:r w:rsidRPr="0041603F">
        <w:t xml:space="preserve"> </w:t>
      </w:r>
      <w:proofErr w:type="spellStart"/>
      <w:r w:rsidRPr="0041603F">
        <w:t>dezaparvovec</w:t>
      </w:r>
      <w:proofErr w:type="spellEnd"/>
      <w:r w:rsidRPr="0041603F">
        <w:t xml:space="preserve"> is for adult patients with moderately severe or severe HMB (</w:t>
      </w:r>
      <w:r w:rsidRPr="0041603F">
        <w:rPr>
          <w:rFonts w:cstheme="minorHAnsi"/>
        </w:rPr>
        <w:t>≤</w:t>
      </w:r>
      <w:r w:rsidRPr="0041603F">
        <w:t xml:space="preserve">2% FIX), without inhibitors, who are currently receiving FIX prophylaxis at a stable dose, and who have pre-existing neutralising anti-AAV5 antibody </w:t>
      </w:r>
      <w:proofErr w:type="spellStart"/>
      <w:r w:rsidRPr="0041603F">
        <w:t>titers</w:t>
      </w:r>
      <w:proofErr w:type="spellEnd"/>
      <w:r w:rsidRPr="0041603F">
        <w:t xml:space="preserve"> below 1:700 (yellow shaded oval). </w:t>
      </w:r>
      <w:r w:rsidR="00E83D55" w:rsidRPr="0041603F">
        <w:t xml:space="preserve">A minor change to the clinical management of moderately severe and severe patients will be the addition of a simple anti-AAV5 </w:t>
      </w:r>
      <w:proofErr w:type="spellStart"/>
      <w:r w:rsidR="00E83D55" w:rsidRPr="0041603F">
        <w:t>NAb</w:t>
      </w:r>
      <w:proofErr w:type="spellEnd"/>
      <w:r w:rsidR="00E83D55" w:rsidRPr="0041603F">
        <w:t xml:space="preserve"> test. Those who have </w:t>
      </w:r>
      <w:r w:rsidR="00702111" w:rsidRPr="0041603F">
        <w:t xml:space="preserve">anti-AAV5 </w:t>
      </w:r>
      <w:proofErr w:type="spellStart"/>
      <w:r w:rsidR="00702111" w:rsidRPr="0041603F">
        <w:t>NAbs</w:t>
      </w:r>
      <w:proofErr w:type="spellEnd"/>
      <w:r w:rsidR="00702111" w:rsidRPr="0041603F">
        <w:t xml:space="preserve"> ≥1:</w:t>
      </w:r>
      <w:r w:rsidR="00400C52" w:rsidRPr="0041603F">
        <w:t xml:space="preserve">700 will remain on their individualised FIX prophylaxis treatment regime. </w:t>
      </w:r>
      <w:r w:rsidR="00E83D55" w:rsidRPr="0041603F">
        <w:t xml:space="preserve">  </w:t>
      </w:r>
    </w:p>
    <w:p w14:paraId="18C03D24" w14:textId="3C6B2C2C" w:rsidR="000C6C5C" w:rsidRPr="0041603F" w:rsidRDefault="000C6C5C" w:rsidP="000C6C5C">
      <w:pPr>
        <w:ind w:left="426"/>
        <w:rPr>
          <w:b/>
          <w:bCs/>
        </w:rPr>
      </w:pPr>
      <w:r w:rsidRPr="0041603F">
        <w:rPr>
          <w:b/>
        </w:rPr>
        <w:t>Proposed Australian clinical management algorithm for treatment of haemophilia</w:t>
      </w:r>
    </w:p>
    <w:p w14:paraId="7F1C01C8" w14:textId="1A20CE88" w:rsidR="005919E9" w:rsidRDefault="00025BFF" w:rsidP="005919E9">
      <w:pPr>
        <w:spacing w:before="0" w:after="0"/>
        <w:ind w:left="426"/>
        <w:rPr>
          <w:rFonts w:cstheme="minorHAnsi"/>
          <w:sz w:val="16"/>
          <w:szCs w:val="16"/>
        </w:rPr>
      </w:pPr>
      <w:r w:rsidRPr="0041603F">
        <w:t xml:space="preserve">  </w:t>
      </w:r>
      <w:r w:rsidR="00DB78F6" w:rsidRPr="0041603F">
        <w:rPr>
          <w:noProof/>
        </w:rPr>
        <w:drawing>
          <wp:inline distT="0" distB="0" distL="0" distR="0" wp14:anchorId="455ABFCA" wp14:editId="04FCEAA4">
            <wp:extent cx="5391150" cy="3494664"/>
            <wp:effectExtent l="0" t="0" r="0" b="0"/>
            <wp:docPr id="7"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4332" cy="3503209"/>
                    </a:xfrm>
                    <a:prstGeom prst="rect">
                      <a:avLst/>
                    </a:prstGeom>
                    <a:noFill/>
                  </pic:spPr>
                </pic:pic>
              </a:graphicData>
            </a:graphic>
          </wp:inline>
        </w:drawing>
      </w:r>
      <w:r w:rsidR="005919E9" w:rsidRPr="0041603F">
        <w:rPr>
          <w:rFonts w:cstheme="minorHAnsi"/>
          <w:sz w:val="16"/>
          <w:szCs w:val="16"/>
        </w:rPr>
        <w:t xml:space="preserve"> Abbreviations: FIX = factor IX expression; EHL = extended half-life recombinant FIX replacement therapy; SHL = standard half-life</w:t>
      </w:r>
      <w:r w:rsidR="005919E9" w:rsidRPr="0049325F">
        <w:rPr>
          <w:rFonts w:cstheme="minorHAnsi"/>
          <w:sz w:val="16"/>
          <w:szCs w:val="16"/>
        </w:rPr>
        <w:t xml:space="preserve"> recombinant FIX replacement therapy</w:t>
      </w:r>
      <w:r w:rsidR="005919E9">
        <w:rPr>
          <w:rFonts w:cstheme="minorHAnsi"/>
          <w:sz w:val="16"/>
          <w:szCs w:val="16"/>
        </w:rPr>
        <w:t xml:space="preserve"> </w:t>
      </w:r>
    </w:p>
    <w:p w14:paraId="0DB4CE38" w14:textId="28390D22" w:rsidR="005919E9" w:rsidRDefault="005919E9" w:rsidP="005919E9">
      <w:pPr>
        <w:spacing w:before="0" w:after="0"/>
        <w:ind w:left="426"/>
        <w:rPr>
          <w:rFonts w:cstheme="minorHAnsi"/>
          <w:sz w:val="16"/>
          <w:szCs w:val="16"/>
        </w:rPr>
      </w:pPr>
      <w:r w:rsidRPr="00826767">
        <w:rPr>
          <w:rFonts w:cstheme="minorHAnsi"/>
          <w:sz w:val="16"/>
          <w:szCs w:val="16"/>
        </w:rPr>
        <w:t>Sources:</w:t>
      </w:r>
      <w:r>
        <w:rPr>
          <w:rFonts w:cstheme="minorHAnsi"/>
          <w:sz w:val="16"/>
          <w:szCs w:val="16"/>
        </w:rPr>
        <w:t xml:space="preserve"> Developed using</w:t>
      </w:r>
      <w:r w:rsidRPr="00826767">
        <w:rPr>
          <w:rFonts w:cstheme="minorHAnsi"/>
          <w:sz w:val="16"/>
          <w:szCs w:val="16"/>
        </w:rPr>
        <w:t xml:space="preserve"> </w:t>
      </w:r>
      <w:sdt>
        <w:sdtPr>
          <w:rPr>
            <w:rFonts w:cstheme="minorHAnsi"/>
            <w:sz w:val="16"/>
            <w:szCs w:val="16"/>
          </w:rPr>
          <w:alias w:val="SmartCite Citation"/>
          <w:tag w:val="5e3f6b11-4472-4be6-89df-b5bd952cd979:43289f76-5e3f-4091-8123-4de1838a0f1f,5e3f6b11-4472-4be6-89df-b5bd952cd979:11d708ae-f429-4441-b6ea-fb740b3eadba,5e3f6b11-4472-4be6-89df-b5bd952cd979:1fed11ac-04c7-4572-a130-d910f6318ae2+"/>
          <w:id w:val="-1826735322"/>
          <w:placeholder>
            <w:docPart w:val="24BECF3823A244F7B4FCC50B575A88F0"/>
          </w:placeholder>
        </w:sdtPr>
        <w:sdtEndPr/>
        <w:sdtContent>
          <w:r w:rsidR="0010380A" w:rsidRPr="0010380A">
            <w:rPr>
              <w:rFonts w:ascii="Calibri" w:eastAsia="Times New Roman" w:hAnsi="Calibri"/>
              <w:color w:val="000000"/>
              <w:sz w:val="16"/>
            </w:rPr>
            <w:t>(AHCDO 2016; Dolan et al. 2018; MSAC 2018)</w:t>
          </w:r>
        </w:sdtContent>
      </w:sdt>
      <w:r w:rsidRPr="00826767">
        <w:rPr>
          <w:rFonts w:cstheme="minorHAnsi"/>
          <w:sz w:val="16"/>
          <w:szCs w:val="16"/>
        </w:rPr>
        <w:t xml:space="preserve">  </w:t>
      </w:r>
    </w:p>
    <w:p w14:paraId="07AA6E9C" w14:textId="77777777" w:rsidR="005919E9" w:rsidRPr="005919E9" w:rsidRDefault="005919E9" w:rsidP="005919E9">
      <w:pPr>
        <w:spacing w:before="0" w:after="0"/>
        <w:ind w:left="426"/>
        <w:rPr>
          <w:rFonts w:cstheme="minorHAnsi"/>
          <w:sz w:val="22"/>
        </w:rPr>
      </w:pPr>
    </w:p>
    <w:p w14:paraId="021CBDD8" w14:textId="77777777" w:rsidR="00095B45" w:rsidRPr="00095B45" w:rsidRDefault="00095B45" w:rsidP="00325441">
      <w:pPr>
        <w:pStyle w:val="Subtitle"/>
        <w:ind w:left="0"/>
      </w:pPr>
      <w:r w:rsidRPr="00095B45">
        <w:t>PART 6d – INFORMATION ABOUT CLINICAL OUTCOMES</w:t>
      </w:r>
    </w:p>
    <w:p w14:paraId="23ABB268"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D05396B" w14:textId="26D6F1A2" w:rsidR="00760004" w:rsidRDefault="00FD26E2" w:rsidP="001B29A1">
      <w:pPr>
        <w:ind w:left="426"/>
      </w:pPr>
      <w:r>
        <w:t xml:space="preserve">The proposed intervention is an easily administered and well tolerated single dose (IV) treatment that permanently </w:t>
      </w:r>
      <w:r w:rsidR="00BA5D40">
        <w:t>attenuates</w:t>
      </w:r>
      <w:r>
        <w:t xml:space="preserve"> a rare genetic condition</w:t>
      </w:r>
      <w:r w:rsidR="00BA5D40">
        <w:t xml:space="preserve"> </w:t>
      </w:r>
      <w:r w:rsidR="00520C51">
        <w:t>which</w:t>
      </w:r>
      <w:r w:rsidR="00BA5D40">
        <w:t xml:space="preserve"> otherwise </w:t>
      </w:r>
      <w:r w:rsidR="00520C51">
        <w:t xml:space="preserve">causes chronic </w:t>
      </w:r>
      <w:r w:rsidR="00BA5D40">
        <w:t xml:space="preserve">deficiency </w:t>
      </w:r>
      <w:r w:rsidR="00520C51">
        <w:t>in</w:t>
      </w:r>
      <w:r w:rsidR="00BA5D40">
        <w:t xml:space="preserve"> a key protein required in the process of blood clotting (</w:t>
      </w:r>
      <w:r w:rsidR="00AD138D">
        <w:t>i.e.,</w:t>
      </w:r>
      <w:r w:rsidR="00BA5D40">
        <w:t xml:space="preserve"> FIX). As a result, patients </w:t>
      </w:r>
      <w:r w:rsidR="005658F0">
        <w:t>can</w:t>
      </w:r>
      <w:r w:rsidR="00BA5D40">
        <w:t xml:space="preserve"> significantly reduce</w:t>
      </w:r>
      <w:r w:rsidR="00520C51">
        <w:t>,</w:t>
      </w:r>
      <w:r w:rsidR="00BA5D40">
        <w:t xml:space="preserve"> or </w:t>
      </w:r>
      <w:r w:rsidR="00520C51">
        <w:t xml:space="preserve">even completely </w:t>
      </w:r>
      <w:r w:rsidR="00BA5D40">
        <w:t>discontinue</w:t>
      </w:r>
      <w:r w:rsidR="00520C51">
        <w:t>,</w:t>
      </w:r>
      <w:r w:rsidR="00BA5D40">
        <w:t xml:space="preserve"> an intensive and difficult regimen of FIX replacement therapy, which has many established limitations, including the potential for development of inhibitors</w:t>
      </w:r>
      <w:r w:rsidR="00DB1AA2">
        <w:t xml:space="preserve"> and issue of suboptimal adherence</w:t>
      </w:r>
      <w:r w:rsidR="00BA5D40">
        <w:t xml:space="preserve">. Available clinical evidence also demonstrates </w:t>
      </w:r>
      <w:r w:rsidR="00520C51">
        <w:t xml:space="preserve">that, in comparison to the current standard of care, the proposed intervention leads to significant reductions in bleeding events, which are associated with both </w:t>
      </w:r>
      <w:proofErr w:type="gramStart"/>
      <w:r w:rsidR="00520C51">
        <w:t>short and long term</w:t>
      </w:r>
      <w:proofErr w:type="gramEnd"/>
      <w:r w:rsidR="00520C51">
        <w:t xml:space="preserve"> morbidity and (rarely) mortality. </w:t>
      </w:r>
      <w:r w:rsidR="00596A6F">
        <w:t xml:space="preserve"> </w:t>
      </w:r>
    </w:p>
    <w:p w14:paraId="2701E5A2" w14:textId="5F105854" w:rsidR="004A052E" w:rsidRPr="00B92D2B" w:rsidRDefault="00596A6F" w:rsidP="00B92D2B">
      <w:pPr>
        <w:ind w:left="426"/>
      </w:pPr>
      <w:r>
        <w:t xml:space="preserve">Improvements in some </w:t>
      </w:r>
      <w:r w:rsidR="00B86E76">
        <w:t>short-term</w:t>
      </w:r>
      <w:r>
        <w:t xml:space="preserve"> measures of </w:t>
      </w:r>
      <w:r w:rsidR="00B86E76">
        <w:t>health-related</w:t>
      </w:r>
      <w:r>
        <w:t xml:space="preserve"> quality of life (</w:t>
      </w:r>
      <w:proofErr w:type="spellStart"/>
      <w:r>
        <w:t>HRQoL</w:t>
      </w:r>
      <w:proofErr w:type="spellEnd"/>
      <w:r>
        <w:t>) have also been reported, with greater effects anticipated over longer follow up.  The intervention is well tolerated, with an acceptable and reasonably predictable short</w:t>
      </w:r>
      <w:r w:rsidR="00F67556">
        <w:t xml:space="preserve"> to medium</w:t>
      </w:r>
      <w:r>
        <w:t xml:space="preserve"> term safety profile.  As such, the balance of known and potential risks and benefits are both strongly positive.  </w:t>
      </w:r>
    </w:p>
    <w:p w14:paraId="145B62CA" w14:textId="77777777" w:rsidR="00325441" w:rsidRDefault="00325441">
      <w:pPr>
        <w:spacing w:before="0" w:after="200" w:line="276" w:lineRule="auto"/>
        <w:rPr>
          <w:b/>
          <w:szCs w:val="20"/>
        </w:rPr>
      </w:pPr>
      <w:r>
        <w:br w:type="page"/>
      </w:r>
    </w:p>
    <w:p w14:paraId="39E1EE5A" w14:textId="0E0942FB" w:rsidR="004E3CC7" w:rsidRDefault="0047363C" w:rsidP="00943A5E">
      <w:pPr>
        <w:pStyle w:val="Heading2"/>
      </w:pPr>
      <w:r w:rsidRPr="0047363C">
        <w:lastRenderedPageBreak/>
        <w:t>Please state what the overall clinical claim is</w:t>
      </w:r>
      <w:r>
        <w:t>:</w:t>
      </w:r>
    </w:p>
    <w:p w14:paraId="2B81B383" w14:textId="11196BA8" w:rsidR="0047363C" w:rsidRDefault="00596A6F" w:rsidP="0047363C">
      <w:pPr>
        <w:ind w:left="426"/>
        <w:rPr>
          <w:noProof/>
        </w:rPr>
      </w:pPr>
      <w:r>
        <w:rPr>
          <w:noProof/>
        </w:rPr>
        <w:t xml:space="preserve">Significantly and importantly superior efficacy with </w:t>
      </w:r>
      <w:r w:rsidR="00D46389">
        <w:rPr>
          <w:noProof/>
        </w:rPr>
        <w:t>non-</w:t>
      </w:r>
      <w:r>
        <w:rPr>
          <w:noProof/>
        </w:rPr>
        <w:t xml:space="preserve">inferior </w:t>
      </w:r>
      <w:r w:rsidR="00D46389">
        <w:rPr>
          <w:noProof/>
        </w:rPr>
        <w:t>and</w:t>
      </w:r>
      <w:r>
        <w:rPr>
          <w:noProof/>
        </w:rPr>
        <w:t xml:space="preserve"> acceptable safety, over the proposed comparator of no </w:t>
      </w:r>
      <w:r w:rsidR="0082516D">
        <w:rPr>
          <w:noProof/>
        </w:rPr>
        <w:t>gene therapy (or other treatment of curative intent)</w:t>
      </w:r>
      <w:r w:rsidR="0046291C">
        <w:rPr>
          <w:noProof/>
        </w:rPr>
        <w:t xml:space="preserve">. </w:t>
      </w:r>
    </w:p>
    <w:p w14:paraId="045C1E6B" w14:textId="16204239" w:rsidR="009A48F3" w:rsidRDefault="009A48F3" w:rsidP="0047363C">
      <w:pPr>
        <w:ind w:left="426"/>
      </w:pPr>
      <w:r>
        <w:t xml:space="preserve">Adverse events for </w:t>
      </w:r>
      <w:proofErr w:type="spellStart"/>
      <w:r w:rsidR="00550AA1">
        <w:rPr>
          <w:szCs w:val="20"/>
        </w:rPr>
        <w:t>etranacogene</w:t>
      </w:r>
      <w:proofErr w:type="spellEnd"/>
      <w:r w:rsidR="00550AA1">
        <w:rPr>
          <w:szCs w:val="20"/>
        </w:rPr>
        <w:t xml:space="preserve"> </w:t>
      </w:r>
      <w:proofErr w:type="spellStart"/>
      <w:r w:rsidR="00550AA1">
        <w:rPr>
          <w:szCs w:val="20"/>
        </w:rPr>
        <w:t>dezaparvovec</w:t>
      </w:r>
      <w:proofErr w:type="spellEnd"/>
      <w:r w:rsidR="00550AA1">
        <w:t xml:space="preserve"> </w:t>
      </w:r>
      <w:r>
        <w:t xml:space="preserve">are largely focused on the period immediately after infusion, while a lifetime of potential adverse events accrue with current prophylactic standard of care. </w:t>
      </w:r>
    </w:p>
    <w:p w14:paraId="4E93129A" w14:textId="5EC0EB14" w:rsidR="002D4246" w:rsidRPr="0047363C" w:rsidRDefault="009A48F3" w:rsidP="00B92D2B">
      <w:pPr>
        <w:ind w:left="426"/>
      </w:pPr>
      <w:r>
        <w:t>From a longer-term perspective, improving disease severity of haemophilia B from severe to the mild-to-normal range, reduces the need for regular prophylaxis therapy and its associated adverse events</w:t>
      </w:r>
      <w:r w:rsidR="00CC024E">
        <w:t xml:space="preserve"> (such as infusion site pain)</w:t>
      </w:r>
      <w:r>
        <w:t>, and therefore constitutes a</w:t>
      </w:r>
      <w:r w:rsidR="00A11F1A">
        <w:t>n</w:t>
      </w:r>
      <w:r>
        <w:t xml:space="preserve"> incremental safety benefit, outweighing initial infusion-related adverse events of</w:t>
      </w:r>
      <w:r w:rsidR="00FB6430">
        <w:t xml:space="preserve"> </w:t>
      </w:r>
      <w:proofErr w:type="spellStart"/>
      <w:r w:rsidR="00FB6430">
        <w:rPr>
          <w:szCs w:val="20"/>
        </w:rPr>
        <w:t>etranacogene</w:t>
      </w:r>
      <w:proofErr w:type="spellEnd"/>
      <w:r w:rsidR="00FB6430">
        <w:rPr>
          <w:szCs w:val="20"/>
        </w:rPr>
        <w:t xml:space="preserve"> </w:t>
      </w:r>
      <w:proofErr w:type="spellStart"/>
      <w:r w:rsidR="00FB6430">
        <w:rPr>
          <w:szCs w:val="20"/>
        </w:rPr>
        <w:t>dezaparvovec</w:t>
      </w:r>
      <w:proofErr w:type="spellEnd"/>
      <w:r>
        <w:t>. This safety benefit will be increasingly evident over time as patients remain off prophylaxis due to sustained mild-to-normal FIX levels.</w:t>
      </w:r>
    </w:p>
    <w:p w14:paraId="29D060A3" w14:textId="6590AEB1"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00C16877">
        <w:t>s</w:t>
      </w:r>
      <w:r w:rsidRPr="00E6222F">
        <w:t>ervice/technology (versus the comparator)</w:t>
      </w:r>
      <w:r w:rsidR="00CD6981">
        <w:t>:</w:t>
      </w:r>
    </w:p>
    <w:p w14:paraId="42D3F64E" w14:textId="3D08CC79" w:rsidR="00EC1731" w:rsidRDefault="00EC1731">
      <w:pPr>
        <w:ind w:left="360"/>
      </w:pPr>
      <w:r>
        <w:t>Annualised bleed rates (overall and site/type specific)</w:t>
      </w:r>
    </w:p>
    <w:p w14:paraId="388BFA03" w14:textId="65AD4243" w:rsidR="0082516D" w:rsidRDefault="0082516D" w:rsidP="0082516D">
      <w:pPr>
        <w:ind w:left="360"/>
      </w:pPr>
      <w:r>
        <w:t>Endogenous FIX activity levels and trough FIX activity</w:t>
      </w:r>
    </w:p>
    <w:p w14:paraId="2C048FF5" w14:textId="20C943E2" w:rsidR="0082516D" w:rsidRDefault="0082516D" w:rsidP="0082516D">
      <w:pPr>
        <w:ind w:left="360"/>
      </w:pPr>
      <w:r>
        <w:t>Utilisation of FIX replacement therapy</w:t>
      </w:r>
    </w:p>
    <w:p w14:paraId="643DEB6C" w14:textId="341AA444" w:rsidR="0082516D" w:rsidRDefault="0082516D" w:rsidP="0082516D">
      <w:pPr>
        <w:ind w:left="360"/>
      </w:pPr>
      <w:r>
        <w:t>Discontinuation of routine FIX prophylaxis</w:t>
      </w:r>
    </w:p>
    <w:p w14:paraId="7D1C9805" w14:textId="79E9FB94" w:rsidR="0082516D" w:rsidRDefault="0082516D" w:rsidP="0082516D">
      <w:pPr>
        <w:ind w:left="360"/>
      </w:pPr>
      <w:r>
        <w:t>Occurrence and resolution of target joints</w:t>
      </w:r>
    </w:p>
    <w:p w14:paraId="20655ACC" w14:textId="177C0FF6" w:rsidR="0082516D" w:rsidRDefault="0082516D" w:rsidP="0082516D">
      <w:pPr>
        <w:ind w:left="360"/>
      </w:pPr>
      <w:r>
        <w:t xml:space="preserve">Patient reported outcomes and overall </w:t>
      </w:r>
      <w:proofErr w:type="spellStart"/>
      <w:r>
        <w:t>HRQoL</w:t>
      </w:r>
      <w:proofErr w:type="spellEnd"/>
    </w:p>
    <w:p w14:paraId="0D7D0785" w14:textId="7CE8B920" w:rsidR="0082516D" w:rsidRDefault="0082516D" w:rsidP="0082516D">
      <w:pPr>
        <w:ind w:left="360"/>
      </w:pPr>
      <w:r>
        <w:t xml:space="preserve">Adverse events and laboratory indicators of safety </w:t>
      </w:r>
    </w:p>
    <w:p w14:paraId="6C9B41C4" w14:textId="3BA2991A" w:rsidR="0082516D" w:rsidRDefault="0082516D" w:rsidP="0082516D">
      <w:pPr>
        <w:ind w:left="360"/>
      </w:pPr>
      <w:r>
        <w:t>Formation of FIX inhibitors or anti-AAV5 antibodies</w:t>
      </w:r>
    </w:p>
    <w:p w14:paraId="67D8449F" w14:textId="46C885FA" w:rsidR="0082516D" w:rsidRDefault="0082516D" w:rsidP="0082516D"/>
    <w:p w14:paraId="7C681614" w14:textId="77777777" w:rsidR="0082516D" w:rsidRPr="00943A5E" w:rsidRDefault="0082516D" w:rsidP="0082516D">
      <w:pPr>
        <w:ind w:left="360"/>
      </w:pPr>
    </w:p>
    <w:p w14:paraId="4ADB9E8D"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65E6C4D" w14:textId="76B48950"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661975C5" w14:textId="04A276F7" w:rsidR="00D53BD7" w:rsidRPr="007004F9" w:rsidRDefault="007004F9" w:rsidP="00B92D2B">
      <w:pPr>
        <w:ind w:left="360"/>
        <w:rPr>
          <w:b/>
          <w:bCs/>
        </w:rPr>
      </w:pPr>
      <w:r w:rsidRPr="007004F9">
        <w:rPr>
          <w:b/>
          <w:bCs/>
        </w:rPr>
        <w:t>REDACTED</w:t>
      </w:r>
    </w:p>
    <w:p w14:paraId="3BC99E09" w14:textId="266E0744" w:rsidR="00382407" w:rsidRPr="00154B00" w:rsidRDefault="00382407" w:rsidP="00D53BD7">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40C09F54" w14:textId="359D367B" w:rsidR="00382407" w:rsidRPr="007004F9" w:rsidRDefault="00DE44C6" w:rsidP="00AE1188">
      <w:pPr>
        <w:ind w:left="426"/>
        <w:rPr>
          <w:szCs w:val="20"/>
        </w:rPr>
      </w:pPr>
      <w:r w:rsidRPr="007004F9">
        <w:t>Strictly once per lifetime</w:t>
      </w:r>
      <w:r w:rsidR="00D02254" w:rsidRPr="007004F9">
        <w:t>.</w:t>
      </w:r>
    </w:p>
    <w:p w14:paraId="38AD2E1C" w14:textId="77777777" w:rsidR="00382407" w:rsidRPr="007004F9" w:rsidRDefault="00382407" w:rsidP="00530204">
      <w:pPr>
        <w:pStyle w:val="Heading2"/>
      </w:pPr>
      <w:r w:rsidRPr="007004F9">
        <w:t>How many years would the proposed medical service</w:t>
      </w:r>
      <w:r w:rsidR="00FC1607" w:rsidRPr="007004F9">
        <w:t>/technology</w:t>
      </w:r>
      <w:r w:rsidRPr="007004F9">
        <w:t xml:space="preserve"> be required for the patient?</w:t>
      </w:r>
    </w:p>
    <w:p w14:paraId="66CEC4C8" w14:textId="5AF150E4" w:rsidR="00382407" w:rsidRPr="00154B00" w:rsidRDefault="00DD6061" w:rsidP="00AE1188">
      <w:pPr>
        <w:ind w:left="426"/>
        <w:rPr>
          <w:b/>
          <w:szCs w:val="20"/>
        </w:rPr>
      </w:pPr>
      <w:proofErr w:type="spellStart"/>
      <w:r w:rsidRPr="007004F9">
        <w:rPr>
          <w:szCs w:val="20"/>
        </w:rPr>
        <w:t>Etranacogene</w:t>
      </w:r>
      <w:proofErr w:type="spellEnd"/>
      <w:r w:rsidRPr="007004F9">
        <w:rPr>
          <w:szCs w:val="20"/>
        </w:rPr>
        <w:t xml:space="preserve"> </w:t>
      </w:r>
      <w:proofErr w:type="spellStart"/>
      <w:r w:rsidRPr="007004F9">
        <w:rPr>
          <w:szCs w:val="20"/>
        </w:rPr>
        <w:t>Dezaparvovec</w:t>
      </w:r>
      <w:proofErr w:type="spellEnd"/>
      <w:r w:rsidR="00D7015A" w:rsidRPr="007004F9">
        <w:rPr>
          <w:szCs w:val="20"/>
        </w:rPr>
        <w:t xml:space="preserve"> </w:t>
      </w:r>
      <w:r w:rsidR="004F0C0F" w:rsidRPr="007004F9">
        <w:rPr>
          <w:szCs w:val="20"/>
        </w:rPr>
        <w:t xml:space="preserve">is </w:t>
      </w:r>
      <w:r w:rsidR="00E278A3" w:rsidRPr="007004F9">
        <w:rPr>
          <w:szCs w:val="20"/>
        </w:rPr>
        <w:t>a</w:t>
      </w:r>
      <w:r w:rsidR="00DE44C6" w:rsidRPr="007004F9">
        <w:t xml:space="preserve"> </w:t>
      </w:r>
      <w:r w:rsidR="00CA66E0" w:rsidRPr="007004F9">
        <w:t>one-time</w:t>
      </w:r>
      <w:r w:rsidR="00DE44C6" w:rsidRPr="007004F9">
        <w:t xml:space="preserve"> single dose therapy with projected lifelong treatment effect</w:t>
      </w:r>
      <w:r w:rsidR="00D02254" w:rsidRPr="007004F9">
        <w:t>.</w:t>
      </w:r>
    </w:p>
    <w:p w14:paraId="256019FB"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72D1662E" w14:textId="64B6F802" w:rsidR="00AE1188" w:rsidRDefault="009D5C4A" w:rsidP="00AE1188">
      <w:pPr>
        <w:ind w:left="426"/>
      </w:pPr>
      <w:r w:rsidRPr="000137DB">
        <w:t>Utilisation</w:t>
      </w:r>
      <w:r w:rsidR="00B264EC" w:rsidRPr="000137DB">
        <w:t xml:space="preserve"> analyses</w:t>
      </w:r>
      <w:r w:rsidR="00B1306B" w:rsidRPr="000137DB">
        <w:t xml:space="preserve"> informed by research</w:t>
      </w:r>
      <w:r w:rsidR="00D16DF7" w:rsidRPr="000137DB">
        <w:t xml:space="preserve"> and consultation </w:t>
      </w:r>
      <w:r w:rsidR="00CA2823" w:rsidRPr="000137DB">
        <w:t xml:space="preserve">with </w:t>
      </w:r>
      <w:r w:rsidR="00805880" w:rsidRPr="000137DB">
        <w:t xml:space="preserve">key stakeholders </w:t>
      </w:r>
      <w:r w:rsidR="00B264EC" w:rsidRPr="000137DB">
        <w:t xml:space="preserve">will be presented </w:t>
      </w:r>
      <w:r w:rsidR="00B1306B" w:rsidRPr="000137DB">
        <w:t>in full</w:t>
      </w:r>
      <w:r w:rsidR="00B264EC" w:rsidRPr="000137DB">
        <w:t xml:space="preserve"> at the time of submission.</w:t>
      </w:r>
      <w:r w:rsidR="00B264EC">
        <w:t xml:space="preserve"> </w:t>
      </w:r>
      <w:r w:rsidR="00B409B3">
        <w:t xml:space="preserve"> </w:t>
      </w:r>
    </w:p>
    <w:p w14:paraId="6649F529"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4042AEEA" w14:textId="4236D1BE" w:rsidR="00DE44C6" w:rsidRPr="00154B00" w:rsidRDefault="00DE44C6" w:rsidP="00AE1188">
      <w:pPr>
        <w:ind w:left="426"/>
        <w:rPr>
          <w:szCs w:val="20"/>
        </w:rPr>
      </w:pPr>
      <w:r w:rsidRPr="000137DB">
        <w:t xml:space="preserve">Leakage outside of the highly defined </w:t>
      </w:r>
      <w:r w:rsidR="002B18BA" w:rsidRPr="000137DB">
        <w:t>patient</w:t>
      </w:r>
      <w:r w:rsidRPr="000137DB">
        <w:t xml:space="preserve"> population and specialised treatment setting is </w:t>
      </w:r>
      <w:r w:rsidR="007D5EDC" w:rsidRPr="000137DB">
        <w:t xml:space="preserve">highly </w:t>
      </w:r>
      <w:r w:rsidRPr="000137DB">
        <w:t>unlikely</w:t>
      </w:r>
      <w:r w:rsidR="002B18BA" w:rsidRPr="000137DB">
        <w:t xml:space="preserve"> to occur.</w:t>
      </w:r>
      <w:r w:rsidRPr="000137DB">
        <w:t xml:space="preserve"> </w:t>
      </w:r>
      <w:r w:rsidR="00EB133F" w:rsidRPr="000137DB">
        <w:t>Furthermore,</w:t>
      </w:r>
      <w:r w:rsidRPr="000137DB">
        <w:t xml:space="preserve"> </w:t>
      </w:r>
      <w:r w:rsidR="00EB133F" w:rsidRPr="000137DB">
        <w:rPr>
          <w:rFonts w:cstheme="minorHAnsi"/>
        </w:rPr>
        <w:t>p</w:t>
      </w:r>
      <w:r w:rsidR="00E75D9E" w:rsidRPr="000137DB">
        <w:rPr>
          <w:rFonts w:cstheme="minorHAnsi"/>
        </w:rPr>
        <w:t>atients will be managed by a very small number of specialised haematologists under well-established governance frameworks ensuring appropriate and quality use.</w:t>
      </w:r>
    </w:p>
    <w:p w14:paraId="79145130" w14:textId="77777777" w:rsidR="003433D1" w:rsidRDefault="003433D1">
      <w:pPr>
        <w:rPr>
          <w:b/>
          <w:sz w:val="32"/>
          <w:szCs w:val="32"/>
        </w:rPr>
      </w:pPr>
      <w:r>
        <w:rPr>
          <w:b/>
          <w:sz w:val="32"/>
          <w:szCs w:val="32"/>
        </w:rPr>
        <w:br w:type="page"/>
      </w:r>
    </w:p>
    <w:p w14:paraId="1B7B9A26"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6FD55315"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60492CD" w14:textId="0211AC41" w:rsidR="00285B1D" w:rsidRPr="00285B1D" w:rsidRDefault="005674F8">
      <w:pPr>
        <w:ind w:left="426"/>
        <w:rPr>
          <w:szCs w:val="20"/>
        </w:rPr>
      </w:pPr>
      <w:proofErr w:type="spellStart"/>
      <w:r>
        <w:rPr>
          <w:szCs w:val="20"/>
        </w:rPr>
        <w:t>Etranacogene</w:t>
      </w:r>
      <w:proofErr w:type="spellEnd"/>
      <w:r>
        <w:rPr>
          <w:szCs w:val="20"/>
        </w:rPr>
        <w:t xml:space="preserve"> </w:t>
      </w:r>
      <w:proofErr w:type="spellStart"/>
      <w:r>
        <w:rPr>
          <w:szCs w:val="20"/>
        </w:rPr>
        <w:t>dezaparvovec</w:t>
      </w:r>
      <w:proofErr w:type="spellEnd"/>
      <w:r w:rsidR="00285B1D" w:rsidRPr="00285B1D">
        <w:rPr>
          <w:szCs w:val="20"/>
        </w:rPr>
        <w:t xml:space="preserve"> will substantially reduce healthcare resource utilisation due to the elimination or significant reduction in the need for FIX prophylaxis therapy in most patients, reducing the overall resourcing pressure on the healthcare system over time.</w:t>
      </w:r>
    </w:p>
    <w:p w14:paraId="059B2189" w14:textId="3492F35A" w:rsidR="00285B1D" w:rsidRPr="00285B1D" w:rsidRDefault="00285B1D">
      <w:pPr>
        <w:ind w:left="426"/>
        <w:rPr>
          <w:szCs w:val="20"/>
        </w:rPr>
      </w:pPr>
      <w:r w:rsidRPr="00285B1D">
        <w:rPr>
          <w:szCs w:val="20"/>
        </w:rPr>
        <w:t xml:space="preserve">As a one-time infusion, </w:t>
      </w:r>
      <w:proofErr w:type="spellStart"/>
      <w:r w:rsidR="00964EA8">
        <w:rPr>
          <w:szCs w:val="20"/>
        </w:rPr>
        <w:t>etranacogene</w:t>
      </w:r>
      <w:proofErr w:type="spellEnd"/>
      <w:r w:rsidR="00964EA8">
        <w:rPr>
          <w:szCs w:val="20"/>
        </w:rPr>
        <w:t xml:space="preserve"> </w:t>
      </w:r>
      <w:proofErr w:type="spellStart"/>
      <w:r w:rsidR="00964EA8">
        <w:rPr>
          <w:szCs w:val="20"/>
        </w:rPr>
        <w:t>dezaparvovec</w:t>
      </w:r>
      <w:proofErr w:type="spellEnd"/>
      <w:r w:rsidRPr="00285B1D">
        <w:rPr>
          <w:szCs w:val="20"/>
        </w:rPr>
        <w:t xml:space="preserve"> will incur a high upfront treatment cost compared to the way current standard of care is procured, which realises on-going high costs spread out over regular intervals over the lifetime.  </w:t>
      </w:r>
    </w:p>
    <w:p w14:paraId="44327739" w14:textId="6E10F9B7" w:rsidR="00285B1D" w:rsidRDefault="00285B1D" w:rsidP="00285B1D">
      <w:pPr>
        <w:ind w:left="426"/>
        <w:rPr>
          <w:szCs w:val="20"/>
        </w:rPr>
      </w:pPr>
      <w:r w:rsidRPr="00285B1D">
        <w:rPr>
          <w:szCs w:val="20"/>
        </w:rPr>
        <w:t xml:space="preserve">Over the long run, </w:t>
      </w:r>
      <w:proofErr w:type="spellStart"/>
      <w:r w:rsidRPr="00285B1D">
        <w:rPr>
          <w:szCs w:val="20"/>
        </w:rPr>
        <w:t>EtranaDez</w:t>
      </w:r>
      <w:proofErr w:type="spellEnd"/>
      <w:r w:rsidRPr="00285B1D">
        <w:rPr>
          <w:szCs w:val="20"/>
        </w:rPr>
        <w:t xml:space="preserve"> is expected to compound cost-savings ultimately relieving direct budget </w:t>
      </w:r>
      <w:r w:rsidRPr="0041603F">
        <w:rPr>
          <w:szCs w:val="20"/>
        </w:rPr>
        <w:t>pressure</w:t>
      </w:r>
      <w:r w:rsidR="00936766" w:rsidRPr="0041603F">
        <w:rPr>
          <w:szCs w:val="20"/>
        </w:rPr>
        <w:t xml:space="preserve"> on the NBA</w:t>
      </w:r>
      <w:r w:rsidRPr="0041603F">
        <w:rPr>
          <w:szCs w:val="20"/>
        </w:rPr>
        <w:t xml:space="preserve"> through</w:t>
      </w:r>
      <w:r w:rsidRPr="00285B1D">
        <w:rPr>
          <w:szCs w:val="20"/>
        </w:rPr>
        <w:t xml:space="preserve"> the reduction in FIX clotting factor usage for adults living with severe and moderately severe haemophilia B. </w:t>
      </w:r>
    </w:p>
    <w:p w14:paraId="39897081" w14:textId="4B7A0A47" w:rsidR="00285B1D" w:rsidRPr="00154B00" w:rsidRDefault="002434FB">
      <w:pPr>
        <w:ind w:left="426"/>
        <w:rPr>
          <w:szCs w:val="20"/>
        </w:rPr>
      </w:pPr>
      <w:r w:rsidRPr="002434FB">
        <w:rPr>
          <w:szCs w:val="20"/>
        </w:rPr>
        <w:t xml:space="preserve">A price </w:t>
      </w:r>
      <w:r w:rsidR="00936766">
        <w:rPr>
          <w:szCs w:val="20"/>
        </w:rPr>
        <w:t xml:space="preserve">and overall budget impact model </w:t>
      </w:r>
      <w:r w:rsidRPr="002434FB">
        <w:rPr>
          <w:szCs w:val="20"/>
        </w:rPr>
        <w:t>will be provided at the time of full submission for consideration by MSAC.</w:t>
      </w:r>
    </w:p>
    <w:p w14:paraId="0D1712AE"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49346465" w14:textId="6F462A68" w:rsidR="00951933" w:rsidRDefault="00AE52CE" w:rsidP="00AE1188">
      <w:pPr>
        <w:ind w:left="426"/>
        <w:rPr>
          <w:b/>
          <w:szCs w:val="20"/>
        </w:rPr>
      </w:pPr>
      <w:r>
        <w:t>Approximately 1</w:t>
      </w:r>
      <w:r w:rsidR="00475FA4">
        <w:t>-2</w:t>
      </w:r>
      <w:r>
        <w:t xml:space="preserve"> hour</w:t>
      </w:r>
      <w:r w:rsidR="00475FA4">
        <w:t>s</w:t>
      </w:r>
      <w:r>
        <w:t xml:space="preserve"> infusion time and 3 hours of close monitoring</w:t>
      </w:r>
      <w:r w:rsidR="00475FA4">
        <w:t>.</w:t>
      </w:r>
    </w:p>
    <w:p w14:paraId="713F520D" w14:textId="531C947E" w:rsidR="00D269F6" w:rsidRPr="00D269F6" w:rsidRDefault="00D269F6" w:rsidP="00D269F6">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0A7991F9" w14:textId="4EBF093A" w:rsidR="006151A9" w:rsidRPr="00B92D2B" w:rsidRDefault="006151A9" w:rsidP="00426037">
      <w:pPr>
        <w:ind w:firstLine="360"/>
      </w:pPr>
      <w:r>
        <w:t xml:space="preserve">Not applicable </w:t>
      </w:r>
    </w:p>
    <w:p w14:paraId="52C1F261" w14:textId="6051EA4B" w:rsidR="00124B13" w:rsidRPr="00325441" w:rsidRDefault="00124B13" w:rsidP="00325441">
      <w:r>
        <w:rPr>
          <w:szCs w:val="20"/>
        </w:rPr>
        <w:br w:type="page"/>
      </w:r>
    </w:p>
    <w:p w14:paraId="5F1F1062" w14:textId="2D6073D7" w:rsidR="00CB0881" w:rsidRPr="00325441" w:rsidRDefault="00CB0881" w:rsidP="00950F45">
      <w:pPr>
        <w:rPr>
          <w:bCs/>
          <w:color w:val="4F81BD" w:themeColor="accent1"/>
          <w:sz w:val="40"/>
          <w:szCs w:val="32"/>
        </w:rPr>
      </w:pPr>
      <w:r w:rsidRPr="00325441">
        <w:rPr>
          <w:bCs/>
          <w:color w:val="4F81BD" w:themeColor="accent1"/>
          <w:sz w:val="40"/>
          <w:szCs w:val="32"/>
        </w:rPr>
        <w:lastRenderedPageBreak/>
        <w:t>References</w:t>
      </w:r>
    </w:p>
    <w:sdt>
      <w:sdtPr>
        <w:rPr>
          <w:b/>
          <w:bCs/>
          <w:szCs w:val="20"/>
        </w:rPr>
        <w:alias w:val="SmartCite Bibliography"/>
        <w:tag w:val="Monash University - Harvard+{&quot;language&quot;:&quot;en-US&quot;}"/>
        <w:id w:val="62228545"/>
        <w:placeholder>
          <w:docPart w:val="DefaultPlaceholder_-1854013440"/>
        </w:placeholder>
      </w:sdtPr>
      <w:sdtEndPr/>
      <w:sdtContent>
        <w:p w14:paraId="1A00A902" w14:textId="243B67E0" w:rsidR="0010380A" w:rsidRPr="0010380A" w:rsidRDefault="0010380A" w:rsidP="00325441">
          <w:pPr>
            <w:divId w:val="636952753"/>
            <w:rPr>
              <w:rFonts w:ascii="Calibri" w:hAnsi="Calibri"/>
              <w:color w:val="000000"/>
            </w:rPr>
          </w:pPr>
          <w:r w:rsidRPr="0010380A">
            <w:rPr>
              <w:rFonts w:ascii="Calibri" w:eastAsia="Times New Roman" w:hAnsi="Calibri"/>
              <w:color w:val="000000"/>
            </w:rPr>
            <w:br/>
          </w:r>
          <w:r w:rsidRPr="0010380A">
            <w:rPr>
              <w:rFonts w:ascii="Calibri" w:hAnsi="Calibri"/>
              <w:color w:val="000000"/>
            </w:rPr>
            <w:t>AHCDO, 2016, “Guidelines for the management on haemophilia in Australia, Australian Haemophilia Centre Directors’ Organisation and National Blood Authority,” Retrieved from https://www.blood.gov.au/system/files/HaemophiliaGuidelines-interactive-updated-260317v2.pdf.</w:t>
          </w:r>
        </w:p>
        <w:p w14:paraId="26607E15" w14:textId="77777777" w:rsidR="0010380A" w:rsidRPr="0010380A" w:rsidRDefault="0010380A">
          <w:pPr>
            <w:pStyle w:val="csl-entry"/>
            <w:ind w:left="300" w:hanging="300"/>
            <w:divId w:val="636952753"/>
            <w:rPr>
              <w:rFonts w:ascii="Calibri" w:hAnsi="Calibri"/>
              <w:color w:val="000000"/>
              <w:sz w:val="20"/>
            </w:rPr>
          </w:pPr>
          <w:r w:rsidRPr="0010380A">
            <w:rPr>
              <w:rFonts w:ascii="Calibri" w:hAnsi="Calibri"/>
              <w:color w:val="000000"/>
              <w:sz w:val="20"/>
            </w:rPr>
            <w:t xml:space="preserve">Australia, NBA, 2021, </w:t>
          </w:r>
          <w:r w:rsidRPr="0010380A">
            <w:rPr>
              <w:rFonts w:ascii="Calibri" w:hAnsi="Calibri"/>
              <w:i/>
              <w:iCs/>
              <w:color w:val="000000"/>
              <w:sz w:val="20"/>
            </w:rPr>
            <w:t>Australian Bleeding Disorders Registry - Annual Report 2019-2020</w:t>
          </w:r>
          <w:proofErr w:type="gramStart"/>
          <w:r w:rsidRPr="0010380A">
            <w:rPr>
              <w:rFonts w:ascii="Calibri" w:hAnsi="Calibri"/>
              <w:color w:val="000000"/>
              <w:sz w:val="20"/>
            </w:rPr>
            <w:t>, ,</w:t>
          </w:r>
          <w:proofErr w:type="gramEnd"/>
          <w:r w:rsidRPr="0010380A">
            <w:rPr>
              <w:rFonts w:ascii="Calibri" w:hAnsi="Calibri"/>
              <w:color w:val="000000"/>
              <w:sz w:val="20"/>
            </w:rPr>
            <w:t xml:space="preserve"> https://www.blood.gov.au/sites/default/files/ABDR-Annual-Report-2019-20-FINAL.pdf.</w:t>
          </w:r>
        </w:p>
        <w:p w14:paraId="5ED1A2A0" w14:textId="77777777" w:rsidR="0010380A" w:rsidRPr="0010380A" w:rsidRDefault="0010380A">
          <w:pPr>
            <w:pStyle w:val="csl-entry"/>
            <w:ind w:left="300" w:hanging="300"/>
            <w:divId w:val="636952753"/>
            <w:rPr>
              <w:rFonts w:ascii="Calibri" w:hAnsi="Calibri"/>
              <w:color w:val="000000"/>
              <w:sz w:val="20"/>
            </w:rPr>
          </w:pPr>
          <w:r w:rsidRPr="0010380A">
            <w:rPr>
              <w:rFonts w:ascii="Calibri" w:hAnsi="Calibri"/>
              <w:color w:val="000000"/>
              <w:sz w:val="20"/>
            </w:rPr>
            <w:t xml:space="preserve">Brennan, Y, Parikh, S, McRae, S, &amp; Tran, H, 2020, “The Australian experience with switching to extended half‐life factor VIII and IX concentrates: On behalf of the Australian Haemophilia Centre Directors’ Organisation,” </w:t>
          </w:r>
          <w:r w:rsidRPr="0010380A">
            <w:rPr>
              <w:rFonts w:ascii="Calibri" w:hAnsi="Calibri"/>
              <w:i/>
              <w:iCs/>
              <w:color w:val="000000"/>
              <w:sz w:val="20"/>
            </w:rPr>
            <w:t>Haemophilia</w:t>
          </w:r>
          <w:r w:rsidRPr="0010380A">
            <w:rPr>
              <w:rFonts w:ascii="Calibri" w:hAnsi="Calibri"/>
              <w:color w:val="000000"/>
              <w:sz w:val="20"/>
            </w:rPr>
            <w:t xml:space="preserve">, vol. 26, no. 3, pp. 529–535, </w:t>
          </w:r>
          <w:proofErr w:type="spellStart"/>
          <w:r w:rsidRPr="0010380A">
            <w:rPr>
              <w:rFonts w:ascii="Calibri" w:hAnsi="Calibri"/>
              <w:color w:val="000000"/>
              <w:sz w:val="20"/>
            </w:rPr>
            <w:t>doi</w:t>
          </w:r>
          <w:proofErr w:type="spellEnd"/>
          <w:r w:rsidRPr="0010380A">
            <w:rPr>
              <w:rFonts w:ascii="Calibri" w:hAnsi="Calibri"/>
              <w:color w:val="000000"/>
              <w:sz w:val="20"/>
            </w:rPr>
            <w:t>: 10.1111/hae.13970.</w:t>
          </w:r>
        </w:p>
        <w:p w14:paraId="2B58BA67" w14:textId="77777777" w:rsidR="0010380A" w:rsidRPr="0010380A" w:rsidRDefault="0010380A">
          <w:pPr>
            <w:pStyle w:val="csl-entry"/>
            <w:ind w:left="300" w:hanging="300"/>
            <w:divId w:val="636952753"/>
            <w:rPr>
              <w:rFonts w:ascii="Calibri" w:hAnsi="Calibri"/>
              <w:color w:val="000000"/>
              <w:sz w:val="20"/>
            </w:rPr>
          </w:pPr>
          <w:r w:rsidRPr="0010380A">
            <w:rPr>
              <w:rFonts w:ascii="Calibri" w:hAnsi="Calibri"/>
              <w:color w:val="000000"/>
              <w:sz w:val="20"/>
            </w:rPr>
            <w:t xml:space="preserve">C., 2nd White, G, </w:t>
          </w:r>
          <w:proofErr w:type="spellStart"/>
          <w:r w:rsidRPr="0010380A">
            <w:rPr>
              <w:rFonts w:ascii="Calibri" w:hAnsi="Calibri"/>
              <w:color w:val="000000"/>
              <w:sz w:val="20"/>
            </w:rPr>
            <w:t>Rosendaal</w:t>
          </w:r>
          <w:proofErr w:type="spellEnd"/>
          <w:r w:rsidRPr="0010380A">
            <w:rPr>
              <w:rFonts w:ascii="Calibri" w:hAnsi="Calibri"/>
              <w:color w:val="000000"/>
              <w:sz w:val="20"/>
            </w:rPr>
            <w:t xml:space="preserve">, F, </w:t>
          </w:r>
          <w:proofErr w:type="spellStart"/>
          <w:r w:rsidRPr="0010380A">
            <w:rPr>
              <w:rFonts w:ascii="Calibri" w:hAnsi="Calibri"/>
              <w:color w:val="000000"/>
              <w:sz w:val="20"/>
            </w:rPr>
            <w:t>Aledort</w:t>
          </w:r>
          <w:proofErr w:type="spellEnd"/>
          <w:r w:rsidRPr="0010380A">
            <w:rPr>
              <w:rFonts w:ascii="Calibri" w:hAnsi="Calibri"/>
              <w:color w:val="000000"/>
              <w:sz w:val="20"/>
            </w:rPr>
            <w:t xml:space="preserve">, LM, Lusher, JM, Rothschild, C, </w:t>
          </w:r>
          <w:proofErr w:type="spellStart"/>
          <w:r w:rsidRPr="0010380A">
            <w:rPr>
              <w:rFonts w:ascii="Calibri" w:hAnsi="Calibri"/>
              <w:color w:val="000000"/>
              <w:sz w:val="20"/>
            </w:rPr>
            <w:t>Ingerslev</w:t>
          </w:r>
          <w:proofErr w:type="spellEnd"/>
          <w:r w:rsidRPr="0010380A">
            <w:rPr>
              <w:rFonts w:ascii="Calibri" w:hAnsi="Calibri"/>
              <w:color w:val="000000"/>
              <w:sz w:val="20"/>
            </w:rPr>
            <w:t xml:space="preserve">, J, Factor, V, &amp; Factor, IXS, 2001, “Definitions in </w:t>
          </w:r>
          <w:proofErr w:type="spellStart"/>
          <w:r w:rsidRPr="0010380A">
            <w:rPr>
              <w:rFonts w:ascii="Calibri" w:hAnsi="Calibri"/>
              <w:color w:val="000000"/>
              <w:sz w:val="20"/>
            </w:rPr>
            <w:t>hemophilia</w:t>
          </w:r>
          <w:proofErr w:type="spellEnd"/>
          <w:r w:rsidRPr="0010380A">
            <w:rPr>
              <w:rFonts w:ascii="Calibri" w:hAnsi="Calibri"/>
              <w:color w:val="000000"/>
              <w:sz w:val="20"/>
            </w:rPr>
            <w:t xml:space="preserve">. Recommendation of the scientific subcommittee on factor VIII and factor IX of the scientific and standardization committee of the International Society on Thrombosis and Haemostasis,” </w:t>
          </w:r>
          <w:proofErr w:type="spellStart"/>
          <w:r w:rsidRPr="0010380A">
            <w:rPr>
              <w:rFonts w:ascii="Calibri" w:hAnsi="Calibri"/>
              <w:i/>
              <w:iCs/>
              <w:color w:val="000000"/>
              <w:sz w:val="20"/>
            </w:rPr>
            <w:t>Thromb</w:t>
          </w:r>
          <w:proofErr w:type="spellEnd"/>
          <w:r w:rsidRPr="0010380A">
            <w:rPr>
              <w:rFonts w:ascii="Calibri" w:hAnsi="Calibri"/>
              <w:i/>
              <w:iCs/>
              <w:color w:val="000000"/>
              <w:sz w:val="20"/>
            </w:rPr>
            <w:t xml:space="preserve"> </w:t>
          </w:r>
          <w:proofErr w:type="spellStart"/>
          <w:r w:rsidRPr="0010380A">
            <w:rPr>
              <w:rFonts w:ascii="Calibri" w:hAnsi="Calibri"/>
              <w:i/>
              <w:iCs/>
              <w:color w:val="000000"/>
              <w:sz w:val="20"/>
            </w:rPr>
            <w:t>Haemost</w:t>
          </w:r>
          <w:proofErr w:type="spellEnd"/>
          <w:r w:rsidRPr="0010380A">
            <w:rPr>
              <w:rFonts w:ascii="Calibri" w:hAnsi="Calibri"/>
              <w:color w:val="000000"/>
              <w:sz w:val="20"/>
            </w:rPr>
            <w:t>, vol. 85, p. 560, Retrieved from https://www.ncbi.nlm.nih.gov/pubmed/11307831.</w:t>
          </w:r>
        </w:p>
        <w:p w14:paraId="05F3D8F0" w14:textId="77777777" w:rsidR="0010380A" w:rsidRPr="0010380A" w:rsidRDefault="0010380A">
          <w:pPr>
            <w:pStyle w:val="csl-entry"/>
            <w:ind w:left="300" w:hanging="300"/>
            <w:divId w:val="636952753"/>
            <w:rPr>
              <w:rFonts w:ascii="Calibri" w:hAnsi="Calibri"/>
              <w:color w:val="000000"/>
              <w:sz w:val="20"/>
            </w:rPr>
          </w:pPr>
          <w:r w:rsidRPr="0010380A">
            <w:rPr>
              <w:rFonts w:ascii="Calibri" w:hAnsi="Calibri"/>
              <w:color w:val="000000"/>
              <w:sz w:val="20"/>
            </w:rPr>
            <w:t xml:space="preserve">Dolan, G, Benson, G, Duffy, A, </w:t>
          </w:r>
          <w:proofErr w:type="spellStart"/>
          <w:r w:rsidRPr="0010380A">
            <w:rPr>
              <w:rFonts w:ascii="Calibri" w:hAnsi="Calibri"/>
              <w:color w:val="000000"/>
              <w:sz w:val="20"/>
            </w:rPr>
            <w:t>Hermans</w:t>
          </w:r>
          <w:proofErr w:type="spellEnd"/>
          <w:r w:rsidRPr="0010380A">
            <w:rPr>
              <w:rFonts w:ascii="Calibri" w:hAnsi="Calibri"/>
              <w:color w:val="000000"/>
              <w:sz w:val="20"/>
            </w:rPr>
            <w:t>, C, Jiménez-</w:t>
          </w:r>
          <w:proofErr w:type="spellStart"/>
          <w:r w:rsidRPr="0010380A">
            <w:rPr>
              <w:rFonts w:ascii="Calibri" w:hAnsi="Calibri"/>
              <w:color w:val="000000"/>
              <w:sz w:val="20"/>
            </w:rPr>
            <w:t>Yuste</w:t>
          </w:r>
          <w:proofErr w:type="spellEnd"/>
          <w:r w:rsidRPr="0010380A">
            <w:rPr>
              <w:rFonts w:ascii="Calibri" w:hAnsi="Calibri"/>
              <w:color w:val="000000"/>
              <w:sz w:val="20"/>
            </w:rPr>
            <w:t xml:space="preserve">, V, Lambert, T, </w:t>
          </w:r>
          <w:proofErr w:type="spellStart"/>
          <w:r w:rsidRPr="0010380A">
            <w:rPr>
              <w:rFonts w:ascii="Calibri" w:hAnsi="Calibri"/>
              <w:color w:val="000000"/>
              <w:sz w:val="20"/>
            </w:rPr>
            <w:t>Ljung</w:t>
          </w:r>
          <w:proofErr w:type="spellEnd"/>
          <w:r w:rsidRPr="0010380A">
            <w:rPr>
              <w:rFonts w:ascii="Calibri" w:hAnsi="Calibri"/>
              <w:color w:val="000000"/>
              <w:sz w:val="20"/>
            </w:rPr>
            <w:t xml:space="preserve">, R, </w:t>
          </w:r>
          <w:proofErr w:type="spellStart"/>
          <w:r w:rsidRPr="0010380A">
            <w:rPr>
              <w:rFonts w:ascii="Calibri" w:hAnsi="Calibri"/>
              <w:color w:val="000000"/>
              <w:sz w:val="20"/>
            </w:rPr>
            <w:t>Morfini</w:t>
          </w:r>
          <w:proofErr w:type="spellEnd"/>
          <w:r w:rsidRPr="0010380A">
            <w:rPr>
              <w:rFonts w:ascii="Calibri" w:hAnsi="Calibri"/>
              <w:color w:val="000000"/>
              <w:sz w:val="20"/>
            </w:rPr>
            <w:t xml:space="preserve">, M, &amp; </w:t>
          </w:r>
          <w:proofErr w:type="spellStart"/>
          <w:r w:rsidRPr="0010380A">
            <w:rPr>
              <w:rFonts w:ascii="Calibri" w:hAnsi="Calibri"/>
              <w:color w:val="000000"/>
              <w:sz w:val="20"/>
            </w:rPr>
            <w:t>Šalek</w:t>
          </w:r>
          <w:proofErr w:type="spellEnd"/>
          <w:r w:rsidRPr="0010380A">
            <w:rPr>
              <w:rFonts w:ascii="Calibri" w:hAnsi="Calibri"/>
              <w:color w:val="000000"/>
              <w:sz w:val="20"/>
            </w:rPr>
            <w:t xml:space="preserve">, SZ, 2018, “Haemophilia B: Where are we now and what does the future </w:t>
          </w:r>
          <w:proofErr w:type="gramStart"/>
          <w:r w:rsidRPr="0010380A">
            <w:rPr>
              <w:rFonts w:ascii="Calibri" w:hAnsi="Calibri"/>
              <w:color w:val="000000"/>
              <w:sz w:val="20"/>
            </w:rPr>
            <w:t>hold?,</w:t>
          </w:r>
          <w:proofErr w:type="gramEnd"/>
          <w:r w:rsidRPr="0010380A">
            <w:rPr>
              <w:rFonts w:ascii="Calibri" w:hAnsi="Calibri"/>
              <w:color w:val="000000"/>
              <w:sz w:val="20"/>
            </w:rPr>
            <w:t xml:space="preserve">” </w:t>
          </w:r>
          <w:r w:rsidRPr="0010380A">
            <w:rPr>
              <w:rFonts w:ascii="Calibri" w:hAnsi="Calibri"/>
              <w:i/>
              <w:iCs/>
              <w:color w:val="000000"/>
              <w:sz w:val="20"/>
            </w:rPr>
            <w:t>Blood Reviews</w:t>
          </w:r>
          <w:r w:rsidRPr="0010380A">
            <w:rPr>
              <w:rFonts w:ascii="Calibri" w:hAnsi="Calibri"/>
              <w:color w:val="000000"/>
              <w:sz w:val="20"/>
            </w:rPr>
            <w:t xml:space="preserve">, vol. 32, no. 1, pp. 52–60, </w:t>
          </w:r>
          <w:proofErr w:type="spellStart"/>
          <w:r w:rsidRPr="0010380A">
            <w:rPr>
              <w:rFonts w:ascii="Calibri" w:hAnsi="Calibri"/>
              <w:color w:val="000000"/>
              <w:sz w:val="20"/>
            </w:rPr>
            <w:t>doi</w:t>
          </w:r>
          <w:proofErr w:type="spellEnd"/>
          <w:r w:rsidRPr="0010380A">
            <w:rPr>
              <w:rFonts w:ascii="Calibri" w:hAnsi="Calibri"/>
              <w:color w:val="000000"/>
              <w:sz w:val="20"/>
            </w:rPr>
            <w:t>: 10.1016/j.blre.2017.08.007.</w:t>
          </w:r>
        </w:p>
        <w:p w14:paraId="76D628A8" w14:textId="77777777" w:rsidR="0010380A" w:rsidRPr="0010380A" w:rsidRDefault="0010380A">
          <w:pPr>
            <w:pStyle w:val="csl-entry"/>
            <w:ind w:left="300" w:hanging="300"/>
            <w:divId w:val="636952753"/>
            <w:rPr>
              <w:rFonts w:ascii="Calibri" w:hAnsi="Calibri"/>
              <w:color w:val="000000"/>
              <w:sz w:val="20"/>
            </w:rPr>
          </w:pPr>
          <w:r w:rsidRPr="0010380A">
            <w:rPr>
              <w:rFonts w:ascii="Calibri" w:hAnsi="Calibri"/>
              <w:color w:val="000000"/>
              <w:sz w:val="20"/>
            </w:rPr>
            <w:t>Jiménez‐</w:t>
          </w:r>
          <w:proofErr w:type="spellStart"/>
          <w:r w:rsidRPr="0010380A">
            <w:rPr>
              <w:rFonts w:ascii="Calibri" w:hAnsi="Calibri"/>
              <w:color w:val="000000"/>
              <w:sz w:val="20"/>
            </w:rPr>
            <w:t>Yuste</w:t>
          </w:r>
          <w:proofErr w:type="spellEnd"/>
          <w:r w:rsidRPr="0010380A">
            <w:rPr>
              <w:rFonts w:ascii="Calibri" w:hAnsi="Calibri"/>
              <w:color w:val="000000"/>
              <w:sz w:val="20"/>
            </w:rPr>
            <w:t>, V, Álvarez‐Román, MT, Martín‐</w:t>
          </w:r>
          <w:proofErr w:type="spellStart"/>
          <w:r w:rsidRPr="0010380A">
            <w:rPr>
              <w:rFonts w:ascii="Calibri" w:hAnsi="Calibri"/>
              <w:color w:val="000000"/>
              <w:sz w:val="20"/>
            </w:rPr>
            <w:t>Salces</w:t>
          </w:r>
          <w:proofErr w:type="spellEnd"/>
          <w:r w:rsidRPr="0010380A">
            <w:rPr>
              <w:rFonts w:ascii="Calibri" w:hAnsi="Calibri"/>
              <w:color w:val="000000"/>
              <w:sz w:val="20"/>
            </w:rPr>
            <w:t xml:space="preserve">, M, Corte‐Rodríguez, HD la, </w:t>
          </w:r>
          <w:proofErr w:type="spellStart"/>
          <w:r w:rsidRPr="0010380A">
            <w:rPr>
              <w:rFonts w:ascii="Calibri" w:hAnsi="Calibri"/>
              <w:color w:val="000000"/>
              <w:sz w:val="20"/>
            </w:rPr>
            <w:t>Altisent</w:t>
          </w:r>
          <w:proofErr w:type="spellEnd"/>
          <w:r w:rsidRPr="0010380A">
            <w:rPr>
              <w:rFonts w:ascii="Calibri" w:hAnsi="Calibri"/>
              <w:color w:val="000000"/>
              <w:sz w:val="20"/>
            </w:rPr>
            <w:t xml:space="preserve">, C, Parra, R, </w:t>
          </w:r>
          <w:proofErr w:type="spellStart"/>
          <w:r w:rsidRPr="0010380A">
            <w:rPr>
              <w:rFonts w:ascii="Calibri" w:hAnsi="Calibri"/>
              <w:color w:val="000000"/>
              <w:sz w:val="20"/>
            </w:rPr>
            <w:t>Núñez</w:t>
          </w:r>
          <w:proofErr w:type="spellEnd"/>
          <w:r w:rsidRPr="0010380A">
            <w:rPr>
              <w:rFonts w:ascii="Calibri" w:hAnsi="Calibri"/>
              <w:color w:val="000000"/>
              <w:sz w:val="20"/>
            </w:rPr>
            <w:t>, R, Pérez, R, García‐</w:t>
          </w:r>
          <w:proofErr w:type="spellStart"/>
          <w:r w:rsidRPr="0010380A">
            <w:rPr>
              <w:rFonts w:ascii="Calibri" w:hAnsi="Calibri"/>
              <w:color w:val="000000"/>
              <w:sz w:val="20"/>
            </w:rPr>
            <w:t>Candel</w:t>
          </w:r>
          <w:proofErr w:type="spellEnd"/>
          <w:r w:rsidRPr="0010380A">
            <w:rPr>
              <w:rFonts w:ascii="Calibri" w:hAnsi="Calibri"/>
              <w:color w:val="000000"/>
              <w:sz w:val="20"/>
            </w:rPr>
            <w:t xml:space="preserve">, F, </w:t>
          </w:r>
          <w:proofErr w:type="spellStart"/>
          <w:r w:rsidRPr="0010380A">
            <w:rPr>
              <w:rFonts w:ascii="Calibri" w:hAnsi="Calibri"/>
              <w:color w:val="000000"/>
              <w:sz w:val="20"/>
            </w:rPr>
            <w:t>Bonanad</w:t>
          </w:r>
          <w:proofErr w:type="spellEnd"/>
          <w:r w:rsidRPr="0010380A">
            <w:rPr>
              <w:rFonts w:ascii="Calibri" w:hAnsi="Calibri"/>
              <w:color w:val="000000"/>
              <w:sz w:val="20"/>
            </w:rPr>
            <w:t>, S, Querol, F, Alonso, N, Fernández‐</w:t>
          </w:r>
          <w:proofErr w:type="spellStart"/>
          <w:r w:rsidRPr="0010380A">
            <w:rPr>
              <w:rFonts w:ascii="Calibri" w:hAnsi="Calibri"/>
              <w:color w:val="000000"/>
              <w:sz w:val="20"/>
            </w:rPr>
            <w:t>Mosteirín</w:t>
          </w:r>
          <w:proofErr w:type="spellEnd"/>
          <w:r w:rsidRPr="0010380A">
            <w:rPr>
              <w:rFonts w:ascii="Calibri" w:hAnsi="Calibri"/>
              <w:color w:val="000000"/>
              <w:sz w:val="20"/>
            </w:rPr>
            <w:t>, N, López‐</w:t>
          </w:r>
          <w:proofErr w:type="spellStart"/>
          <w:r w:rsidRPr="0010380A">
            <w:rPr>
              <w:rFonts w:ascii="Calibri" w:hAnsi="Calibri"/>
              <w:color w:val="000000"/>
              <w:sz w:val="20"/>
            </w:rPr>
            <w:t>Ansoar</w:t>
          </w:r>
          <w:proofErr w:type="spellEnd"/>
          <w:r w:rsidRPr="0010380A">
            <w:rPr>
              <w:rFonts w:ascii="Calibri" w:hAnsi="Calibri"/>
              <w:color w:val="000000"/>
              <w:sz w:val="20"/>
            </w:rPr>
            <w:t>, E, García‐</w:t>
          </w:r>
          <w:proofErr w:type="spellStart"/>
          <w:r w:rsidRPr="0010380A">
            <w:rPr>
              <w:rFonts w:ascii="Calibri" w:hAnsi="Calibri"/>
              <w:color w:val="000000"/>
              <w:sz w:val="20"/>
            </w:rPr>
            <w:t>Frade</w:t>
          </w:r>
          <w:proofErr w:type="spellEnd"/>
          <w:r w:rsidRPr="0010380A">
            <w:rPr>
              <w:rFonts w:ascii="Calibri" w:hAnsi="Calibri"/>
              <w:color w:val="000000"/>
              <w:sz w:val="20"/>
            </w:rPr>
            <w:t xml:space="preserve">, LJ, Bermejo, N, Pérez‐González, N, Gutiérrez‐Pimentel, MJ, </w:t>
          </w:r>
          <w:proofErr w:type="spellStart"/>
          <w:r w:rsidRPr="0010380A">
            <w:rPr>
              <w:rFonts w:ascii="Calibri" w:hAnsi="Calibri"/>
              <w:color w:val="000000"/>
              <w:sz w:val="20"/>
            </w:rPr>
            <w:t>Martinoli</w:t>
          </w:r>
          <w:proofErr w:type="spellEnd"/>
          <w:r w:rsidRPr="0010380A">
            <w:rPr>
              <w:rFonts w:ascii="Calibri" w:hAnsi="Calibri"/>
              <w:color w:val="000000"/>
              <w:sz w:val="20"/>
            </w:rPr>
            <w:t xml:space="preserve">, C, Fernández‐Arias, I, &amp; Kim, HK, 2019, “Joint status in Spanish haemophilia B patients assessed using the Haemophilia Early Arthropathy Detection with Ultrasound (HEAD‐US) score,” </w:t>
          </w:r>
          <w:r w:rsidRPr="0010380A">
            <w:rPr>
              <w:rFonts w:ascii="Calibri" w:hAnsi="Calibri"/>
              <w:i/>
              <w:iCs/>
              <w:color w:val="000000"/>
              <w:sz w:val="20"/>
            </w:rPr>
            <w:t>Haemophilia</w:t>
          </w:r>
          <w:r w:rsidRPr="0010380A">
            <w:rPr>
              <w:rFonts w:ascii="Calibri" w:hAnsi="Calibri"/>
              <w:color w:val="000000"/>
              <w:sz w:val="20"/>
            </w:rPr>
            <w:t xml:space="preserve">, vol. 25, no. 1, pp. 144–153, </w:t>
          </w:r>
          <w:proofErr w:type="spellStart"/>
          <w:r w:rsidRPr="0010380A">
            <w:rPr>
              <w:rFonts w:ascii="Calibri" w:hAnsi="Calibri"/>
              <w:color w:val="000000"/>
              <w:sz w:val="20"/>
            </w:rPr>
            <w:t>doi</w:t>
          </w:r>
          <w:proofErr w:type="spellEnd"/>
          <w:r w:rsidRPr="0010380A">
            <w:rPr>
              <w:rFonts w:ascii="Calibri" w:hAnsi="Calibri"/>
              <w:color w:val="000000"/>
              <w:sz w:val="20"/>
            </w:rPr>
            <w:t>: 10.1111/hae.13628.</w:t>
          </w:r>
        </w:p>
        <w:p w14:paraId="10E29B16" w14:textId="77777777" w:rsidR="0010380A" w:rsidRPr="0010380A" w:rsidRDefault="0010380A">
          <w:pPr>
            <w:pStyle w:val="csl-entry"/>
            <w:ind w:left="300" w:hanging="300"/>
            <w:divId w:val="636952753"/>
            <w:rPr>
              <w:rFonts w:ascii="Calibri" w:hAnsi="Calibri"/>
              <w:color w:val="000000"/>
              <w:sz w:val="20"/>
            </w:rPr>
          </w:pPr>
          <w:proofErr w:type="spellStart"/>
          <w:r w:rsidRPr="0010380A">
            <w:rPr>
              <w:rFonts w:ascii="Calibri" w:hAnsi="Calibri"/>
              <w:color w:val="000000"/>
              <w:sz w:val="20"/>
            </w:rPr>
            <w:t>Konkle</w:t>
          </w:r>
          <w:proofErr w:type="spellEnd"/>
          <w:r w:rsidRPr="0010380A">
            <w:rPr>
              <w:rFonts w:ascii="Calibri" w:hAnsi="Calibri"/>
              <w:color w:val="000000"/>
              <w:sz w:val="20"/>
            </w:rPr>
            <w:t>, BA, Huston, H, &amp; Fletcher, SN, 1993, “</w:t>
          </w:r>
          <w:proofErr w:type="spellStart"/>
          <w:r w:rsidRPr="0010380A">
            <w:rPr>
              <w:rFonts w:ascii="Calibri" w:hAnsi="Calibri"/>
              <w:color w:val="000000"/>
              <w:sz w:val="20"/>
            </w:rPr>
            <w:t>Hemophilia</w:t>
          </w:r>
          <w:proofErr w:type="spellEnd"/>
          <w:r w:rsidRPr="0010380A">
            <w:rPr>
              <w:rFonts w:ascii="Calibri" w:hAnsi="Calibri"/>
              <w:color w:val="000000"/>
              <w:sz w:val="20"/>
            </w:rPr>
            <w:t xml:space="preserve"> B,” Retrieved from https://www.ncbi.nlm.nih.gov/pubmed/20301668.</w:t>
          </w:r>
        </w:p>
        <w:p w14:paraId="60645DC0" w14:textId="77777777" w:rsidR="0010380A" w:rsidRPr="0010380A" w:rsidRDefault="0010380A">
          <w:pPr>
            <w:pStyle w:val="csl-entry"/>
            <w:ind w:left="300" w:hanging="300"/>
            <w:divId w:val="636952753"/>
            <w:rPr>
              <w:rFonts w:ascii="Calibri" w:hAnsi="Calibri"/>
              <w:color w:val="000000"/>
              <w:sz w:val="20"/>
            </w:rPr>
          </w:pPr>
          <w:r w:rsidRPr="0010380A">
            <w:rPr>
              <w:rFonts w:ascii="Calibri" w:hAnsi="Calibri"/>
              <w:color w:val="000000"/>
              <w:sz w:val="20"/>
            </w:rPr>
            <w:t xml:space="preserve">MSAC, 2018, </w:t>
          </w:r>
          <w:r w:rsidRPr="0010380A">
            <w:rPr>
              <w:rFonts w:ascii="Calibri" w:hAnsi="Calibri"/>
              <w:i/>
              <w:iCs/>
              <w:color w:val="000000"/>
              <w:sz w:val="20"/>
            </w:rPr>
            <w:t>1511 - Extended half-life (EHL) blood clotting factors VIII + IX</w:t>
          </w:r>
          <w:proofErr w:type="gramStart"/>
          <w:r w:rsidRPr="0010380A">
            <w:rPr>
              <w:rFonts w:ascii="Calibri" w:hAnsi="Calibri"/>
              <w:color w:val="000000"/>
              <w:sz w:val="20"/>
            </w:rPr>
            <w:t>, ,</w:t>
          </w:r>
          <w:proofErr w:type="gramEnd"/>
          <w:r w:rsidRPr="0010380A">
            <w:rPr>
              <w:rFonts w:ascii="Calibri" w:hAnsi="Calibri"/>
              <w:color w:val="000000"/>
              <w:sz w:val="20"/>
            </w:rPr>
            <w:t xml:space="preserve"> http://www.msac.gov.au/internet/msac/publishing.nsf/Content/1511-public.</w:t>
          </w:r>
        </w:p>
        <w:p w14:paraId="056D88E3" w14:textId="77777777" w:rsidR="0010380A" w:rsidRPr="0010380A" w:rsidRDefault="0010380A">
          <w:pPr>
            <w:pStyle w:val="csl-entry"/>
            <w:ind w:left="300" w:hanging="300"/>
            <w:divId w:val="636952753"/>
            <w:rPr>
              <w:rFonts w:ascii="Calibri" w:hAnsi="Calibri"/>
              <w:color w:val="000000"/>
              <w:sz w:val="20"/>
            </w:rPr>
          </w:pPr>
          <w:r w:rsidRPr="0010380A">
            <w:rPr>
              <w:rFonts w:ascii="Calibri" w:hAnsi="Calibri"/>
              <w:color w:val="000000"/>
              <w:sz w:val="20"/>
            </w:rPr>
            <w:t xml:space="preserve">Srivastava, A, </w:t>
          </w:r>
          <w:proofErr w:type="spellStart"/>
          <w:r w:rsidRPr="0010380A">
            <w:rPr>
              <w:rFonts w:ascii="Calibri" w:hAnsi="Calibri"/>
              <w:color w:val="000000"/>
              <w:sz w:val="20"/>
            </w:rPr>
            <w:t>Santagostino</w:t>
          </w:r>
          <w:proofErr w:type="spellEnd"/>
          <w:r w:rsidRPr="0010380A">
            <w:rPr>
              <w:rFonts w:ascii="Calibri" w:hAnsi="Calibri"/>
              <w:color w:val="000000"/>
              <w:sz w:val="20"/>
            </w:rPr>
            <w:t xml:space="preserve">, E, </w:t>
          </w:r>
          <w:proofErr w:type="spellStart"/>
          <w:r w:rsidRPr="0010380A">
            <w:rPr>
              <w:rFonts w:ascii="Calibri" w:hAnsi="Calibri"/>
              <w:color w:val="000000"/>
              <w:sz w:val="20"/>
            </w:rPr>
            <w:t>Dougall</w:t>
          </w:r>
          <w:proofErr w:type="spellEnd"/>
          <w:r w:rsidRPr="0010380A">
            <w:rPr>
              <w:rFonts w:ascii="Calibri" w:hAnsi="Calibri"/>
              <w:color w:val="000000"/>
              <w:sz w:val="20"/>
            </w:rPr>
            <w:t xml:space="preserve">, A, Kitchen, S, Sutherland, M, Pipe, SW, </w:t>
          </w:r>
          <w:proofErr w:type="spellStart"/>
          <w:r w:rsidRPr="0010380A">
            <w:rPr>
              <w:rFonts w:ascii="Calibri" w:hAnsi="Calibri"/>
              <w:color w:val="000000"/>
              <w:sz w:val="20"/>
            </w:rPr>
            <w:t>Carcao</w:t>
          </w:r>
          <w:proofErr w:type="spellEnd"/>
          <w:r w:rsidRPr="0010380A">
            <w:rPr>
              <w:rFonts w:ascii="Calibri" w:hAnsi="Calibri"/>
              <w:color w:val="000000"/>
              <w:sz w:val="20"/>
            </w:rPr>
            <w:t xml:space="preserve">, M, Mahlangu, J, </w:t>
          </w:r>
          <w:proofErr w:type="spellStart"/>
          <w:r w:rsidRPr="0010380A">
            <w:rPr>
              <w:rFonts w:ascii="Calibri" w:hAnsi="Calibri"/>
              <w:color w:val="000000"/>
              <w:sz w:val="20"/>
            </w:rPr>
            <w:t>Ragni</w:t>
          </w:r>
          <w:proofErr w:type="spellEnd"/>
          <w:r w:rsidRPr="0010380A">
            <w:rPr>
              <w:rFonts w:ascii="Calibri" w:hAnsi="Calibri"/>
              <w:color w:val="000000"/>
              <w:sz w:val="20"/>
            </w:rPr>
            <w:t xml:space="preserve">, MV, </w:t>
          </w:r>
          <w:proofErr w:type="spellStart"/>
          <w:r w:rsidRPr="0010380A">
            <w:rPr>
              <w:rFonts w:ascii="Calibri" w:hAnsi="Calibri"/>
              <w:color w:val="000000"/>
              <w:sz w:val="20"/>
            </w:rPr>
            <w:t>Windyga</w:t>
          </w:r>
          <w:proofErr w:type="spellEnd"/>
          <w:r w:rsidRPr="0010380A">
            <w:rPr>
              <w:rFonts w:ascii="Calibri" w:hAnsi="Calibri"/>
              <w:color w:val="000000"/>
              <w:sz w:val="20"/>
            </w:rPr>
            <w:t xml:space="preserve">, J, </w:t>
          </w:r>
          <w:proofErr w:type="spellStart"/>
          <w:r w:rsidRPr="0010380A">
            <w:rPr>
              <w:rFonts w:ascii="Calibri" w:hAnsi="Calibri"/>
              <w:color w:val="000000"/>
              <w:sz w:val="20"/>
            </w:rPr>
            <w:t>Llinas</w:t>
          </w:r>
          <w:proofErr w:type="spellEnd"/>
          <w:r w:rsidRPr="0010380A">
            <w:rPr>
              <w:rFonts w:ascii="Calibri" w:hAnsi="Calibri"/>
              <w:color w:val="000000"/>
              <w:sz w:val="20"/>
            </w:rPr>
            <w:t xml:space="preserve">, A, Goddard, NJ, Mohan, R, </w:t>
          </w:r>
          <w:proofErr w:type="spellStart"/>
          <w:r w:rsidRPr="0010380A">
            <w:rPr>
              <w:rFonts w:ascii="Calibri" w:hAnsi="Calibri"/>
              <w:color w:val="000000"/>
              <w:sz w:val="20"/>
            </w:rPr>
            <w:t>Poonnoose</w:t>
          </w:r>
          <w:proofErr w:type="spellEnd"/>
          <w:r w:rsidRPr="0010380A">
            <w:rPr>
              <w:rFonts w:ascii="Calibri" w:hAnsi="Calibri"/>
              <w:color w:val="000000"/>
              <w:sz w:val="20"/>
            </w:rPr>
            <w:t xml:space="preserve">, PM, Feldman, BM, Lewis, SZ, Berg, HM van den, Pierce, GF, </w:t>
          </w:r>
          <w:proofErr w:type="spellStart"/>
          <w:r w:rsidRPr="0010380A">
            <w:rPr>
              <w:rFonts w:ascii="Calibri" w:hAnsi="Calibri"/>
              <w:color w:val="000000"/>
              <w:sz w:val="20"/>
            </w:rPr>
            <w:t>panelists</w:t>
          </w:r>
          <w:proofErr w:type="spellEnd"/>
          <w:r w:rsidRPr="0010380A">
            <w:rPr>
              <w:rFonts w:ascii="Calibri" w:hAnsi="Calibri"/>
              <w:color w:val="000000"/>
              <w:sz w:val="20"/>
            </w:rPr>
            <w:t xml:space="preserve">, WFHG for the M of H, &amp; co, authors, 2020, “WFH Guidelines for the Management of </w:t>
          </w:r>
          <w:proofErr w:type="spellStart"/>
          <w:r w:rsidRPr="0010380A">
            <w:rPr>
              <w:rFonts w:ascii="Calibri" w:hAnsi="Calibri"/>
              <w:color w:val="000000"/>
              <w:sz w:val="20"/>
            </w:rPr>
            <w:t>Hemophilia</w:t>
          </w:r>
          <w:proofErr w:type="spellEnd"/>
          <w:r w:rsidRPr="0010380A">
            <w:rPr>
              <w:rFonts w:ascii="Calibri" w:hAnsi="Calibri"/>
              <w:color w:val="000000"/>
              <w:sz w:val="20"/>
            </w:rPr>
            <w:t xml:space="preserve">, 3rd edition,” </w:t>
          </w:r>
          <w:r w:rsidRPr="0010380A">
            <w:rPr>
              <w:rFonts w:ascii="Calibri" w:hAnsi="Calibri"/>
              <w:i/>
              <w:iCs/>
              <w:color w:val="000000"/>
              <w:sz w:val="20"/>
            </w:rPr>
            <w:t>Haemophilia</w:t>
          </w:r>
          <w:r w:rsidRPr="0010380A">
            <w:rPr>
              <w:rFonts w:ascii="Calibri" w:hAnsi="Calibri"/>
              <w:color w:val="000000"/>
              <w:sz w:val="20"/>
            </w:rPr>
            <w:t xml:space="preserve">, vol. 26 Suppl 6, no. S6, pp. 1–158, </w:t>
          </w:r>
          <w:proofErr w:type="spellStart"/>
          <w:r w:rsidRPr="0010380A">
            <w:rPr>
              <w:rFonts w:ascii="Calibri" w:hAnsi="Calibri"/>
              <w:color w:val="000000"/>
              <w:sz w:val="20"/>
            </w:rPr>
            <w:t>doi</w:t>
          </w:r>
          <w:proofErr w:type="spellEnd"/>
          <w:r w:rsidRPr="0010380A">
            <w:rPr>
              <w:rFonts w:ascii="Calibri" w:hAnsi="Calibri"/>
              <w:color w:val="000000"/>
              <w:sz w:val="20"/>
            </w:rPr>
            <w:t>: 10.1111/hae.14046.</w:t>
          </w:r>
        </w:p>
        <w:p w14:paraId="6848CE61" w14:textId="562922C9" w:rsidR="00CB0881" w:rsidRPr="00CB0881" w:rsidRDefault="0010380A" w:rsidP="00950F45">
          <w:pPr>
            <w:rPr>
              <w:b/>
              <w:bCs/>
              <w:szCs w:val="20"/>
            </w:rPr>
          </w:pPr>
          <w:r w:rsidRPr="0010380A">
            <w:rPr>
              <w:rFonts w:ascii="Calibri" w:eastAsia="Times New Roman" w:hAnsi="Calibri"/>
              <w:color w:val="000000"/>
            </w:rPr>
            <w:t> </w:t>
          </w:r>
        </w:p>
      </w:sdtContent>
    </w:sdt>
    <w:sectPr w:rsidR="00CB0881" w:rsidRPr="00CB0881"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B3B5" w14:textId="77777777" w:rsidR="007A202C" w:rsidRDefault="007A202C" w:rsidP="00CF2DFA">
      <w:pPr>
        <w:spacing w:after="0"/>
      </w:pPr>
      <w:r>
        <w:separator/>
      </w:r>
    </w:p>
  </w:endnote>
  <w:endnote w:type="continuationSeparator" w:id="0">
    <w:p w14:paraId="54AC6529" w14:textId="77777777" w:rsidR="007A202C" w:rsidRDefault="007A202C" w:rsidP="00CF2DFA">
      <w:pPr>
        <w:spacing w:after="0"/>
      </w:pPr>
      <w:r>
        <w:continuationSeparator/>
      </w:r>
    </w:p>
  </w:endnote>
  <w:endnote w:type="continuationNotice" w:id="1">
    <w:p w14:paraId="5FCC4FAD" w14:textId="77777777" w:rsidR="007A202C" w:rsidRDefault="007A20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844C044" w14:textId="566BCF40" w:rsidR="008D1A4B" w:rsidRDefault="008D1A4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85937" w:rsidRPr="00785937">
          <w:rPr>
            <w:b/>
            <w:bCs/>
            <w:noProof/>
            <w:sz w:val="18"/>
            <w:szCs w:val="18"/>
          </w:rPr>
          <w:t>16</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5090B017" w14:textId="77777777" w:rsidR="008D1A4B" w:rsidRPr="003F7CB9" w:rsidRDefault="008D1A4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FCD6" w14:textId="77777777" w:rsidR="007A202C" w:rsidRDefault="007A202C" w:rsidP="00CF2DFA">
      <w:pPr>
        <w:spacing w:after="0"/>
      </w:pPr>
      <w:r>
        <w:separator/>
      </w:r>
    </w:p>
  </w:footnote>
  <w:footnote w:type="continuationSeparator" w:id="0">
    <w:p w14:paraId="37DF41A6" w14:textId="77777777" w:rsidR="007A202C" w:rsidRDefault="007A202C" w:rsidP="00CF2DFA">
      <w:pPr>
        <w:spacing w:after="0"/>
      </w:pPr>
      <w:r>
        <w:continuationSeparator/>
      </w:r>
    </w:p>
  </w:footnote>
  <w:footnote w:type="continuationNotice" w:id="1">
    <w:p w14:paraId="433C6602" w14:textId="77777777" w:rsidR="007A202C" w:rsidRDefault="007A202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33C6940"/>
    <w:multiLevelType w:val="hybridMultilevel"/>
    <w:tmpl w:val="9C6EB810"/>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FB1C2A"/>
    <w:multiLevelType w:val="hybridMultilevel"/>
    <w:tmpl w:val="5644D4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267E81"/>
    <w:multiLevelType w:val="hybridMultilevel"/>
    <w:tmpl w:val="63BE0436"/>
    <w:lvl w:ilvl="0" w:tplc="6B7E5A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DF08B4"/>
    <w:multiLevelType w:val="hybridMultilevel"/>
    <w:tmpl w:val="857A084C"/>
    <w:lvl w:ilvl="0" w:tplc="B606A7DE">
      <w:start w:val="2"/>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383D03"/>
    <w:multiLevelType w:val="hybridMultilevel"/>
    <w:tmpl w:val="B9CEB986"/>
    <w:lvl w:ilvl="0" w:tplc="A3F8E8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4F7D239B"/>
    <w:multiLevelType w:val="hybridMultilevel"/>
    <w:tmpl w:val="CEA2C736"/>
    <w:lvl w:ilvl="0" w:tplc="02E427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14467BF"/>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A1215D"/>
    <w:multiLevelType w:val="hybridMultilevel"/>
    <w:tmpl w:val="872E72F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EC14EA"/>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0D5BCD"/>
    <w:multiLevelType w:val="hybridMultilevel"/>
    <w:tmpl w:val="9C6EB810"/>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C705FF"/>
    <w:multiLevelType w:val="hybridMultilevel"/>
    <w:tmpl w:val="E6107664"/>
    <w:lvl w:ilvl="0" w:tplc="717871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24"/>
  </w:num>
  <w:num w:numId="26">
    <w:abstractNumId w:val="3"/>
  </w:num>
  <w:num w:numId="27">
    <w:abstractNumId w:val="20"/>
  </w:num>
  <w:num w:numId="28">
    <w:abstractNumId w:val="11"/>
  </w:num>
  <w:num w:numId="29">
    <w:abstractNumId w:val="25"/>
  </w:num>
  <w:num w:numId="30">
    <w:abstractNumId w:val="2"/>
  </w:num>
  <w:num w:numId="31">
    <w:abstractNumId w:val="22"/>
  </w:num>
  <w:num w:numId="32">
    <w:abstractNumId w:val="6"/>
  </w:num>
  <w:num w:numId="33">
    <w:abstractNumId w:val="21"/>
  </w:num>
  <w:num w:numId="34">
    <w:abstractNumId w:val="5"/>
  </w:num>
  <w:num w:numId="35">
    <w:abstractNumId w:val="15"/>
  </w:num>
  <w:num w:numId="36">
    <w:abstractNumId w:val="0"/>
  </w:num>
  <w:num w:numId="37">
    <w:abstractNumId w:val="17"/>
  </w:num>
  <w:num w:numId="38">
    <w:abstractNumId w:val="17"/>
  </w:num>
  <w:num w:numId="39">
    <w:abstractNumId w:val="17"/>
  </w:num>
  <w:num w:numId="40">
    <w:abstractNumId w:val="17"/>
  </w:num>
  <w:num w:numId="41">
    <w:abstractNumId w:val="17"/>
  </w:num>
  <w:num w:numId="42">
    <w:abstractNumId w:val="23"/>
  </w:num>
  <w:num w:numId="43">
    <w:abstractNumId w:val="14"/>
  </w:num>
  <w:num w:numId="44">
    <w:abstractNumId w:val="27"/>
  </w:num>
  <w:num w:numId="45">
    <w:abstractNumId w:val="12"/>
  </w:num>
  <w:num w:numId="46">
    <w:abstractNumId w:val="16"/>
  </w:num>
  <w:num w:numId="47">
    <w:abstractNumId w:val="9"/>
  </w:num>
  <w:num w:numId="48">
    <w:abstractNumId w:val="18"/>
  </w:num>
  <w:num w:numId="49">
    <w:abstractNumId w:val="17"/>
  </w:num>
  <w:num w:numId="50">
    <w:abstractNumId w:val="13"/>
  </w:num>
  <w:num w:numId="51">
    <w:abstractNumId w:val="8"/>
  </w:num>
  <w:num w:numId="5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sDS2NDI0MTcyMzVS0lEKTi0uzszPAymwqAUAO92ZVCwAAAA="/>
  </w:docVars>
  <w:rsids>
    <w:rsidRoot w:val="00BF6AC5"/>
    <w:rsid w:val="000005BD"/>
    <w:rsid w:val="000008A4"/>
    <w:rsid w:val="00001605"/>
    <w:rsid w:val="00001BB7"/>
    <w:rsid w:val="00002E03"/>
    <w:rsid w:val="00003E35"/>
    <w:rsid w:val="000054DF"/>
    <w:rsid w:val="000058FA"/>
    <w:rsid w:val="00006D66"/>
    <w:rsid w:val="0001101C"/>
    <w:rsid w:val="000110DC"/>
    <w:rsid w:val="00011D23"/>
    <w:rsid w:val="00011F36"/>
    <w:rsid w:val="00012352"/>
    <w:rsid w:val="000135BF"/>
    <w:rsid w:val="000137DB"/>
    <w:rsid w:val="00014358"/>
    <w:rsid w:val="00014AA0"/>
    <w:rsid w:val="00015290"/>
    <w:rsid w:val="000158AA"/>
    <w:rsid w:val="000159B9"/>
    <w:rsid w:val="00016B6E"/>
    <w:rsid w:val="000175FF"/>
    <w:rsid w:val="00017F7F"/>
    <w:rsid w:val="00020D37"/>
    <w:rsid w:val="000212C3"/>
    <w:rsid w:val="00023205"/>
    <w:rsid w:val="00023E21"/>
    <w:rsid w:val="00025ABC"/>
    <w:rsid w:val="00025BFF"/>
    <w:rsid w:val="00025FB5"/>
    <w:rsid w:val="00026412"/>
    <w:rsid w:val="00026EF8"/>
    <w:rsid w:val="000270FA"/>
    <w:rsid w:val="00027B23"/>
    <w:rsid w:val="000302A2"/>
    <w:rsid w:val="000315CE"/>
    <w:rsid w:val="00031C4B"/>
    <w:rsid w:val="00031F6F"/>
    <w:rsid w:val="000328FC"/>
    <w:rsid w:val="00034768"/>
    <w:rsid w:val="00034D6E"/>
    <w:rsid w:val="00035109"/>
    <w:rsid w:val="0004188F"/>
    <w:rsid w:val="00042A1A"/>
    <w:rsid w:val="00045DEE"/>
    <w:rsid w:val="000476B2"/>
    <w:rsid w:val="0005089D"/>
    <w:rsid w:val="000524AE"/>
    <w:rsid w:val="000525BC"/>
    <w:rsid w:val="0005341B"/>
    <w:rsid w:val="00055F60"/>
    <w:rsid w:val="000560BE"/>
    <w:rsid w:val="00056D06"/>
    <w:rsid w:val="00060148"/>
    <w:rsid w:val="00060F04"/>
    <w:rsid w:val="000656CA"/>
    <w:rsid w:val="000670F7"/>
    <w:rsid w:val="00070E37"/>
    <w:rsid w:val="00070FEE"/>
    <w:rsid w:val="000720CC"/>
    <w:rsid w:val="000730A3"/>
    <w:rsid w:val="00073222"/>
    <w:rsid w:val="00073EAB"/>
    <w:rsid w:val="000746FE"/>
    <w:rsid w:val="00074F97"/>
    <w:rsid w:val="000758D5"/>
    <w:rsid w:val="000767E5"/>
    <w:rsid w:val="000770BA"/>
    <w:rsid w:val="000815AB"/>
    <w:rsid w:val="00082B62"/>
    <w:rsid w:val="0008323F"/>
    <w:rsid w:val="00083801"/>
    <w:rsid w:val="000865D0"/>
    <w:rsid w:val="00090A7D"/>
    <w:rsid w:val="00092580"/>
    <w:rsid w:val="00092DFF"/>
    <w:rsid w:val="0009317E"/>
    <w:rsid w:val="000937BC"/>
    <w:rsid w:val="00093C02"/>
    <w:rsid w:val="00093F22"/>
    <w:rsid w:val="000955E7"/>
    <w:rsid w:val="00095B45"/>
    <w:rsid w:val="000A110D"/>
    <w:rsid w:val="000A3C9B"/>
    <w:rsid w:val="000A463D"/>
    <w:rsid w:val="000A478F"/>
    <w:rsid w:val="000A4D13"/>
    <w:rsid w:val="000A5B32"/>
    <w:rsid w:val="000A67D8"/>
    <w:rsid w:val="000A685B"/>
    <w:rsid w:val="000A74D5"/>
    <w:rsid w:val="000A7D75"/>
    <w:rsid w:val="000B01E1"/>
    <w:rsid w:val="000B1D83"/>
    <w:rsid w:val="000B2066"/>
    <w:rsid w:val="000B3461"/>
    <w:rsid w:val="000B3CD0"/>
    <w:rsid w:val="000B45E3"/>
    <w:rsid w:val="000B481C"/>
    <w:rsid w:val="000B55BC"/>
    <w:rsid w:val="000B62B6"/>
    <w:rsid w:val="000B66F9"/>
    <w:rsid w:val="000B745A"/>
    <w:rsid w:val="000C3414"/>
    <w:rsid w:val="000C5269"/>
    <w:rsid w:val="000C5C64"/>
    <w:rsid w:val="000C6679"/>
    <w:rsid w:val="000C6C5C"/>
    <w:rsid w:val="000C6DDB"/>
    <w:rsid w:val="000C725F"/>
    <w:rsid w:val="000C768B"/>
    <w:rsid w:val="000D0183"/>
    <w:rsid w:val="000D066E"/>
    <w:rsid w:val="000D0831"/>
    <w:rsid w:val="000D1757"/>
    <w:rsid w:val="000D41D3"/>
    <w:rsid w:val="000D682C"/>
    <w:rsid w:val="000D6DA1"/>
    <w:rsid w:val="000E074F"/>
    <w:rsid w:val="000E2E02"/>
    <w:rsid w:val="000E3C0C"/>
    <w:rsid w:val="000E46EE"/>
    <w:rsid w:val="000E47E7"/>
    <w:rsid w:val="000E5420"/>
    <w:rsid w:val="000E5439"/>
    <w:rsid w:val="000E6017"/>
    <w:rsid w:val="000E716C"/>
    <w:rsid w:val="000F0A4B"/>
    <w:rsid w:val="000F0BD4"/>
    <w:rsid w:val="000F0FC1"/>
    <w:rsid w:val="000F1664"/>
    <w:rsid w:val="000F1CF7"/>
    <w:rsid w:val="000F2172"/>
    <w:rsid w:val="000F23BF"/>
    <w:rsid w:val="000F2FC6"/>
    <w:rsid w:val="000F3129"/>
    <w:rsid w:val="000F5FDB"/>
    <w:rsid w:val="000F6E6A"/>
    <w:rsid w:val="00101511"/>
    <w:rsid w:val="00102686"/>
    <w:rsid w:val="00102B64"/>
    <w:rsid w:val="0010380A"/>
    <w:rsid w:val="00105252"/>
    <w:rsid w:val="001053A5"/>
    <w:rsid w:val="001101FF"/>
    <w:rsid w:val="0011036E"/>
    <w:rsid w:val="00110E0A"/>
    <w:rsid w:val="00112AEC"/>
    <w:rsid w:val="001130B0"/>
    <w:rsid w:val="0011369B"/>
    <w:rsid w:val="00113D43"/>
    <w:rsid w:val="00114166"/>
    <w:rsid w:val="0011451D"/>
    <w:rsid w:val="001164A4"/>
    <w:rsid w:val="001165E7"/>
    <w:rsid w:val="0011742E"/>
    <w:rsid w:val="00117668"/>
    <w:rsid w:val="001176ED"/>
    <w:rsid w:val="00120668"/>
    <w:rsid w:val="00120ECF"/>
    <w:rsid w:val="001214C9"/>
    <w:rsid w:val="00123B67"/>
    <w:rsid w:val="00123D10"/>
    <w:rsid w:val="00124809"/>
    <w:rsid w:val="00124B13"/>
    <w:rsid w:val="00124E7C"/>
    <w:rsid w:val="00126344"/>
    <w:rsid w:val="00126B33"/>
    <w:rsid w:val="00126EE5"/>
    <w:rsid w:val="00133635"/>
    <w:rsid w:val="00133642"/>
    <w:rsid w:val="00133EDB"/>
    <w:rsid w:val="00134937"/>
    <w:rsid w:val="00135277"/>
    <w:rsid w:val="00135A39"/>
    <w:rsid w:val="00136CFA"/>
    <w:rsid w:val="00137B42"/>
    <w:rsid w:val="00137F1B"/>
    <w:rsid w:val="0014136C"/>
    <w:rsid w:val="0015175F"/>
    <w:rsid w:val="00152F55"/>
    <w:rsid w:val="00153001"/>
    <w:rsid w:val="00153436"/>
    <w:rsid w:val="0015398C"/>
    <w:rsid w:val="00154B00"/>
    <w:rsid w:val="00155057"/>
    <w:rsid w:val="00157473"/>
    <w:rsid w:val="00160BBB"/>
    <w:rsid w:val="00160F36"/>
    <w:rsid w:val="00162415"/>
    <w:rsid w:val="00162B49"/>
    <w:rsid w:val="00164292"/>
    <w:rsid w:val="001644E9"/>
    <w:rsid w:val="0016520F"/>
    <w:rsid w:val="00165435"/>
    <w:rsid w:val="001660DA"/>
    <w:rsid w:val="001662F9"/>
    <w:rsid w:val="00166493"/>
    <w:rsid w:val="001671C0"/>
    <w:rsid w:val="001679A6"/>
    <w:rsid w:val="001700C6"/>
    <w:rsid w:val="00174D0D"/>
    <w:rsid w:val="00176D6B"/>
    <w:rsid w:val="00176E64"/>
    <w:rsid w:val="0018126B"/>
    <w:rsid w:val="0018213E"/>
    <w:rsid w:val="001845D9"/>
    <w:rsid w:val="001847D9"/>
    <w:rsid w:val="00185FDD"/>
    <w:rsid w:val="0018630F"/>
    <w:rsid w:val="00186496"/>
    <w:rsid w:val="00187ECE"/>
    <w:rsid w:val="00190298"/>
    <w:rsid w:val="001906CD"/>
    <w:rsid w:val="00191486"/>
    <w:rsid w:val="00191B99"/>
    <w:rsid w:val="0019216B"/>
    <w:rsid w:val="00192FBD"/>
    <w:rsid w:val="00193880"/>
    <w:rsid w:val="001939BA"/>
    <w:rsid w:val="00193CB4"/>
    <w:rsid w:val="0019694B"/>
    <w:rsid w:val="00196A5C"/>
    <w:rsid w:val="00196D4C"/>
    <w:rsid w:val="00197776"/>
    <w:rsid w:val="00197D29"/>
    <w:rsid w:val="001A02E3"/>
    <w:rsid w:val="001A0AE8"/>
    <w:rsid w:val="001A13BA"/>
    <w:rsid w:val="001A19CE"/>
    <w:rsid w:val="001A1ADF"/>
    <w:rsid w:val="001A365C"/>
    <w:rsid w:val="001A4B55"/>
    <w:rsid w:val="001A6FE5"/>
    <w:rsid w:val="001B171D"/>
    <w:rsid w:val="001B25B2"/>
    <w:rsid w:val="001B29A1"/>
    <w:rsid w:val="001B5169"/>
    <w:rsid w:val="001B5CA1"/>
    <w:rsid w:val="001B6164"/>
    <w:rsid w:val="001B69A8"/>
    <w:rsid w:val="001C029C"/>
    <w:rsid w:val="001C12CD"/>
    <w:rsid w:val="001C19AF"/>
    <w:rsid w:val="001C227D"/>
    <w:rsid w:val="001C48CB"/>
    <w:rsid w:val="001C579F"/>
    <w:rsid w:val="001C678C"/>
    <w:rsid w:val="001D2284"/>
    <w:rsid w:val="001D2C6C"/>
    <w:rsid w:val="001D2CF3"/>
    <w:rsid w:val="001D3117"/>
    <w:rsid w:val="001D563F"/>
    <w:rsid w:val="001D760F"/>
    <w:rsid w:val="001D77ED"/>
    <w:rsid w:val="001D7A16"/>
    <w:rsid w:val="001D7E87"/>
    <w:rsid w:val="001E0496"/>
    <w:rsid w:val="001E1180"/>
    <w:rsid w:val="001E23EA"/>
    <w:rsid w:val="001E4C7C"/>
    <w:rsid w:val="001E63AC"/>
    <w:rsid w:val="001E6919"/>
    <w:rsid w:val="001E6958"/>
    <w:rsid w:val="001E76CE"/>
    <w:rsid w:val="001E79E3"/>
    <w:rsid w:val="001E7A99"/>
    <w:rsid w:val="001F0C58"/>
    <w:rsid w:val="001F15C8"/>
    <w:rsid w:val="001F1746"/>
    <w:rsid w:val="001F1867"/>
    <w:rsid w:val="001F221B"/>
    <w:rsid w:val="001F2D21"/>
    <w:rsid w:val="001F38B0"/>
    <w:rsid w:val="001F7BF6"/>
    <w:rsid w:val="00200E2C"/>
    <w:rsid w:val="00201924"/>
    <w:rsid w:val="00202473"/>
    <w:rsid w:val="0020341A"/>
    <w:rsid w:val="00204C99"/>
    <w:rsid w:val="00204E68"/>
    <w:rsid w:val="002053F2"/>
    <w:rsid w:val="002055D4"/>
    <w:rsid w:val="00206407"/>
    <w:rsid w:val="00206D63"/>
    <w:rsid w:val="00206E7E"/>
    <w:rsid w:val="002109C8"/>
    <w:rsid w:val="00210CC9"/>
    <w:rsid w:val="00211017"/>
    <w:rsid w:val="00211507"/>
    <w:rsid w:val="0021185D"/>
    <w:rsid w:val="0021221F"/>
    <w:rsid w:val="00212E64"/>
    <w:rsid w:val="00213615"/>
    <w:rsid w:val="0021497B"/>
    <w:rsid w:val="00214EF2"/>
    <w:rsid w:val="0021735C"/>
    <w:rsid w:val="00221AB6"/>
    <w:rsid w:val="00226777"/>
    <w:rsid w:val="00227903"/>
    <w:rsid w:val="00231007"/>
    <w:rsid w:val="00232394"/>
    <w:rsid w:val="002325DB"/>
    <w:rsid w:val="0023473C"/>
    <w:rsid w:val="002349BC"/>
    <w:rsid w:val="00235BD1"/>
    <w:rsid w:val="00240589"/>
    <w:rsid w:val="00241F68"/>
    <w:rsid w:val="00242B0E"/>
    <w:rsid w:val="00242B75"/>
    <w:rsid w:val="002434FB"/>
    <w:rsid w:val="0024367A"/>
    <w:rsid w:val="00247DF0"/>
    <w:rsid w:val="00250C54"/>
    <w:rsid w:val="00252F61"/>
    <w:rsid w:val="002535B3"/>
    <w:rsid w:val="002542BA"/>
    <w:rsid w:val="00254813"/>
    <w:rsid w:val="002548A2"/>
    <w:rsid w:val="00254E1F"/>
    <w:rsid w:val="002555A1"/>
    <w:rsid w:val="00255F9D"/>
    <w:rsid w:val="00256477"/>
    <w:rsid w:val="0025710E"/>
    <w:rsid w:val="00257FF2"/>
    <w:rsid w:val="00262B1D"/>
    <w:rsid w:val="00263277"/>
    <w:rsid w:val="00265822"/>
    <w:rsid w:val="0027105F"/>
    <w:rsid w:val="002711FB"/>
    <w:rsid w:val="002712A7"/>
    <w:rsid w:val="00271B56"/>
    <w:rsid w:val="00271BA5"/>
    <w:rsid w:val="0027220F"/>
    <w:rsid w:val="0027421F"/>
    <w:rsid w:val="002778E5"/>
    <w:rsid w:val="00277EC0"/>
    <w:rsid w:val="002802FE"/>
    <w:rsid w:val="002815D9"/>
    <w:rsid w:val="00281F59"/>
    <w:rsid w:val="00282B37"/>
    <w:rsid w:val="00282BE8"/>
    <w:rsid w:val="00283318"/>
    <w:rsid w:val="00285525"/>
    <w:rsid w:val="00285B1D"/>
    <w:rsid w:val="00285EC2"/>
    <w:rsid w:val="00285F68"/>
    <w:rsid w:val="0028645A"/>
    <w:rsid w:val="002879D7"/>
    <w:rsid w:val="00287C30"/>
    <w:rsid w:val="00290E78"/>
    <w:rsid w:val="00291075"/>
    <w:rsid w:val="002917F9"/>
    <w:rsid w:val="00294CD8"/>
    <w:rsid w:val="00295971"/>
    <w:rsid w:val="00296405"/>
    <w:rsid w:val="00297A5E"/>
    <w:rsid w:val="00297AD5"/>
    <w:rsid w:val="002A1B65"/>
    <w:rsid w:val="002A1E15"/>
    <w:rsid w:val="002A270B"/>
    <w:rsid w:val="002A3984"/>
    <w:rsid w:val="002A3C12"/>
    <w:rsid w:val="002A50FD"/>
    <w:rsid w:val="002A6753"/>
    <w:rsid w:val="002B0808"/>
    <w:rsid w:val="002B144A"/>
    <w:rsid w:val="002B1518"/>
    <w:rsid w:val="002B1738"/>
    <w:rsid w:val="002B18BA"/>
    <w:rsid w:val="002B28D7"/>
    <w:rsid w:val="002B2DF1"/>
    <w:rsid w:val="002B401E"/>
    <w:rsid w:val="002B4CDC"/>
    <w:rsid w:val="002B5F3B"/>
    <w:rsid w:val="002B719A"/>
    <w:rsid w:val="002B7EB6"/>
    <w:rsid w:val="002C0720"/>
    <w:rsid w:val="002C0B61"/>
    <w:rsid w:val="002C15E6"/>
    <w:rsid w:val="002C1A32"/>
    <w:rsid w:val="002C247D"/>
    <w:rsid w:val="002C3345"/>
    <w:rsid w:val="002C3D9C"/>
    <w:rsid w:val="002C46D6"/>
    <w:rsid w:val="002C4B52"/>
    <w:rsid w:val="002D3118"/>
    <w:rsid w:val="002D31D8"/>
    <w:rsid w:val="002D409A"/>
    <w:rsid w:val="002D4246"/>
    <w:rsid w:val="002D4620"/>
    <w:rsid w:val="002D52AD"/>
    <w:rsid w:val="002D603E"/>
    <w:rsid w:val="002D6181"/>
    <w:rsid w:val="002E0037"/>
    <w:rsid w:val="002E09C6"/>
    <w:rsid w:val="002E14E5"/>
    <w:rsid w:val="002E463B"/>
    <w:rsid w:val="002E6063"/>
    <w:rsid w:val="002E7814"/>
    <w:rsid w:val="002F038F"/>
    <w:rsid w:val="002F06F9"/>
    <w:rsid w:val="002F2B40"/>
    <w:rsid w:val="002F30E7"/>
    <w:rsid w:val="002F3464"/>
    <w:rsid w:val="002F5F4B"/>
    <w:rsid w:val="002F6CE3"/>
    <w:rsid w:val="002F7902"/>
    <w:rsid w:val="002F7E5B"/>
    <w:rsid w:val="003002E2"/>
    <w:rsid w:val="00300EEB"/>
    <w:rsid w:val="003013A9"/>
    <w:rsid w:val="00301700"/>
    <w:rsid w:val="00301958"/>
    <w:rsid w:val="003020B5"/>
    <w:rsid w:val="003027BB"/>
    <w:rsid w:val="00305E42"/>
    <w:rsid w:val="0031046B"/>
    <w:rsid w:val="00310A10"/>
    <w:rsid w:val="003129AC"/>
    <w:rsid w:val="0031412B"/>
    <w:rsid w:val="00314C73"/>
    <w:rsid w:val="003160DA"/>
    <w:rsid w:val="0031731B"/>
    <w:rsid w:val="00317DC3"/>
    <w:rsid w:val="00323277"/>
    <w:rsid w:val="003237EF"/>
    <w:rsid w:val="00324CCA"/>
    <w:rsid w:val="00325441"/>
    <w:rsid w:val="00326130"/>
    <w:rsid w:val="003272CD"/>
    <w:rsid w:val="00327617"/>
    <w:rsid w:val="00327D25"/>
    <w:rsid w:val="00330183"/>
    <w:rsid w:val="003319A7"/>
    <w:rsid w:val="00332D52"/>
    <w:rsid w:val="00334BCC"/>
    <w:rsid w:val="00334FE3"/>
    <w:rsid w:val="0033590F"/>
    <w:rsid w:val="00335C3A"/>
    <w:rsid w:val="00335F81"/>
    <w:rsid w:val="00337B16"/>
    <w:rsid w:val="00340A04"/>
    <w:rsid w:val="003414E0"/>
    <w:rsid w:val="0034183E"/>
    <w:rsid w:val="003421AE"/>
    <w:rsid w:val="00342F2A"/>
    <w:rsid w:val="003433D1"/>
    <w:rsid w:val="00344B24"/>
    <w:rsid w:val="003456B9"/>
    <w:rsid w:val="00345A2E"/>
    <w:rsid w:val="00346703"/>
    <w:rsid w:val="00347A66"/>
    <w:rsid w:val="0035067D"/>
    <w:rsid w:val="003511CB"/>
    <w:rsid w:val="0035349B"/>
    <w:rsid w:val="00353A16"/>
    <w:rsid w:val="00356073"/>
    <w:rsid w:val="0035776D"/>
    <w:rsid w:val="00357BBD"/>
    <w:rsid w:val="0036103B"/>
    <w:rsid w:val="0036243B"/>
    <w:rsid w:val="0036360F"/>
    <w:rsid w:val="00363F03"/>
    <w:rsid w:val="003647DE"/>
    <w:rsid w:val="00364FD9"/>
    <w:rsid w:val="003660E8"/>
    <w:rsid w:val="00366657"/>
    <w:rsid w:val="00367226"/>
    <w:rsid w:val="00367C1B"/>
    <w:rsid w:val="00370983"/>
    <w:rsid w:val="00370F85"/>
    <w:rsid w:val="00371291"/>
    <w:rsid w:val="00371866"/>
    <w:rsid w:val="00373E27"/>
    <w:rsid w:val="00375FD6"/>
    <w:rsid w:val="00376B61"/>
    <w:rsid w:val="00377CB6"/>
    <w:rsid w:val="00382407"/>
    <w:rsid w:val="00385027"/>
    <w:rsid w:val="00385EF9"/>
    <w:rsid w:val="00386A64"/>
    <w:rsid w:val="00386D1A"/>
    <w:rsid w:val="00386FA1"/>
    <w:rsid w:val="00390142"/>
    <w:rsid w:val="003904AC"/>
    <w:rsid w:val="003907B5"/>
    <w:rsid w:val="00392F00"/>
    <w:rsid w:val="00396EFA"/>
    <w:rsid w:val="00397377"/>
    <w:rsid w:val="003974E3"/>
    <w:rsid w:val="00397F2C"/>
    <w:rsid w:val="003A1E16"/>
    <w:rsid w:val="003A22DE"/>
    <w:rsid w:val="003A2860"/>
    <w:rsid w:val="003A3014"/>
    <w:rsid w:val="003A3C35"/>
    <w:rsid w:val="003A43DD"/>
    <w:rsid w:val="003A4BEB"/>
    <w:rsid w:val="003A5797"/>
    <w:rsid w:val="003A62D6"/>
    <w:rsid w:val="003A6FE6"/>
    <w:rsid w:val="003A7D30"/>
    <w:rsid w:val="003B126E"/>
    <w:rsid w:val="003B1D5E"/>
    <w:rsid w:val="003B2E5E"/>
    <w:rsid w:val="003B3038"/>
    <w:rsid w:val="003B38F1"/>
    <w:rsid w:val="003B3C5C"/>
    <w:rsid w:val="003B4418"/>
    <w:rsid w:val="003B4DA3"/>
    <w:rsid w:val="003B4DC2"/>
    <w:rsid w:val="003B605D"/>
    <w:rsid w:val="003B63E2"/>
    <w:rsid w:val="003B7DC7"/>
    <w:rsid w:val="003B7FE3"/>
    <w:rsid w:val="003C0052"/>
    <w:rsid w:val="003C41B6"/>
    <w:rsid w:val="003C47CA"/>
    <w:rsid w:val="003C68D1"/>
    <w:rsid w:val="003C73FD"/>
    <w:rsid w:val="003D0004"/>
    <w:rsid w:val="003D02E8"/>
    <w:rsid w:val="003D3E1D"/>
    <w:rsid w:val="003D4843"/>
    <w:rsid w:val="003D5BFD"/>
    <w:rsid w:val="003D6DE1"/>
    <w:rsid w:val="003D795C"/>
    <w:rsid w:val="003E0923"/>
    <w:rsid w:val="003E0C9C"/>
    <w:rsid w:val="003E24DB"/>
    <w:rsid w:val="003E25EF"/>
    <w:rsid w:val="003E2D43"/>
    <w:rsid w:val="003E30FB"/>
    <w:rsid w:val="003E4FBF"/>
    <w:rsid w:val="003E6F48"/>
    <w:rsid w:val="003E7300"/>
    <w:rsid w:val="003F00CD"/>
    <w:rsid w:val="003F01EF"/>
    <w:rsid w:val="003F02B2"/>
    <w:rsid w:val="003F069C"/>
    <w:rsid w:val="003F0D45"/>
    <w:rsid w:val="003F0E9C"/>
    <w:rsid w:val="003F0EE8"/>
    <w:rsid w:val="003F2711"/>
    <w:rsid w:val="003F3D75"/>
    <w:rsid w:val="003F49B8"/>
    <w:rsid w:val="003F4D12"/>
    <w:rsid w:val="003F4D56"/>
    <w:rsid w:val="003F51D0"/>
    <w:rsid w:val="003F6C70"/>
    <w:rsid w:val="003F78D4"/>
    <w:rsid w:val="003F7CB9"/>
    <w:rsid w:val="00400C52"/>
    <w:rsid w:val="00401F4B"/>
    <w:rsid w:val="00403333"/>
    <w:rsid w:val="00403B4F"/>
    <w:rsid w:val="00404AD3"/>
    <w:rsid w:val="00405D67"/>
    <w:rsid w:val="004072AF"/>
    <w:rsid w:val="00407411"/>
    <w:rsid w:val="00407D63"/>
    <w:rsid w:val="00411735"/>
    <w:rsid w:val="00415136"/>
    <w:rsid w:val="00415C74"/>
    <w:rsid w:val="0041603F"/>
    <w:rsid w:val="00417558"/>
    <w:rsid w:val="00420091"/>
    <w:rsid w:val="00423141"/>
    <w:rsid w:val="00425B17"/>
    <w:rsid w:val="00426037"/>
    <w:rsid w:val="00426ABB"/>
    <w:rsid w:val="00426C3E"/>
    <w:rsid w:val="00427DD5"/>
    <w:rsid w:val="004301E7"/>
    <w:rsid w:val="00431CC7"/>
    <w:rsid w:val="00432353"/>
    <w:rsid w:val="0043411A"/>
    <w:rsid w:val="00436429"/>
    <w:rsid w:val="0043654D"/>
    <w:rsid w:val="00436CAD"/>
    <w:rsid w:val="004371E3"/>
    <w:rsid w:val="00437EE8"/>
    <w:rsid w:val="00437F60"/>
    <w:rsid w:val="00441C7F"/>
    <w:rsid w:val="00441F11"/>
    <w:rsid w:val="00442241"/>
    <w:rsid w:val="00443186"/>
    <w:rsid w:val="00443784"/>
    <w:rsid w:val="0044477F"/>
    <w:rsid w:val="00445F67"/>
    <w:rsid w:val="00450A16"/>
    <w:rsid w:val="004516F9"/>
    <w:rsid w:val="00451840"/>
    <w:rsid w:val="004526F0"/>
    <w:rsid w:val="004558ED"/>
    <w:rsid w:val="00456DEC"/>
    <w:rsid w:val="004607F0"/>
    <w:rsid w:val="00460C9A"/>
    <w:rsid w:val="00460D57"/>
    <w:rsid w:val="00460EBD"/>
    <w:rsid w:val="0046291C"/>
    <w:rsid w:val="00462B60"/>
    <w:rsid w:val="00462CE4"/>
    <w:rsid w:val="0046470C"/>
    <w:rsid w:val="00464924"/>
    <w:rsid w:val="0046775B"/>
    <w:rsid w:val="00472DDB"/>
    <w:rsid w:val="00472F59"/>
    <w:rsid w:val="0047363C"/>
    <w:rsid w:val="00473BAB"/>
    <w:rsid w:val="0047581D"/>
    <w:rsid w:val="00475FA4"/>
    <w:rsid w:val="004774C6"/>
    <w:rsid w:val="00477E23"/>
    <w:rsid w:val="00480289"/>
    <w:rsid w:val="00481279"/>
    <w:rsid w:val="0048291A"/>
    <w:rsid w:val="00483139"/>
    <w:rsid w:val="00483157"/>
    <w:rsid w:val="004832AB"/>
    <w:rsid w:val="00483368"/>
    <w:rsid w:val="00483ACC"/>
    <w:rsid w:val="00484A0A"/>
    <w:rsid w:val="0048604E"/>
    <w:rsid w:val="004913E9"/>
    <w:rsid w:val="00494011"/>
    <w:rsid w:val="0049427F"/>
    <w:rsid w:val="00497995"/>
    <w:rsid w:val="004A052E"/>
    <w:rsid w:val="004A0BF4"/>
    <w:rsid w:val="004A110C"/>
    <w:rsid w:val="004A21FE"/>
    <w:rsid w:val="004A263B"/>
    <w:rsid w:val="004A2970"/>
    <w:rsid w:val="004A4DB6"/>
    <w:rsid w:val="004A4EC8"/>
    <w:rsid w:val="004A6B97"/>
    <w:rsid w:val="004A7E75"/>
    <w:rsid w:val="004B16B0"/>
    <w:rsid w:val="004B1710"/>
    <w:rsid w:val="004B2138"/>
    <w:rsid w:val="004B340A"/>
    <w:rsid w:val="004B35FD"/>
    <w:rsid w:val="004B362D"/>
    <w:rsid w:val="004B68AE"/>
    <w:rsid w:val="004B6A51"/>
    <w:rsid w:val="004B7955"/>
    <w:rsid w:val="004B7E88"/>
    <w:rsid w:val="004C028A"/>
    <w:rsid w:val="004C2DD3"/>
    <w:rsid w:val="004C35B0"/>
    <w:rsid w:val="004C3BC3"/>
    <w:rsid w:val="004C49EF"/>
    <w:rsid w:val="004C4A19"/>
    <w:rsid w:val="004C5570"/>
    <w:rsid w:val="004C64D9"/>
    <w:rsid w:val="004C72A0"/>
    <w:rsid w:val="004C7ED2"/>
    <w:rsid w:val="004D00C9"/>
    <w:rsid w:val="004D2684"/>
    <w:rsid w:val="004D355E"/>
    <w:rsid w:val="004D56E5"/>
    <w:rsid w:val="004E0A65"/>
    <w:rsid w:val="004E16F5"/>
    <w:rsid w:val="004E35B1"/>
    <w:rsid w:val="004E3CC7"/>
    <w:rsid w:val="004E40C9"/>
    <w:rsid w:val="004E43EE"/>
    <w:rsid w:val="004E5B69"/>
    <w:rsid w:val="004E6B0A"/>
    <w:rsid w:val="004F0174"/>
    <w:rsid w:val="004F09EE"/>
    <w:rsid w:val="004F0C0F"/>
    <w:rsid w:val="004F2A87"/>
    <w:rsid w:val="004F2E1A"/>
    <w:rsid w:val="004F302D"/>
    <w:rsid w:val="004F4B79"/>
    <w:rsid w:val="004F553D"/>
    <w:rsid w:val="004F6BAD"/>
    <w:rsid w:val="004F7D8A"/>
    <w:rsid w:val="004F7F9C"/>
    <w:rsid w:val="005001BE"/>
    <w:rsid w:val="00501F4D"/>
    <w:rsid w:val="00502518"/>
    <w:rsid w:val="00507C56"/>
    <w:rsid w:val="00511663"/>
    <w:rsid w:val="00511A98"/>
    <w:rsid w:val="0051514D"/>
    <w:rsid w:val="00515478"/>
    <w:rsid w:val="00515EAD"/>
    <w:rsid w:val="00516784"/>
    <w:rsid w:val="00517792"/>
    <w:rsid w:val="00520A34"/>
    <w:rsid w:val="00520C51"/>
    <w:rsid w:val="00521FEF"/>
    <w:rsid w:val="0052344E"/>
    <w:rsid w:val="00523700"/>
    <w:rsid w:val="00523E78"/>
    <w:rsid w:val="00523EBB"/>
    <w:rsid w:val="00525DF9"/>
    <w:rsid w:val="00526478"/>
    <w:rsid w:val="005268C6"/>
    <w:rsid w:val="00526F44"/>
    <w:rsid w:val="0052706F"/>
    <w:rsid w:val="005272F8"/>
    <w:rsid w:val="00527A44"/>
    <w:rsid w:val="00527E4D"/>
    <w:rsid w:val="00530204"/>
    <w:rsid w:val="00532885"/>
    <w:rsid w:val="005328C9"/>
    <w:rsid w:val="00532A87"/>
    <w:rsid w:val="0053325E"/>
    <w:rsid w:val="00533394"/>
    <w:rsid w:val="00534C5F"/>
    <w:rsid w:val="00535048"/>
    <w:rsid w:val="00535AE5"/>
    <w:rsid w:val="00537978"/>
    <w:rsid w:val="00540257"/>
    <w:rsid w:val="00541118"/>
    <w:rsid w:val="0054192F"/>
    <w:rsid w:val="00541981"/>
    <w:rsid w:val="00541DC5"/>
    <w:rsid w:val="00544EB3"/>
    <w:rsid w:val="005457BA"/>
    <w:rsid w:val="0054594B"/>
    <w:rsid w:val="00546038"/>
    <w:rsid w:val="00547171"/>
    <w:rsid w:val="0054749B"/>
    <w:rsid w:val="00550AA1"/>
    <w:rsid w:val="00550CE9"/>
    <w:rsid w:val="00550ECC"/>
    <w:rsid w:val="00550FBD"/>
    <w:rsid w:val="00551CC6"/>
    <w:rsid w:val="00553ECE"/>
    <w:rsid w:val="00554E7A"/>
    <w:rsid w:val="0055633D"/>
    <w:rsid w:val="00556956"/>
    <w:rsid w:val="00557C16"/>
    <w:rsid w:val="00557D4A"/>
    <w:rsid w:val="0056015F"/>
    <w:rsid w:val="00560541"/>
    <w:rsid w:val="00562704"/>
    <w:rsid w:val="005645F0"/>
    <w:rsid w:val="00564E32"/>
    <w:rsid w:val="005658F0"/>
    <w:rsid w:val="00566496"/>
    <w:rsid w:val="005672D0"/>
    <w:rsid w:val="005674F8"/>
    <w:rsid w:val="00571613"/>
    <w:rsid w:val="00572262"/>
    <w:rsid w:val="00572CEB"/>
    <w:rsid w:val="005749F5"/>
    <w:rsid w:val="00574FB9"/>
    <w:rsid w:val="00577541"/>
    <w:rsid w:val="00580B0E"/>
    <w:rsid w:val="00580E59"/>
    <w:rsid w:val="00582865"/>
    <w:rsid w:val="00583284"/>
    <w:rsid w:val="005834C9"/>
    <w:rsid w:val="005857F5"/>
    <w:rsid w:val="00586DBF"/>
    <w:rsid w:val="00586E8B"/>
    <w:rsid w:val="00587579"/>
    <w:rsid w:val="00591510"/>
    <w:rsid w:val="005919E9"/>
    <w:rsid w:val="00593BB8"/>
    <w:rsid w:val="00594325"/>
    <w:rsid w:val="0059536C"/>
    <w:rsid w:val="00596A6F"/>
    <w:rsid w:val="00597C02"/>
    <w:rsid w:val="005A0595"/>
    <w:rsid w:val="005A1351"/>
    <w:rsid w:val="005A33D0"/>
    <w:rsid w:val="005A4B4A"/>
    <w:rsid w:val="005A5638"/>
    <w:rsid w:val="005A58BA"/>
    <w:rsid w:val="005A5D30"/>
    <w:rsid w:val="005A5EF9"/>
    <w:rsid w:val="005A5F32"/>
    <w:rsid w:val="005A6AB9"/>
    <w:rsid w:val="005A6E7D"/>
    <w:rsid w:val="005A7D57"/>
    <w:rsid w:val="005A7DA9"/>
    <w:rsid w:val="005B1676"/>
    <w:rsid w:val="005B16E0"/>
    <w:rsid w:val="005B1A53"/>
    <w:rsid w:val="005B36FB"/>
    <w:rsid w:val="005B4342"/>
    <w:rsid w:val="005B44F7"/>
    <w:rsid w:val="005B4BA1"/>
    <w:rsid w:val="005B60C4"/>
    <w:rsid w:val="005B6CA0"/>
    <w:rsid w:val="005C135A"/>
    <w:rsid w:val="005C1EFD"/>
    <w:rsid w:val="005C2997"/>
    <w:rsid w:val="005C333E"/>
    <w:rsid w:val="005C3AE7"/>
    <w:rsid w:val="005C3D96"/>
    <w:rsid w:val="005C4B59"/>
    <w:rsid w:val="005C4B60"/>
    <w:rsid w:val="005C5936"/>
    <w:rsid w:val="005C62B1"/>
    <w:rsid w:val="005D0677"/>
    <w:rsid w:val="005D0B27"/>
    <w:rsid w:val="005D2274"/>
    <w:rsid w:val="005D29F8"/>
    <w:rsid w:val="005D2C2A"/>
    <w:rsid w:val="005D539A"/>
    <w:rsid w:val="005D5F8F"/>
    <w:rsid w:val="005D62E1"/>
    <w:rsid w:val="005E0D36"/>
    <w:rsid w:val="005E143B"/>
    <w:rsid w:val="005E1499"/>
    <w:rsid w:val="005E291A"/>
    <w:rsid w:val="005E294C"/>
    <w:rsid w:val="005E2CE3"/>
    <w:rsid w:val="005E2D1C"/>
    <w:rsid w:val="005E5832"/>
    <w:rsid w:val="005E5EAA"/>
    <w:rsid w:val="005E651D"/>
    <w:rsid w:val="005E75E2"/>
    <w:rsid w:val="005F16E3"/>
    <w:rsid w:val="005F26AE"/>
    <w:rsid w:val="005F3ABA"/>
    <w:rsid w:val="005F3F07"/>
    <w:rsid w:val="005F516E"/>
    <w:rsid w:val="005F547E"/>
    <w:rsid w:val="005F578B"/>
    <w:rsid w:val="005F5B72"/>
    <w:rsid w:val="005F628A"/>
    <w:rsid w:val="00600494"/>
    <w:rsid w:val="00601628"/>
    <w:rsid w:val="0060359A"/>
    <w:rsid w:val="00603865"/>
    <w:rsid w:val="00603B40"/>
    <w:rsid w:val="00603D04"/>
    <w:rsid w:val="00605721"/>
    <w:rsid w:val="00606857"/>
    <w:rsid w:val="00610CFC"/>
    <w:rsid w:val="006133D0"/>
    <w:rsid w:val="0061344D"/>
    <w:rsid w:val="006134BE"/>
    <w:rsid w:val="00613F05"/>
    <w:rsid w:val="006146EB"/>
    <w:rsid w:val="006148CF"/>
    <w:rsid w:val="006151A9"/>
    <w:rsid w:val="00615A89"/>
    <w:rsid w:val="00615F42"/>
    <w:rsid w:val="006232B9"/>
    <w:rsid w:val="006243A3"/>
    <w:rsid w:val="006258C2"/>
    <w:rsid w:val="00626365"/>
    <w:rsid w:val="00626880"/>
    <w:rsid w:val="00630E22"/>
    <w:rsid w:val="00633285"/>
    <w:rsid w:val="00633CC5"/>
    <w:rsid w:val="0063461C"/>
    <w:rsid w:val="00634D02"/>
    <w:rsid w:val="00636891"/>
    <w:rsid w:val="00636D64"/>
    <w:rsid w:val="00637032"/>
    <w:rsid w:val="00637525"/>
    <w:rsid w:val="00637EAC"/>
    <w:rsid w:val="00640512"/>
    <w:rsid w:val="0064168C"/>
    <w:rsid w:val="0064294D"/>
    <w:rsid w:val="00643323"/>
    <w:rsid w:val="0064360A"/>
    <w:rsid w:val="00643755"/>
    <w:rsid w:val="006479BD"/>
    <w:rsid w:val="00650B3D"/>
    <w:rsid w:val="006547E8"/>
    <w:rsid w:val="00654B88"/>
    <w:rsid w:val="00657B46"/>
    <w:rsid w:val="00661205"/>
    <w:rsid w:val="00662581"/>
    <w:rsid w:val="00663202"/>
    <w:rsid w:val="00664438"/>
    <w:rsid w:val="00665140"/>
    <w:rsid w:val="00665A25"/>
    <w:rsid w:val="00667AD0"/>
    <w:rsid w:val="00671BAF"/>
    <w:rsid w:val="00672016"/>
    <w:rsid w:val="006738EA"/>
    <w:rsid w:val="00673D87"/>
    <w:rsid w:val="006764EC"/>
    <w:rsid w:val="006768BA"/>
    <w:rsid w:val="0067708F"/>
    <w:rsid w:val="00677332"/>
    <w:rsid w:val="0067736E"/>
    <w:rsid w:val="0067779D"/>
    <w:rsid w:val="00677E58"/>
    <w:rsid w:val="00681ECA"/>
    <w:rsid w:val="006835FE"/>
    <w:rsid w:val="00683B34"/>
    <w:rsid w:val="006866AE"/>
    <w:rsid w:val="00687198"/>
    <w:rsid w:val="00687E6A"/>
    <w:rsid w:val="00690CF4"/>
    <w:rsid w:val="00691E91"/>
    <w:rsid w:val="00692F22"/>
    <w:rsid w:val="00693BFD"/>
    <w:rsid w:val="00695065"/>
    <w:rsid w:val="00695842"/>
    <w:rsid w:val="006A1038"/>
    <w:rsid w:val="006A109A"/>
    <w:rsid w:val="006A16D8"/>
    <w:rsid w:val="006A257E"/>
    <w:rsid w:val="006A3662"/>
    <w:rsid w:val="006A649A"/>
    <w:rsid w:val="006B1B49"/>
    <w:rsid w:val="006B2A40"/>
    <w:rsid w:val="006B3B4C"/>
    <w:rsid w:val="006B5D26"/>
    <w:rsid w:val="006B6390"/>
    <w:rsid w:val="006B6D94"/>
    <w:rsid w:val="006B7835"/>
    <w:rsid w:val="006C0356"/>
    <w:rsid w:val="006C0514"/>
    <w:rsid w:val="006C0843"/>
    <w:rsid w:val="006C32CF"/>
    <w:rsid w:val="006C6931"/>
    <w:rsid w:val="006C6B4E"/>
    <w:rsid w:val="006C74B1"/>
    <w:rsid w:val="006C7AA0"/>
    <w:rsid w:val="006C7FC8"/>
    <w:rsid w:val="006D1B05"/>
    <w:rsid w:val="006D23F3"/>
    <w:rsid w:val="006D43A7"/>
    <w:rsid w:val="006D6569"/>
    <w:rsid w:val="006D6D8A"/>
    <w:rsid w:val="006D7086"/>
    <w:rsid w:val="006E4089"/>
    <w:rsid w:val="006E426C"/>
    <w:rsid w:val="006E57AA"/>
    <w:rsid w:val="006F0059"/>
    <w:rsid w:val="006F01AC"/>
    <w:rsid w:val="006F1BD4"/>
    <w:rsid w:val="006F1CF2"/>
    <w:rsid w:val="006F20CF"/>
    <w:rsid w:val="006F29B9"/>
    <w:rsid w:val="006F3591"/>
    <w:rsid w:val="006F38ED"/>
    <w:rsid w:val="006F4CDD"/>
    <w:rsid w:val="006F65EF"/>
    <w:rsid w:val="006F6C71"/>
    <w:rsid w:val="006F74D4"/>
    <w:rsid w:val="007004F9"/>
    <w:rsid w:val="00700C69"/>
    <w:rsid w:val="007017C0"/>
    <w:rsid w:val="00701B18"/>
    <w:rsid w:val="00702111"/>
    <w:rsid w:val="0070256F"/>
    <w:rsid w:val="00703A5E"/>
    <w:rsid w:val="00704082"/>
    <w:rsid w:val="00704640"/>
    <w:rsid w:val="00705AB2"/>
    <w:rsid w:val="007062FD"/>
    <w:rsid w:val="00706542"/>
    <w:rsid w:val="00707D4D"/>
    <w:rsid w:val="00710211"/>
    <w:rsid w:val="00710761"/>
    <w:rsid w:val="00711760"/>
    <w:rsid w:val="00712AD5"/>
    <w:rsid w:val="00713FD4"/>
    <w:rsid w:val="00714CE9"/>
    <w:rsid w:val="007211BF"/>
    <w:rsid w:val="00723446"/>
    <w:rsid w:val="00723503"/>
    <w:rsid w:val="00724347"/>
    <w:rsid w:val="007247E8"/>
    <w:rsid w:val="00724AE6"/>
    <w:rsid w:val="007255BB"/>
    <w:rsid w:val="00725D17"/>
    <w:rsid w:val="00725E2F"/>
    <w:rsid w:val="00725E48"/>
    <w:rsid w:val="007260BB"/>
    <w:rsid w:val="007278E2"/>
    <w:rsid w:val="00730C04"/>
    <w:rsid w:val="00731B38"/>
    <w:rsid w:val="00732C92"/>
    <w:rsid w:val="00732FB7"/>
    <w:rsid w:val="007337C9"/>
    <w:rsid w:val="007353F8"/>
    <w:rsid w:val="0073597B"/>
    <w:rsid w:val="007374E2"/>
    <w:rsid w:val="007378F6"/>
    <w:rsid w:val="00737D06"/>
    <w:rsid w:val="007424A6"/>
    <w:rsid w:val="00743A55"/>
    <w:rsid w:val="0074545D"/>
    <w:rsid w:val="00745A88"/>
    <w:rsid w:val="007466D8"/>
    <w:rsid w:val="00750205"/>
    <w:rsid w:val="00750DBA"/>
    <w:rsid w:val="007522E3"/>
    <w:rsid w:val="0075335B"/>
    <w:rsid w:val="00753C44"/>
    <w:rsid w:val="00754383"/>
    <w:rsid w:val="007564D1"/>
    <w:rsid w:val="0075679C"/>
    <w:rsid w:val="0075719D"/>
    <w:rsid w:val="00757232"/>
    <w:rsid w:val="007574FC"/>
    <w:rsid w:val="00757692"/>
    <w:rsid w:val="00760004"/>
    <w:rsid w:val="00760679"/>
    <w:rsid w:val="007606E8"/>
    <w:rsid w:val="00763628"/>
    <w:rsid w:val="0076434B"/>
    <w:rsid w:val="007648EE"/>
    <w:rsid w:val="00764CB0"/>
    <w:rsid w:val="00765B40"/>
    <w:rsid w:val="00767E99"/>
    <w:rsid w:val="00770141"/>
    <w:rsid w:val="00770C39"/>
    <w:rsid w:val="007712F1"/>
    <w:rsid w:val="00771B76"/>
    <w:rsid w:val="00772E62"/>
    <w:rsid w:val="00774B5A"/>
    <w:rsid w:val="00775A6A"/>
    <w:rsid w:val="00775EB0"/>
    <w:rsid w:val="00776E8F"/>
    <w:rsid w:val="0077734D"/>
    <w:rsid w:val="0077789B"/>
    <w:rsid w:val="00780D29"/>
    <w:rsid w:val="0078158A"/>
    <w:rsid w:val="007822A7"/>
    <w:rsid w:val="007825AC"/>
    <w:rsid w:val="00783489"/>
    <w:rsid w:val="0078391E"/>
    <w:rsid w:val="00783AC8"/>
    <w:rsid w:val="00783E2E"/>
    <w:rsid w:val="00785937"/>
    <w:rsid w:val="00785D67"/>
    <w:rsid w:val="00786392"/>
    <w:rsid w:val="00787C14"/>
    <w:rsid w:val="00787D76"/>
    <w:rsid w:val="00791C8D"/>
    <w:rsid w:val="0079354C"/>
    <w:rsid w:val="0079399D"/>
    <w:rsid w:val="00794181"/>
    <w:rsid w:val="00794AA7"/>
    <w:rsid w:val="007961D2"/>
    <w:rsid w:val="00796212"/>
    <w:rsid w:val="007964BD"/>
    <w:rsid w:val="00796F1B"/>
    <w:rsid w:val="007A202C"/>
    <w:rsid w:val="007A294A"/>
    <w:rsid w:val="007A4B27"/>
    <w:rsid w:val="007A72E8"/>
    <w:rsid w:val="007A7A06"/>
    <w:rsid w:val="007A7F6F"/>
    <w:rsid w:val="007B1EA2"/>
    <w:rsid w:val="007B2736"/>
    <w:rsid w:val="007B3B74"/>
    <w:rsid w:val="007B4499"/>
    <w:rsid w:val="007B4C76"/>
    <w:rsid w:val="007B55D5"/>
    <w:rsid w:val="007B77D5"/>
    <w:rsid w:val="007C05B8"/>
    <w:rsid w:val="007C2260"/>
    <w:rsid w:val="007C263E"/>
    <w:rsid w:val="007C27F8"/>
    <w:rsid w:val="007C2A32"/>
    <w:rsid w:val="007C4631"/>
    <w:rsid w:val="007C5761"/>
    <w:rsid w:val="007C6A2C"/>
    <w:rsid w:val="007C7272"/>
    <w:rsid w:val="007D006D"/>
    <w:rsid w:val="007D1E52"/>
    <w:rsid w:val="007D2358"/>
    <w:rsid w:val="007D2A4F"/>
    <w:rsid w:val="007D34C6"/>
    <w:rsid w:val="007D3E40"/>
    <w:rsid w:val="007D4C16"/>
    <w:rsid w:val="007D5B8D"/>
    <w:rsid w:val="007D5EDC"/>
    <w:rsid w:val="007D6E12"/>
    <w:rsid w:val="007D7E68"/>
    <w:rsid w:val="007D7F5A"/>
    <w:rsid w:val="007E03CE"/>
    <w:rsid w:val="007E054E"/>
    <w:rsid w:val="007E2F04"/>
    <w:rsid w:val="007E2F8D"/>
    <w:rsid w:val="007E39E4"/>
    <w:rsid w:val="007E39E5"/>
    <w:rsid w:val="007E6FB3"/>
    <w:rsid w:val="007E7452"/>
    <w:rsid w:val="007E7DC1"/>
    <w:rsid w:val="007F1000"/>
    <w:rsid w:val="007F1EAD"/>
    <w:rsid w:val="007F21B4"/>
    <w:rsid w:val="007F2628"/>
    <w:rsid w:val="007F3D88"/>
    <w:rsid w:val="007F567C"/>
    <w:rsid w:val="007F7D79"/>
    <w:rsid w:val="008011D8"/>
    <w:rsid w:val="00802553"/>
    <w:rsid w:val="00802841"/>
    <w:rsid w:val="00802D6D"/>
    <w:rsid w:val="00803EAB"/>
    <w:rsid w:val="008046B5"/>
    <w:rsid w:val="00805880"/>
    <w:rsid w:val="00806006"/>
    <w:rsid w:val="0080629A"/>
    <w:rsid w:val="00807978"/>
    <w:rsid w:val="00807CE6"/>
    <w:rsid w:val="00810224"/>
    <w:rsid w:val="0081207E"/>
    <w:rsid w:val="008127C0"/>
    <w:rsid w:val="00812EDD"/>
    <w:rsid w:val="008139C5"/>
    <w:rsid w:val="00814A43"/>
    <w:rsid w:val="00815B4B"/>
    <w:rsid w:val="00815C82"/>
    <w:rsid w:val="0081650F"/>
    <w:rsid w:val="0081666E"/>
    <w:rsid w:val="00817A60"/>
    <w:rsid w:val="00820541"/>
    <w:rsid w:val="00821A54"/>
    <w:rsid w:val="00821C81"/>
    <w:rsid w:val="00822453"/>
    <w:rsid w:val="00822920"/>
    <w:rsid w:val="00823785"/>
    <w:rsid w:val="00824165"/>
    <w:rsid w:val="00825059"/>
    <w:rsid w:val="0082516D"/>
    <w:rsid w:val="00825EBD"/>
    <w:rsid w:val="008262F2"/>
    <w:rsid w:val="008275E8"/>
    <w:rsid w:val="00827B6E"/>
    <w:rsid w:val="00830DC9"/>
    <w:rsid w:val="00831385"/>
    <w:rsid w:val="00831D89"/>
    <w:rsid w:val="00831DB4"/>
    <w:rsid w:val="00832B31"/>
    <w:rsid w:val="0083505A"/>
    <w:rsid w:val="008353C5"/>
    <w:rsid w:val="008353E7"/>
    <w:rsid w:val="00836635"/>
    <w:rsid w:val="00837720"/>
    <w:rsid w:val="008400A6"/>
    <w:rsid w:val="008403E0"/>
    <w:rsid w:val="008415DF"/>
    <w:rsid w:val="00843517"/>
    <w:rsid w:val="00843664"/>
    <w:rsid w:val="0084425E"/>
    <w:rsid w:val="00845B88"/>
    <w:rsid w:val="008461E0"/>
    <w:rsid w:val="0084657B"/>
    <w:rsid w:val="00851AD6"/>
    <w:rsid w:val="0085255F"/>
    <w:rsid w:val="00853788"/>
    <w:rsid w:val="00855944"/>
    <w:rsid w:val="0085763E"/>
    <w:rsid w:val="008628FB"/>
    <w:rsid w:val="00864A18"/>
    <w:rsid w:val="00864E06"/>
    <w:rsid w:val="00864E5E"/>
    <w:rsid w:val="00865FCE"/>
    <w:rsid w:val="008660F1"/>
    <w:rsid w:val="00866E03"/>
    <w:rsid w:val="00870833"/>
    <w:rsid w:val="00871DD1"/>
    <w:rsid w:val="00873348"/>
    <w:rsid w:val="008733A9"/>
    <w:rsid w:val="00874571"/>
    <w:rsid w:val="00875206"/>
    <w:rsid w:val="00876823"/>
    <w:rsid w:val="00881F93"/>
    <w:rsid w:val="00882CB5"/>
    <w:rsid w:val="008833D3"/>
    <w:rsid w:val="00883641"/>
    <w:rsid w:val="0088381E"/>
    <w:rsid w:val="00884E69"/>
    <w:rsid w:val="00886C72"/>
    <w:rsid w:val="00887963"/>
    <w:rsid w:val="00890082"/>
    <w:rsid w:val="00890174"/>
    <w:rsid w:val="0089660A"/>
    <w:rsid w:val="008A07E1"/>
    <w:rsid w:val="008A1860"/>
    <w:rsid w:val="008A320B"/>
    <w:rsid w:val="008A4029"/>
    <w:rsid w:val="008A45AD"/>
    <w:rsid w:val="008A48D2"/>
    <w:rsid w:val="008A7423"/>
    <w:rsid w:val="008A7F2E"/>
    <w:rsid w:val="008B2610"/>
    <w:rsid w:val="008B471D"/>
    <w:rsid w:val="008B49E4"/>
    <w:rsid w:val="008B508E"/>
    <w:rsid w:val="008B52E6"/>
    <w:rsid w:val="008B570D"/>
    <w:rsid w:val="008B729C"/>
    <w:rsid w:val="008B7699"/>
    <w:rsid w:val="008B769B"/>
    <w:rsid w:val="008C251B"/>
    <w:rsid w:val="008C4A93"/>
    <w:rsid w:val="008C4CEF"/>
    <w:rsid w:val="008C5379"/>
    <w:rsid w:val="008C5426"/>
    <w:rsid w:val="008C618F"/>
    <w:rsid w:val="008D0B79"/>
    <w:rsid w:val="008D1A4B"/>
    <w:rsid w:val="008D3120"/>
    <w:rsid w:val="008D3824"/>
    <w:rsid w:val="008D4773"/>
    <w:rsid w:val="008D4811"/>
    <w:rsid w:val="008D48A0"/>
    <w:rsid w:val="008D53ED"/>
    <w:rsid w:val="008D7245"/>
    <w:rsid w:val="008E07BB"/>
    <w:rsid w:val="008E0E49"/>
    <w:rsid w:val="008E18A1"/>
    <w:rsid w:val="008E35FD"/>
    <w:rsid w:val="008E3D87"/>
    <w:rsid w:val="008E49E2"/>
    <w:rsid w:val="008E4C5B"/>
    <w:rsid w:val="008E4F84"/>
    <w:rsid w:val="008E568D"/>
    <w:rsid w:val="008E6227"/>
    <w:rsid w:val="008E6B9E"/>
    <w:rsid w:val="008E78B9"/>
    <w:rsid w:val="008F23B9"/>
    <w:rsid w:val="008F30AB"/>
    <w:rsid w:val="008F338A"/>
    <w:rsid w:val="008F3F41"/>
    <w:rsid w:val="008F5378"/>
    <w:rsid w:val="0090187B"/>
    <w:rsid w:val="00901F1C"/>
    <w:rsid w:val="00903DBE"/>
    <w:rsid w:val="009049E5"/>
    <w:rsid w:val="0090543D"/>
    <w:rsid w:val="009056C5"/>
    <w:rsid w:val="00905DBD"/>
    <w:rsid w:val="00906773"/>
    <w:rsid w:val="00910378"/>
    <w:rsid w:val="00910935"/>
    <w:rsid w:val="00911C4F"/>
    <w:rsid w:val="009122F1"/>
    <w:rsid w:val="00914598"/>
    <w:rsid w:val="00914C98"/>
    <w:rsid w:val="00915AED"/>
    <w:rsid w:val="00916493"/>
    <w:rsid w:val="009177E2"/>
    <w:rsid w:val="00917D6D"/>
    <w:rsid w:val="00917DEB"/>
    <w:rsid w:val="00920218"/>
    <w:rsid w:val="00921DB2"/>
    <w:rsid w:val="009220A2"/>
    <w:rsid w:val="00925835"/>
    <w:rsid w:val="009262F2"/>
    <w:rsid w:val="009269D8"/>
    <w:rsid w:val="00926D2D"/>
    <w:rsid w:val="00930CBE"/>
    <w:rsid w:val="0093131A"/>
    <w:rsid w:val="00931770"/>
    <w:rsid w:val="00936543"/>
    <w:rsid w:val="00936766"/>
    <w:rsid w:val="00937791"/>
    <w:rsid w:val="00937E32"/>
    <w:rsid w:val="0094171D"/>
    <w:rsid w:val="0094302B"/>
    <w:rsid w:val="0094303B"/>
    <w:rsid w:val="00943A5E"/>
    <w:rsid w:val="00944035"/>
    <w:rsid w:val="00944088"/>
    <w:rsid w:val="009445F8"/>
    <w:rsid w:val="009447AB"/>
    <w:rsid w:val="00945204"/>
    <w:rsid w:val="00945575"/>
    <w:rsid w:val="0095001B"/>
    <w:rsid w:val="0095014D"/>
    <w:rsid w:val="00950152"/>
    <w:rsid w:val="00950A70"/>
    <w:rsid w:val="00950F45"/>
    <w:rsid w:val="009511F8"/>
    <w:rsid w:val="009514FD"/>
    <w:rsid w:val="00951933"/>
    <w:rsid w:val="00952166"/>
    <w:rsid w:val="0095392A"/>
    <w:rsid w:val="00953B1B"/>
    <w:rsid w:val="00953DE8"/>
    <w:rsid w:val="00954343"/>
    <w:rsid w:val="009545A9"/>
    <w:rsid w:val="00955271"/>
    <w:rsid w:val="00961113"/>
    <w:rsid w:val="00961EC8"/>
    <w:rsid w:val="00961EF2"/>
    <w:rsid w:val="00963C3E"/>
    <w:rsid w:val="00963C9C"/>
    <w:rsid w:val="00964B32"/>
    <w:rsid w:val="00964EA8"/>
    <w:rsid w:val="0096503F"/>
    <w:rsid w:val="00965B51"/>
    <w:rsid w:val="00965B6B"/>
    <w:rsid w:val="00965CC0"/>
    <w:rsid w:val="009675D9"/>
    <w:rsid w:val="00967C64"/>
    <w:rsid w:val="00970B7A"/>
    <w:rsid w:val="00971EDB"/>
    <w:rsid w:val="00972BA5"/>
    <w:rsid w:val="00973FF5"/>
    <w:rsid w:val="00974D50"/>
    <w:rsid w:val="009770A6"/>
    <w:rsid w:val="009775E7"/>
    <w:rsid w:val="009775F9"/>
    <w:rsid w:val="00977B8B"/>
    <w:rsid w:val="0098179B"/>
    <w:rsid w:val="0098355A"/>
    <w:rsid w:val="009847EA"/>
    <w:rsid w:val="0098764D"/>
    <w:rsid w:val="00987ABE"/>
    <w:rsid w:val="0099030E"/>
    <w:rsid w:val="0099118C"/>
    <w:rsid w:val="00991EE4"/>
    <w:rsid w:val="00992240"/>
    <w:rsid w:val="00993835"/>
    <w:rsid w:val="009939DC"/>
    <w:rsid w:val="00993B9C"/>
    <w:rsid w:val="00995B57"/>
    <w:rsid w:val="00997F6F"/>
    <w:rsid w:val="009A1E91"/>
    <w:rsid w:val="009A2FFC"/>
    <w:rsid w:val="009A31D5"/>
    <w:rsid w:val="009A48F3"/>
    <w:rsid w:val="009A536C"/>
    <w:rsid w:val="009A5961"/>
    <w:rsid w:val="009A70D8"/>
    <w:rsid w:val="009A7704"/>
    <w:rsid w:val="009B3A17"/>
    <w:rsid w:val="009B406A"/>
    <w:rsid w:val="009B43AE"/>
    <w:rsid w:val="009B4E1E"/>
    <w:rsid w:val="009B5182"/>
    <w:rsid w:val="009B54D7"/>
    <w:rsid w:val="009B5564"/>
    <w:rsid w:val="009B6699"/>
    <w:rsid w:val="009B72E0"/>
    <w:rsid w:val="009C03FB"/>
    <w:rsid w:val="009C101F"/>
    <w:rsid w:val="009C1A0A"/>
    <w:rsid w:val="009C490F"/>
    <w:rsid w:val="009C4B4F"/>
    <w:rsid w:val="009C5A65"/>
    <w:rsid w:val="009C7506"/>
    <w:rsid w:val="009D01D8"/>
    <w:rsid w:val="009D02BE"/>
    <w:rsid w:val="009D02EB"/>
    <w:rsid w:val="009D13A4"/>
    <w:rsid w:val="009D3729"/>
    <w:rsid w:val="009D5C4A"/>
    <w:rsid w:val="009E05A5"/>
    <w:rsid w:val="009E1182"/>
    <w:rsid w:val="009E2F3A"/>
    <w:rsid w:val="009E342F"/>
    <w:rsid w:val="009E3AF4"/>
    <w:rsid w:val="009E40B4"/>
    <w:rsid w:val="009E57F3"/>
    <w:rsid w:val="009E63C2"/>
    <w:rsid w:val="009E64B6"/>
    <w:rsid w:val="009E6B51"/>
    <w:rsid w:val="009E6ECD"/>
    <w:rsid w:val="009E6FBE"/>
    <w:rsid w:val="009E719F"/>
    <w:rsid w:val="009F0A42"/>
    <w:rsid w:val="009F0C02"/>
    <w:rsid w:val="009F0D27"/>
    <w:rsid w:val="009F3F3F"/>
    <w:rsid w:val="009F47D7"/>
    <w:rsid w:val="009F514E"/>
    <w:rsid w:val="009F5290"/>
    <w:rsid w:val="009F5386"/>
    <w:rsid w:val="009F5758"/>
    <w:rsid w:val="009F5BB8"/>
    <w:rsid w:val="009F5D81"/>
    <w:rsid w:val="00A01CF3"/>
    <w:rsid w:val="00A026B7"/>
    <w:rsid w:val="00A027D0"/>
    <w:rsid w:val="00A0283F"/>
    <w:rsid w:val="00A04817"/>
    <w:rsid w:val="00A04BFC"/>
    <w:rsid w:val="00A04DBD"/>
    <w:rsid w:val="00A04DEA"/>
    <w:rsid w:val="00A04F4A"/>
    <w:rsid w:val="00A06D97"/>
    <w:rsid w:val="00A07A3B"/>
    <w:rsid w:val="00A10268"/>
    <w:rsid w:val="00A11F1A"/>
    <w:rsid w:val="00A14210"/>
    <w:rsid w:val="00A14715"/>
    <w:rsid w:val="00A14C30"/>
    <w:rsid w:val="00A16221"/>
    <w:rsid w:val="00A17701"/>
    <w:rsid w:val="00A2050D"/>
    <w:rsid w:val="00A222BF"/>
    <w:rsid w:val="00A2331C"/>
    <w:rsid w:val="00A240A8"/>
    <w:rsid w:val="00A24872"/>
    <w:rsid w:val="00A252ED"/>
    <w:rsid w:val="00A255A8"/>
    <w:rsid w:val="00A26343"/>
    <w:rsid w:val="00A31EFE"/>
    <w:rsid w:val="00A33E98"/>
    <w:rsid w:val="00A345ED"/>
    <w:rsid w:val="00A36C46"/>
    <w:rsid w:val="00A37946"/>
    <w:rsid w:val="00A37A9A"/>
    <w:rsid w:val="00A40141"/>
    <w:rsid w:val="00A408B5"/>
    <w:rsid w:val="00A411FE"/>
    <w:rsid w:val="00A431F7"/>
    <w:rsid w:val="00A45412"/>
    <w:rsid w:val="00A45A62"/>
    <w:rsid w:val="00A4690B"/>
    <w:rsid w:val="00A50590"/>
    <w:rsid w:val="00A529E2"/>
    <w:rsid w:val="00A539F8"/>
    <w:rsid w:val="00A54F5F"/>
    <w:rsid w:val="00A55963"/>
    <w:rsid w:val="00A57F94"/>
    <w:rsid w:val="00A625EC"/>
    <w:rsid w:val="00A6491A"/>
    <w:rsid w:val="00A64DC0"/>
    <w:rsid w:val="00A6594E"/>
    <w:rsid w:val="00A65E08"/>
    <w:rsid w:val="00A67C48"/>
    <w:rsid w:val="00A71692"/>
    <w:rsid w:val="00A727B6"/>
    <w:rsid w:val="00A72F1A"/>
    <w:rsid w:val="00A739D5"/>
    <w:rsid w:val="00A75D46"/>
    <w:rsid w:val="00A76F61"/>
    <w:rsid w:val="00A80A38"/>
    <w:rsid w:val="00A81972"/>
    <w:rsid w:val="00A81CC6"/>
    <w:rsid w:val="00A81E6D"/>
    <w:rsid w:val="00A83EC6"/>
    <w:rsid w:val="00A84D3D"/>
    <w:rsid w:val="00A86724"/>
    <w:rsid w:val="00A86997"/>
    <w:rsid w:val="00A86BCD"/>
    <w:rsid w:val="00A86DC6"/>
    <w:rsid w:val="00A872E8"/>
    <w:rsid w:val="00A8732C"/>
    <w:rsid w:val="00A9062D"/>
    <w:rsid w:val="00A91C26"/>
    <w:rsid w:val="00A93814"/>
    <w:rsid w:val="00A9398C"/>
    <w:rsid w:val="00A93C9A"/>
    <w:rsid w:val="00A93F58"/>
    <w:rsid w:val="00A9435C"/>
    <w:rsid w:val="00A955BE"/>
    <w:rsid w:val="00A96329"/>
    <w:rsid w:val="00AA127A"/>
    <w:rsid w:val="00AA134B"/>
    <w:rsid w:val="00AA1B90"/>
    <w:rsid w:val="00AA2CFE"/>
    <w:rsid w:val="00AA35DA"/>
    <w:rsid w:val="00AA5328"/>
    <w:rsid w:val="00AA5FDA"/>
    <w:rsid w:val="00AA6291"/>
    <w:rsid w:val="00AA746E"/>
    <w:rsid w:val="00AA7B46"/>
    <w:rsid w:val="00AB07B8"/>
    <w:rsid w:val="00AB15D9"/>
    <w:rsid w:val="00AB1B77"/>
    <w:rsid w:val="00AB1F03"/>
    <w:rsid w:val="00AB5596"/>
    <w:rsid w:val="00AC0C91"/>
    <w:rsid w:val="00AC1C07"/>
    <w:rsid w:val="00AC1EDE"/>
    <w:rsid w:val="00AC41AD"/>
    <w:rsid w:val="00AC4853"/>
    <w:rsid w:val="00AC4A9A"/>
    <w:rsid w:val="00AC77AC"/>
    <w:rsid w:val="00AC7810"/>
    <w:rsid w:val="00AD138D"/>
    <w:rsid w:val="00AD2E85"/>
    <w:rsid w:val="00AD37D4"/>
    <w:rsid w:val="00AD6DEE"/>
    <w:rsid w:val="00AD7986"/>
    <w:rsid w:val="00AE020D"/>
    <w:rsid w:val="00AE027D"/>
    <w:rsid w:val="00AE0CA2"/>
    <w:rsid w:val="00AE1188"/>
    <w:rsid w:val="00AE3E18"/>
    <w:rsid w:val="00AE4EB3"/>
    <w:rsid w:val="00AE522C"/>
    <w:rsid w:val="00AE52B5"/>
    <w:rsid w:val="00AE52CE"/>
    <w:rsid w:val="00AE738C"/>
    <w:rsid w:val="00AE7CCB"/>
    <w:rsid w:val="00AF084B"/>
    <w:rsid w:val="00AF1046"/>
    <w:rsid w:val="00AF1BAB"/>
    <w:rsid w:val="00AF2991"/>
    <w:rsid w:val="00AF35D1"/>
    <w:rsid w:val="00AF4466"/>
    <w:rsid w:val="00AF4514"/>
    <w:rsid w:val="00AF5D1E"/>
    <w:rsid w:val="00AF7063"/>
    <w:rsid w:val="00B00414"/>
    <w:rsid w:val="00B028BA"/>
    <w:rsid w:val="00B037DC"/>
    <w:rsid w:val="00B040A9"/>
    <w:rsid w:val="00B05182"/>
    <w:rsid w:val="00B07D8F"/>
    <w:rsid w:val="00B10597"/>
    <w:rsid w:val="00B117A5"/>
    <w:rsid w:val="00B12A2B"/>
    <w:rsid w:val="00B1306B"/>
    <w:rsid w:val="00B16DA0"/>
    <w:rsid w:val="00B1711E"/>
    <w:rsid w:val="00B17CBE"/>
    <w:rsid w:val="00B17E26"/>
    <w:rsid w:val="00B231A4"/>
    <w:rsid w:val="00B2391D"/>
    <w:rsid w:val="00B2406C"/>
    <w:rsid w:val="00B2485D"/>
    <w:rsid w:val="00B25D20"/>
    <w:rsid w:val="00B2603C"/>
    <w:rsid w:val="00B264EC"/>
    <w:rsid w:val="00B26B13"/>
    <w:rsid w:val="00B27187"/>
    <w:rsid w:val="00B274B2"/>
    <w:rsid w:val="00B30355"/>
    <w:rsid w:val="00B31C99"/>
    <w:rsid w:val="00B3246D"/>
    <w:rsid w:val="00B3298A"/>
    <w:rsid w:val="00B34181"/>
    <w:rsid w:val="00B3461B"/>
    <w:rsid w:val="00B34922"/>
    <w:rsid w:val="00B34CA9"/>
    <w:rsid w:val="00B35FF3"/>
    <w:rsid w:val="00B3731F"/>
    <w:rsid w:val="00B40388"/>
    <w:rsid w:val="00B409B3"/>
    <w:rsid w:val="00B43C2F"/>
    <w:rsid w:val="00B45CA5"/>
    <w:rsid w:val="00B46B06"/>
    <w:rsid w:val="00B47AF7"/>
    <w:rsid w:val="00B47B02"/>
    <w:rsid w:val="00B47E84"/>
    <w:rsid w:val="00B52190"/>
    <w:rsid w:val="00B52FB4"/>
    <w:rsid w:val="00B53BA6"/>
    <w:rsid w:val="00B5553A"/>
    <w:rsid w:val="00B56DCE"/>
    <w:rsid w:val="00B5731D"/>
    <w:rsid w:val="00B575EA"/>
    <w:rsid w:val="00B61296"/>
    <w:rsid w:val="00B61931"/>
    <w:rsid w:val="00B62CE4"/>
    <w:rsid w:val="00B6378B"/>
    <w:rsid w:val="00B63E3A"/>
    <w:rsid w:val="00B64AD4"/>
    <w:rsid w:val="00B64DEE"/>
    <w:rsid w:val="00B65189"/>
    <w:rsid w:val="00B6610A"/>
    <w:rsid w:val="00B6665C"/>
    <w:rsid w:val="00B6685B"/>
    <w:rsid w:val="00B6711E"/>
    <w:rsid w:val="00B70824"/>
    <w:rsid w:val="00B71857"/>
    <w:rsid w:val="00B75965"/>
    <w:rsid w:val="00B75D2A"/>
    <w:rsid w:val="00B7718A"/>
    <w:rsid w:val="00B771AD"/>
    <w:rsid w:val="00B77421"/>
    <w:rsid w:val="00B80335"/>
    <w:rsid w:val="00B814CB"/>
    <w:rsid w:val="00B83A24"/>
    <w:rsid w:val="00B85CE4"/>
    <w:rsid w:val="00B86E76"/>
    <w:rsid w:val="00B86FCD"/>
    <w:rsid w:val="00B87F33"/>
    <w:rsid w:val="00B91AB3"/>
    <w:rsid w:val="00B91B5B"/>
    <w:rsid w:val="00B91DF6"/>
    <w:rsid w:val="00B92903"/>
    <w:rsid w:val="00B92D2B"/>
    <w:rsid w:val="00B92FCA"/>
    <w:rsid w:val="00B93822"/>
    <w:rsid w:val="00B958B1"/>
    <w:rsid w:val="00B95980"/>
    <w:rsid w:val="00B97CC4"/>
    <w:rsid w:val="00BA0CF8"/>
    <w:rsid w:val="00BA0E3B"/>
    <w:rsid w:val="00BA1ADF"/>
    <w:rsid w:val="00BA4696"/>
    <w:rsid w:val="00BA4D69"/>
    <w:rsid w:val="00BA5158"/>
    <w:rsid w:val="00BA51FC"/>
    <w:rsid w:val="00BA559F"/>
    <w:rsid w:val="00BA5D40"/>
    <w:rsid w:val="00BA6D32"/>
    <w:rsid w:val="00BA7201"/>
    <w:rsid w:val="00BA72E3"/>
    <w:rsid w:val="00BB003A"/>
    <w:rsid w:val="00BB1027"/>
    <w:rsid w:val="00BB17B3"/>
    <w:rsid w:val="00BB269C"/>
    <w:rsid w:val="00BB2866"/>
    <w:rsid w:val="00BB3358"/>
    <w:rsid w:val="00BB3382"/>
    <w:rsid w:val="00BB3643"/>
    <w:rsid w:val="00BB4800"/>
    <w:rsid w:val="00BC0102"/>
    <w:rsid w:val="00BC3D7E"/>
    <w:rsid w:val="00BC3DA0"/>
    <w:rsid w:val="00BC424B"/>
    <w:rsid w:val="00BC4E93"/>
    <w:rsid w:val="00BC56E7"/>
    <w:rsid w:val="00BC73FC"/>
    <w:rsid w:val="00BC7959"/>
    <w:rsid w:val="00BD0792"/>
    <w:rsid w:val="00BD0E3D"/>
    <w:rsid w:val="00BD11DA"/>
    <w:rsid w:val="00BD1540"/>
    <w:rsid w:val="00BD30EB"/>
    <w:rsid w:val="00BD4251"/>
    <w:rsid w:val="00BD47C6"/>
    <w:rsid w:val="00BD5A7C"/>
    <w:rsid w:val="00BD6C44"/>
    <w:rsid w:val="00BE05A1"/>
    <w:rsid w:val="00BE0FDE"/>
    <w:rsid w:val="00BE143E"/>
    <w:rsid w:val="00BE1BAC"/>
    <w:rsid w:val="00BE2E82"/>
    <w:rsid w:val="00BE3C53"/>
    <w:rsid w:val="00BE3E20"/>
    <w:rsid w:val="00BE5431"/>
    <w:rsid w:val="00BE6655"/>
    <w:rsid w:val="00BF15C2"/>
    <w:rsid w:val="00BF1779"/>
    <w:rsid w:val="00BF2882"/>
    <w:rsid w:val="00BF51F9"/>
    <w:rsid w:val="00BF5E62"/>
    <w:rsid w:val="00BF6497"/>
    <w:rsid w:val="00BF6AC5"/>
    <w:rsid w:val="00C001CF"/>
    <w:rsid w:val="00C01121"/>
    <w:rsid w:val="00C02917"/>
    <w:rsid w:val="00C030A5"/>
    <w:rsid w:val="00C04394"/>
    <w:rsid w:val="00C05563"/>
    <w:rsid w:val="00C05A45"/>
    <w:rsid w:val="00C0796F"/>
    <w:rsid w:val="00C10838"/>
    <w:rsid w:val="00C11183"/>
    <w:rsid w:val="00C11B34"/>
    <w:rsid w:val="00C120BE"/>
    <w:rsid w:val="00C12C5C"/>
    <w:rsid w:val="00C16877"/>
    <w:rsid w:val="00C171FB"/>
    <w:rsid w:val="00C209C2"/>
    <w:rsid w:val="00C2267F"/>
    <w:rsid w:val="00C22AD8"/>
    <w:rsid w:val="00C24AF6"/>
    <w:rsid w:val="00C25DB0"/>
    <w:rsid w:val="00C268CB"/>
    <w:rsid w:val="00C31654"/>
    <w:rsid w:val="00C33420"/>
    <w:rsid w:val="00C34974"/>
    <w:rsid w:val="00C3557E"/>
    <w:rsid w:val="00C3594B"/>
    <w:rsid w:val="00C35ADD"/>
    <w:rsid w:val="00C37F86"/>
    <w:rsid w:val="00C40A73"/>
    <w:rsid w:val="00C41373"/>
    <w:rsid w:val="00C4175B"/>
    <w:rsid w:val="00C42502"/>
    <w:rsid w:val="00C42E59"/>
    <w:rsid w:val="00C43102"/>
    <w:rsid w:val="00C44390"/>
    <w:rsid w:val="00C449B4"/>
    <w:rsid w:val="00C4696B"/>
    <w:rsid w:val="00C46E94"/>
    <w:rsid w:val="00C50513"/>
    <w:rsid w:val="00C50787"/>
    <w:rsid w:val="00C50C18"/>
    <w:rsid w:val="00C513CE"/>
    <w:rsid w:val="00C514FE"/>
    <w:rsid w:val="00C51588"/>
    <w:rsid w:val="00C51A0C"/>
    <w:rsid w:val="00C51F2E"/>
    <w:rsid w:val="00C529A9"/>
    <w:rsid w:val="00C53A98"/>
    <w:rsid w:val="00C53E99"/>
    <w:rsid w:val="00C54503"/>
    <w:rsid w:val="00C55761"/>
    <w:rsid w:val="00C56A27"/>
    <w:rsid w:val="00C61099"/>
    <w:rsid w:val="00C61F25"/>
    <w:rsid w:val="00C622CF"/>
    <w:rsid w:val="00C63055"/>
    <w:rsid w:val="00C63F71"/>
    <w:rsid w:val="00C704FC"/>
    <w:rsid w:val="00C70E96"/>
    <w:rsid w:val="00C713FC"/>
    <w:rsid w:val="00C71E54"/>
    <w:rsid w:val="00C720F5"/>
    <w:rsid w:val="00C727FF"/>
    <w:rsid w:val="00C72FE9"/>
    <w:rsid w:val="00C73B62"/>
    <w:rsid w:val="00C758C5"/>
    <w:rsid w:val="00C75BF7"/>
    <w:rsid w:val="00C776B1"/>
    <w:rsid w:val="00C80E7B"/>
    <w:rsid w:val="00C815FE"/>
    <w:rsid w:val="00C81F62"/>
    <w:rsid w:val="00C81FA0"/>
    <w:rsid w:val="00C822EF"/>
    <w:rsid w:val="00C83749"/>
    <w:rsid w:val="00C847AE"/>
    <w:rsid w:val="00C85064"/>
    <w:rsid w:val="00C85CAE"/>
    <w:rsid w:val="00C86B1D"/>
    <w:rsid w:val="00C90154"/>
    <w:rsid w:val="00C90B34"/>
    <w:rsid w:val="00C925E5"/>
    <w:rsid w:val="00C95845"/>
    <w:rsid w:val="00C96931"/>
    <w:rsid w:val="00C96ACA"/>
    <w:rsid w:val="00CA00D3"/>
    <w:rsid w:val="00CA04C6"/>
    <w:rsid w:val="00CA050A"/>
    <w:rsid w:val="00CA215F"/>
    <w:rsid w:val="00CA26DD"/>
    <w:rsid w:val="00CA2823"/>
    <w:rsid w:val="00CA28D0"/>
    <w:rsid w:val="00CA322D"/>
    <w:rsid w:val="00CA3C07"/>
    <w:rsid w:val="00CA66E0"/>
    <w:rsid w:val="00CB0881"/>
    <w:rsid w:val="00CB111A"/>
    <w:rsid w:val="00CB12EC"/>
    <w:rsid w:val="00CB21C1"/>
    <w:rsid w:val="00CB28D7"/>
    <w:rsid w:val="00CB4E29"/>
    <w:rsid w:val="00CB534B"/>
    <w:rsid w:val="00CB5C4C"/>
    <w:rsid w:val="00CB5D5A"/>
    <w:rsid w:val="00CB679E"/>
    <w:rsid w:val="00CB78C8"/>
    <w:rsid w:val="00CB7EE6"/>
    <w:rsid w:val="00CC024E"/>
    <w:rsid w:val="00CC04C9"/>
    <w:rsid w:val="00CC09D7"/>
    <w:rsid w:val="00CC1230"/>
    <w:rsid w:val="00CC12B8"/>
    <w:rsid w:val="00CC287A"/>
    <w:rsid w:val="00CC4A1C"/>
    <w:rsid w:val="00CC5461"/>
    <w:rsid w:val="00CC5AB1"/>
    <w:rsid w:val="00CC6713"/>
    <w:rsid w:val="00CC6CCA"/>
    <w:rsid w:val="00CD02CF"/>
    <w:rsid w:val="00CD13FA"/>
    <w:rsid w:val="00CD22E3"/>
    <w:rsid w:val="00CD4E44"/>
    <w:rsid w:val="00CD5AE4"/>
    <w:rsid w:val="00CD5BB5"/>
    <w:rsid w:val="00CD5EA3"/>
    <w:rsid w:val="00CD6981"/>
    <w:rsid w:val="00CD7A7D"/>
    <w:rsid w:val="00CE006F"/>
    <w:rsid w:val="00CE0122"/>
    <w:rsid w:val="00CE063D"/>
    <w:rsid w:val="00CE0F9E"/>
    <w:rsid w:val="00CE3292"/>
    <w:rsid w:val="00CE58A3"/>
    <w:rsid w:val="00CE62D4"/>
    <w:rsid w:val="00CE7635"/>
    <w:rsid w:val="00CE7878"/>
    <w:rsid w:val="00CF1026"/>
    <w:rsid w:val="00CF1654"/>
    <w:rsid w:val="00CF187A"/>
    <w:rsid w:val="00CF2D8E"/>
    <w:rsid w:val="00CF2DFA"/>
    <w:rsid w:val="00CF5163"/>
    <w:rsid w:val="00CF5AD8"/>
    <w:rsid w:val="00CF5B2B"/>
    <w:rsid w:val="00D00122"/>
    <w:rsid w:val="00D01D2A"/>
    <w:rsid w:val="00D020CA"/>
    <w:rsid w:val="00D02254"/>
    <w:rsid w:val="00D03FD3"/>
    <w:rsid w:val="00D04123"/>
    <w:rsid w:val="00D051AF"/>
    <w:rsid w:val="00D05DF0"/>
    <w:rsid w:val="00D10134"/>
    <w:rsid w:val="00D101CD"/>
    <w:rsid w:val="00D10635"/>
    <w:rsid w:val="00D10B47"/>
    <w:rsid w:val="00D11D83"/>
    <w:rsid w:val="00D11EB1"/>
    <w:rsid w:val="00D135A0"/>
    <w:rsid w:val="00D1365A"/>
    <w:rsid w:val="00D16DF7"/>
    <w:rsid w:val="00D17D2E"/>
    <w:rsid w:val="00D17F17"/>
    <w:rsid w:val="00D2062E"/>
    <w:rsid w:val="00D2126C"/>
    <w:rsid w:val="00D216EF"/>
    <w:rsid w:val="00D23597"/>
    <w:rsid w:val="00D237E6"/>
    <w:rsid w:val="00D269F6"/>
    <w:rsid w:val="00D276F8"/>
    <w:rsid w:val="00D27C68"/>
    <w:rsid w:val="00D302AF"/>
    <w:rsid w:val="00D30BDC"/>
    <w:rsid w:val="00D30F4A"/>
    <w:rsid w:val="00D312B3"/>
    <w:rsid w:val="00D34565"/>
    <w:rsid w:val="00D34C6C"/>
    <w:rsid w:val="00D36EDC"/>
    <w:rsid w:val="00D43719"/>
    <w:rsid w:val="00D46389"/>
    <w:rsid w:val="00D475C9"/>
    <w:rsid w:val="00D479F4"/>
    <w:rsid w:val="00D52412"/>
    <w:rsid w:val="00D53BD7"/>
    <w:rsid w:val="00D55F72"/>
    <w:rsid w:val="00D56765"/>
    <w:rsid w:val="00D5763E"/>
    <w:rsid w:val="00D57F88"/>
    <w:rsid w:val="00D6103D"/>
    <w:rsid w:val="00D63118"/>
    <w:rsid w:val="00D63488"/>
    <w:rsid w:val="00D63DCF"/>
    <w:rsid w:val="00D648D4"/>
    <w:rsid w:val="00D64E42"/>
    <w:rsid w:val="00D66914"/>
    <w:rsid w:val="00D66F0D"/>
    <w:rsid w:val="00D673E7"/>
    <w:rsid w:val="00D7015A"/>
    <w:rsid w:val="00D7027F"/>
    <w:rsid w:val="00D7105C"/>
    <w:rsid w:val="00D7252A"/>
    <w:rsid w:val="00D73646"/>
    <w:rsid w:val="00D74635"/>
    <w:rsid w:val="00D75934"/>
    <w:rsid w:val="00D777B4"/>
    <w:rsid w:val="00D77A10"/>
    <w:rsid w:val="00D77A90"/>
    <w:rsid w:val="00D8038D"/>
    <w:rsid w:val="00D804E5"/>
    <w:rsid w:val="00D80A35"/>
    <w:rsid w:val="00D80CEE"/>
    <w:rsid w:val="00D80D6F"/>
    <w:rsid w:val="00D82AD8"/>
    <w:rsid w:val="00D82E3B"/>
    <w:rsid w:val="00D8360B"/>
    <w:rsid w:val="00D8371E"/>
    <w:rsid w:val="00D85676"/>
    <w:rsid w:val="00D85691"/>
    <w:rsid w:val="00D85AFF"/>
    <w:rsid w:val="00D8658A"/>
    <w:rsid w:val="00D87944"/>
    <w:rsid w:val="00D90241"/>
    <w:rsid w:val="00D90364"/>
    <w:rsid w:val="00D91853"/>
    <w:rsid w:val="00D91C01"/>
    <w:rsid w:val="00D945BA"/>
    <w:rsid w:val="00D94948"/>
    <w:rsid w:val="00D950D5"/>
    <w:rsid w:val="00D96ADA"/>
    <w:rsid w:val="00DA12C9"/>
    <w:rsid w:val="00DA2886"/>
    <w:rsid w:val="00DA2D1C"/>
    <w:rsid w:val="00DA2F86"/>
    <w:rsid w:val="00DA36EB"/>
    <w:rsid w:val="00DA4228"/>
    <w:rsid w:val="00DA5E50"/>
    <w:rsid w:val="00DA5F5B"/>
    <w:rsid w:val="00DA6B51"/>
    <w:rsid w:val="00DA7D0C"/>
    <w:rsid w:val="00DB1AA2"/>
    <w:rsid w:val="00DB311C"/>
    <w:rsid w:val="00DB432D"/>
    <w:rsid w:val="00DB4565"/>
    <w:rsid w:val="00DB519B"/>
    <w:rsid w:val="00DB5E58"/>
    <w:rsid w:val="00DB78F6"/>
    <w:rsid w:val="00DC2C3A"/>
    <w:rsid w:val="00DC3101"/>
    <w:rsid w:val="00DC3349"/>
    <w:rsid w:val="00DC3662"/>
    <w:rsid w:val="00DC48BE"/>
    <w:rsid w:val="00DC50A4"/>
    <w:rsid w:val="00DC5FC0"/>
    <w:rsid w:val="00DC7285"/>
    <w:rsid w:val="00DC7366"/>
    <w:rsid w:val="00DC7694"/>
    <w:rsid w:val="00DC7FBE"/>
    <w:rsid w:val="00DC7FFB"/>
    <w:rsid w:val="00DD0161"/>
    <w:rsid w:val="00DD0232"/>
    <w:rsid w:val="00DD057C"/>
    <w:rsid w:val="00DD130E"/>
    <w:rsid w:val="00DD308E"/>
    <w:rsid w:val="00DD3631"/>
    <w:rsid w:val="00DD39B9"/>
    <w:rsid w:val="00DD5027"/>
    <w:rsid w:val="00DD6061"/>
    <w:rsid w:val="00DD631C"/>
    <w:rsid w:val="00DD6F93"/>
    <w:rsid w:val="00DD75E7"/>
    <w:rsid w:val="00DE03EF"/>
    <w:rsid w:val="00DE0620"/>
    <w:rsid w:val="00DE1095"/>
    <w:rsid w:val="00DE4129"/>
    <w:rsid w:val="00DE44C6"/>
    <w:rsid w:val="00DE49E1"/>
    <w:rsid w:val="00DE5441"/>
    <w:rsid w:val="00DE7973"/>
    <w:rsid w:val="00DE7B64"/>
    <w:rsid w:val="00DE7F3D"/>
    <w:rsid w:val="00DF0856"/>
    <w:rsid w:val="00DF0C51"/>
    <w:rsid w:val="00DF0D47"/>
    <w:rsid w:val="00DF1652"/>
    <w:rsid w:val="00DF1A2A"/>
    <w:rsid w:val="00DF1FF8"/>
    <w:rsid w:val="00DF23EC"/>
    <w:rsid w:val="00DF2DDB"/>
    <w:rsid w:val="00DF327B"/>
    <w:rsid w:val="00DF5320"/>
    <w:rsid w:val="00DF6D37"/>
    <w:rsid w:val="00DF6F12"/>
    <w:rsid w:val="00E002F1"/>
    <w:rsid w:val="00E00B35"/>
    <w:rsid w:val="00E01220"/>
    <w:rsid w:val="00E020E7"/>
    <w:rsid w:val="00E02744"/>
    <w:rsid w:val="00E028E3"/>
    <w:rsid w:val="00E03DA9"/>
    <w:rsid w:val="00E048ED"/>
    <w:rsid w:val="00E04FB3"/>
    <w:rsid w:val="00E058F2"/>
    <w:rsid w:val="00E05D9C"/>
    <w:rsid w:val="00E06102"/>
    <w:rsid w:val="00E06BEA"/>
    <w:rsid w:val="00E06BF0"/>
    <w:rsid w:val="00E06EFF"/>
    <w:rsid w:val="00E07A8F"/>
    <w:rsid w:val="00E110C9"/>
    <w:rsid w:val="00E15836"/>
    <w:rsid w:val="00E1585A"/>
    <w:rsid w:val="00E164E6"/>
    <w:rsid w:val="00E2060F"/>
    <w:rsid w:val="00E2204B"/>
    <w:rsid w:val="00E23E71"/>
    <w:rsid w:val="00E25A8F"/>
    <w:rsid w:val="00E278A3"/>
    <w:rsid w:val="00E27DC0"/>
    <w:rsid w:val="00E300AC"/>
    <w:rsid w:val="00E3074D"/>
    <w:rsid w:val="00E30F19"/>
    <w:rsid w:val="00E33C4A"/>
    <w:rsid w:val="00E34259"/>
    <w:rsid w:val="00E357B9"/>
    <w:rsid w:val="00E416AB"/>
    <w:rsid w:val="00E4321E"/>
    <w:rsid w:val="00E43AFA"/>
    <w:rsid w:val="00E44B80"/>
    <w:rsid w:val="00E47623"/>
    <w:rsid w:val="00E51327"/>
    <w:rsid w:val="00E526B0"/>
    <w:rsid w:val="00E53E8B"/>
    <w:rsid w:val="00E5610F"/>
    <w:rsid w:val="00E60529"/>
    <w:rsid w:val="00E606A7"/>
    <w:rsid w:val="00E61EE4"/>
    <w:rsid w:val="00E6222F"/>
    <w:rsid w:val="00E629BB"/>
    <w:rsid w:val="00E62F4E"/>
    <w:rsid w:val="00E632B0"/>
    <w:rsid w:val="00E637CC"/>
    <w:rsid w:val="00E641EF"/>
    <w:rsid w:val="00E664B0"/>
    <w:rsid w:val="00E67105"/>
    <w:rsid w:val="00E70D86"/>
    <w:rsid w:val="00E742D5"/>
    <w:rsid w:val="00E75D9E"/>
    <w:rsid w:val="00E7628E"/>
    <w:rsid w:val="00E76996"/>
    <w:rsid w:val="00E80316"/>
    <w:rsid w:val="00E80389"/>
    <w:rsid w:val="00E810C6"/>
    <w:rsid w:val="00E81A24"/>
    <w:rsid w:val="00E82920"/>
    <w:rsid w:val="00E82F54"/>
    <w:rsid w:val="00E83C25"/>
    <w:rsid w:val="00E83D55"/>
    <w:rsid w:val="00E848F8"/>
    <w:rsid w:val="00E852EF"/>
    <w:rsid w:val="00E853DE"/>
    <w:rsid w:val="00E85C2F"/>
    <w:rsid w:val="00E8649B"/>
    <w:rsid w:val="00E871CD"/>
    <w:rsid w:val="00E873B3"/>
    <w:rsid w:val="00E90990"/>
    <w:rsid w:val="00E92C7D"/>
    <w:rsid w:val="00E933FE"/>
    <w:rsid w:val="00E940F5"/>
    <w:rsid w:val="00E94D1F"/>
    <w:rsid w:val="00E953CC"/>
    <w:rsid w:val="00E954BD"/>
    <w:rsid w:val="00E95D3D"/>
    <w:rsid w:val="00E95FE2"/>
    <w:rsid w:val="00E96C9A"/>
    <w:rsid w:val="00E974D1"/>
    <w:rsid w:val="00E97BE1"/>
    <w:rsid w:val="00EA06B2"/>
    <w:rsid w:val="00EA0815"/>
    <w:rsid w:val="00EA0E25"/>
    <w:rsid w:val="00EA14B0"/>
    <w:rsid w:val="00EA173C"/>
    <w:rsid w:val="00EA23DE"/>
    <w:rsid w:val="00EA47C3"/>
    <w:rsid w:val="00EA5872"/>
    <w:rsid w:val="00EA5E57"/>
    <w:rsid w:val="00EA6B25"/>
    <w:rsid w:val="00EA7970"/>
    <w:rsid w:val="00EB0E57"/>
    <w:rsid w:val="00EB133F"/>
    <w:rsid w:val="00EB3254"/>
    <w:rsid w:val="00EB5E0B"/>
    <w:rsid w:val="00EB7613"/>
    <w:rsid w:val="00EC0CB1"/>
    <w:rsid w:val="00EC127A"/>
    <w:rsid w:val="00EC1731"/>
    <w:rsid w:val="00EC1FF9"/>
    <w:rsid w:val="00EC2737"/>
    <w:rsid w:val="00EC34C8"/>
    <w:rsid w:val="00EC358F"/>
    <w:rsid w:val="00EC4DFA"/>
    <w:rsid w:val="00EC770E"/>
    <w:rsid w:val="00ED05AA"/>
    <w:rsid w:val="00ED18ED"/>
    <w:rsid w:val="00ED2A19"/>
    <w:rsid w:val="00ED579A"/>
    <w:rsid w:val="00ED6B20"/>
    <w:rsid w:val="00ED742A"/>
    <w:rsid w:val="00ED77A0"/>
    <w:rsid w:val="00EE1033"/>
    <w:rsid w:val="00EE10EE"/>
    <w:rsid w:val="00EE2716"/>
    <w:rsid w:val="00EE602D"/>
    <w:rsid w:val="00EE6450"/>
    <w:rsid w:val="00EE64E6"/>
    <w:rsid w:val="00EE6CC1"/>
    <w:rsid w:val="00EF1741"/>
    <w:rsid w:val="00EF2AF0"/>
    <w:rsid w:val="00EF64EA"/>
    <w:rsid w:val="00EF681A"/>
    <w:rsid w:val="00EF7B51"/>
    <w:rsid w:val="00F00CF8"/>
    <w:rsid w:val="00F01C2C"/>
    <w:rsid w:val="00F069E2"/>
    <w:rsid w:val="00F07EA9"/>
    <w:rsid w:val="00F10ED8"/>
    <w:rsid w:val="00F11599"/>
    <w:rsid w:val="00F17F79"/>
    <w:rsid w:val="00F20D5B"/>
    <w:rsid w:val="00F222BE"/>
    <w:rsid w:val="00F24179"/>
    <w:rsid w:val="00F24FD6"/>
    <w:rsid w:val="00F25C3C"/>
    <w:rsid w:val="00F26367"/>
    <w:rsid w:val="00F301F1"/>
    <w:rsid w:val="00F30C22"/>
    <w:rsid w:val="00F31C7E"/>
    <w:rsid w:val="00F32321"/>
    <w:rsid w:val="00F32F31"/>
    <w:rsid w:val="00F33F1A"/>
    <w:rsid w:val="00F34ABC"/>
    <w:rsid w:val="00F36205"/>
    <w:rsid w:val="00F36772"/>
    <w:rsid w:val="00F41897"/>
    <w:rsid w:val="00F419A9"/>
    <w:rsid w:val="00F42CAF"/>
    <w:rsid w:val="00F451DB"/>
    <w:rsid w:val="00F47348"/>
    <w:rsid w:val="00F5184E"/>
    <w:rsid w:val="00F52D59"/>
    <w:rsid w:val="00F5436A"/>
    <w:rsid w:val="00F547F7"/>
    <w:rsid w:val="00F5486F"/>
    <w:rsid w:val="00F54CCF"/>
    <w:rsid w:val="00F556B0"/>
    <w:rsid w:val="00F56B16"/>
    <w:rsid w:val="00F56C7A"/>
    <w:rsid w:val="00F61D7A"/>
    <w:rsid w:val="00F622A3"/>
    <w:rsid w:val="00F637B3"/>
    <w:rsid w:val="00F643F2"/>
    <w:rsid w:val="00F66853"/>
    <w:rsid w:val="00F66CF7"/>
    <w:rsid w:val="00F67556"/>
    <w:rsid w:val="00F67BCB"/>
    <w:rsid w:val="00F701E4"/>
    <w:rsid w:val="00F70B44"/>
    <w:rsid w:val="00F70DF3"/>
    <w:rsid w:val="00F71552"/>
    <w:rsid w:val="00F732BC"/>
    <w:rsid w:val="00F73B66"/>
    <w:rsid w:val="00F73DA3"/>
    <w:rsid w:val="00F75C3F"/>
    <w:rsid w:val="00F75CA0"/>
    <w:rsid w:val="00F76566"/>
    <w:rsid w:val="00F77AB1"/>
    <w:rsid w:val="00F77C57"/>
    <w:rsid w:val="00F801DF"/>
    <w:rsid w:val="00F813C7"/>
    <w:rsid w:val="00F818A4"/>
    <w:rsid w:val="00F823B8"/>
    <w:rsid w:val="00F82FA6"/>
    <w:rsid w:val="00F83102"/>
    <w:rsid w:val="00F83566"/>
    <w:rsid w:val="00F83A9D"/>
    <w:rsid w:val="00F83CD7"/>
    <w:rsid w:val="00F87652"/>
    <w:rsid w:val="00F906B5"/>
    <w:rsid w:val="00F93784"/>
    <w:rsid w:val="00F93E8F"/>
    <w:rsid w:val="00F94B7B"/>
    <w:rsid w:val="00F971CC"/>
    <w:rsid w:val="00FA056F"/>
    <w:rsid w:val="00FA19CF"/>
    <w:rsid w:val="00FA2CAA"/>
    <w:rsid w:val="00FA3DA1"/>
    <w:rsid w:val="00FA4E98"/>
    <w:rsid w:val="00FA574D"/>
    <w:rsid w:val="00FA6554"/>
    <w:rsid w:val="00FA7010"/>
    <w:rsid w:val="00FB0527"/>
    <w:rsid w:val="00FB1084"/>
    <w:rsid w:val="00FB140E"/>
    <w:rsid w:val="00FB1B3B"/>
    <w:rsid w:val="00FB6430"/>
    <w:rsid w:val="00FB7420"/>
    <w:rsid w:val="00FC00A7"/>
    <w:rsid w:val="00FC06BD"/>
    <w:rsid w:val="00FC1607"/>
    <w:rsid w:val="00FC2918"/>
    <w:rsid w:val="00FC29E2"/>
    <w:rsid w:val="00FC43A5"/>
    <w:rsid w:val="00FC4EE1"/>
    <w:rsid w:val="00FD14AF"/>
    <w:rsid w:val="00FD26E2"/>
    <w:rsid w:val="00FD2803"/>
    <w:rsid w:val="00FD4451"/>
    <w:rsid w:val="00FE0656"/>
    <w:rsid w:val="00FE0F9D"/>
    <w:rsid w:val="00FE16C1"/>
    <w:rsid w:val="00FE177F"/>
    <w:rsid w:val="00FE19FF"/>
    <w:rsid w:val="00FE33A6"/>
    <w:rsid w:val="00FE36E5"/>
    <w:rsid w:val="00FE41F3"/>
    <w:rsid w:val="00FE448B"/>
    <w:rsid w:val="00FE5452"/>
    <w:rsid w:val="00FE5624"/>
    <w:rsid w:val="00FE6C40"/>
    <w:rsid w:val="00FF0733"/>
    <w:rsid w:val="00FF1D43"/>
    <w:rsid w:val="00FF23B8"/>
    <w:rsid w:val="00FF3DAD"/>
    <w:rsid w:val="00FF461A"/>
    <w:rsid w:val="00FF5003"/>
    <w:rsid w:val="00FF553B"/>
    <w:rsid w:val="00FF59A8"/>
    <w:rsid w:val="00FF5CE7"/>
    <w:rsid w:val="00FF641E"/>
    <w:rsid w:val="00FF6C5F"/>
    <w:rsid w:val="00FF6FBA"/>
    <w:rsid w:val="3B487DF8"/>
    <w:rsid w:val="7C546C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1E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7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1624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re4,Bullets Points,BulletPoints,List Paragraph1,Bullet1,Section 5,Bullet 1,Bullet List,Figure_name,Numbered Indented Text,Bullet- First level,List NUmber,Listenabsatz1,lp1,List Paragraph11,Style 2,TOC style,List Paragraph2,Number_1,new"/>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ListParagraphChar">
    <w:name w:val="List Paragraph Char"/>
    <w:aliases w:val="Titre4 Char,Bullets Points Char,BulletPoints Char,List Paragraph1 Char,Bullet1 Char,Section 5 Char,Bullet 1 Char,Bullet List Char,Figure_name Char,Numbered Indented Text Char,Bullet- First level Char,List NUmber Char,lp1 Char"/>
    <w:basedOn w:val="DefaultParagraphFont"/>
    <w:link w:val="ListParagraph"/>
    <w:uiPriority w:val="34"/>
    <w:qFormat/>
    <w:rsid w:val="000F5FDB"/>
    <w:rPr>
      <w:sz w:val="20"/>
    </w:rPr>
  </w:style>
  <w:style w:type="table" w:styleId="TableTheme">
    <w:name w:val="Table Theme"/>
    <w:basedOn w:val="TableNormal"/>
    <w:rsid w:val="007337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F2FC6"/>
    <w:rPr>
      <w:color w:val="605E5C"/>
      <w:shd w:val="clear" w:color="auto" w:fill="E1DFDD"/>
    </w:rPr>
  </w:style>
  <w:style w:type="character" w:styleId="FollowedHyperlink">
    <w:name w:val="FollowedHyperlink"/>
    <w:basedOn w:val="DefaultParagraphFont"/>
    <w:uiPriority w:val="99"/>
    <w:semiHidden/>
    <w:unhideWhenUsed/>
    <w:rsid w:val="00EB3254"/>
    <w:rPr>
      <w:color w:val="800080" w:themeColor="followedHyperlink"/>
      <w:u w:val="single"/>
    </w:rPr>
  </w:style>
  <w:style w:type="paragraph" w:styleId="Revision">
    <w:name w:val="Revision"/>
    <w:hidden/>
    <w:uiPriority w:val="99"/>
    <w:semiHidden/>
    <w:rsid w:val="00B52FB4"/>
    <w:pPr>
      <w:spacing w:after="0" w:line="240" w:lineRule="auto"/>
    </w:pPr>
    <w:rPr>
      <w:sz w:val="20"/>
    </w:rPr>
  </w:style>
  <w:style w:type="paragraph" w:customStyle="1" w:styleId="Tickboxes">
    <w:name w:val="Tick boxes"/>
    <w:basedOn w:val="Normal"/>
    <w:link w:val="TickboxesChar"/>
    <w:qFormat/>
    <w:rsid w:val="002349BC"/>
    <w:pPr>
      <w:spacing w:before="0" w:after="0"/>
      <w:ind w:left="360"/>
    </w:pPr>
    <w:rPr>
      <w:bCs/>
      <w:szCs w:val="20"/>
    </w:rPr>
  </w:style>
  <w:style w:type="character" w:customStyle="1" w:styleId="TickboxesChar">
    <w:name w:val="Tick boxes Char"/>
    <w:basedOn w:val="DefaultParagraphFont"/>
    <w:link w:val="Tickboxes"/>
    <w:rsid w:val="002349BC"/>
    <w:rPr>
      <w:bCs/>
      <w:sz w:val="20"/>
      <w:szCs w:val="20"/>
    </w:rPr>
  </w:style>
  <w:style w:type="character" w:customStyle="1" w:styleId="Heading3Char">
    <w:name w:val="Heading 3 Char"/>
    <w:basedOn w:val="DefaultParagraphFont"/>
    <w:link w:val="Heading3"/>
    <w:uiPriority w:val="9"/>
    <w:rsid w:val="00162415"/>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sid w:val="00825EBD"/>
    <w:rPr>
      <w:color w:val="2B579A"/>
      <w:shd w:val="clear" w:color="auto" w:fill="E1DFDD"/>
    </w:rPr>
  </w:style>
  <w:style w:type="paragraph" w:customStyle="1" w:styleId="csl-entry">
    <w:name w:val="csl-entry"/>
    <w:basedOn w:val="Normal"/>
    <w:rsid w:val="006547E8"/>
    <w:pPr>
      <w:spacing w:before="100" w:beforeAutospacing="1" w:after="100" w:afterAutospacing="1"/>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0925">
      <w:bodyDiv w:val="1"/>
      <w:marLeft w:val="0"/>
      <w:marRight w:val="0"/>
      <w:marTop w:val="0"/>
      <w:marBottom w:val="0"/>
      <w:divBdr>
        <w:top w:val="none" w:sz="0" w:space="0" w:color="auto"/>
        <w:left w:val="none" w:sz="0" w:space="0" w:color="auto"/>
        <w:bottom w:val="none" w:sz="0" w:space="0" w:color="auto"/>
        <w:right w:val="none" w:sz="0" w:space="0" w:color="auto"/>
      </w:divBdr>
    </w:div>
    <w:div w:id="92167918">
      <w:bodyDiv w:val="1"/>
      <w:marLeft w:val="0"/>
      <w:marRight w:val="0"/>
      <w:marTop w:val="0"/>
      <w:marBottom w:val="0"/>
      <w:divBdr>
        <w:top w:val="none" w:sz="0" w:space="0" w:color="auto"/>
        <w:left w:val="none" w:sz="0" w:space="0" w:color="auto"/>
        <w:bottom w:val="none" w:sz="0" w:space="0" w:color="auto"/>
        <w:right w:val="none" w:sz="0" w:space="0" w:color="auto"/>
      </w:divBdr>
    </w:div>
    <w:div w:id="106585244">
      <w:bodyDiv w:val="1"/>
      <w:marLeft w:val="0"/>
      <w:marRight w:val="0"/>
      <w:marTop w:val="0"/>
      <w:marBottom w:val="0"/>
      <w:divBdr>
        <w:top w:val="none" w:sz="0" w:space="0" w:color="auto"/>
        <w:left w:val="none" w:sz="0" w:space="0" w:color="auto"/>
        <w:bottom w:val="none" w:sz="0" w:space="0" w:color="auto"/>
        <w:right w:val="none" w:sz="0" w:space="0" w:color="auto"/>
      </w:divBdr>
    </w:div>
    <w:div w:id="155197290">
      <w:bodyDiv w:val="1"/>
      <w:marLeft w:val="0"/>
      <w:marRight w:val="0"/>
      <w:marTop w:val="0"/>
      <w:marBottom w:val="0"/>
      <w:divBdr>
        <w:top w:val="none" w:sz="0" w:space="0" w:color="auto"/>
        <w:left w:val="none" w:sz="0" w:space="0" w:color="auto"/>
        <w:bottom w:val="none" w:sz="0" w:space="0" w:color="auto"/>
        <w:right w:val="none" w:sz="0" w:space="0" w:color="auto"/>
      </w:divBdr>
    </w:div>
    <w:div w:id="161119953">
      <w:bodyDiv w:val="1"/>
      <w:marLeft w:val="0"/>
      <w:marRight w:val="0"/>
      <w:marTop w:val="0"/>
      <w:marBottom w:val="0"/>
      <w:divBdr>
        <w:top w:val="none" w:sz="0" w:space="0" w:color="auto"/>
        <w:left w:val="none" w:sz="0" w:space="0" w:color="auto"/>
        <w:bottom w:val="none" w:sz="0" w:space="0" w:color="auto"/>
        <w:right w:val="none" w:sz="0" w:space="0" w:color="auto"/>
      </w:divBdr>
    </w:div>
    <w:div w:id="250773465">
      <w:bodyDiv w:val="1"/>
      <w:marLeft w:val="0"/>
      <w:marRight w:val="0"/>
      <w:marTop w:val="0"/>
      <w:marBottom w:val="0"/>
      <w:divBdr>
        <w:top w:val="none" w:sz="0" w:space="0" w:color="auto"/>
        <w:left w:val="none" w:sz="0" w:space="0" w:color="auto"/>
        <w:bottom w:val="none" w:sz="0" w:space="0" w:color="auto"/>
        <w:right w:val="none" w:sz="0" w:space="0" w:color="auto"/>
      </w:divBdr>
    </w:div>
    <w:div w:id="26581862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45256753">
      <w:bodyDiv w:val="1"/>
      <w:marLeft w:val="0"/>
      <w:marRight w:val="0"/>
      <w:marTop w:val="0"/>
      <w:marBottom w:val="0"/>
      <w:divBdr>
        <w:top w:val="none" w:sz="0" w:space="0" w:color="auto"/>
        <w:left w:val="none" w:sz="0" w:space="0" w:color="auto"/>
        <w:bottom w:val="none" w:sz="0" w:space="0" w:color="auto"/>
        <w:right w:val="none" w:sz="0" w:space="0" w:color="auto"/>
      </w:divBdr>
    </w:div>
    <w:div w:id="354890093">
      <w:bodyDiv w:val="1"/>
      <w:marLeft w:val="0"/>
      <w:marRight w:val="0"/>
      <w:marTop w:val="0"/>
      <w:marBottom w:val="0"/>
      <w:divBdr>
        <w:top w:val="none" w:sz="0" w:space="0" w:color="auto"/>
        <w:left w:val="none" w:sz="0" w:space="0" w:color="auto"/>
        <w:bottom w:val="none" w:sz="0" w:space="0" w:color="auto"/>
        <w:right w:val="none" w:sz="0" w:space="0" w:color="auto"/>
      </w:divBdr>
    </w:div>
    <w:div w:id="367920604">
      <w:bodyDiv w:val="1"/>
      <w:marLeft w:val="0"/>
      <w:marRight w:val="0"/>
      <w:marTop w:val="0"/>
      <w:marBottom w:val="0"/>
      <w:divBdr>
        <w:top w:val="none" w:sz="0" w:space="0" w:color="auto"/>
        <w:left w:val="none" w:sz="0" w:space="0" w:color="auto"/>
        <w:bottom w:val="none" w:sz="0" w:space="0" w:color="auto"/>
        <w:right w:val="none" w:sz="0" w:space="0" w:color="auto"/>
      </w:divBdr>
    </w:div>
    <w:div w:id="371273431">
      <w:bodyDiv w:val="1"/>
      <w:marLeft w:val="0"/>
      <w:marRight w:val="0"/>
      <w:marTop w:val="0"/>
      <w:marBottom w:val="0"/>
      <w:divBdr>
        <w:top w:val="none" w:sz="0" w:space="0" w:color="auto"/>
        <w:left w:val="none" w:sz="0" w:space="0" w:color="auto"/>
        <w:bottom w:val="none" w:sz="0" w:space="0" w:color="auto"/>
        <w:right w:val="none" w:sz="0" w:space="0" w:color="auto"/>
      </w:divBdr>
    </w:div>
    <w:div w:id="441416717">
      <w:bodyDiv w:val="1"/>
      <w:marLeft w:val="0"/>
      <w:marRight w:val="0"/>
      <w:marTop w:val="0"/>
      <w:marBottom w:val="0"/>
      <w:divBdr>
        <w:top w:val="none" w:sz="0" w:space="0" w:color="auto"/>
        <w:left w:val="none" w:sz="0" w:space="0" w:color="auto"/>
        <w:bottom w:val="none" w:sz="0" w:space="0" w:color="auto"/>
        <w:right w:val="none" w:sz="0" w:space="0" w:color="auto"/>
      </w:divBdr>
    </w:div>
    <w:div w:id="501823156">
      <w:bodyDiv w:val="1"/>
      <w:marLeft w:val="0"/>
      <w:marRight w:val="0"/>
      <w:marTop w:val="0"/>
      <w:marBottom w:val="0"/>
      <w:divBdr>
        <w:top w:val="none" w:sz="0" w:space="0" w:color="auto"/>
        <w:left w:val="none" w:sz="0" w:space="0" w:color="auto"/>
        <w:bottom w:val="none" w:sz="0" w:space="0" w:color="auto"/>
        <w:right w:val="none" w:sz="0" w:space="0" w:color="auto"/>
      </w:divBdr>
    </w:div>
    <w:div w:id="507407190">
      <w:bodyDiv w:val="1"/>
      <w:marLeft w:val="0"/>
      <w:marRight w:val="0"/>
      <w:marTop w:val="0"/>
      <w:marBottom w:val="0"/>
      <w:divBdr>
        <w:top w:val="none" w:sz="0" w:space="0" w:color="auto"/>
        <w:left w:val="none" w:sz="0" w:space="0" w:color="auto"/>
        <w:bottom w:val="none" w:sz="0" w:space="0" w:color="auto"/>
        <w:right w:val="none" w:sz="0" w:space="0" w:color="auto"/>
      </w:divBdr>
    </w:div>
    <w:div w:id="636952753">
      <w:bodyDiv w:val="1"/>
      <w:marLeft w:val="0"/>
      <w:marRight w:val="0"/>
      <w:marTop w:val="0"/>
      <w:marBottom w:val="0"/>
      <w:divBdr>
        <w:top w:val="none" w:sz="0" w:space="0" w:color="auto"/>
        <w:left w:val="none" w:sz="0" w:space="0" w:color="auto"/>
        <w:bottom w:val="none" w:sz="0" w:space="0" w:color="auto"/>
        <w:right w:val="none" w:sz="0" w:space="0" w:color="auto"/>
      </w:divBdr>
    </w:div>
    <w:div w:id="721902917">
      <w:bodyDiv w:val="1"/>
      <w:marLeft w:val="0"/>
      <w:marRight w:val="0"/>
      <w:marTop w:val="0"/>
      <w:marBottom w:val="0"/>
      <w:divBdr>
        <w:top w:val="none" w:sz="0" w:space="0" w:color="auto"/>
        <w:left w:val="none" w:sz="0" w:space="0" w:color="auto"/>
        <w:bottom w:val="none" w:sz="0" w:space="0" w:color="auto"/>
        <w:right w:val="none" w:sz="0" w:space="0" w:color="auto"/>
      </w:divBdr>
    </w:div>
    <w:div w:id="847789756">
      <w:bodyDiv w:val="1"/>
      <w:marLeft w:val="0"/>
      <w:marRight w:val="0"/>
      <w:marTop w:val="0"/>
      <w:marBottom w:val="0"/>
      <w:divBdr>
        <w:top w:val="none" w:sz="0" w:space="0" w:color="auto"/>
        <w:left w:val="none" w:sz="0" w:space="0" w:color="auto"/>
        <w:bottom w:val="none" w:sz="0" w:space="0" w:color="auto"/>
        <w:right w:val="none" w:sz="0" w:space="0" w:color="auto"/>
      </w:divBdr>
    </w:div>
    <w:div w:id="848176956">
      <w:bodyDiv w:val="1"/>
      <w:marLeft w:val="0"/>
      <w:marRight w:val="0"/>
      <w:marTop w:val="0"/>
      <w:marBottom w:val="0"/>
      <w:divBdr>
        <w:top w:val="none" w:sz="0" w:space="0" w:color="auto"/>
        <w:left w:val="none" w:sz="0" w:space="0" w:color="auto"/>
        <w:bottom w:val="none" w:sz="0" w:space="0" w:color="auto"/>
        <w:right w:val="none" w:sz="0" w:space="0" w:color="auto"/>
      </w:divBdr>
    </w:div>
    <w:div w:id="868832063">
      <w:bodyDiv w:val="1"/>
      <w:marLeft w:val="0"/>
      <w:marRight w:val="0"/>
      <w:marTop w:val="0"/>
      <w:marBottom w:val="0"/>
      <w:divBdr>
        <w:top w:val="none" w:sz="0" w:space="0" w:color="auto"/>
        <w:left w:val="none" w:sz="0" w:space="0" w:color="auto"/>
        <w:bottom w:val="none" w:sz="0" w:space="0" w:color="auto"/>
        <w:right w:val="none" w:sz="0" w:space="0" w:color="auto"/>
      </w:divBdr>
    </w:div>
    <w:div w:id="877208566">
      <w:bodyDiv w:val="1"/>
      <w:marLeft w:val="0"/>
      <w:marRight w:val="0"/>
      <w:marTop w:val="0"/>
      <w:marBottom w:val="0"/>
      <w:divBdr>
        <w:top w:val="none" w:sz="0" w:space="0" w:color="auto"/>
        <w:left w:val="none" w:sz="0" w:space="0" w:color="auto"/>
        <w:bottom w:val="none" w:sz="0" w:space="0" w:color="auto"/>
        <w:right w:val="none" w:sz="0" w:space="0" w:color="auto"/>
      </w:divBdr>
    </w:div>
    <w:div w:id="901527860">
      <w:bodyDiv w:val="1"/>
      <w:marLeft w:val="0"/>
      <w:marRight w:val="0"/>
      <w:marTop w:val="0"/>
      <w:marBottom w:val="0"/>
      <w:divBdr>
        <w:top w:val="none" w:sz="0" w:space="0" w:color="auto"/>
        <w:left w:val="none" w:sz="0" w:space="0" w:color="auto"/>
        <w:bottom w:val="none" w:sz="0" w:space="0" w:color="auto"/>
        <w:right w:val="none" w:sz="0" w:space="0" w:color="auto"/>
      </w:divBdr>
    </w:div>
    <w:div w:id="921108687">
      <w:bodyDiv w:val="1"/>
      <w:marLeft w:val="0"/>
      <w:marRight w:val="0"/>
      <w:marTop w:val="0"/>
      <w:marBottom w:val="0"/>
      <w:divBdr>
        <w:top w:val="none" w:sz="0" w:space="0" w:color="auto"/>
        <w:left w:val="none" w:sz="0" w:space="0" w:color="auto"/>
        <w:bottom w:val="none" w:sz="0" w:space="0" w:color="auto"/>
        <w:right w:val="none" w:sz="0" w:space="0" w:color="auto"/>
      </w:divBdr>
    </w:div>
    <w:div w:id="959606610">
      <w:bodyDiv w:val="1"/>
      <w:marLeft w:val="0"/>
      <w:marRight w:val="0"/>
      <w:marTop w:val="0"/>
      <w:marBottom w:val="0"/>
      <w:divBdr>
        <w:top w:val="none" w:sz="0" w:space="0" w:color="auto"/>
        <w:left w:val="none" w:sz="0" w:space="0" w:color="auto"/>
        <w:bottom w:val="none" w:sz="0" w:space="0" w:color="auto"/>
        <w:right w:val="none" w:sz="0" w:space="0" w:color="auto"/>
      </w:divBdr>
    </w:div>
    <w:div w:id="967779241">
      <w:bodyDiv w:val="1"/>
      <w:marLeft w:val="0"/>
      <w:marRight w:val="0"/>
      <w:marTop w:val="0"/>
      <w:marBottom w:val="0"/>
      <w:divBdr>
        <w:top w:val="none" w:sz="0" w:space="0" w:color="auto"/>
        <w:left w:val="none" w:sz="0" w:space="0" w:color="auto"/>
        <w:bottom w:val="none" w:sz="0" w:space="0" w:color="auto"/>
        <w:right w:val="none" w:sz="0" w:space="0" w:color="auto"/>
      </w:divBdr>
    </w:div>
    <w:div w:id="975642172">
      <w:bodyDiv w:val="1"/>
      <w:marLeft w:val="0"/>
      <w:marRight w:val="0"/>
      <w:marTop w:val="0"/>
      <w:marBottom w:val="0"/>
      <w:divBdr>
        <w:top w:val="none" w:sz="0" w:space="0" w:color="auto"/>
        <w:left w:val="none" w:sz="0" w:space="0" w:color="auto"/>
        <w:bottom w:val="none" w:sz="0" w:space="0" w:color="auto"/>
        <w:right w:val="none" w:sz="0" w:space="0" w:color="auto"/>
      </w:divBdr>
    </w:div>
    <w:div w:id="1011032123">
      <w:bodyDiv w:val="1"/>
      <w:marLeft w:val="0"/>
      <w:marRight w:val="0"/>
      <w:marTop w:val="0"/>
      <w:marBottom w:val="0"/>
      <w:divBdr>
        <w:top w:val="none" w:sz="0" w:space="0" w:color="auto"/>
        <w:left w:val="none" w:sz="0" w:space="0" w:color="auto"/>
        <w:bottom w:val="none" w:sz="0" w:space="0" w:color="auto"/>
        <w:right w:val="none" w:sz="0" w:space="0" w:color="auto"/>
      </w:divBdr>
    </w:div>
    <w:div w:id="1051810575">
      <w:bodyDiv w:val="1"/>
      <w:marLeft w:val="0"/>
      <w:marRight w:val="0"/>
      <w:marTop w:val="0"/>
      <w:marBottom w:val="0"/>
      <w:divBdr>
        <w:top w:val="none" w:sz="0" w:space="0" w:color="auto"/>
        <w:left w:val="none" w:sz="0" w:space="0" w:color="auto"/>
        <w:bottom w:val="none" w:sz="0" w:space="0" w:color="auto"/>
        <w:right w:val="none" w:sz="0" w:space="0" w:color="auto"/>
      </w:divBdr>
    </w:div>
    <w:div w:id="1057897428">
      <w:bodyDiv w:val="1"/>
      <w:marLeft w:val="0"/>
      <w:marRight w:val="0"/>
      <w:marTop w:val="0"/>
      <w:marBottom w:val="0"/>
      <w:divBdr>
        <w:top w:val="none" w:sz="0" w:space="0" w:color="auto"/>
        <w:left w:val="none" w:sz="0" w:space="0" w:color="auto"/>
        <w:bottom w:val="none" w:sz="0" w:space="0" w:color="auto"/>
        <w:right w:val="none" w:sz="0" w:space="0" w:color="auto"/>
      </w:divBdr>
    </w:div>
    <w:div w:id="1058629031">
      <w:bodyDiv w:val="1"/>
      <w:marLeft w:val="0"/>
      <w:marRight w:val="0"/>
      <w:marTop w:val="0"/>
      <w:marBottom w:val="0"/>
      <w:divBdr>
        <w:top w:val="none" w:sz="0" w:space="0" w:color="auto"/>
        <w:left w:val="none" w:sz="0" w:space="0" w:color="auto"/>
        <w:bottom w:val="none" w:sz="0" w:space="0" w:color="auto"/>
        <w:right w:val="none" w:sz="0" w:space="0" w:color="auto"/>
      </w:divBdr>
    </w:div>
    <w:div w:id="1074085860">
      <w:bodyDiv w:val="1"/>
      <w:marLeft w:val="0"/>
      <w:marRight w:val="0"/>
      <w:marTop w:val="0"/>
      <w:marBottom w:val="0"/>
      <w:divBdr>
        <w:top w:val="none" w:sz="0" w:space="0" w:color="auto"/>
        <w:left w:val="none" w:sz="0" w:space="0" w:color="auto"/>
        <w:bottom w:val="none" w:sz="0" w:space="0" w:color="auto"/>
        <w:right w:val="none" w:sz="0" w:space="0" w:color="auto"/>
      </w:divBdr>
    </w:div>
    <w:div w:id="1129006298">
      <w:bodyDiv w:val="1"/>
      <w:marLeft w:val="0"/>
      <w:marRight w:val="0"/>
      <w:marTop w:val="0"/>
      <w:marBottom w:val="0"/>
      <w:divBdr>
        <w:top w:val="none" w:sz="0" w:space="0" w:color="auto"/>
        <w:left w:val="none" w:sz="0" w:space="0" w:color="auto"/>
        <w:bottom w:val="none" w:sz="0" w:space="0" w:color="auto"/>
        <w:right w:val="none" w:sz="0" w:space="0" w:color="auto"/>
      </w:divBdr>
    </w:div>
    <w:div w:id="1208640035">
      <w:bodyDiv w:val="1"/>
      <w:marLeft w:val="0"/>
      <w:marRight w:val="0"/>
      <w:marTop w:val="0"/>
      <w:marBottom w:val="0"/>
      <w:divBdr>
        <w:top w:val="none" w:sz="0" w:space="0" w:color="auto"/>
        <w:left w:val="none" w:sz="0" w:space="0" w:color="auto"/>
        <w:bottom w:val="none" w:sz="0" w:space="0" w:color="auto"/>
        <w:right w:val="none" w:sz="0" w:space="0" w:color="auto"/>
      </w:divBdr>
    </w:div>
    <w:div w:id="1257517417">
      <w:bodyDiv w:val="1"/>
      <w:marLeft w:val="0"/>
      <w:marRight w:val="0"/>
      <w:marTop w:val="0"/>
      <w:marBottom w:val="0"/>
      <w:divBdr>
        <w:top w:val="none" w:sz="0" w:space="0" w:color="auto"/>
        <w:left w:val="none" w:sz="0" w:space="0" w:color="auto"/>
        <w:bottom w:val="none" w:sz="0" w:space="0" w:color="auto"/>
        <w:right w:val="none" w:sz="0" w:space="0" w:color="auto"/>
      </w:divBdr>
    </w:div>
    <w:div w:id="1270818482">
      <w:bodyDiv w:val="1"/>
      <w:marLeft w:val="0"/>
      <w:marRight w:val="0"/>
      <w:marTop w:val="0"/>
      <w:marBottom w:val="0"/>
      <w:divBdr>
        <w:top w:val="none" w:sz="0" w:space="0" w:color="auto"/>
        <w:left w:val="none" w:sz="0" w:space="0" w:color="auto"/>
        <w:bottom w:val="none" w:sz="0" w:space="0" w:color="auto"/>
        <w:right w:val="none" w:sz="0" w:space="0" w:color="auto"/>
      </w:divBdr>
    </w:div>
    <w:div w:id="1277253879">
      <w:bodyDiv w:val="1"/>
      <w:marLeft w:val="0"/>
      <w:marRight w:val="0"/>
      <w:marTop w:val="0"/>
      <w:marBottom w:val="0"/>
      <w:divBdr>
        <w:top w:val="none" w:sz="0" w:space="0" w:color="auto"/>
        <w:left w:val="none" w:sz="0" w:space="0" w:color="auto"/>
        <w:bottom w:val="none" w:sz="0" w:space="0" w:color="auto"/>
        <w:right w:val="none" w:sz="0" w:space="0" w:color="auto"/>
      </w:divBdr>
    </w:div>
    <w:div w:id="1495532572">
      <w:bodyDiv w:val="1"/>
      <w:marLeft w:val="0"/>
      <w:marRight w:val="0"/>
      <w:marTop w:val="0"/>
      <w:marBottom w:val="0"/>
      <w:divBdr>
        <w:top w:val="none" w:sz="0" w:space="0" w:color="auto"/>
        <w:left w:val="none" w:sz="0" w:space="0" w:color="auto"/>
        <w:bottom w:val="none" w:sz="0" w:space="0" w:color="auto"/>
        <w:right w:val="none" w:sz="0" w:space="0" w:color="auto"/>
      </w:divBdr>
    </w:div>
    <w:div w:id="1500656995">
      <w:bodyDiv w:val="1"/>
      <w:marLeft w:val="0"/>
      <w:marRight w:val="0"/>
      <w:marTop w:val="0"/>
      <w:marBottom w:val="0"/>
      <w:divBdr>
        <w:top w:val="none" w:sz="0" w:space="0" w:color="auto"/>
        <w:left w:val="none" w:sz="0" w:space="0" w:color="auto"/>
        <w:bottom w:val="none" w:sz="0" w:space="0" w:color="auto"/>
        <w:right w:val="none" w:sz="0" w:space="0" w:color="auto"/>
      </w:divBdr>
    </w:div>
    <w:div w:id="1532765244">
      <w:bodyDiv w:val="1"/>
      <w:marLeft w:val="0"/>
      <w:marRight w:val="0"/>
      <w:marTop w:val="0"/>
      <w:marBottom w:val="0"/>
      <w:divBdr>
        <w:top w:val="none" w:sz="0" w:space="0" w:color="auto"/>
        <w:left w:val="none" w:sz="0" w:space="0" w:color="auto"/>
        <w:bottom w:val="none" w:sz="0" w:space="0" w:color="auto"/>
        <w:right w:val="none" w:sz="0" w:space="0" w:color="auto"/>
      </w:divBdr>
    </w:div>
    <w:div w:id="1597864486">
      <w:bodyDiv w:val="1"/>
      <w:marLeft w:val="0"/>
      <w:marRight w:val="0"/>
      <w:marTop w:val="0"/>
      <w:marBottom w:val="0"/>
      <w:divBdr>
        <w:top w:val="none" w:sz="0" w:space="0" w:color="auto"/>
        <w:left w:val="none" w:sz="0" w:space="0" w:color="auto"/>
        <w:bottom w:val="none" w:sz="0" w:space="0" w:color="auto"/>
        <w:right w:val="none" w:sz="0" w:space="0" w:color="auto"/>
      </w:divBdr>
    </w:div>
    <w:div w:id="1635525351">
      <w:bodyDiv w:val="1"/>
      <w:marLeft w:val="0"/>
      <w:marRight w:val="0"/>
      <w:marTop w:val="0"/>
      <w:marBottom w:val="0"/>
      <w:divBdr>
        <w:top w:val="none" w:sz="0" w:space="0" w:color="auto"/>
        <w:left w:val="none" w:sz="0" w:space="0" w:color="auto"/>
        <w:bottom w:val="none" w:sz="0" w:space="0" w:color="auto"/>
        <w:right w:val="none" w:sz="0" w:space="0" w:color="auto"/>
      </w:divBdr>
    </w:div>
    <w:div w:id="1761294492">
      <w:bodyDiv w:val="1"/>
      <w:marLeft w:val="0"/>
      <w:marRight w:val="0"/>
      <w:marTop w:val="0"/>
      <w:marBottom w:val="0"/>
      <w:divBdr>
        <w:top w:val="none" w:sz="0" w:space="0" w:color="auto"/>
        <w:left w:val="none" w:sz="0" w:space="0" w:color="auto"/>
        <w:bottom w:val="none" w:sz="0" w:space="0" w:color="auto"/>
        <w:right w:val="none" w:sz="0" w:space="0" w:color="auto"/>
      </w:divBdr>
    </w:div>
    <w:div w:id="1773939477">
      <w:bodyDiv w:val="1"/>
      <w:marLeft w:val="0"/>
      <w:marRight w:val="0"/>
      <w:marTop w:val="0"/>
      <w:marBottom w:val="0"/>
      <w:divBdr>
        <w:top w:val="none" w:sz="0" w:space="0" w:color="auto"/>
        <w:left w:val="none" w:sz="0" w:space="0" w:color="auto"/>
        <w:bottom w:val="none" w:sz="0" w:space="0" w:color="auto"/>
        <w:right w:val="none" w:sz="0" w:space="0" w:color="auto"/>
      </w:divBdr>
    </w:div>
    <w:div w:id="1809005542">
      <w:bodyDiv w:val="1"/>
      <w:marLeft w:val="0"/>
      <w:marRight w:val="0"/>
      <w:marTop w:val="0"/>
      <w:marBottom w:val="0"/>
      <w:divBdr>
        <w:top w:val="none" w:sz="0" w:space="0" w:color="auto"/>
        <w:left w:val="none" w:sz="0" w:space="0" w:color="auto"/>
        <w:bottom w:val="none" w:sz="0" w:space="0" w:color="auto"/>
        <w:right w:val="none" w:sz="0" w:space="0" w:color="auto"/>
      </w:divBdr>
    </w:div>
    <w:div w:id="1811629823">
      <w:bodyDiv w:val="1"/>
      <w:marLeft w:val="0"/>
      <w:marRight w:val="0"/>
      <w:marTop w:val="0"/>
      <w:marBottom w:val="0"/>
      <w:divBdr>
        <w:top w:val="none" w:sz="0" w:space="0" w:color="auto"/>
        <w:left w:val="none" w:sz="0" w:space="0" w:color="auto"/>
        <w:bottom w:val="none" w:sz="0" w:space="0" w:color="auto"/>
        <w:right w:val="none" w:sz="0" w:space="0" w:color="auto"/>
      </w:divBdr>
    </w:div>
    <w:div w:id="1826626238">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41004258">
      <w:bodyDiv w:val="1"/>
      <w:marLeft w:val="0"/>
      <w:marRight w:val="0"/>
      <w:marTop w:val="0"/>
      <w:marBottom w:val="0"/>
      <w:divBdr>
        <w:top w:val="none" w:sz="0" w:space="0" w:color="auto"/>
        <w:left w:val="none" w:sz="0" w:space="0" w:color="auto"/>
        <w:bottom w:val="none" w:sz="0" w:space="0" w:color="auto"/>
        <w:right w:val="none" w:sz="0" w:space="0" w:color="auto"/>
      </w:divBdr>
    </w:div>
    <w:div w:id="1898512966">
      <w:bodyDiv w:val="1"/>
      <w:marLeft w:val="0"/>
      <w:marRight w:val="0"/>
      <w:marTop w:val="0"/>
      <w:marBottom w:val="0"/>
      <w:divBdr>
        <w:top w:val="none" w:sz="0" w:space="0" w:color="auto"/>
        <w:left w:val="none" w:sz="0" w:space="0" w:color="auto"/>
        <w:bottom w:val="none" w:sz="0" w:space="0" w:color="auto"/>
        <w:right w:val="none" w:sz="0" w:space="0" w:color="auto"/>
      </w:divBdr>
    </w:div>
    <w:div w:id="1906257522">
      <w:bodyDiv w:val="1"/>
      <w:marLeft w:val="0"/>
      <w:marRight w:val="0"/>
      <w:marTop w:val="0"/>
      <w:marBottom w:val="0"/>
      <w:divBdr>
        <w:top w:val="none" w:sz="0" w:space="0" w:color="auto"/>
        <w:left w:val="none" w:sz="0" w:space="0" w:color="auto"/>
        <w:bottom w:val="none" w:sz="0" w:space="0" w:color="auto"/>
        <w:right w:val="none" w:sz="0" w:space="0" w:color="auto"/>
      </w:divBdr>
    </w:div>
    <w:div w:id="1927690813">
      <w:bodyDiv w:val="1"/>
      <w:marLeft w:val="0"/>
      <w:marRight w:val="0"/>
      <w:marTop w:val="0"/>
      <w:marBottom w:val="0"/>
      <w:divBdr>
        <w:top w:val="none" w:sz="0" w:space="0" w:color="auto"/>
        <w:left w:val="none" w:sz="0" w:space="0" w:color="auto"/>
        <w:bottom w:val="none" w:sz="0" w:space="0" w:color="auto"/>
        <w:right w:val="none" w:sz="0" w:space="0" w:color="auto"/>
      </w:divBdr>
    </w:div>
    <w:div w:id="1930238735">
      <w:bodyDiv w:val="1"/>
      <w:marLeft w:val="0"/>
      <w:marRight w:val="0"/>
      <w:marTop w:val="0"/>
      <w:marBottom w:val="0"/>
      <w:divBdr>
        <w:top w:val="none" w:sz="0" w:space="0" w:color="auto"/>
        <w:left w:val="none" w:sz="0" w:space="0" w:color="auto"/>
        <w:bottom w:val="none" w:sz="0" w:space="0" w:color="auto"/>
        <w:right w:val="none" w:sz="0" w:space="0" w:color="auto"/>
      </w:divBdr>
    </w:div>
    <w:div w:id="1930656386">
      <w:bodyDiv w:val="1"/>
      <w:marLeft w:val="0"/>
      <w:marRight w:val="0"/>
      <w:marTop w:val="0"/>
      <w:marBottom w:val="0"/>
      <w:divBdr>
        <w:top w:val="none" w:sz="0" w:space="0" w:color="auto"/>
        <w:left w:val="none" w:sz="0" w:space="0" w:color="auto"/>
        <w:bottom w:val="none" w:sz="0" w:space="0" w:color="auto"/>
        <w:right w:val="none" w:sz="0" w:space="0" w:color="auto"/>
      </w:divBdr>
    </w:div>
    <w:div w:id="1972904384">
      <w:bodyDiv w:val="1"/>
      <w:marLeft w:val="0"/>
      <w:marRight w:val="0"/>
      <w:marTop w:val="0"/>
      <w:marBottom w:val="0"/>
      <w:divBdr>
        <w:top w:val="none" w:sz="0" w:space="0" w:color="auto"/>
        <w:left w:val="none" w:sz="0" w:space="0" w:color="auto"/>
        <w:bottom w:val="none" w:sz="0" w:space="0" w:color="auto"/>
        <w:right w:val="none" w:sz="0" w:space="0" w:color="auto"/>
      </w:divBdr>
    </w:div>
    <w:div w:id="2002537472">
      <w:bodyDiv w:val="1"/>
      <w:marLeft w:val="0"/>
      <w:marRight w:val="0"/>
      <w:marTop w:val="0"/>
      <w:marBottom w:val="0"/>
      <w:divBdr>
        <w:top w:val="none" w:sz="0" w:space="0" w:color="auto"/>
        <w:left w:val="none" w:sz="0" w:space="0" w:color="auto"/>
        <w:bottom w:val="none" w:sz="0" w:space="0" w:color="auto"/>
        <w:right w:val="none" w:sz="0" w:space="0" w:color="auto"/>
      </w:divBdr>
    </w:div>
    <w:div w:id="2004356651">
      <w:bodyDiv w:val="1"/>
      <w:marLeft w:val="0"/>
      <w:marRight w:val="0"/>
      <w:marTop w:val="0"/>
      <w:marBottom w:val="0"/>
      <w:divBdr>
        <w:top w:val="none" w:sz="0" w:space="0" w:color="auto"/>
        <w:left w:val="none" w:sz="0" w:space="0" w:color="auto"/>
        <w:bottom w:val="none" w:sz="0" w:space="0" w:color="auto"/>
        <w:right w:val="none" w:sz="0" w:space="0" w:color="auto"/>
      </w:divBdr>
    </w:div>
    <w:div w:id="202581482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0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ip.short@cslbehring.com.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a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a@health.gov.au"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B19EE3DE7411EA0A0AC8D1DFB54D2"/>
        <w:category>
          <w:name w:val="General"/>
          <w:gallery w:val="placeholder"/>
        </w:category>
        <w:types>
          <w:type w:val="bbPlcHdr"/>
        </w:types>
        <w:behaviors>
          <w:behavior w:val="content"/>
        </w:behaviors>
        <w:guid w:val="{8DA96079-650E-47B4-8740-31711E04FB75}"/>
      </w:docPartPr>
      <w:docPartBody>
        <w:p w:rsidR="00D87944" w:rsidRDefault="0049427F" w:rsidP="0049427F">
          <w:pPr>
            <w:pStyle w:val="4BCDC63F224249349A9CB18AFF97E582"/>
          </w:pPr>
          <w:r w:rsidRPr="00576CD4">
            <w:rPr>
              <w:rStyle w:val="PlaceholderText"/>
            </w:rPr>
            <w:t>Click or tap here to enter text.</w:t>
          </w:r>
        </w:p>
      </w:docPartBody>
    </w:docPart>
    <w:docPart>
      <w:docPartPr>
        <w:name w:val="24BECF3823A244F7B4FCC50B575A88F0"/>
        <w:category>
          <w:name w:val="General"/>
          <w:gallery w:val="placeholder"/>
        </w:category>
        <w:types>
          <w:type w:val="bbPlcHdr"/>
        </w:types>
        <w:behaviors>
          <w:behavior w:val="content"/>
        </w:behaviors>
        <w:guid w:val="{28A1EB13-14F2-4934-9B69-7C2FBB1E483C}"/>
      </w:docPartPr>
      <w:docPartBody>
        <w:p w:rsidR="00DE2F2F" w:rsidRDefault="00D87944" w:rsidP="00D87944">
          <w:pPr>
            <w:pStyle w:val="24BECF3823A244F7B4FCC50B575A88F0"/>
          </w:pPr>
          <w:r w:rsidRPr="00576CD4">
            <w:rPr>
              <w:rStyle w:val="PlaceholderText"/>
            </w:rPr>
            <w:t>Click or tap here to enter text.</w:t>
          </w:r>
        </w:p>
      </w:docPartBody>
    </w:docPart>
    <w:docPart>
      <w:docPartPr>
        <w:name w:val="94E86D35D4924D4AAFFD4FB35D61F8D1"/>
        <w:category>
          <w:name w:val="General"/>
          <w:gallery w:val="placeholder"/>
        </w:category>
        <w:types>
          <w:type w:val="bbPlcHdr"/>
        </w:types>
        <w:behaviors>
          <w:behavior w:val="content"/>
        </w:behaviors>
        <w:guid w:val="{15DB9405-1CAF-4EFF-B18F-57043ACD179A}"/>
      </w:docPartPr>
      <w:docPartBody>
        <w:p w:rsidR="00DE2F2F" w:rsidRDefault="00D87944" w:rsidP="00D87944">
          <w:pPr>
            <w:pStyle w:val="94E86D35D4924D4AAFFD4FB35D61F8D1"/>
          </w:pPr>
          <w:r w:rsidRPr="00576CD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CBA8D4F-0FA5-4E48-BEF5-F51865DEA754}"/>
      </w:docPartPr>
      <w:docPartBody>
        <w:p w:rsidR="00D278D4" w:rsidRDefault="00D278D4">
          <w:r w:rsidRPr="00FB20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7F"/>
    <w:rsid w:val="00162ED0"/>
    <w:rsid w:val="0049427F"/>
    <w:rsid w:val="006A6868"/>
    <w:rsid w:val="00921840"/>
    <w:rsid w:val="0099179F"/>
    <w:rsid w:val="00D278D4"/>
    <w:rsid w:val="00D87944"/>
    <w:rsid w:val="00DE2F2F"/>
    <w:rsid w:val="00EE456A"/>
    <w:rsid w:val="00FA4B01"/>
    <w:rsid w:val="00FD43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CDC63F224249349A9CB18AFF97E582">
    <w:name w:val="4BCDC63F224249349A9CB18AFF97E582"/>
    <w:rsid w:val="0049427F"/>
  </w:style>
  <w:style w:type="paragraph" w:customStyle="1" w:styleId="24BECF3823A244F7B4FCC50B575A88F0">
    <w:name w:val="24BECF3823A244F7B4FCC50B575A88F0"/>
    <w:rsid w:val="00D87944"/>
  </w:style>
  <w:style w:type="paragraph" w:customStyle="1" w:styleId="94E86D35D4924D4AAFFD4FB35D61F8D1">
    <w:name w:val="94E86D35D4924D4AAFFD4FB35D61F8D1"/>
    <w:rsid w:val="00D87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CB4765-A9FD-4980-96EC-4BFE7B813C30}">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3BE8F695550146BAF426E4B6AD6281" ma:contentTypeVersion="12" ma:contentTypeDescription="Create a new document." ma:contentTypeScope="" ma:versionID="86473720c51fa48b2e5a937f1e3d0ddc">
  <xsd:schema xmlns:xsd="http://www.w3.org/2001/XMLSchema" xmlns:xs="http://www.w3.org/2001/XMLSchema" xmlns:p="http://schemas.microsoft.com/office/2006/metadata/properties" xmlns:ns2="6b420310-81cf-426a-91c1-a1a99bdedcbc" xmlns:ns3="909ecb65-0339-4279-a632-026dd9f47b9d" targetNamespace="http://schemas.microsoft.com/office/2006/metadata/properties" ma:root="true" ma:fieldsID="14a822d1fc3acf58c74f92d96d4c1dd4" ns2:_="" ns3:_="">
    <xsd:import namespace="6b420310-81cf-426a-91c1-a1a99bdedcbc"/>
    <xsd:import namespace="909ecb65-0339-4279-a632-026dd9f47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0310-81cf-426a-91c1-a1a99bde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ecb65-0339-4279-a632-026dd9f47b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3FC0B-C997-4323-90E9-3A40D1E07190}">
  <ds:schemaRefs>
    <ds:schemaRef ds:uri="http://schemas.microsoft.com/sharepoint/v3/contenttype/forms"/>
  </ds:schemaRefs>
</ds:datastoreItem>
</file>

<file path=customXml/itemProps2.xml><?xml version="1.0" encoding="utf-8"?>
<ds:datastoreItem xmlns:ds="http://schemas.openxmlformats.org/officeDocument/2006/customXml" ds:itemID="{F6C3C46C-AF89-4E9E-A0FE-4180DB745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0310-81cf-426a-91c1-a1a99bdedcbc"/>
    <ds:schemaRef ds:uri="909ecb65-0339-4279-a632-026dd9f4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customXml/itemProps4.xml><?xml version="1.0" encoding="utf-8"?>
<ds:datastoreItem xmlns:ds="http://schemas.openxmlformats.org/officeDocument/2006/customXml" ds:itemID="{4AC2E23E-1F29-456A-BA4A-04B820A6F22A}">
  <ds:schemaRefs>
    <ds:schemaRef ds:uri="http://schemas.openxmlformats.org/package/2006/metadata/core-properties"/>
    <ds:schemaRef ds:uri="http://schemas.microsoft.com/office/2006/documentManagement/types"/>
    <ds:schemaRef ds:uri="909ecb65-0339-4279-a632-026dd9f47b9d"/>
    <ds:schemaRef ds:uri="http://purl.org/dc/elements/1.1/"/>
    <ds:schemaRef ds:uri="http://schemas.microsoft.com/office/2006/metadata/properties"/>
    <ds:schemaRef ds:uri="http://schemas.microsoft.com/office/infopath/2007/PartnerControls"/>
    <ds:schemaRef ds:uri="http://purl.org/dc/terms/"/>
    <ds:schemaRef ds:uri="6b420310-81cf-426a-91c1-a1a99bdedc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2022-07-29T06:50:00Z</dcterms:created>
  <dcterms:modified xsi:type="dcterms:W3CDTF">2022-11-29T03:04:00Z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0x010100CF3BE8F695550146BAF426E4B6AD6281</vt:lpwstr>
  </property>
</Properties>
</file>